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660"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drawing>
          <wp:inline distT="0" distB="0" distL="0" distR="0">
            <wp:extent cx="1409700" cy="4191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700" cy="419100"/>
                    </a:xfrm>
                    <a:prstGeom prst="rect">
                      <a:avLst/>
                    </a:prstGeom>
                  </pic:spPr>
                </pic:pic>
              </a:graphicData>
            </a:graphic>
          </wp:inline>
        </w:drawing>
      </w:r>
      <w:r>
        <w:rPr>
          <w:rFonts w:ascii="Times New Roman" w:hAnsi="Times New Roman" w:cs="Times New Roman" w:eastAsia="Times New Roman" w:hint="default"/>
          <w:position w:val="-12"/>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495" w:right="1479" w:firstLine="0"/>
        <w:jc w:val="center"/>
        <w:rPr>
          <w:rFonts w:ascii="宋体" w:hAnsi="宋体" w:cs="宋体" w:eastAsia="宋体" w:hint="default"/>
          <w:sz w:val="36"/>
          <w:szCs w:val="36"/>
        </w:rPr>
      </w:pPr>
      <w:r>
        <w:rPr>
          <w:rFonts w:ascii="宋体" w:hAnsi="宋体" w:cs="宋体" w:eastAsia="宋体" w:hint="default"/>
          <w:b/>
          <w:bCs/>
          <w:sz w:val="36"/>
          <w:szCs w:val="36"/>
        </w:rPr>
        <w:t>深圳市优博讯科技股份有限公司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495" w:right="147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495" w:right="1473" w:firstLine="0"/>
        <w:jc w:val="center"/>
        <w:rPr>
          <w:rFonts w:ascii="Times New Roman" w:hAnsi="Times New Roman" w:cs="Times New Roman" w:eastAsia="Times New Roman" w:hint="default"/>
          <w:sz w:val="22"/>
          <w:szCs w:val="22"/>
        </w:rPr>
      </w:pPr>
      <w:r>
        <w:rPr>
          <w:rFonts w:ascii="Times New Roman"/>
          <w:b/>
          <w:sz w:val="22"/>
        </w:rPr>
        <w:t>2020-051</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30"/>
        <w:ind w:left="495" w:right="147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5" w:right="1133"/>
        <w:jc w:val="left"/>
        <w:rPr>
          <w:b w:val="0"/>
          <w:bCs w:val="0"/>
        </w:rPr>
      </w:pPr>
      <w:bookmarkStart w:name="第一节重要提示、目录和释义" w:id="1"/>
      <w:bookmarkEnd w:id="1"/>
      <w:r>
        <w:rPr>
          <w:b w:val="0"/>
          <w:bCs w:val="0"/>
        </w:rPr>
      </w:r>
      <w:bookmarkStart w:name="_bookmark0" w:id="2"/>
      <w:bookmarkEnd w:id="2"/>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1129" w:firstLine="562"/>
        <w:jc w:val="both"/>
        <w:rPr>
          <w:rFonts w:ascii="宋体" w:hAnsi="宋体" w:cs="宋体" w:eastAsia="宋体" w:hint="default"/>
          <w:sz w:val="28"/>
          <w:szCs w:val="28"/>
        </w:rPr>
      </w:pPr>
      <w:r>
        <w:rPr>
          <w:rFonts w:ascii="宋体" w:hAnsi="宋体" w:cs="宋体" w:eastAsia="宋体" w:hint="default"/>
          <w:b/>
          <w:bCs/>
          <w:sz w:val="28"/>
          <w:szCs w:val="28"/>
        </w:rPr>
        <w:t>公司负责人</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GUO</w:t>
      </w:r>
      <w:r>
        <w:rPr>
          <w:rFonts w:ascii="Times New Roman" w:hAnsi="Times New Roman" w:cs="Times New Roman" w:eastAsia="Times New Roman" w:hint="default"/>
          <w:b/>
          <w:bCs/>
          <w:spacing w:val="-1"/>
          <w:sz w:val="28"/>
          <w:szCs w:val="28"/>
        </w:rPr>
        <w:t> </w:t>
      </w:r>
      <w:r>
        <w:rPr>
          <w:rFonts w:ascii="Times New Roman" w:hAnsi="Times New Roman" w:cs="Times New Roman" w:eastAsia="Times New Roman" w:hint="default"/>
          <w:b/>
          <w:bCs/>
          <w:sz w:val="28"/>
          <w:szCs w:val="28"/>
        </w:rPr>
        <w:t>SONG</w:t>
      </w:r>
      <w:r>
        <w:rPr>
          <w:rFonts w:ascii="宋体" w:hAnsi="宋体" w:cs="宋体" w:eastAsia="宋体" w:hint="default"/>
          <w:b/>
          <w:bCs/>
          <w:sz w:val="28"/>
          <w:szCs w:val="28"/>
        </w:rPr>
        <w:t>、主管会计工作负责人</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LIU</w:t>
      </w:r>
      <w:r>
        <w:rPr>
          <w:rFonts w:ascii="Times New Roman" w:hAnsi="Times New Roman" w:cs="Times New Roman" w:eastAsia="Times New Roman" w:hint="default"/>
          <w:b/>
          <w:bCs/>
          <w:spacing w:val="-2"/>
          <w:sz w:val="28"/>
          <w:szCs w:val="28"/>
        </w:rPr>
        <w:t> </w:t>
      </w:r>
      <w:r>
        <w:rPr>
          <w:rFonts w:ascii="Times New Roman" w:hAnsi="Times New Roman" w:cs="Times New Roman" w:eastAsia="Times New Roman" w:hint="default"/>
          <w:b/>
          <w:bCs/>
          <w:sz w:val="28"/>
          <w:szCs w:val="28"/>
        </w:rPr>
        <w:t>DAN</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及会计机构负责</w:t>
      </w:r>
      <w:r>
        <w:rPr>
          <w:rFonts w:ascii="宋体" w:hAnsi="宋体" w:cs="宋体" w:eastAsia="宋体" w:hint="default"/>
          <w:b/>
          <w:bCs/>
          <w:w w:val="99"/>
          <w:sz w:val="28"/>
          <w:szCs w:val="28"/>
        </w:rPr>
        <w:t> </w:t>
      </w:r>
      <w:r>
        <w:rPr>
          <w:rFonts w:ascii="宋体" w:hAnsi="宋体" w:cs="宋体" w:eastAsia="宋体" w:hint="default"/>
          <w:b/>
          <w:bCs/>
          <w:sz w:val="28"/>
          <w:szCs w:val="28"/>
        </w:rPr>
        <w:t>人</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会计主管人员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张晔声明：保证年度报告中财务报告的真实、准确、完整。</w:t>
      </w:r>
      <w:r>
        <w:rPr>
          <w:rFonts w:ascii="宋体" w:hAnsi="宋体" w:cs="宋体" w:eastAsia="宋体" w:hint="default"/>
          <w:sz w:val="28"/>
          <w:szCs w:val="28"/>
        </w:rPr>
      </w:r>
    </w:p>
    <w:p>
      <w:pPr>
        <w:spacing w:line="472" w:lineRule="auto" w:before="148"/>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本年度报告中涉及未来计划或规划等前瞻性陈述的，均不构成公司对投资</w:t>
      </w:r>
      <w:r>
        <w:rPr>
          <w:rFonts w:ascii="宋体" w:hAnsi="宋体" w:cs="宋体" w:eastAsia="宋体" w:hint="default"/>
          <w:spacing w:val="2"/>
          <w:sz w:val="28"/>
          <w:szCs w:val="28"/>
        </w:rPr>
      </w:r>
    </w:p>
    <w:p>
      <w:pPr>
        <w:spacing w:line="408" w:lineRule="auto" w:before="0"/>
        <w:ind w:left="152" w:right="1129" w:firstLine="0"/>
        <w:jc w:val="left"/>
        <w:rPr>
          <w:rFonts w:ascii="宋体" w:hAnsi="宋体" w:cs="宋体" w:eastAsia="宋体" w:hint="default"/>
          <w:sz w:val="28"/>
          <w:szCs w:val="28"/>
        </w:rPr>
      </w:pPr>
      <w:r>
        <w:rPr>
          <w:rFonts w:ascii="宋体" w:hAnsi="宋体" w:cs="宋体" w:eastAsia="宋体" w:hint="default"/>
          <w:b/>
          <w:bCs/>
          <w:spacing w:val="2"/>
          <w:sz w:val="28"/>
          <w:szCs w:val="28"/>
        </w:rPr>
        <w:t>者的实质承诺，投资者及相关人士均应对此保持足够的风险认识，并且应当理</w:t>
      </w:r>
      <w:r>
        <w:rPr>
          <w:rFonts w:ascii="宋体" w:hAnsi="宋体" w:cs="宋体" w:eastAsia="宋体" w:hint="default"/>
          <w:b/>
          <w:bCs/>
          <w:w w:val="99"/>
          <w:sz w:val="28"/>
          <w:szCs w:val="28"/>
        </w:rPr>
        <w:t> </w:t>
      </w:r>
      <w:r>
        <w:rPr>
          <w:rFonts w:ascii="宋体" w:hAnsi="宋体" w:cs="宋体" w:eastAsia="宋体" w:hint="default"/>
          <w:b/>
          <w:bCs/>
          <w:sz w:val="28"/>
          <w:szCs w:val="28"/>
        </w:rPr>
        <w:t>解计划、预测与承诺之间的差异。</w:t>
      </w:r>
      <w:r>
        <w:rPr>
          <w:rFonts w:ascii="宋体" w:hAnsi="宋体" w:cs="宋体" w:eastAsia="宋体" w:hint="default"/>
          <w:sz w:val="28"/>
          <w:szCs w:val="28"/>
        </w:rPr>
      </w:r>
    </w:p>
    <w:p>
      <w:pPr>
        <w:spacing w:line="403"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公司存在国内外市场风险、智能移动终端产品价格和毛利率下降风险、政</w:t>
      </w:r>
      <w:r>
        <w:rPr>
          <w:rFonts w:ascii="宋体" w:hAnsi="宋体" w:cs="宋体" w:eastAsia="宋体" w:hint="default"/>
          <w:b/>
          <w:bCs/>
          <w:w w:val="99"/>
          <w:sz w:val="28"/>
          <w:szCs w:val="28"/>
        </w:rPr>
        <w:t> </w:t>
      </w:r>
      <w:r>
        <w:rPr>
          <w:rFonts w:ascii="宋体" w:hAnsi="宋体" w:cs="宋体" w:eastAsia="宋体" w:hint="default"/>
          <w:b/>
          <w:bCs/>
          <w:spacing w:val="2"/>
          <w:sz w:val="28"/>
          <w:szCs w:val="28"/>
        </w:rPr>
        <w:t>策风险、技术人员流失风险、税收优惠政策对公司业绩影响的风险、商誉减值</w:t>
      </w:r>
      <w:r>
        <w:rPr>
          <w:rFonts w:ascii="宋体" w:hAnsi="宋体" w:cs="宋体" w:eastAsia="宋体" w:hint="default"/>
          <w:b/>
          <w:bCs/>
          <w:w w:val="99"/>
          <w:sz w:val="28"/>
          <w:szCs w:val="28"/>
        </w:rPr>
        <w:t> </w:t>
      </w:r>
      <w:r>
        <w:rPr>
          <w:rFonts w:ascii="宋体" w:hAnsi="宋体" w:cs="宋体" w:eastAsia="宋体" w:hint="default"/>
          <w:b/>
          <w:bCs/>
          <w:spacing w:val="2"/>
          <w:sz w:val="28"/>
          <w:szCs w:val="28"/>
        </w:rPr>
        <w:t>风险、应收账款回收风险、因新型冠状病毒疫情导致的业绩下滑风险等，敬请</w:t>
      </w:r>
      <w:r>
        <w:rPr>
          <w:rFonts w:ascii="宋体" w:hAnsi="宋体" w:cs="宋体" w:eastAsia="宋体" w:hint="default"/>
          <w:b/>
          <w:bCs/>
          <w:spacing w:val="-138"/>
          <w:sz w:val="28"/>
          <w:szCs w:val="28"/>
        </w:rPr>
        <w:t> </w:t>
      </w:r>
      <w:r>
        <w:rPr>
          <w:rFonts w:ascii="宋体" w:hAnsi="宋体" w:cs="宋体" w:eastAsia="宋体" w:hint="default"/>
          <w:b/>
          <w:bCs/>
          <w:spacing w:val="-138"/>
          <w:sz w:val="28"/>
          <w:szCs w:val="28"/>
        </w:rPr>
      </w:r>
      <w:r>
        <w:rPr>
          <w:rFonts w:ascii="宋体" w:hAnsi="宋体" w:cs="宋体" w:eastAsia="宋体" w:hint="default"/>
          <w:b/>
          <w:bCs/>
          <w:spacing w:val="-2"/>
          <w:sz w:val="28"/>
          <w:szCs w:val="28"/>
        </w:rPr>
        <w:t>广大投资者注意投资风险。详细内容见</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第四节经营情况讨论与分析</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之</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九、公</w:t>
      </w:r>
      <w:r>
        <w:rPr>
          <w:rFonts w:ascii="宋体" w:hAnsi="宋体" w:cs="宋体" w:eastAsia="宋体" w:hint="default"/>
          <w:b/>
          <w:bCs/>
          <w:spacing w:val="-128"/>
          <w:sz w:val="28"/>
          <w:szCs w:val="28"/>
        </w:rPr>
        <w:t> </w:t>
      </w:r>
      <w:r>
        <w:rPr>
          <w:rFonts w:ascii="宋体" w:hAnsi="宋体" w:cs="宋体" w:eastAsia="宋体" w:hint="default"/>
          <w:b/>
          <w:bCs/>
          <w:spacing w:val="-128"/>
          <w:sz w:val="28"/>
          <w:szCs w:val="28"/>
        </w:rPr>
      </w:r>
      <w:r>
        <w:rPr>
          <w:rFonts w:ascii="宋体" w:hAnsi="宋体" w:cs="宋体" w:eastAsia="宋体" w:hint="default"/>
          <w:b/>
          <w:bCs/>
          <w:sz w:val="28"/>
          <w:szCs w:val="28"/>
        </w:rPr>
        <w:t>司未来发展的展望</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中公司可能面对的风险因素。</w:t>
      </w:r>
      <w:r>
        <w:rPr>
          <w:rFonts w:ascii="宋体" w:hAnsi="宋体" w:cs="宋体" w:eastAsia="宋体" w:hint="default"/>
          <w:sz w:val="28"/>
          <w:szCs w:val="28"/>
        </w:rPr>
      </w:r>
    </w:p>
    <w:p>
      <w:pPr>
        <w:spacing w:before="127"/>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 </w:t>
      </w:r>
      <w:r>
        <w:rPr>
          <w:rFonts w:ascii="Times New Roman" w:hAnsi="Times New Roman" w:cs="Times New Roman" w:eastAsia="Times New Roman" w:hint="default"/>
          <w:b/>
          <w:bCs/>
          <w:sz w:val="28"/>
          <w:szCs w:val="28"/>
        </w:rPr>
        <w:t>323,053,129</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before="236"/>
        <w:ind w:left="152" w:right="0" w:firstLine="0"/>
        <w:jc w:val="left"/>
        <w:rPr>
          <w:rFonts w:ascii="宋体" w:hAnsi="宋体" w:cs="宋体" w:eastAsia="宋体" w:hint="default"/>
          <w:sz w:val="28"/>
          <w:szCs w:val="28"/>
        </w:rPr>
      </w:pPr>
      <w:r>
        <w:rPr>
          <w:rFonts w:ascii="宋体" w:hAnsi="宋体" w:cs="宋体" w:eastAsia="宋体" w:hint="default"/>
          <w:b/>
          <w:bCs/>
          <w:w w:val="99"/>
          <w:sz w:val="28"/>
          <w:szCs w:val="28"/>
        </w:rPr>
        <w:t>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0.32</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以资本</w:t>
      </w:r>
      <w:r>
        <w:rPr>
          <w:rFonts w:ascii="宋体" w:hAnsi="宋体" w:cs="宋体" w:eastAsia="宋体" w:hint="default"/>
          <w:sz w:val="28"/>
          <w:szCs w:val="28"/>
        </w:rPr>
      </w:r>
    </w:p>
    <w:p>
      <w:pPr>
        <w:spacing w:before="236"/>
        <w:ind w:left="152" w:right="1133" w:firstLine="0"/>
        <w:jc w:val="left"/>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 </w:t>
      </w: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80"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495" w:right="147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7"/>
          <w:szCs w:val="47"/>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宋体" w:hAnsi="宋体" w:cs="宋体" w:eastAsia="宋体"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宋体" w:hAnsi="宋体" w:cs="宋体" w:eastAsia="宋体" w:hint="default"/>
              </w:rPr>
              <w:tab/>
              <w:t>2</w:t>
            </w:r>
            <w:r>
              <w:rPr>
                <w:rFonts w:ascii="宋体" w:hAnsi="宋体" w:cs="宋体" w:eastAsia="宋体" w:hint="default"/>
                <w:b w:val="0"/>
                <w:bCs w:val="0"/>
              </w:rPr>
            </w:r>
          </w:hyperlink>
        </w:p>
        <w:p>
          <w:pPr>
            <w:pStyle w:val="TOC1"/>
            <w:tabs>
              <w:tab w:pos="9783" w:val="right" w:leader="dot"/>
            </w:tabs>
            <w:spacing w:line="240" w:lineRule="auto" w:before="195"/>
            <w:ind w:right="0"/>
            <w:jc w:val="left"/>
            <w:rPr>
              <w:rFonts w:ascii="宋体" w:hAnsi="宋体" w:cs="宋体" w:eastAsia="宋体" w:hint="default"/>
              <w:b w:val="0"/>
              <w:bCs w:val="0"/>
            </w:rPr>
          </w:pPr>
          <w:hyperlink w:history="true" w:anchor="_bookmark1">
            <w:r>
              <w:rPr/>
              <w:t>第二节</w:t>
            </w:r>
            <w:r>
              <w:rPr>
                <w:spacing w:val="1"/>
              </w:rPr>
              <w:t> </w:t>
            </w:r>
            <w:r>
              <w:rPr/>
              <w:t>公司简介和主要财务指标</w:t>
            </w:r>
            <w:r>
              <w:rPr>
                <w:rFonts w:ascii="宋体" w:hAnsi="宋体" w:cs="宋体" w:eastAsia="宋体" w:hint="default"/>
              </w:rPr>
              <w:tab/>
              <w:t>6</w:t>
            </w:r>
            <w:r>
              <w:rPr>
                <w:rFonts w:ascii="宋体" w:hAnsi="宋体" w:cs="宋体" w:eastAsia="宋体" w:hint="default"/>
                <w:b w:val="0"/>
                <w:bCs w:val="0"/>
              </w:rPr>
            </w:r>
          </w:hyperlink>
        </w:p>
        <w:p>
          <w:pPr>
            <w:pStyle w:val="TOC1"/>
            <w:tabs>
              <w:tab w:pos="9785" w:val="right" w:leader="dot"/>
            </w:tabs>
            <w:spacing w:line="240" w:lineRule="auto" w:before="192"/>
            <w:ind w:right="0"/>
            <w:jc w:val="left"/>
            <w:rPr>
              <w:rFonts w:ascii="宋体" w:hAnsi="宋体" w:cs="宋体" w:eastAsia="宋体" w:hint="default"/>
              <w:b w:val="0"/>
              <w:bCs w:val="0"/>
            </w:rPr>
          </w:pPr>
          <w:hyperlink w:history="true" w:anchor="_bookmark2">
            <w:r>
              <w:rPr/>
              <w:t>第三节</w:t>
            </w:r>
            <w:r>
              <w:rPr>
                <w:spacing w:val="2"/>
              </w:rPr>
              <w:t> </w:t>
            </w:r>
            <w:r>
              <w:rPr/>
              <w:t>公司业务概要</w:t>
            </w:r>
            <w:r>
              <w:rPr>
                <w:rFonts w:ascii="宋体" w:hAnsi="宋体" w:cs="宋体" w:eastAsia="宋体" w:hint="default"/>
              </w:rPr>
              <w:tab/>
              <w:t>10</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3">
            <w:r>
              <w:rPr/>
              <w:t>第四节</w:t>
            </w:r>
            <w:r>
              <w:rPr>
                <w:spacing w:val="1"/>
              </w:rPr>
              <w:t> </w:t>
            </w:r>
            <w:r>
              <w:rPr/>
              <w:t>经营情况讨论与分析</w:t>
            </w:r>
            <w:r>
              <w:rPr>
                <w:rFonts w:ascii="宋体" w:hAnsi="宋体" w:cs="宋体" w:eastAsia="宋体" w:hint="default"/>
              </w:rPr>
              <w:tab/>
              <w:t>20</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4">
            <w:r>
              <w:rPr/>
              <w:t>第五节</w:t>
            </w:r>
            <w:r>
              <w:rPr>
                <w:spacing w:val="2"/>
              </w:rPr>
              <w:t> </w:t>
            </w:r>
            <w:r>
              <w:rPr/>
              <w:t>重要事项</w:t>
            </w:r>
            <w:r>
              <w:rPr>
                <w:rFonts w:ascii="宋体" w:hAnsi="宋体" w:cs="宋体" w:eastAsia="宋体" w:hint="default"/>
              </w:rPr>
              <w:tab/>
              <w:t>48</w:t>
            </w:r>
            <w:r>
              <w:rPr>
                <w:rFonts w:ascii="宋体" w:hAnsi="宋体" w:cs="宋体" w:eastAsia="宋体" w:hint="default"/>
                <w:b w:val="0"/>
                <w:bCs w:val="0"/>
              </w:rPr>
            </w:r>
          </w:hyperlink>
        </w:p>
        <w:p>
          <w:pPr>
            <w:pStyle w:val="TOC1"/>
            <w:tabs>
              <w:tab w:pos="9785" w:val="right" w:leader="dot"/>
            </w:tabs>
            <w:spacing w:line="240" w:lineRule="auto" w:before="192"/>
            <w:ind w:right="0"/>
            <w:jc w:val="left"/>
            <w:rPr>
              <w:rFonts w:ascii="宋体" w:hAnsi="宋体" w:cs="宋体" w:eastAsia="宋体" w:hint="default"/>
              <w:b w:val="0"/>
              <w:bCs w:val="0"/>
            </w:rPr>
          </w:pPr>
          <w:hyperlink w:history="true" w:anchor="_bookmark5">
            <w:r>
              <w:rPr/>
              <w:t>第六节</w:t>
            </w:r>
            <w:r>
              <w:rPr>
                <w:spacing w:val="1"/>
              </w:rPr>
              <w:t> </w:t>
            </w:r>
            <w:r>
              <w:rPr/>
              <w:t>股份变动及股东情况</w:t>
            </w:r>
            <w:r>
              <w:rPr>
                <w:rFonts w:ascii="宋体" w:hAnsi="宋体" w:cs="宋体" w:eastAsia="宋体" w:hint="default"/>
              </w:rPr>
              <w:tab/>
              <w:t>69</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6">
            <w:r>
              <w:rPr/>
              <w:t>第七节</w:t>
            </w:r>
            <w:r>
              <w:rPr>
                <w:spacing w:val="1"/>
              </w:rPr>
              <w:t> </w:t>
            </w:r>
            <w:r>
              <w:rPr/>
              <w:t>优先股相关情况</w:t>
            </w:r>
            <w:r>
              <w:rPr>
                <w:rFonts w:ascii="宋体" w:hAnsi="宋体" w:cs="宋体" w:eastAsia="宋体" w:hint="default"/>
              </w:rPr>
              <w:tab/>
              <w:t>76</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7">
            <w:r>
              <w:rPr/>
              <w:t>第八节</w:t>
            </w:r>
            <w:r>
              <w:rPr>
                <w:spacing w:val="1"/>
              </w:rPr>
              <w:t> </w:t>
            </w:r>
            <w:r>
              <w:rPr/>
              <w:t>可转换公司债券相关情况</w:t>
            </w:r>
            <w:r>
              <w:rPr>
                <w:rFonts w:ascii="宋体" w:hAnsi="宋体" w:cs="宋体" w:eastAsia="宋体" w:hint="default"/>
              </w:rPr>
              <w:tab/>
              <w:t>76</w:t>
            </w:r>
            <w:r>
              <w:rPr>
                <w:rFonts w:ascii="宋体" w:hAnsi="宋体" w:cs="宋体" w:eastAsia="宋体" w:hint="default"/>
                <w:b w:val="0"/>
                <w:bCs w:val="0"/>
              </w:rPr>
            </w:r>
          </w:hyperlink>
        </w:p>
        <w:p>
          <w:pPr>
            <w:pStyle w:val="TOC1"/>
            <w:tabs>
              <w:tab w:pos="9785" w:val="right" w:leader="dot"/>
            </w:tabs>
            <w:spacing w:line="240" w:lineRule="auto" w:before="192"/>
            <w:ind w:right="0"/>
            <w:jc w:val="left"/>
            <w:rPr>
              <w:rFonts w:ascii="宋体" w:hAnsi="宋体" w:cs="宋体" w:eastAsia="宋体" w:hint="default"/>
              <w:b w:val="0"/>
              <w:bCs w:val="0"/>
            </w:rPr>
          </w:pPr>
          <w:hyperlink w:history="true" w:anchor="_bookmark8">
            <w:r>
              <w:rPr/>
              <w:t>第九节</w:t>
            </w:r>
            <w:r>
              <w:rPr>
                <w:spacing w:val="1"/>
              </w:rPr>
              <w:t> </w:t>
            </w:r>
            <w:r>
              <w:rPr/>
              <w:t>董事、监事、高级管理人员和员工情况</w:t>
            </w:r>
            <w:r>
              <w:rPr>
                <w:rFonts w:ascii="宋体" w:hAnsi="宋体" w:cs="宋体" w:eastAsia="宋体" w:hint="default"/>
              </w:rPr>
              <w:tab/>
              <w:t>77</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9">
            <w:r>
              <w:rPr/>
              <w:t>第十节</w:t>
            </w:r>
            <w:r>
              <w:rPr>
                <w:spacing w:val="2"/>
              </w:rPr>
              <w:t> </w:t>
            </w:r>
            <w:r>
              <w:rPr/>
              <w:t>公司治理</w:t>
            </w:r>
            <w:r>
              <w:rPr>
                <w:rFonts w:ascii="宋体" w:hAnsi="宋体" w:cs="宋体" w:eastAsia="宋体" w:hint="default"/>
              </w:rPr>
              <w:tab/>
              <w:t>85</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10">
            <w:r>
              <w:rPr/>
              <w:t>第十一节</w:t>
            </w:r>
            <w:r>
              <w:rPr>
                <w:spacing w:val="-1"/>
              </w:rPr>
              <w:t> </w:t>
            </w:r>
            <w:r>
              <w:rPr/>
              <w:t>公司债券相关情况</w:t>
            </w:r>
            <w:r>
              <w:rPr>
                <w:rFonts w:ascii="宋体" w:hAnsi="宋体" w:cs="宋体" w:eastAsia="宋体" w:hint="default"/>
              </w:rPr>
              <w:tab/>
              <w:t>90</w:t>
            </w:r>
            <w:r>
              <w:rPr>
                <w:rFonts w:ascii="宋体" w:hAnsi="宋体" w:cs="宋体" w:eastAsia="宋体" w:hint="default"/>
                <w:b w:val="0"/>
                <w:bCs w:val="0"/>
              </w:rPr>
            </w:r>
          </w:hyperlink>
        </w:p>
        <w:p>
          <w:pPr>
            <w:pStyle w:val="TOC1"/>
            <w:tabs>
              <w:tab w:pos="9785" w:val="right" w:leader="dot"/>
            </w:tabs>
            <w:spacing w:line="240" w:lineRule="auto" w:before="192"/>
            <w:ind w:right="0"/>
            <w:jc w:val="left"/>
            <w:rPr>
              <w:rFonts w:ascii="宋体" w:hAnsi="宋体" w:cs="宋体" w:eastAsia="宋体" w:hint="default"/>
              <w:b w:val="0"/>
              <w:bCs w:val="0"/>
            </w:rPr>
          </w:pPr>
          <w:hyperlink w:history="true" w:anchor="_bookmark11">
            <w:r>
              <w:rPr/>
              <w:t>第十二节</w:t>
            </w:r>
            <w:r>
              <w:rPr>
                <w:spacing w:val="-1"/>
              </w:rPr>
              <w:t> </w:t>
            </w:r>
            <w:r>
              <w:rPr/>
              <w:t>财务报告</w:t>
            </w:r>
            <w:r>
              <w:rPr>
                <w:rFonts w:ascii="宋体" w:hAnsi="宋体" w:cs="宋体" w:eastAsia="宋体" w:hint="default"/>
              </w:rPr>
              <w:tab/>
              <w:t>91</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12">
            <w:r>
              <w:rPr/>
              <w:t>第十三节</w:t>
            </w:r>
            <w:r>
              <w:rPr>
                <w:spacing w:val="-2"/>
              </w:rPr>
              <w:t> </w:t>
            </w:r>
            <w:r>
              <w:rPr/>
              <w:t>备查文件目录</w:t>
            </w:r>
            <w:r>
              <w:rPr>
                <w:rFonts w:ascii="宋体" w:hAnsi="宋体" w:cs="宋体" w:eastAsia="宋体" w:hint="default"/>
              </w:rPr>
              <w:tab/>
              <w:t>211</w:t>
            </w:r>
            <w:r>
              <w:rPr>
                <w:rFonts w:ascii="宋体" w:hAnsi="宋体" w:cs="宋体" w:eastAsia="宋体" w:hint="default"/>
                <w:b w:val="0"/>
                <w:bCs w:val="0"/>
              </w:rPr>
            </w:r>
          </w:hyperlink>
        </w:p>
        <w:p>
          <w:pPr/>
          <w:r>
            <w:fldChar w:fldCharType="end"/>
          </w:r>
        </w:p>
      </w:sdtContent>
    </w:sdt>
    <w:p>
      <w:pPr>
        <w:spacing w:after="0"/>
        <w:sectPr>
          <w:pgSz w:w="11910" w:h="16840"/>
          <w:pgMar w:header="745" w:footer="980" w:top="1060" w:bottom="1160" w:left="980" w:right="0"/>
        </w:sectPr>
      </w:pPr>
    </w:p>
    <w:p>
      <w:pPr>
        <w:spacing w:before="945"/>
        <w:ind w:left="495" w:right="147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《上市规则》</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深圳证券交易所创业板股票上市规则</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公司、本公司、优博讯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深圳市优博讯科技股份有限公司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深圳市优博讯科技股份有限公司章程</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优博讯控股、控股股东</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香港优博讯科技控股集团有限公司，公司控股股东</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中洲创投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深圳市中洲创业投资有限公司，公司股东</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博讯投资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深圳市博讯投资有限公司，公司股东</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亚晟发展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亚晟发展集团有限公司，公司股东</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军屯投资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深圳市军屯投资企业（有限合伙</w:t>
            </w:r>
            <w:r>
              <w:rPr>
                <w:rFonts w:ascii="宋体" w:hAnsi="宋体" w:cs="宋体" w:eastAsia="宋体" w:hint="default"/>
                <w:spacing w:val="-92"/>
                <w:sz w:val="18"/>
                <w:szCs w:val="18"/>
              </w:rPr>
              <w:t>）</w:t>
            </w:r>
            <w:r>
              <w:rPr>
                <w:rFonts w:ascii="宋体" w:hAnsi="宋体" w:cs="宋体" w:eastAsia="宋体" w:hint="default"/>
                <w:sz w:val="18"/>
                <w:szCs w:val="18"/>
              </w:rPr>
              <w:t>，公司股东</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斯隆投资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斯隆新产品投资有限公司，公司股东</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正达资讯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深圳市正达资讯技术有限公司，公司全资子公司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江南正鼎</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深圳市江南正鼎信息技术有限公司，公司全资子公司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蓝云达</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深圳市蓝云达智能科技有限公司，正达资讯全资子公司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宏锐软件</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桐庐宏锐软件科技有限公司，正达资讯全资子公司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香港优博讯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Urovo Technology</w:t>
            </w:r>
            <w:r>
              <w:rPr>
                <w:rFonts w:ascii="Times New Roman" w:hAnsi="Times New Roman" w:cs="Times New Roman" w:eastAsia="Times New Roman" w:hint="default"/>
                <w:spacing w:val="-22"/>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，公司全资子公司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优博讯软件</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深圳市优博讯软件技术有限公司，公司全资子公司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马来西亚优博讯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UROVO TECHNOLOGY(M)</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SDN.BHD</w:t>
            </w:r>
            <w:r>
              <w:rPr>
                <w:rFonts w:ascii="宋体" w:hAnsi="宋体" w:cs="宋体" w:eastAsia="宋体" w:hint="default"/>
                <w:sz w:val="18"/>
                <w:szCs w:val="18"/>
              </w:rPr>
              <w:t>，公司全资子公司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优金支付</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深圳市优金支付科技有限公司，公司全资子公司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武汉优软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武汉市优博讯软件科技有限公司，公司全资子公司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佳博科技</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33"/>
              <w:jc w:val="left"/>
              <w:rPr>
                <w:rFonts w:ascii="宋体" w:hAnsi="宋体" w:cs="宋体" w:eastAsia="宋体" w:hint="default"/>
                <w:sz w:val="18"/>
                <w:szCs w:val="18"/>
              </w:rPr>
            </w:pPr>
            <w:r>
              <w:rPr>
                <w:rFonts w:ascii="宋体" w:hAnsi="宋体" w:cs="宋体" w:eastAsia="宋体" w:hint="default"/>
                <w:sz w:val="18"/>
                <w:szCs w:val="18"/>
              </w:rPr>
              <w:t>原名珠海佳博科技股份有限公司，</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日重大资产重组交 割完成后为公司全资子公司，现名珠海佳博科技有限公司</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云栖信息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深圳市云栖信息科技有限公司，公司控股子公司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瑞柏泰</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深圳市瑞柏泰电子有限公司，公司控股子公司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上海芝柯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上海芝柯智能科技有限公司，公司参股子公司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天眼智通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深圳市天眼智通科技有限公司，公司参股子公司</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中世顺</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中世顺科技（北京）股份有限公司，公司参股子公司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帕思菲特</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深圳市帕思菲特科技有限公司，瑞柏泰之全资子公司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香港乐乐高</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香港乐乐高支付技术有限公司，瑞柏泰之全资子公司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爱买单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湖南爱买单信息技术有限公司，瑞柏泰之参股子公司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浩盛标签</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珠海浩盛标签打印机有限公司，佳博科技全资子公司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智汇网络</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珠海智汇网络设备有限公司，佳博科技全资子公司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珠海盛源</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珠海盛源信息科技有限公司，佳博科技全资子公司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佳博网络</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珠海佳博网络有限公司，佳博科技全资子公司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智联软件</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深圳市佳博智联软件有限公司，佳博科技全资子公司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兆丰科技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深圳市佳博兆丰科技有限公司，佳博科技全资子公司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保荐机构、中信证券</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财务顾问、东兴证券</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东兴证券股份有限公司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审计机构</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人民币元、人民币万元、人民币亿元</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723" w:right="1133"/>
        <w:jc w:val="left"/>
        <w:rPr>
          <w:b w:val="0"/>
          <w:bCs w:val="0"/>
        </w:rPr>
      </w:pPr>
      <w:bookmarkStart w:name="第二节公司简介和主要财务指标" w:id="3"/>
      <w:bookmarkEnd w:id="3"/>
      <w:r>
        <w:rPr>
          <w:b w:val="0"/>
          <w:bCs w:val="0"/>
        </w:rPr>
      </w:r>
      <w:bookmarkStart w:name="_bookmark1" w:id="4"/>
      <w:bookmarkEnd w:id="4"/>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pict>
          <v:group style="position:absolute;margin-left:172.339996pt;margin-top:114.681595pt;width:361.55pt;height:19.75pt;mso-position-horizontal-relative:page;mso-position-vertical-relative:paragraph;z-index:-1221568" coordorigin="3447,2294" coordsize="7231,395">
            <v:shape style="position:absolute;left:3447;top:2294;width:7231;height:395" coordorigin="3447,2294" coordsize="7231,395" path="m3447,2688l10677,2688,10677,2294,3447,2294,3447,2688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优博讯</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300531</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深圳市优博讯科技股份有限公司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优博讯</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UROVO TECHNOLOGY CO.,</w:t>
            </w:r>
            <w:r>
              <w:rPr>
                <w:rFonts w:ascii="Times New Roman"/>
                <w:spacing w:val="-15"/>
                <w:sz w:val="18"/>
              </w:rPr>
              <w:t> </w:t>
            </w:r>
            <w:r>
              <w:rPr>
                <w:rFonts w:ascii="Times New Roman"/>
                <w:spacing w:val="-5"/>
                <w:sz w:val="18"/>
              </w:rPr>
              <w:t>LTD.</w:t>
            </w:r>
          </w:p>
        </w:tc>
      </w:tr>
      <w:tr>
        <w:trPr>
          <w:trHeight w:val="404"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urovo</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GUO</w:t>
            </w:r>
            <w:r>
              <w:rPr>
                <w:rFonts w:ascii="Times New Roman"/>
                <w:spacing w:val="-4"/>
                <w:sz w:val="18"/>
              </w:rPr>
              <w:t> </w:t>
            </w:r>
            <w:r>
              <w:rPr>
                <w:rFonts w:ascii="Times New Roman"/>
                <w:sz w:val="18"/>
              </w:rPr>
              <w:t>SONG</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深圳市南山区粤海街道学府路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63 </w:t>
            </w:r>
            <w:r>
              <w:rPr>
                <w:rFonts w:ascii="宋体" w:hAnsi="宋体" w:cs="宋体" w:eastAsia="宋体" w:hint="default"/>
                <w:sz w:val="18"/>
                <w:szCs w:val="18"/>
              </w:rPr>
              <w:t>号高新区联合总部大厦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深圳市南山区粤海街道学府路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63 </w:t>
            </w:r>
            <w:r>
              <w:rPr>
                <w:rFonts w:ascii="宋体" w:hAnsi="宋体" w:cs="宋体" w:eastAsia="宋体" w:hint="default"/>
                <w:sz w:val="18"/>
                <w:szCs w:val="18"/>
              </w:rPr>
              <w:t>号高新区联合总部大厦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http://www.urovo.com</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info@urovo.com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王腾</w:t>
            </w:r>
          </w:p>
        </w:tc>
      </w:tr>
      <w:tr>
        <w:trPr>
          <w:trHeight w:val="161" w:hRule="exact"/>
        </w:trPr>
        <w:tc>
          <w:tcPr>
            <w:tcW w:w="31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深圳市南山区粤海街道学府路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号高新</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区联合总部大厦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深圳市南山区粤海街道学府路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号高新</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区联合总部大厦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391" w:hRule="exact"/>
        </w:trPr>
        <w:tc>
          <w:tcPr>
            <w:tcW w:w="31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0755-22673923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0755-22673923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0755-86520430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0755-86520430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liuzhen@urovo.com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teng.wang@urovo.com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公司证券部、深圳证券交易所</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四、其他有关资料" w:id="8"/>
      <w:bookmarkEnd w:id="8"/>
      <w:r>
        <w:rPr>
          <w:b w:val="0"/>
          <w:bCs w:val="0"/>
        </w:rPr>
      </w: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公司聘请的会计师事务所</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1101</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陈葆华、周灵芝</w:t>
            </w:r>
          </w:p>
        </w:tc>
      </w:tr>
    </w:tbl>
    <w:p>
      <w:pPr>
        <w:pStyle w:val="BodyText"/>
        <w:spacing w:line="240" w:lineRule="auto" w:before="49"/>
        <w:ind w:right="1133"/>
        <w:jc w:val="left"/>
      </w:pPr>
      <w:r>
        <w:rPr/>
        <w:t>公司聘请的报告期内履行持续督导职责的保荐机构</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0"/>
              <w:jc w:val="righ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2391"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广东省深圳市福田区中心三</w:t>
            </w:r>
          </w:p>
          <w:p>
            <w:pPr>
              <w:pStyle w:val="TableParagraph"/>
              <w:spacing w:line="300" w:lineRule="auto" w:before="76"/>
              <w:ind w:left="23" w:right="-41"/>
              <w:jc w:val="left"/>
              <w:rPr>
                <w:rFonts w:ascii="宋体" w:hAnsi="宋体" w:cs="宋体" w:eastAsia="宋体" w:hint="default"/>
                <w:sz w:val="18"/>
                <w:szCs w:val="18"/>
              </w:rPr>
            </w:pPr>
            <w:r>
              <w:rPr>
                <w:rFonts w:ascii="宋体" w:hAnsi="宋体" w:cs="宋体" w:eastAsia="宋体" w:hint="default"/>
                <w:sz w:val="18"/>
                <w:szCs w:val="18"/>
              </w:rPr>
              <w:t>路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号卓越时代广场（二期） 北座</w:t>
            </w:r>
          </w:p>
        </w:tc>
        <w:tc>
          <w:tcPr>
            <w:tcW w:w="239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 w:right="0"/>
              <w:jc w:val="left"/>
              <w:rPr>
                <w:rFonts w:ascii="宋体" w:hAnsi="宋体" w:cs="宋体" w:eastAsia="宋体" w:hint="default"/>
                <w:sz w:val="18"/>
                <w:szCs w:val="18"/>
              </w:rPr>
            </w:pPr>
            <w:r>
              <w:rPr>
                <w:rFonts w:ascii="宋体" w:hAnsi="宋体" w:cs="宋体" w:eastAsia="宋体" w:hint="default"/>
                <w:sz w:val="18"/>
                <w:szCs w:val="18"/>
              </w:rPr>
              <w:t>刘顺明、何锋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77"/>
              <w:jc w:val="right"/>
              <w:rPr>
                <w:rFonts w:ascii="Times New Roman" w:hAnsi="Times New Roman" w:cs="Times New Roman" w:eastAsia="Times New Roman" w:hint="default"/>
                <w:sz w:val="18"/>
                <w:szCs w:val="18"/>
              </w:rPr>
            </w:pPr>
            <w:r>
              <w:rPr>
                <w:rFonts w:ascii="Times New Roman"/>
                <w:spacing w:val="-1"/>
                <w:sz w:val="18"/>
              </w:rPr>
              <w:t>2016.08.09-2019.12.31</w:t>
            </w:r>
          </w:p>
        </w:tc>
      </w:tr>
    </w:tbl>
    <w:p>
      <w:pPr>
        <w:pStyle w:val="BodyText"/>
        <w:spacing w:line="240" w:lineRule="auto" w:before="49"/>
        <w:ind w:right="1133"/>
        <w:jc w:val="left"/>
      </w:pPr>
      <w:r>
        <w:rPr/>
        <w:t>公司聘请的报告期内履行持续督导职责的财务顾问</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0"/>
              <w:jc w:val="righ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东兴证券股份有限公司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新盛大厦</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15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陈炘锴、魏赛</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77"/>
              <w:jc w:val="right"/>
              <w:rPr>
                <w:rFonts w:ascii="Times New Roman" w:hAnsi="Times New Roman" w:cs="Times New Roman" w:eastAsia="Times New Roman" w:hint="default"/>
                <w:sz w:val="18"/>
                <w:szCs w:val="18"/>
              </w:rPr>
            </w:pPr>
            <w:r>
              <w:rPr>
                <w:rFonts w:ascii="Times New Roman"/>
                <w:spacing w:val="-1"/>
                <w:sz w:val="18"/>
              </w:rPr>
              <w:t>2019.12.27-2020.12.31</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公司是否需追溯调整或重述以前年度会计数据</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951,309,604.48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951,939,425.66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-0.07%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443,219,977.40</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51,356,383.35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117,250,420.08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-56.20%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48,613,327.58</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23,949,816.97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105,229,602.45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-77.24%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38,847,809.64</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209,983,213.09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-27,279,864.12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869.74%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58,816,369.14</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-57.14%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0.17</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0.17</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8.42%</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1,900,723,122.86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1,192,758,621.44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59.36%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848,785,657.46</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1,239,802,760.71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708,495,679.25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74.99%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596,864,918.84</w:t>
            </w:r>
          </w:p>
        </w:tc>
      </w:tr>
    </w:tbl>
    <w:p>
      <w:pPr>
        <w:pStyle w:val="BodyText"/>
        <w:spacing w:line="314" w:lineRule="auto" w:before="49"/>
        <w:ind w:right="1129"/>
        <w:jc w:val="left"/>
      </w:pPr>
      <w:r>
        <w:rPr>
          <w:spacing w:val="-2"/>
        </w:rPr>
        <w:t>公司报告期末至年度报告披露日股本是否因发行新股、增发、配股、股权激励行权、回购等原因发生变化且影响所有者权益</w:t>
      </w:r>
      <w:r>
        <w:rPr>
          <w:spacing w:val="-66"/>
        </w:rPr>
        <w:t> </w:t>
      </w:r>
      <w:r>
        <w:rPr>
          <w:spacing w:val="-66"/>
        </w:rPr>
      </w:r>
      <w:r>
        <w:rPr/>
        <w:t>金额</w:t>
      </w:r>
    </w:p>
    <w:p>
      <w:pPr>
        <w:pStyle w:val="BodyText"/>
        <w:spacing w:line="240" w:lineRule="auto" w:before="61"/>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524"/>
        <w:gridCol w:w="5046"/>
      </w:tblGrid>
      <w:tr>
        <w:trPr>
          <w:trHeight w:val="402"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支付的优先股股利</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0.159</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317,635,821.37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155,888,333.05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296,963,968.04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180,821,482.02</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47,762,926.97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28,222,079.50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-3,307.50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-24,625,315.62</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45,990,428.58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21,469,551.18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-31,032,666.56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-12,477,496.23</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7,980,061.62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107,811,624.90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-81,196,904.71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175,388,431.28</w:t>
            </w:r>
          </w:p>
        </w:tc>
      </w:tr>
    </w:tbl>
    <w:p>
      <w:pPr>
        <w:pStyle w:val="BodyText"/>
        <w:spacing w:line="240" w:lineRule="auto" w:before="49"/>
        <w:ind w:right="1133"/>
        <w:jc w:val="left"/>
      </w:pPr>
      <w:r>
        <w:rPr/>
        <w:t>上述财务指标或其加总数是否与公司已披露季度报告、半年度报告相关财务指标存在重大差异</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24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6"/>
        <w:rPr>
          <w:rFonts w:ascii="宋体" w:hAnsi="宋体" w:cs="宋体" w:eastAsia="宋体" w:hint="default"/>
          <w:sz w:val="21"/>
          <w:szCs w:val="21"/>
        </w:rPr>
      </w:pPr>
    </w:p>
    <w:p>
      <w:pPr>
        <w:pStyle w:val="Heading3"/>
        <w:spacing w:line="240" w:lineRule="auto"/>
        <w:ind w:right="1133"/>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-201,115.85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-25,631.85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46,224.91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9,351,072.26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9,261,258.45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6,302,829.83</w:t>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227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24,266,563.96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4,649,031.48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3,037,384.01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-5,177,418.56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-1,161,579.03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647,128.28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188,587.48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63,109.51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662,046.74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473,939.24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89,492.71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170,488.69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416,909.66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241,665.89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27,406,566.38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12,020,817.63</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4"/>
              <w:ind w:right="8"/>
              <w:jc w:val="right"/>
              <w:rPr>
                <w:rFonts w:ascii="Times New Roman" w:hAnsi="Times New Roman" w:cs="Times New Roman" w:eastAsia="Times New Roman" w:hint="default"/>
                <w:sz w:val="18"/>
                <w:szCs w:val="18"/>
              </w:rPr>
            </w:pPr>
            <w:r>
              <w:rPr>
                <w:rFonts w:ascii="Times New Roman"/>
                <w:spacing w:val="-1"/>
                <w:sz w:val="18"/>
              </w:rPr>
              <w:t>9,765,517.94</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25" w:right="1133"/>
        <w:jc w:val="left"/>
        <w:rPr>
          <w:b w:val="0"/>
          <w:bCs w:val="0"/>
        </w:rPr>
      </w:pPr>
      <w:bookmarkStart w:name="第三节公司业务概要" w:id="15"/>
      <w:bookmarkEnd w:id="15"/>
      <w:r>
        <w:rPr>
          <w:b w:val="0"/>
          <w:bCs w:val="0"/>
        </w:rPr>
      </w:r>
      <w:bookmarkStart w:name="_bookmark2" w:id="16"/>
      <w:bookmarkEnd w:id="16"/>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513" w:right="1133"/>
        <w:jc w:val="left"/>
      </w:pPr>
      <w:r>
        <w:rPr>
          <w:rFonts w:ascii="宋体" w:hAnsi="宋体" w:cs="宋体" w:eastAsia="宋体" w:hint="default"/>
          <w:b/>
          <w:bCs/>
        </w:rPr>
        <w:t>（一）公司从事的主要业务</w:t>
      </w:r>
      <w:r>
        <w:rPr>
          <w:rFonts w:ascii="宋体" w:hAnsi="宋体" w:cs="宋体" w:eastAsia="宋体" w:hint="default"/>
          <w:b/>
          <w:bCs/>
          <w:w w:val="99"/>
        </w:rPr>
        <w:t> </w:t>
      </w:r>
      <w:r>
        <w:rPr>
          <w:spacing w:val="-2"/>
        </w:rPr>
        <w:t>公司是物联网行业智能移动应用软硬件一体化解决方案提供商，核心业务为提供以智能移动终端为载体的行业智能移动</w:t>
      </w:r>
    </w:p>
    <w:p>
      <w:pPr>
        <w:pStyle w:val="BodyText"/>
        <w:spacing w:line="222" w:lineRule="exact"/>
        <w:ind w:right="0"/>
        <w:jc w:val="left"/>
      </w:pPr>
      <w:r>
        <w:rPr/>
        <w:t>信息化应用解决方案，协助物流快递、电子商务、零售、生产制造、公共交通、医疗卫生、行政执法及金融等行业客户构建</w:t>
      </w:r>
    </w:p>
    <w:p>
      <w:pPr>
        <w:pStyle w:val="BodyText"/>
        <w:spacing w:line="357" w:lineRule="auto" w:before="76"/>
        <w:ind w:left="513" w:right="0" w:hanging="361"/>
        <w:jc w:val="left"/>
      </w:pPr>
      <w:r>
        <w:rPr/>
        <w:t>基于智能移动应用的实时信息采集、传输、追溯及业务管理平台。 </w:t>
      </w:r>
      <w:r>
        <w:rPr>
          <w:spacing w:val="-4"/>
        </w:rPr>
        <w:t>报告期内，公司积极研究开发计算机视觉、机器学习和生物识别等人工智能技术及相关软硬件产品、解决方案在新零售、</w:t>
      </w:r>
    </w:p>
    <w:p>
      <w:pPr>
        <w:pStyle w:val="BodyText"/>
        <w:spacing w:line="224" w:lineRule="exact"/>
        <w:ind w:right="1133"/>
        <w:jc w:val="left"/>
      </w:pPr>
      <w:r>
        <w:rPr/>
        <w:t>智慧物流等行业场景的应用。</w:t>
      </w:r>
    </w:p>
    <w:p>
      <w:pPr>
        <w:pStyle w:val="BodyText"/>
        <w:spacing w:line="309" w:lineRule="auto" w:before="118"/>
        <w:ind w:right="0" w:firstLine="360"/>
        <w:jc w:val="left"/>
      </w:pPr>
      <w:r>
        <w:rPr>
          <w:spacing w:val="-4"/>
        </w:rPr>
        <w:t>公司的主导产品智能移动终端，是可集成多种软硬件功能的工业级智能终端，根据行业客户需求可实现实时数据的采集、</w:t>
      </w:r>
      <w:r>
        <w:rPr/>
        <w:t> </w:t>
      </w:r>
      <w:r>
        <w:rPr>
          <w:spacing w:val="-2"/>
        </w:rPr>
        <w:t>传输、处理以及金融支付等功能。以智能终端设备为载体，搭载基于行业客户定制化功能需求开发的应用软件，公司致力于</w:t>
      </w:r>
      <w:r>
        <w:rPr>
          <w:spacing w:val="-64"/>
        </w:rPr>
        <w:t> </w:t>
      </w:r>
      <w:r>
        <w:rPr>
          <w:spacing w:val="-64"/>
        </w:rPr>
      </w:r>
      <w:r>
        <w:rPr>
          <w:spacing w:val="-4"/>
        </w:rPr>
        <w:t>在</w:t>
      </w:r>
      <w:r>
        <w:rPr>
          <w:rFonts w:ascii="Times New Roman" w:hAnsi="Times New Roman" w:cs="Times New Roman" w:eastAsia="Times New Roman" w:hint="default"/>
          <w:spacing w:val="-4"/>
        </w:rPr>
        <w:t>“</w:t>
      </w:r>
      <w:r>
        <w:rPr>
          <w:spacing w:val="-4"/>
        </w:rPr>
        <w:t>物流快递信息管理</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供应链信息管理</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质量安全溯源管理</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移动销售管理</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电子政务管理</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智能仓储管理</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智</w:t>
      </w:r>
      <w:r>
        <w:rPr>
          <w:spacing w:val="-66"/>
        </w:rPr>
        <w:t> </w:t>
      </w:r>
      <w:r>
        <w:rPr/>
        <w:t>能移动支付</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资产管理</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等功能领域为物流快递、电子商务、零售、生产制造、公共交通、医疗卫生、行政执法及金融等 行业客户提供智能移动信息化应用整体解决方案。</w:t>
      </w:r>
    </w:p>
    <w:p>
      <w:pPr>
        <w:pStyle w:val="BodyText"/>
        <w:spacing w:line="240" w:lineRule="auto" w:before="65"/>
        <w:ind w:left="513" w:right="1133"/>
        <w:jc w:val="left"/>
      </w:pPr>
      <w:r>
        <w:rPr/>
        <w:t>公司现有的主要终端产品和行业应用解决方案如下表所示：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44"/>
        <w:ind w:left="0" w:right="1189"/>
        <w:jc w:val="right"/>
      </w:pPr>
      <w:r>
        <w:rPr/>
        <w:pict>
          <v:group style="position:absolute;margin-left:211.800003pt;margin-top:-28.518267pt;width:61.8pt;height:57.5pt;mso-position-horizontal-relative:page;mso-position-vertical-relative:paragraph;z-index:1120" coordorigin="4236,-570" coordsize="1236,1150">
            <v:shape style="position:absolute;left:4236;top:-570;width:686;height:1150" type="#_x0000_t75" stroked="false">
              <v:imagedata r:id="rId14" o:title=""/>
            </v:shape>
            <v:shape style="position:absolute;left:4922;top:-512;width:550;height:1092" type="#_x0000_t75" stroked="false">
              <v:imagedata r:id="rId15" o:title=""/>
            </v:shape>
            <w10:wrap type="none"/>
          </v:group>
        </w:pict>
      </w:r>
      <w:r>
        <w:rPr/>
        <w:pict>
          <v:shape style="position:absolute;margin-left:277.200012pt;margin-top:-24.768267pt;width:26.9pt;height:53.75pt;mso-position-horizontal-relative:page;mso-position-vertical-relative:paragraph;z-index:1144" type="#_x0000_t75" stroked="false">
            <v:imagedata r:id="rId16" o:title=""/>
          </v:shape>
        </w:pict>
      </w:r>
      <w:r>
        <w:rPr/>
        <w:pict>
          <v:group style="position:absolute;margin-left:304.100006pt;margin-top:-31.018267pt;width:118.65pt;height:60pt;mso-position-horizontal-relative:page;mso-position-vertical-relative:paragraph;z-index:1168" coordorigin="6082,-620" coordsize="2373,1200">
            <v:shape style="position:absolute;left:6082;top:-574;width:645;height:1154" type="#_x0000_t75" stroked="false">
              <v:imagedata r:id="rId17" o:title=""/>
            </v:shape>
            <v:shape style="position:absolute;left:6727;top:-620;width:571;height:1200" type="#_x0000_t75" stroked="false">
              <v:imagedata r:id="rId18" o:title=""/>
            </v:shape>
            <v:shape style="position:absolute;left:7298;top:-574;width:632;height:1154" type="#_x0000_t75" stroked="false">
              <v:imagedata r:id="rId19" o:title=""/>
            </v:shape>
            <v:shape style="position:absolute;left:7930;top:-411;width:525;height:991" type="#_x0000_t75" stroked="false">
              <v:imagedata r:id="rId20" o:title=""/>
            </v:shape>
            <w10:wrap type="none"/>
          </v:group>
        </w:pict>
      </w:r>
      <w:r>
        <w:rPr/>
        <w:pict>
          <v:shape style="position:absolute;margin-left:56.52pt;margin-top:-56.588268pt;width:475.9pt;height:310.1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72"/>
                    <w:gridCol w:w="1719"/>
                    <w:gridCol w:w="4851"/>
                    <w:gridCol w:w="1954"/>
                  </w:tblGrid>
                  <w:tr>
                    <w:trPr>
                      <w:trHeight w:val="416" w:hRule="exact"/>
                    </w:trPr>
                    <w:tc>
                      <w:tcPr>
                        <w:tcW w:w="9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left="300"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6570"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终端产品系列</w:t>
                        </w:r>
                      </w:p>
                    </w:tc>
                    <w:tc>
                      <w:tcPr>
                        <w:tcW w:w="19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主要应用行业</w:t>
                        </w:r>
                        <w:r>
                          <w:rPr>
                            <w:rFonts w:ascii="Times New Roman" w:hAnsi="Times New Roman" w:cs="Times New Roman" w:eastAsia="Times New Roman" w:hint="default"/>
                            <w:sz w:val="18"/>
                            <w:szCs w:val="18"/>
                          </w:rPr>
                          <w:t>/</w:t>
                        </w:r>
                        <w:r>
                          <w:rPr>
                            <w:rFonts w:ascii="宋体" w:hAnsi="宋体" w:cs="宋体" w:eastAsia="宋体" w:hint="default"/>
                            <w:sz w:val="18"/>
                            <w:szCs w:val="18"/>
                          </w:rPr>
                          <w:t>领域</w:t>
                        </w:r>
                      </w:p>
                    </w:tc>
                  </w:tr>
                  <w:tr>
                    <w:trPr>
                      <w:trHeight w:val="1368" w:hRule="exact"/>
                    </w:trPr>
                    <w:tc>
                      <w:tcPr>
                        <w:tcW w:w="97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314" w:lineRule="auto"/>
                          <w:ind w:left="209" w:right="27" w:hanging="181"/>
                          <w:jc w:val="left"/>
                          <w:rPr>
                            <w:rFonts w:ascii="宋体" w:hAnsi="宋体" w:cs="宋体" w:eastAsia="宋体" w:hint="default"/>
                            <w:sz w:val="18"/>
                            <w:szCs w:val="18"/>
                          </w:rPr>
                        </w:pPr>
                        <w:r>
                          <w:rPr>
                            <w:rFonts w:ascii="宋体" w:hAnsi="宋体" w:cs="宋体" w:eastAsia="宋体" w:hint="default"/>
                            <w:sz w:val="18"/>
                            <w:szCs w:val="18"/>
                          </w:rPr>
                          <w:t>智能移动数 据终端</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手持式</w:t>
                        </w:r>
                        <w:r>
                          <w:rPr>
                            <w:rFonts w:ascii="Times New Roman" w:hAnsi="Times New Roman" w:cs="Times New Roman" w:eastAsia="Times New Roman" w:hint="default"/>
                            <w:sz w:val="18"/>
                            <w:szCs w:val="18"/>
                          </w:rPr>
                          <w:t>PDA</w:t>
                        </w:r>
                      </w:p>
                    </w:tc>
                    <w:tc>
                      <w:tcPr>
                        <w:tcW w:w="4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1070" w:lineRule="exact"/>
                          <w:ind w:left="1707" w:right="0"/>
                          <w:jc w:val="left"/>
                          <w:rPr>
                            <w:rFonts w:ascii="宋体" w:hAnsi="宋体" w:cs="宋体" w:eastAsia="宋体" w:hint="default"/>
                            <w:sz w:val="20"/>
                            <w:szCs w:val="20"/>
                          </w:rPr>
                        </w:pPr>
                        <w:r>
                          <w:rPr>
                            <w:rFonts w:ascii="宋体" w:hAnsi="宋体" w:cs="宋体" w:eastAsia="宋体" w:hint="default"/>
                            <w:position w:val="-20"/>
                            <w:sz w:val="20"/>
                            <w:szCs w:val="20"/>
                          </w:rPr>
                          <w:drawing>
                            <wp:inline distT="0" distB="0" distL="0" distR="0">
                              <wp:extent cx="340263" cy="679894"/>
                              <wp:effectExtent l="0" t="0" r="0" b="0"/>
                              <wp:docPr id="3" name="image5.jpeg" descr=""/>
                              <wp:cNvGraphicFramePr>
                                <a:graphicFrameLocks noChangeAspect="1"/>
                              </wp:cNvGraphicFramePr>
                              <a:graphic>
                                <a:graphicData uri="http://schemas.openxmlformats.org/drawingml/2006/picture">
                                  <pic:pic>
                                    <pic:nvPicPr>
                                      <pic:cNvPr id="4" name="image5.jpeg"/>
                                      <pic:cNvPicPr/>
                                    </pic:nvPicPr>
                                    <pic:blipFill>
                                      <a:blip r:embed="rId16" cstate="print"/>
                                      <a:stretch>
                                        <a:fillRect/>
                                      </a:stretch>
                                    </pic:blipFill>
                                    <pic:spPr>
                                      <a:xfrm>
                                        <a:off x="0" y="0"/>
                                        <a:ext cx="340263" cy="679894"/>
                                      </a:xfrm>
                                      <a:prstGeom prst="rect">
                                        <a:avLst/>
                                      </a:prstGeom>
                                    </pic:spPr>
                                  </pic:pic>
                                </a:graphicData>
                              </a:graphic>
                            </wp:inline>
                          </w:drawing>
                        </w:r>
                        <w:r>
                          <w:rPr>
                            <w:rFonts w:ascii="宋体" w:hAnsi="宋体" w:cs="宋体" w:eastAsia="宋体" w:hint="default"/>
                            <w:position w:val="-20"/>
                            <w:sz w:val="20"/>
                            <w:szCs w:val="20"/>
                          </w:rPr>
                        </w:r>
                      </w:p>
                    </w:tc>
                    <w:tc>
                      <w:tcPr>
                        <w:tcW w:w="195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2" w:right="3"/>
                          <w:jc w:val="center"/>
                          <w:rPr>
                            <w:rFonts w:ascii="宋体" w:hAnsi="宋体" w:cs="宋体" w:eastAsia="宋体" w:hint="default"/>
                            <w:sz w:val="18"/>
                            <w:szCs w:val="18"/>
                          </w:rPr>
                        </w:pPr>
                        <w:r>
                          <w:rPr>
                            <w:rFonts w:ascii="宋体" w:hAnsi="宋体" w:cs="宋体" w:eastAsia="宋体" w:hint="default"/>
                            <w:spacing w:val="-5"/>
                            <w:sz w:val="18"/>
                            <w:szCs w:val="18"/>
                          </w:rPr>
                          <w:t>物流快递、电子商务、零</w:t>
                        </w:r>
                        <w:r>
                          <w:rPr>
                            <w:rFonts w:ascii="宋体" w:hAnsi="宋体" w:cs="宋体" w:eastAsia="宋体" w:hint="default"/>
                            <w:sz w:val="18"/>
                            <w:szCs w:val="18"/>
                          </w:rPr>
                          <w:t> </w:t>
                        </w:r>
                        <w:r>
                          <w:rPr>
                            <w:rFonts w:ascii="宋体" w:hAnsi="宋体" w:cs="宋体" w:eastAsia="宋体" w:hint="default"/>
                            <w:spacing w:val="-13"/>
                            <w:sz w:val="18"/>
                            <w:szCs w:val="18"/>
                          </w:rPr>
                          <w:t>售、生产制造、仓储运输</w:t>
                        </w:r>
                        <w:r>
                          <w:rPr>
                            <w:rFonts w:ascii="宋体" w:hAnsi="宋体" w:cs="宋体" w:eastAsia="宋体" w:hint="default"/>
                            <w:sz w:val="18"/>
                            <w:szCs w:val="18"/>
                          </w:rPr>
                          <w:t> </w:t>
                        </w:r>
                        <w:r>
                          <w:rPr>
                            <w:rFonts w:ascii="宋体" w:hAnsi="宋体" w:cs="宋体" w:eastAsia="宋体" w:hint="default"/>
                            <w:spacing w:val="-5"/>
                            <w:sz w:val="18"/>
                            <w:szCs w:val="18"/>
                          </w:rPr>
                          <w:t>医疗卫生、行政执法、食</w:t>
                        </w:r>
                        <w:r>
                          <w:rPr>
                            <w:rFonts w:ascii="宋体" w:hAnsi="宋体" w:cs="宋体" w:eastAsia="宋体" w:hint="default"/>
                            <w:sz w:val="18"/>
                            <w:szCs w:val="18"/>
                          </w:rPr>
                          <w:t> </w:t>
                        </w:r>
                        <w:r>
                          <w:rPr>
                            <w:rFonts w:ascii="宋体" w:hAnsi="宋体" w:cs="宋体" w:eastAsia="宋体" w:hint="default"/>
                            <w:spacing w:val="-13"/>
                            <w:sz w:val="18"/>
                            <w:szCs w:val="18"/>
                          </w:rPr>
                          <w:t>品药品溯源、电力、交通</w:t>
                        </w:r>
                        <w:r>
                          <w:rPr>
                            <w:rFonts w:ascii="宋体" w:hAnsi="宋体" w:cs="宋体" w:eastAsia="宋体" w:hint="default"/>
                            <w:sz w:val="18"/>
                            <w:szCs w:val="18"/>
                          </w:rPr>
                          <w:t> 能源等</w:t>
                        </w:r>
                      </w:p>
                    </w:tc>
                  </w:tr>
                  <w:tr>
                    <w:trPr>
                      <w:trHeight w:val="1051" w:hRule="exact"/>
                    </w:trPr>
                    <w:tc>
                      <w:tcPr>
                        <w:tcW w:w="972" w:type="dxa"/>
                        <w:vMerge/>
                        <w:tcBorders>
                          <w:left w:val="single" w:sz="6" w:space="0" w:color="000000"/>
                          <w:right w:val="single" w:sz="6" w:space="0" w:color="000000"/>
                        </w:tcBorders>
                      </w:tcPr>
                      <w:p>
                        <w:pP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穿戴式</w:t>
                        </w:r>
                        <w:r>
                          <w:rPr>
                            <w:rFonts w:ascii="Times New Roman" w:hAnsi="Times New Roman" w:cs="Times New Roman" w:eastAsia="Times New Roman" w:hint="default"/>
                            <w:sz w:val="18"/>
                            <w:szCs w:val="18"/>
                          </w:rPr>
                          <w:t>PDA</w:t>
                        </w:r>
                      </w:p>
                    </w:tc>
                    <w:tc>
                      <w:tcPr>
                        <w:tcW w:w="4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4"/>
                            <w:szCs w:val="4"/>
                          </w:rPr>
                        </w:pPr>
                      </w:p>
                      <w:p>
                        <w:pPr>
                          <w:pStyle w:val="TableParagraph"/>
                          <w:tabs>
                            <w:tab w:pos="2919" w:val="left" w:leader="none"/>
                          </w:tabs>
                          <w:spacing w:line="927" w:lineRule="exact"/>
                          <w:ind w:left="795" w:right="0"/>
                          <w:jc w:val="left"/>
                          <w:rPr>
                            <w:rFonts w:ascii="宋体" w:hAnsi="宋体" w:cs="宋体" w:eastAsia="宋体" w:hint="default"/>
                            <w:sz w:val="20"/>
                            <w:szCs w:val="20"/>
                          </w:rPr>
                        </w:pPr>
                        <w:r>
                          <w:rPr>
                            <w:rFonts w:ascii="宋体"/>
                            <w:position w:val="-18"/>
                            <w:sz w:val="20"/>
                          </w:rPr>
                          <w:drawing>
                            <wp:inline distT="0" distB="0" distL="0" distR="0">
                              <wp:extent cx="753923" cy="588645"/>
                              <wp:effectExtent l="0" t="0" r="0" b="0"/>
                              <wp:docPr id="5" name="image10.png" descr=""/>
                              <wp:cNvGraphicFramePr>
                                <a:graphicFrameLocks noChangeAspect="1"/>
                              </wp:cNvGraphicFramePr>
                              <a:graphic>
                                <a:graphicData uri="http://schemas.openxmlformats.org/drawingml/2006/picture">
                                  <pic:pic>
                                    <pic:nvPicPr>
                                      <pic:cNvPr id="6" name="image10.png"/>
                                      <pic:cNvPicPr/>
                                    </pic:nvPicPr>
                                    <pic:blipFill>
                                      <a:blip r:embed="rId21" cstate="print"/>
                                      <a:stretch>
                                        <a:fillRect/>
                                      </a:stretch>
                                    </pic:blipFill>
                                    <pic:spPr>
                                      <a:xfrm>
                                        <a:off x="0" y="0"/>
                                        <a:ext cx="753923" cy="588645"/>
                                      </a:xfrm>
                                      <a:prstGeom prst="rect">
                                        <a:avLst/>
                                      </a:prstGeom>
                                    </pic:spPr>
                                  </pic:pic>
                                </a:graphicData>
                              </a:graphic>
                            </wp:inline>
                          </w:drawing>
                        </w:r>
                        <w:r>
                          <w:rPr>
                            <w:rFonts w:ascii="宋体"/>
                            <w:position w:val="-18"/>
                            <w:sz w:val="20"/>
                          </w:rPr>
                        </w:r>
                        <w:r>
                          <w:rPr>
                            <w:rFonts w:ascii="宋体"/>
                            <w:position w:val="-18"/>
                            <w:sz w:val="20"/>
                          </w:rPr>
                          <w:tab/>
                        </w:r>
                        <w:r>
                          <w:rPr>
                            <w:rFonts w:ascii="宋体"/>
                            <w:position w:val="-17"/>
                            <w:sz w:val="20"/>
                          </w:rPr>
                          <w:drawing>
                            <wp:inline distT="0" distB="0" distL="0" distR="0">
                              <wp:extent cx="708452" cy="585215"/>
                              <wp:effectExtent l="0" t="0" r="0" b="0"/>
                              <wp:docPr id="7" name="image11.jpeg" descr=""/>
                              <wp:cNvGraphicFramePr>
                                <a:graphicFrameLocks noChangeAspect="1"/>
                              </wp:cNvGraphicFramePr>
                              <a:graphic>
                                <a:graphicData uri="http://schemas.openxmlformats.org/drawingml/2006/picture">
                                  <pic:pic>
                                    <pic:nvPicPr>
                                      <pic:cNvPr id="8" name="image11.jpeg"/>
                                      <pic:cNvPicPr/>
                                    </pic:nvPicPr>
                                    <pic:blipFill>
                                      <a:blip r:embed="rId22" cstate="print"/>
                                      <a:stretch>
                                        <a:fillRect/>
                                      </a:stretch>
                                    </pic:blipFill>
                                    <pic:spPr>
                                      <a:xfrm>
                                        <a:off x="0" y="0"/>
                                        <a:ext cx="708452" cy="585215"/>
                                      </a:xfrm>
                                      <a:prstGeom prst="rect">
                                        <a:avLst/>
                                      </a:prstGeom>
                                    </pic:spPr>
                                  </pic:pic>
                                </a:graphicData>
                              </a:graphic>
                            </wp:inline>
                          </w:drawing>
                        </w:r>
                        <w:r>
                          <w:rPr>
                            <w:rFonts w:ascii="宋体"/>
                            <w:position w:val="-17"/>
                            <w:sz w:val="20"/>
                          </w:rPr>
                        </w:r>
                      </w:p>
                    </w:tc>
                    <w:tc>
                      <w:tcPr>
                        <w:tcW w:w="1954" w:type="dxa"/>
                        <w:vMerge/>
                        <w:tcBorders>
                          <w:left w:val="single" w:sz="6" w:space="0" w:color="000000"/>
                          <w:bottom w:val="single" w:sz="6" w:space="0" w:color="000000"/>
                          <w:right w:val="single" w:sz="6" w:space="0" w:color="000000"/>
                        </w:tcBorders>
                      </w:tcPr>
                      <w:p>
                        <w:pPr/>
                      </w:p>
                    </w:tc>
                  </w:tr>
                  <w:tr>
                    <w:trPr>
                      <w:trHeight w:val="1675" w:hRule="exact"/>
                    </w:trPr>
                    <w:tc>
                      <w:tcPr>
                        <w:tcW w:w="972" w:type="dxa"/>
                        <w:vMerge/>
                        <w:tcBorders>
                          <w:left w:val="single" w:sz="6" w:space="0" w:color="000000"/>
                          <w:right w:val="single" w:sz="6" w:space="0" w:color="000000"/>
                        </w:tcBorders>
                      </w:tcPr>
                      <w:p>
                        <w:pP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宋体" w:hAnsi="宋体" w:cs="宋体" w:eastAsia="宋体" w:hint="default"/>
                            <w:sz w:val="18"/>
                            <w:szCs w:val="18"/>
                          </w:rPr>
                          <w:t>视觉测量智能终端</w:t>
                        </w:r>
                      </w:p>
                    </w:tc>
                    <w:tc>
                      <w:tcPr>
                        <w:tcW w:w="4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智慧物流、智能制造等</w:t>
                        </w:r>
                      </w:p>
                    </w:tc>
                  </w:tr>
                  <w:tr>
                    <w:trPr>
                      <w:trHeight w:val="1676" w:hRule="exact"/>
                    </w:trPr>
                    <w:tc>
                      <w:tcPr>
                        <w:tcW w:w="972" w:type="dxa"/>
                        <w:vMerge/>
                        <w:tcBorders>
                          <w:left w:val="single" w:sz="6" w:space="0" w:color="000000"/>
                          <w:bottom w:val="single" w:sz="6" w:space="0" w:color="000000"/>
                          <w:right w:val="single" w:sz="6" w:space="0" w:color="000000"/>
                        </w:tcBorders>
                      </w:tcPr>
                      <w:p>
                        <w:pP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超高频</w:t>
                        </w:r>
                        <w:r>
                          <w:rPr>
                            <w:rFonts w:ascii="Times New Roman" w:hAnsi="Times New Roman" w:cs="Times New Roman" w:eastAsia="Times New Roman" w:hint="default"/>
                            <w:sz w:val="18"/>
                            <w:szCs w:val="18"/>
                          </w:rPr>
                          <w:t>RFID</w:t>
                        </w:r>
                        <w:r>
                          <w:rPr>
                            <w:rFonts w:ascii="宋体" w:hAnsi="宋体" w:cs="宋体" w:eastAsia="宋体" w:hint="default"/>
                            <w:sz w:val="18"/>
                            <w:szCs w:val="18"/>
                          </w:rPr>
                          <w:t>读取器</w:t>
                        </w:r>
                      </w:p>
                    </w:tc>
                    <w:tc>
                      <w:tcPr>
                        <w:tcW w:w="4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6"/>
                            <w:szCs w:val="26"/>
                          </w:rPr>
                        </w:pP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314" w:lineRule="auto"/>
                          <w:ind w:left="69" w:right="3" w:hanging="68"/>
                          <w:jc w:val="left"/>
                          <w:rPr>
                            <w:rFonts w:ascii="宋体" w:hAnsi="宋体" w:cs="宋体" w:eastAsia="宋体" w:hint="default"/>
                            <w:sz w:val="18"/>
                            <w:szCs w:val="18"/>
                          </w:rPr>
                        </w:pPr>
                        <w:r>
                          <w:rPr>
                            <w:rFonts w:ascii="宋体" w:hAnsi="宋体" w:cs="宋体" w:eastAsia="宋体" w:hint="default"/>
                            <w:spacing w:val="-5"/>
                            <w:sz w:val="18"/>
                            <w:szCs w:val="18"/>
                          </w:rPr>
                          <w:t>新零售、智慧物流、智能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制造、食品药品溯源等</w:t>
                        </w:r>
                      </w:p>
                    </w:tc>
                  </w:tr>
                </w:tbl>
                <w:p>
                  <w:pPr/>
                </w:p>
              </w:txbxContent>
            </v:textbox>
            <w10:wrap type="none"/>
          </v:shape>
        </w:pict>
      </w:r>
      <w:r>
        <w:rPr/>
        <w:t>、</w:t>
      </w:r>
    </w:p>
    <w:p>
      <w:pPr>
        <w:spacing w:line="240" w:lineRule="auto" w:before="0"/>
        <w:rPr>
          <w:rFonts w:ascii="宋体" w:hAnsi="宋体" w:cs="宋体" w:eastAsia="宋体" w:hint="default"/>
          <w:sz w:val="18"/>
          <w:szCs w:val="18"/>
        </w:rPr>
      </w:pPr>
    </w:p>
    <w:p>
      <w:pPr>
        <w:pStyle w:val="BodyText"/>
        <w:spacing w:line="240" w:lineRule="auto" w:before="153"/>
        <w:ind w:left="0" w:right="1189"/>
        <w:jc w:val="right"/>
      </w:pPr>
      <w:r>
        <w:rPr/>
        <w:pict>
          <v:shape style="position:absolute;margin-left:231.600006pt;margin-top:10.411732pt;width:59.3pt;height:46.3pt;mso-position-horizontal-relative:page;mso-position-vertical-relative:paragraph;z-index:1192" type="#_x0000_t75" stroked="false">
            <v:imagedata r:id="rId21" o:title=""/>
          </v:shape>
        </w:pict>
      </w:r>
      <w:r>
        <w:rPr/>
        <w:pict>
          <v:shape style="position:absolute;margin-left:337.799988pt;margin-top:10.411732pt;width:56.05pt;height:46.3pt;mso-position-horizontal-relative:page;mso-position-vertical-relative:paragraph;z-index:1216" type="#_x0000_t75" stroked="false">
            <v:imagedata r:id="rId22" o:titl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p>
      <w:pPr>
        <w:tabs>
          <w:tab w:pos="6174" w:val="left" w:leader="none"/>
        </w:tabs>
        <w:spacing w:line="1410" w:lineRule="exact"/>
        <w:ind w:left="3054" w:right="0" w:firstLine="0"/>
        <w:rPr>
          <w:rFonts w:ascii="宋体" w:hAnsi="宋体" w:cs="宋体" w:eastAsia="宋体" w:hint="default"/>
          <w:sz w:val="20"/>
          <w:szCs w:val="20"/>
        </w:rPr>
      </w:pPr>
      <w:r>
        <w:rPr>
          <w:rFonts w:ascii="宋体"/>
          <w:position w:val="-27"/>
          <w:sz w:val="20"/>
        </w:rPr>
        <w:drawing>
          <wp:inline distT="0" distB="0" distL="0" distR="0">
            <wp:extent cx="752533" cy="828675"/>
            <wp:effectExtent l="0" t="0" r="0" b="0"/>
            <wp:docPr id="9" name="image12.jpeg" descr=""/>
            <wp:cNvGraphicFramePr>
              <a:graphicFrameLocks noChangeAspect="1"/>
            </wp:cNvGraphicFramePr>
            <a:graphic>
              <a:graphicData uri="http://schemas.openxmlformats.org/drawingml/2006/picture">
                <pic:pic>
                  <pic:nvPicPr>
                    <pic:cNvPr id="10" name="image12.jpeg"/>
                    <pic:cNvPicPr/>
                  </pic:nvPicPr>
                  <pic:blipFill>
                    <a:blip r:embed="rId23" cstate="print"/>
                    <a:stretch>
                      <a:fillRect/>
                    </a:stretch>
                  </pic:blipFill>
                  <pic:spPr>
                    <a:xfrm>
                      <a:off x="0" y="0"/>
                      <a:ext cx="752533" cy="828675"/>
                    </a:xfrm>
                    <a:prstGeom prst="rect">
                      <a:avLst/>
                    </a:prstGeom>
                  </pic:spPr>
                </pic:pic>
              </a:graphicData>
            </a:graphic>
          </wp:inline>
        </w:drawing>
      </w:r>
      <w:r>
        <w:rPr>
          <w:rFonts w:ascii="宋体"/>
          <w:position w:val="-27"/>
          <w:sz w:val="20"/>
        </w:rPr>
      </w:r>
      <w:r>
        <w:rPr>
          <w:rFonts w:ascii="Times New Roman"/>
          <w:spacing w:val="94"/>
          <w:position w:val="-27"/>
          <w:sz w:val="20"/>
        </w:rPr>
        <w:t> </w:t>
      </w:r>
      <w:r>
        <w:rPr>
          <w:rFonts w:ascii="宋体"/>
          <w:spacing w:val="94"/>
          <w:position w:val="-27"/>
          <w:sz w:val="20"/>
        </w:rPr>
        <w:drawing>
          <wp:inline distT="0" distB="0" distL="0" distR="0">
            <wp:extent cx="998781" cy="895350"/>
            <wp:effectExtent l="0" t="0" r="0" b="0"/>
            <wp:docPr id="11" name="image13.jpeg" descr=""/>
            <wp:cNvGraphicFramePr>
              <a:graphicFrameLocks noChangeAspect="1"/>
            </wp:cNvGraphicFramePr>
            <a:graphic>
              <a:graphicData uri="http://schemas.openxmlformats.org/drawingml/2006/picture">
                <pic:pic>
                  <pic:nvPicPr>
                    <pic:cNvPr id="12" name="image13.jpeg"/>
                    <pic:cNvPicPr/>
                  </pic:nvPicPr>
                  <pic:blipFill>
                    <a:blip r:embed="rId24" cstate="print"/>
                    <a:stretch>
                      <a:fillRect/>
                    </a:stretch>
                  </pic:blipFill>
                  <pic:spPr>
                    <a:xfrm>
                      <a:off x="0" y="0"/>
                      <a:ext cx="998781" cy="895350"/>
                    </a:xfrm>
                    <a:prstGeom prst="rect">
                      <a:avLst/>
                    </a:prstGeom>
                  </pic:spPr>
                </pic:pic>
              </a:graphicData>
            </a:graphic>
          </wp:inline>
        </w:drawing>
      </w:r>
      <w:r>
        <w:rPr>
          <w:rFonts w:ascii="宋体"/>
          <w:spacing w:val="94"/>
          <w:position w:val="-27"/>
          <w:sz w:val="20"/>
        </w:rPr>
      </w:r>
      <w:r>
        <w:rPr>
          <w:rFonts w:ascii="宋体"/>
          <w:spacing w:val="94"/>
          <w:position w:val="-27"/>
          <w:sz w:val="20"/>
        </w:rPr>
        <w:tab/>
      </w:r>
      <w:r>
        <w:rPr>
          <w:rFonts w:ascii="宋体"/>
          <w:spacing w:val="94"/>
          <w:position w:val="-27"/>
          <w:sz w:val="20"/>
        </w:rPr>
        <w:drawing>
          <wp:inline distT="0" distB="0" distL="0" distR="0">
            <wp:extent cx="836902" cy="409575"/>
            <wp:effectExtent l="0" t="0" r="0" b="0"/>
            <wp:docPr id="13" name="image14.jpeg" descr=""/>
            <wp:cNvGraphicFramePr>
              <a:graphicFrameLocks noChangeAspect="1"/>
            </wp:cNvGraphicFramePr>
            <a:graphic>
              <a:graphicData uri="http://schemas.openxmlformats.org/drawingml/2006/picture">
                <pic:pic>
                  <pic:nvPicPr>
                    <pic:cNvPr id="14" name="image14.jpeg"/>
                    <pic:cNvPicPr/>
                  </pic:nvPicPr>
                  <pic:blipFill>
                    <a:blip r:embed="rId25" cstate="print"/>
                    <a:stretch>
                      <a:fillRect/>
                    </a:stretch>
                  </pic:blipFill>
                  <pic:spPr>
                    <a:xfrm>
                      <a:off x="0" y="0"/>
                      <a:ext cx="836902" cy="409575"/>
                    </a:xfrm>
                    <a:prstGeom prst="rect">
                      <a:avLst/>
                    </a:prstGeom>
                  </pic:spPr>
                </pic:pic>
              </a:graphicData>
            </a:graphic>
          </wp:inline>
        </w:drawing>
      </w:r>
      <w:r>
        <w:rPr>
          <w:rFonts w:ascii="宋体"/>
          <w:spacing w:val="94"/>
          <w:position w:val="-27"/>
          <w:sz w:val="20"/>
        </w:rPr>
      </w:r>
    </w:p>
    <w:p>
      <w:pPr>
        <w:spacing w:line="240" w:lineRule="auto" w:before="12"/>
        <w:rPr>
          <w:rFonts w:ascii="宋体" w:hAnsi="宋体" w:cs="宋体" w:eastAsia="宋体" w:hint="default"/>
          <w:sz w:val="17"/>
          <w:szCs w:val="17"/>
        </w:rPr>
      </w:pPr>
    </w:p>
    <w:p>
      <w:pPr>
        <w:tabs>
          <w:tab w:pos="4629" w:val="left" w:leader="none"/>
          <w:tab w:pos="5937" w:val="left" w:leader="none"/>
        </w:tabs>
        <w:spacing w:line="1470" w:lineRule="exact"/>
        <w:ind w:left="3270" w:right="0" w:firstLine="0"/>
        <w:rPr>
          <w:rFonts w:ascii="宋体" w:hAnsi="宋体" w:cs="宋体" w:eastAsia="宋体" w:hint="default"/>
          <w:sz w:val="20"/>
          <w:szCs w:val="20"/>
        </w:rPr>
      </w:pPr>
      <w:r>
        <w:rPr>
          <w:rFonts w:ascii="宋体"/>
          <w:position w:val="-26"/>
          <w:sz w:val="20"/>
        </w:rPr>
        <w:drawing>
          <wp:inline distT="0" distB="0" distL="0" distR="0">
            <wp:extent cx="624833" cy="888777"/>
            <wp:effectExtent l="0" t="0" r="0" b="0"/>
            <wp:docPr id="15" name="image15.jpeg" descr=""/>
            <wp:cNvGraphicFramePr>
              <a:graphicFrameLocks noChangeAspect="1"/>
            </wp:cNvGraphicFramePr>
            <a:graphic>
              <a:graphicData uri="http://schemas.openxmlformats.org/drawingml/2006/picture">
                <pic:pic>
                  <pic:nvPicPr>
                    <pic:cNvPr id="16" name="image15.jpeg"/>
                    <pic:cNvPicPr/>
                  </pic:nvPicPr>
                  <pic:blipFill>
                    <a:blip r:embed="rId26" cstate="print"/>
                    <a:stretch>
                      <a:fillRect/>
                    </a:stretch>
                  </pic:blipFill>
                  <pic:spPr>
                    <a:xfrm>
                      <a:off x="0" y="0"/>
                      <a:ext cx="624833" cy="888777"/>
                    </a:xfrm>
                    <a:prstGeom prst="rect">
                      <a:avLst/>
                    </a:prstGeom>
                  </pic:spPr>
                </pic:pic>
              </a:graphicData>
            </a:graphic>
          </wp:inline>
        </w:drawing>
      </w:r>
      <w:r>
        <w:rPr>
          <w:rFonts w:ascii="宋体"/>
          <w:position w:val="-26"/>
          <w:sz w:val="20"/>
        </w:rPr>
      </w:r>
      <w:r>
        <w:rPr>
          <w:rFonts w:ascii="宋体"/>
          <w:position w:val="-26"/>
          <w:sz w:val="20"/>
        </w:rPr>
        <w:tab/>
      </w:r>
      <w:r>
        <w:rPr>
          <w:rFonts w:ascii="宋体"/>
          <w:position w:val="-28"/>
          <w:sz w:val="20"/>
        </w:rPr>
        <w:drawing>
          <wp:inline distT="0" distB="0" distL="0" distR="0">
            <wp:extent cx="599667" cy="933450"/>
            <wp:effectExtent l="0" t="0" r="0" b="0"/>
            <wp:docPr id="17" name="image16.jpeg" descr=""/>
            <wp:cNvGraphicFramePr>
              <a:graphicFrameLocks noChangeAspect="1"/>
            </wp:cNvGraphicFramePr>
            <a:graphic>
              <a:graphicData uri="http://schemas.openxmlformats.org/drawingml/2006/picture">
                <pic:pic>
                  <pic:nvPicPr>
                    <pic:cNvPr id="18" name="image16.jpeg"/>
                    <pic:cNvPicPr/>
                  </pic:nvPicPr>
                  <pic:blipFill>
                    <a:blip r:embed="rId27" cstate="print"/>
                    <a:stretch>
                      <a:fillRect/>
                    </a:stretch>
                  </pic:blipFill>
                  <pic:spPr>
                    <a:xfrm>
                      <a:off x="0" y="0"/>
                      <a:ext cx="599667" cy="933450"/>
                    </a:xfrm>
                    <a:prstGeom prst="rect">
                      <a:avLst/>
                    </a:prstGeom>
                  </pic:spPr>
                </pic:pic>
              </a:graphicData>
            </a:graphic>
          </wp:inline>
        </w:drawing>
      </w:r>
      <w:r>
        <w:rPr>
          <w:rFonts w:ascii="宋体"/>
          <w:position w:val="-28"/>
          <w:sz w:val="20"/>
        </w:rPr>
      </w:r>
      <w:r>
        <w:rPr>
          <w:rFonts w:ascii="宋体"/>
          <w:position w:val="-28"/>
          <w:sz w:val="20"/>
        </w:rPr>
        <w:tab/>
      </w:r>
      <w:r>
        <w:rPr>
          <w:rFonts w:ascii="宋体"/>
          <w:position w:val="-28"/>
          <w:sz w:val="20"/>
        </w:rPr>
        <w:drawing>
          <wp:inline distT="0" distB="0" distL="0" distR="0">
            <wp:extent cx="853002" cy="866965"/>
            <wp:effectExtent l="0" t="0" r="0" b="0"/>
            <wp:docPr id="19" name="image17.jpeg" descr=""/>
            <wp:cNvGraphicFramePr>
              <a:graphicFrameLocks noChangeAspect="1"/>
            </wp:cNvGraphicFramePr>
            <a:graphic>
              <a:graphicData uri="http://schemas.openxmlformats.org/drawingml/2006/picture">
                <pic:pic>
                  <pic:nvPicPr>
                    <pic:cNvPr id="20" name="image17.jpeg"/>
                    <pic:cNvPicPr/>
                  </pic:nvPicPr>
                  <pic:blipFill>
                    <a:blip r:embed="rId28" cstate="print"/>
                    <a:stretch>
                      <a:fillRect/>
                    </a:stretch>
                  </pic:blipFill>
                  <pic:spPr>
                    <a:xfrm>
                      <a:off x="0" y="0"/>
                      <a:ext cx="853002" cy="866965"/>
                    </a:xfrm>
                    <a:prstGeom prst="rect">
                      <a:avLst/>
                    </a:prstGeom>
                  </pic:spPr>
                </pic:pic>
              </a:graphicData>
            </a:graphic>
          </wp:inline>
        </w:drawing>
      </w:r>
      <w:r>
        <w:rPr>
          <w:rFonts w:ascii="宋体"/>
          <w:position w:val="-28"/>
          <w:sz w:val="20"/>
        </w:rPr>
      </w:r>
    </w:p>
    <w:p>
      <w:pPr>
        <w:spacing w:after="0" w:line="1470" w:lineRule="exact"/>
        <w:rPr>
          <w:rFonts w:ascii="宋体" w:hAnsi="宋体" w:cs="宋体" w:eastAsia="宋体" w:hint="default"/>
          <w:sz w:val="20"/>
          <w:szCs w:val="20"/>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95.799988pt;margin-top:362.649994pt;width:54pt;height:66pt;mso-position-horizontal-relative:page;mso-position-vertical-relative:page;z-index:1288" type="#_x0000_t75" stroked="false">
            <v:imagedata r:id="rId29" o:title=""/>
          </v:shape>
        </w:pict>
      </w:r>
    </w:p>
    <w:p>
      <w:pPr>
        <w:spacing w:line="240" w:lineRule="auto" w:before="5"/>
        <w:rPr>
          <w:rFonts w:ascii="Times New Roman" w:hAnsi="Times New Roman" w:cs="Times New Roman" w:eastAsia="Times New Roman" w:hint="default"/>
          <w:sz w:val="12"/>
          <w:szCs w:val="12"/>
        </w:rPr>
      </w:pPr>
    </w:p>
    <w:tbl>
      <w:tblPr>
        <w:tblW w:w="0" w:type="auto"/>
        <w:jc w:val="left"/>
        <w:tblInd w:w="150" w:type="dxa"/>
        <w:tblLayout w:type="fixed"/>
        <w:tblCellMar>
          <w:top w:w="0" w:type="dxa"/>
          <w:left w:w="0" w:type="dxa"/>
          <w:bottom w:w="0" w:type="dxa"/>
          <w:right w:w="0" w:type="dxa"/>
        </w:tblCellMar>
        <w:tblLook w:val="01E0"/>
      </w:tblPr>
      <w:tblGrid>
        <w:gridCol w:w="972"/>
        <w:gridCol w:w="1719"/>
        <w:gridCol w:w="4851"/>
        <w:gridCol w:w="1954"/>
      </w:tblGrid>
      <w:tr>
        <w:trPr>
          <w:trHeight w:val="1988" w:hRule="exact"/>
        </w:trPr>
        <w:tc>
          <w:tcPr>
            <w:tcW w:w="972" w:type="dxa"/>
            <w:tcBorders>
              <w:top w:val="single" w:sz="6" w:space="0" w:color="000000"/>
              <w:left w:val="single" w:sz="6" w:space="0" w:color="000000"/>
              <w:bottom w:val="single" w:sz="6" w:space="0" w:color="000000"/>
              <w:right w:val="single" w:sz="6" w:space="0" w:color="000000"/>
            </w:tcBorders>
          </w:tcPr>
          <w:p>
            <w:pP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人脸识别测温终端</w:t>
            </w:r>
          </w:p>
        </w:tc>
        <w:tc>
          <w:tcPr>
            <w:tcW w:w="4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1670" w:lineRule="exact"/>
              <w:ind w:left="199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2"/>
                <w:sz w:val="20"/>
                <w:szCs w:val="20"/>
              </w:rPr>
              <w:drawing>
                <wp:inline distT="0" distB="0" distL="0" distR="0">
                  <wp:extent cx="539292" cy="1060799"/>
                  <wp:effectExtent l="0" t="0" r="0" b="0"/>
                  <wp:docPr id="21" name="image19.jpeg" descr=""/>
                  <wp:cNvGraphicFramePr>
                    <a:graphicFrameLocks noChangeAspect="1"/>
                  </wp:cNvGraphicFramePr>
                  <a:graphic>
                    <a:graphicData uri="http://schemas.openxmlformats.org/drawingml/2006/picture">
                      <pic:pic>
                        <pic:nvPicPr>
                          <pic:cNvPr id="22" name="image19.jpeg"/>
                          <pic:cNvPicPr/>
                        </pic:nvPicPr>
                        <pic:blipFill>
                          <a:blip r:embed="rId30" cstate="print"/>
                          <a:stretch>
                            <a:fillRect/>
                          </a:stretch>
                        </pic:blipFill>
                        <pic:spPr>
                          <a:xfrm>
                            <a:off x="0" y="0"/>
                            <a:ext cx="539292" cy="1060799"/>
                          </a:xfrm>
                          <a:prstGeom prst="rect">
                            <a:avLst/>
                          </a:prstGeom>
                        </pic:spPr>
                      </pic:pic>
                    </a:graphicData>
                  </a:graphic>
                </wp:inline>
              </w:drawing>
            </w:r>
            <w:r>
              <w:rPr>
                <w:rFonts w:ascii="Times New Roman" w:hAnsi="Times New Roman" w:cs="Times New Roman" w:eastAsia="Times New Roman" w:hint="default"/>
                <w:position w:val="-32"/>
                <w:sz w:val="20"/>
                <w:szCs w:val="20"/>
              </w:rPr>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 w:right="0"/>
              <w:jc w:val="center"/>
              <w:rPr>
                <w:rFonts w:ascii="宋体" w:hAnsi="宋体" w:cs="宋体" w:eastAsia="宋体" w:hint="default"/>
                <w:sz w:val="18"/>
                <w:szCs w:val="18"/>
              </w:rPr>
            </w:pPr>
            <w:r>
              <w:rPr>
                <w:rFonts w:ascii="宋体" w:hAnsi="宋体" w:cs="宋体" w:eastAsia="宋体" w:hint="default"/>
                <w:spacing w:val="-5"/>
                <w:sz w:val="18"/>
                <w:szCs w:val="18"/>
              </w:rPr>
              <w:t>需要进行体温监测、安防</w:t>
            </w:r>
            <w:r>
              <w:rPr>
                <w:rFonts w:ascii="宋体" w:hAnsi="宋体" w:cs="宋体" w:eastAsia="宋体" w:hint="default"/>
                <w:sz w:val="18"/>
                <w:szCs w:val="18"/>
              </w:rPr>
              <w:t> </w:t>
            </w:r>
            <w:r>
              <w:rPr>
                <w:rFonts w:ascii="宋体" w:hAnsi="宋体" w:cs="宋体" w:eastAsia="宋体" w:hint="default"/>
                <w:spacing w:val="-5"/>
                <w:sz w:val="18"/>
                <w:szCs w:val="18"/>
              </w:rPr>
              <w:t>管控、人员管理的各类公</w:t>
            </w:r>
            <w:r>
              <w:rPr>
                <w:rFonts w:ascii="宋体" w:hAnsi="宋体" w:cs="宋体" w:eastAsia="宋体" w:hint="default"/>
                <w:sz w:val="18"/>
                <w:szCs w:val="18"/>
              </w:rPr>
              <w:t> 共场所</w:t>
            </w:r>
          </w:p>
        </w:tc>
      </w:tr>
      <w:tr>
        <w:trPr>
          <w:trHeight w:val="1675" w:hRule="exact"/>
        </w:trPr>
        <w:tc>
          <w:tcPr>
            <w:tcW w:w="97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316" w:lineRule="auto"/>
              <w:ind w:left="209" w:right="27" w:hanging="181"/>
              <w:jc w:val="left"/>
              <w:rPr>
                <w:rFonts w:ascii="宋体" w:hAnsi="宋体" w:cs="宋体" w:eastAsia="宋体" w:hint="default"/>
                <w:sz w:val="18"/>
                <w:szCs w:val="18"/>
              </w:rPr>
            </w:pPr>
            <w:r>
              <w:rPr>
                <w:rFonts w:ascii="宋体" w:hAnsi="宋体" w:cs="宋体" w:eastAsia="宋体" w:hint="default"/>
                <w:sz w:val="18"/>
                <w:szCs w:val="18"/>
              </w:rPr>
              <w:t>智能移动支 付终端</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智能移动</w:t>
            </w:r>
            <w:r>
              <w:rPr>
                <w:rFonts w:ascii="Times New Roman" w:hAnsi="Times New Roman" w:cs="Times New Roman" w:eastAsia="Times New Roman" w:hint="default"/>
                <w:sz w:val="18"/>
                <w:szCs w:val="18"/>
              </w:rPr>
              <w:t>POS</w:t>
            </w:r>
          </w:p>
        </w:tc>
        <w:tc>
          <w:tcPr>
            <w:tcW w:w="4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6"/>
                <w:szCs w:val="6"/>
              </w:rPr>
            </w:pPr>
          </w:p>
          <w:p>
            <w:pPr>
              <w:pStyle w:val="TableParagraph"/>
              <w:tabs>
                <w:tab w:pos="1868" w:val="left" w:leader="none"/>
              </w:tabs>
              <w:spacing w:line="1514" w:lineRule="exact"/>
              <w:ind w:left="577" w:right="0"/>
              <w:jc w:val="left"/>
              <w:rPr>
                <w:rFonts w:ascii="Times New Roman" w:hAnsi="Times New Roman" w:cs="Times New Roman" w:eastAsia="Times New Roman" w:hint="default"/>
                <w:sz w:val="20"/>
                <w:szCs w:val="20"/>
              </w:rPr>
            </w:pPr>
            <w:r>
              <w:rPr>
                <w:rFonts w:ascii="Times New Roman"/>
                <w:position w:val="-29"/>
                <w:sz w:val="20"/>
              </w:rPr>
              <w:drawing>
                <wp:inline distT="0" distB="0" distL="0" distR="0">
                  <wp:extent cx="590787" cy="942975"/>
                  <wp:effectExtent l="0" t="0" r="0" b="0"/>
                  <wp:docPr id="23" name="image20.jpeg" descr=""/>
                  <wp:cNvGraphicFramePr>
                    <a:graphicFrameLocks noChangeAspect="1"/>
                  </wp:cNvGraphicFramePr>
                  <a:graphic>
                    <a:graphicData uri="http://schemas.openxmlformats.org/drawingml/2006/picture">
                      <pic:pic>
                        <pic:nvPicPr>
                          <pic:cNvPr id="24" name="image20.jpeg"/>
                          <pic:cNvPicPr/>
                        </pic:nvPicPr>
                        <pic:blipFill>
                          <a:blip r:embed="rId31" cstate="print"/>
                          <a:stretch>
                            <a:fillRect/>
                          </a:stretch>
                        </pic:blipFill>
                        <pic:spPr>
                          <a:xfrm>
                            <a:off x="0" y="0"/>
                            <a:ext cx="590787" cy="942975"/>
                          </a:xfrm>
                          <a:prstGeom prst="rect">
                            <a:avLst/>
                          </a:prstGeom>
                        </pic:spPr>
                      </pic:pic>
                    </a:graphicData>
                  </a:graphic>
                </wp:inline>
              </w:drawing>
            </w:r>
            <w:r>
              <w:rPr>
                <w:rFonts w:ascii="Times New Roman"/>
                <w:position w:val="-29"/>
                <w:sz w:val="20"/>
              </w:rPr>
            </w:r>
            <w:r>
              <w:rPr>
                <w:rFonts w:ascii="Times New Roman"/>
                <w:position w:val="-29"/>
                <w:sz w:val="20"/>
              </w:rPr>
              <w:tab/>
            </w:r>
            <w:r>
              <w:rPr>
                <w:rFonts w:ascii="Times New Roman"/>
                <w:position w:val="-29"/>
                <w:sz w:val="20"/>
              </w:rPr>
              <w:pict>
                <v:group style="width:134.5pt;height:75.7pt;mso-position-horizontal-relative:char;mso-position-vertical-relative:line" coordorigin="0,0" coordsize="2690,1514">
                  <v:shape style="position:absolute;left:0;top:0;width:1125;height:1514" type="#_x0000_t75" stroked="false">
                    <v:imagedata r:id="rId32" o:title=""/>
                  </v:shape>
                  <v:shape style="position:absolute;left:1125;top:405;width:1565;height:1109" type="#_x0000_t75" stroked="false">
                    <v:imagedata r:id="rId33" o:title=""/>
                  </v:shape>
                </v:group>
              </w:pict>
            </w:r>
            <w:r>
              <w:rPr>
                <w:rFonts w:ascii="Times New Roman"/>
                <w:position w:val="-29"/>
                <w:sz w:val="20"/>
              </w:rPr>
            </w:r>
          </w:p>
        </w:tc>
        <w:tc>
          <w:tcPr>
            <w:tcW w:w="195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316" w:lineRule="auto"/>
              <w:ind w:left="698" w:right="3" w:hanging="697"/>
              <w:jc w:val="left"/>
              <w:rPr>
                <w:rFonts w:ascii="宋体" w:hAnsi="宋体" w:cs="宋体" w:eastAsia="宋体" w:hint="default"/>
                <w:sz w:val="18"/>
                <w:szCs w:val="18"/>
              </w:rPr>
            </w:pPr>
            <w:r>
              <w:rPr>
                <w:rFonts w:ascii="宋体" w:hAnsi="宋体" w:cs="宋体" w:eastAsia="宋体" w:hint="default"/>
                <w:spacing w:val="-5"/>
                <w:sz w:val="18"/>
                <w:szCs w:val="18"/>
              </w:rPr>
              <w:t>金融支付、新零售、智慧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交通等</w:t>
            </w:r>
          </w:p>
        </w:tc>
      </w:tr>
      <w:tr>
        <w:trPr>
          <w:trHeight w:val="1676" w:hRule="exact"/>
        </w:trPr>
        <w:tc>
          <w:tcPr>
            <w:tcW w:w="972" w:type="dxa"/>
            <w:vMerge/>
            <w:tcBorders>
              <w:left w:val="single" w:sz="6" w:space="0" w:color="000000"/>
              <w:right w:val="single" w:sz="6" w:space="0" w:color="000000"/>
            </w:tcBorders>
          </w:tcPr>
          <w:p>
            <w:pP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智能多媒体</w:t>
            </w:r>
            <w:r>
              <w:rPr>
                <w:rFonts w:ascii="Times New Roman" w:hAnsi="Times New Roman" w:cs="Times New Roman" w:eastAsia="Times New Roman" w:hint="default"/>
                <w:sz w:val="18"/>
                <w:szCs w:val="18"/>
              </w:rPr>
              <w:t>POS</w:t>
            </w:r>
          </w:p>
        </w:tc>
        <w:tc>
          <w:tcPr>
            <w:tcW w:w="4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4"/>
                <w:szCs w:val="4"/>
              </w:rPr>
            </w:pPr>
          </w:p>
          <w:p>
            <w:pPr>
              <w:pStyle w:val="TableParagraph"/>
              <w:tabs>
                <w:tab w:pos="2417" w:val="left" w:leader="none"/>
              </w:tabs>
              <w:spacing w:line="1548" w:lineRule="exact"/>
              <w:ind w:left="497" w:right="0"/>
              <w:jc w:val="left"/>
              <w:rPr>
                <w:rFonts w:ascii="Times New Roman" w:hAnsi="Times New Roman" w:cs="Times New Roman" w:eastAsia="Times New Roman" w:hint="default"/>
                <w:sz w:val="20"/>
                <w:szCs w:val="20"/>
              </w:rPr>
            </w:pPr>
            <w:r>
              <w:rPr>
                <w:rFonts w:ascii="Times New Roman"/>
                <w:position w:val="-30"/>
                <w:sz w:val="20"/>
              </w:rPr>
              <w:drawing>
                <wp:inline distT="0" distB="0" distL="0" distR="0">
                  <wp:extent cx="1036319" cy="982979"/>
                  <wp:effectExtent l="0" t="0" r="0" b="0"/>
                  <wp:docPr id="25" name="image23.png" descr=""/>
                  <wp:cNvGraphicFramePr>
                    <a:graphicFrameLocks noChangeAspect="1"/>
                  </wp:cNvGraphicFramePr>
                  <a:graphic>
                    <a:graphicData uri="http://schemas.openxmlformats.org/drawingml/2006/picture">
                      <pic:pic>
                        <pic:nvPicPr>
                          <pic:cNvPr id="26" name="image23.png"/>
                          <pic:cNvPicPr/>
                        </pic:nvPicPr>
                        <pic:blipFill>
                          <a:blip r:embed="rId34" cstate="print"/>
                          <a:stretch>
                            <a:fillRect/>
                          </a:stretch>
                        </pic:blipFill>
                        <pic:spPr>
                          <a:xfrm>
                            <a:off x="0" y="0"/>
                            <a:ext cx="1036319" cy="982979"/>
                          </a:xfrm>
                          <a:prstGeom prst="rect">
                            <a:avLst/>
                          </a:prstGeom>
                        </pic:spPr>
                      </pic:pic>
                    </a:graphicData>
                  </a:graphic>
                </wp:inline>
              </w:drawing>
            </w:r>
            <w:r>
              <w:rPr>
                <w:rFonts w:ascii="Times New Roman"/>
                <w:position w:val="-30"/>
                <w:sz w:val="20"/>
              </w:rPr>
            </w:r>
            <w:r>
              <w:rPr>
                <w:rFonts w:ascii="Times New Roman"/>
                <w:position w:val="-30"/>
                <w:sz w:val="20"/>
              </w:rPr>
              <w:tab/>
            </w:r>
            <w:r>
              <w:rPr>
                <w:rFonts w:ascii="Times New Roman"/>
                <w:position w:val="-30"/>
                <w:sz w:val="20"/>
              </w:rPr>
              <w:drawing>
                <wp:inline distT="0" distB="0" distL="0" distR="0">
                  <wp:extent cx="1218403" cy="971550"/>
                  <wp:effectExtent l="0" t="0" r="0" b="0"/>
                  <wp:docPr id="27" name="image24.jpeg" descr=""/>
                  <wp:cNvGraphicFramePr>
                    <a:graphicFrameLocks noChangeAspect="1"/>
                  </wp:cNvGraphicFramePr>
                  <a:graphic>
                    <a:graphicData uri="http://schemas.openxmlformats.org/drawingml/2006/picture">
                      <pic:pic>
                        <pic:nvPicPr>
                          <pic:cNvPr id="28" name="image24.jpeg"/>
                          <pic:cNvPicPr/>
                        </pic:nvPicPr>
                        <pic:blipFill>
                          <a:blip r:embed="rId35" cstate="print"/>
                          <a:stretch>
                            <a:fillRect/>
                          </a:stretch>
                        </pic:blipFill>
                        <pic:spPr>
                          <a:xfrm>
                            <a:off x="0" y="0"/>
                            <a:ext cx="1218403" cy="971550"/>
                          </a:xfrm>
                          <a:prstGeom prst="rect">
                            <a:avLst/>
                          </a:prstGeom>
                        </pic:spPr>
                      </pic:pic>
                    </a:graphicData>
                  </a:graphic>
                </wp:inline>
              </w:drawing>
            </w:r>
            <w:r>
              <w:rPr>
                <w:rFonts w:ascii="Times New Roman"/>
                <w:position w:val="-30"/>
                <w:sz w:val="20"/>
              </w:rPr>
            </w:r>
          </w:p>
        </w:tc>
        <w:tc>
          <w:tcPr>
            <w:tcW w:w="1954" w:type="dxa"/>
            <w:vMerge/>
            <w:tcBorders>
              <w:left w:val="single" w:sz="6" w:space="0" w:color="000000"/>
              <w:right w:val="single" w:sz="6" w:space="0" w:color="000000"/>
            </w:tcBorders>
          </w:tcPr>
          <w:p>
            <w:pPr/>
          </w:p>
        </w:tc>
      </w:tr>
      <w:tr>
        <w:trPr>
          <w:trHeight w:val="1987" w:hRule="exact"/>
        </w:trPr>
        <w:tc>
          <w:tcPr>
            <w:tcW w:w="972" w:type="dxa"/>
            <w:vMerge/>
            <w:tcBorders>
              <w:left w:val="single" w:sz="6" w:space="0" w:color="000000"/>
              <w:bottom w:val="single" w:sz="6" w:space="0" w:color="000000"/>
              <w:right w:val="single" w:sz="6" w:space="0" w:color="000000"/>
            </w:tcBorders>
          </w:tcPr>
          <w:p>
            <w:pP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二维码支付终端</w:t>
            </w:r>
          </w:p>
        </w:tc>
        <w:tc>
          <w:tcPr>
            <w:tcW w:w="4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tabs>
                <w:tab w:pos="3375" w:val="left" w:leader="none"/>
              </w:tabs>
              <w:spacing w:line="1603" w:lineRule="exact"/>
              <w:ind w:left="517" w:right="0"/>
              <w:jc w:val="left"/>
              <w:rPr>
                <w:rFonts w:ascii="Times New Roman" w:hAnsi="Times New Roman" w:cs="Times New Roman" w:eastAsia="Times New Roman" w:hint="default"/>
                <w:sz w:val="20"/>
                <w:szCs w:val="20"/>
              </w:rPr>
            </w:pPr>
            <w:r>
              <w:rPr>
                <w:rFonts w:ascii="Times New Roman"/>
                <w:position w:val="-31"/>
                <w:sz w:val="20"/>
              </w:rPr>
              <w:drawing>
                <wp:inline distT="0" distB="0" distL="0" distR="0">
                  <wp:extent cx="1000329" cy="901064"/>
                  <wp:effectExtent l="0" t="0" r="0" b="0"/>
                  <wp:docPr id="29" name="image25.png" descr=""/>
                  <wp:cNvGraphicFramePr>
                    <a:graphicFrameLocks noChangeAspect="1"/>
                  </wp:cNvGraphicFramePr>
                  <a:graphic>
                    <a:graphicData uri="http://schemas.openxmlformats.org/drawingml/2006/picture">
                      <pic:pic>
                        <pic:nvPicPr>
                          <pic:cNvPr id="30" name="image25.png"/>
                          <pic:cNvPicPr/>
                        </pic:nvPicPr>
                        <pic:blipFill>
                          <a:blip r:embed="rId36" cstate="print"/>
                          <a:stretch>
                            <a:fillRect/>
                          </a:stretch>
                        </pic:blipFill>
                        <pic:spPr>
                          <a:xfrm>
                            <a:off x="0" y="0"/>
                            <a:ext cx="1000329" cy="901064"/>
                          </a:xfrm>
                          <a:prstGeom prst="rect">
                            <a:avLst/>
                          </a:prstGeom>
                        </pic:spPr>
                      </pic:pic>
                    </a:graphicData>
                  </a:graphic>
                </wp:inline>
              </w:drawing>
            </w:r>
            <w:r>
              <w:rPr>
                <w:rFonts w:ascii="Times New Roman"/>
                <w:position w:val="-31"/>
                <w:sz w:val="20"/>
              </w:rPr>
            </w:r>
            <w:r>
              <w:rPr>
                <w:rFonts w:ascii="Times New Roman"/>
                <w:position w:val="-31"/>
                <w:sz w:val="20"/>
              </w:rPr>
              <w:tab/>
            </w:r>
            <w:r>
              <w:rPr>
                <w:rFonts w:ascii="Times New Roman"/>
                <w:position w:val="-30"/>
                <w:sz w:val="20"/>
              </w:rPr>
              <w:drawing>
                <wp:inline distT="0" distB="0" distL="0" distR="0">
                  <wp:extent cx="600332" cy="1009650"/>
                  <wp:effectExtent l="0" t="0" r="0" b="0"/>
                  <wp:docPr id="31" name="image26.jpeg" descr=""/>
                  <wp:cNvGraphicFramePr>
                    <a:graphicFrameLocks noChangeAspect="1"/>
                  </wp:cNvGraphicFramePr>
                  <a:graphic>
                    <a:graphicData uri="http://schemas.openxmlformats.org/drawingml/2006/picture">
                      <pic:pic>
                        <pic:nvPicPr>
                          <pic:cNvPr id="32" name="image26.jpeg"/>
                          <pic:cNvPicPr/>
                        </pic:nvPicPr>
                        <pic:blipFill>
                          <a:blip r:embed="rId37" cstate="print"/>
                          <a:stretch>
                            <a:fillRect/>
                          </a:stretch>
                        </pic:blipFill>
                        <pic:spPr>
                          <a:xfrm>
                            <a:off x="0" y="0"/>
                            <a:ext cx="600332" cy="1009650"/>
                          </a:xfrm>
                          <a:prstGeom prst="rect">
                            <a:avLst/>
                          </a:prstGeom>
                        </pic:spPr>
                      </pic:pic>
                    </a:graphicData>
                  </a:graphic>
                </wp:inline>
              </w:drawing>
            </w:r>
            <w:r>
              <w:rPr>
                <w:rFonts w:ascii="Times New Roman"/>
                <w:position w:val="-30"/>
                <w:sz w:val="20"/>
              </w:rPr>
            </w:r>
          </w:p>
          <w:p>
            <w:pPr>
              <w:pStyle w:val="TableParagraph"/>
              <w:spacing w:line="240" w:lineRule="auto" w:before="8"/>
              <w:ind w:right="0"/>
              <w:jc w:val="left"/>
              <w:rPr>
                <w:rFonts w:ascii="Times New Roman" w:hAnsi="Times New Roman" w:cs="Times New Roman" w:eastAsia="Times New Roman" w:hint="default"/>
                <w:sz w:val="15"/>
                <w:szCs w:val="15"/>
              </w:rPr>
            </w:pPr>
          </w:p>
        </w:tc>
        <w:tc>
          <w:tcPr>
            <w:tcW w:w="1954" w:type="dxa"/>
            <w:vMerge/>
            <w:tcBorders>
              <w:left w:val="single" w:sz="6" w:space="0" w:color="000000"/>
              <w:bottom w:val="single" w:sz="6" w:space="0" w:color="000000"/>
              <w:right w:val="single" w:sz="6" w:space="0" w:color="000000"/>
            </w:tcBorders>
          </w:tcPr>
          <w:p>
            <w:pPr/>
          </w:p>
        </w:tc>
      </w:tr>
      <w:tr>
        <w:trPr>
          <w:trHeight w:val="1364" w:hRule="exact"/>
        </w:trPr>
        <w:tc>
          <w:tcPr>
            <w:tcW w:w="97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6" w:lineRule="auto"/>
              <w:ind w:left="120" w:right="27" w:hanging="92"/>
              <w:jc w:val="left"/>
              <w:rPr>
                <w:rFonts w:ascii="宋体" w:hAnsi="宋体" w:cs="宋体" w:eastAsia="宋体" w:hint="default"/>
                <w:sz w:val="18"/>
                <w:szCs w:val="18"/>
              </w:rPr>
            </w:pPr>
            <w:r>
              <w:rPr>
                <w:rFonts w:ascii="宋体" w:hAnsi="宋体" w:cs="宋体" w:eastAsia="宋体" w:hint="default"/>
                <w:sz w:val="18"/>
                <w:szCs w:val="18"/>
              </w:rPr>
              <w:t>其他智能终 端及设备</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扫码终端</w:t>
            </w:r>
          </w:p>
        </w:tc>
        <w:tc>
          <w:tcPr>
            <w:tcW w:w="4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6"/>
                <w:szCs w:val="6"/>
              </w:rPr>
            </w:pPr>
          </w:p>
          <w:p>
            <w:pPr>
              <w:pStyle w:val="TableParagraph"/>
              <w:tabs>
                <w:tab w:pos="2105" w:val="left" w:leader="none"/>
                <w:tab w:pos="3185" w:val="left" w:leader="none"/>
              </w:tabs>
              <w:spacing w:line="1192" w:lineRule="exact"/>
              <w:ind w:left="922" w:right="0"/>
              <w:jc w:val="left"/>
              <w:rPr>
                <w:rFonts w:ascii="Times New Roman" w:hAnsi="Times New Roman" w:cs="Times New Roman" w:eastAsia="Times New Roman" w:hint="default"/>
                <w:sz w:val="20"/>
                <w:szCs w:val="20"/>
              </w:rPr>
            </w:pPr>
            <w:r>
              <w:rPr>
                <w:rFonts w:ascii="Times New Roman"/>
                <w:position w:val="-23"/>
                <w:sz w:val="20"/>
              </w:rPr>
              <w:drawing>
                <wp:inline distT="0" distB="0" distL="0" distR="0">
                  <wp:extent cx="453603" cy="717518"/>
                  <wp:effectExtent l="0" t="0" r="0" b="0"/>
                  <wp:docPr id="33" name="image27.png" descr=""/>
                  <wp:cNvGraphicFramePr>
                    <a:graphicFrameLocks noChangeAspect="1"/>
                  </wp:cNvGraphicFramePr>
                  <a:graphic>
                    <a:graphicData uri="http://schemas.openxmlformats.org/drawingml/2006/picture">
                      <pic:pic>
                        <pic:nvPicPr>
                          <pic:cNvPr id="34" name="image27.png"/>
                          <pic:cNvPicPr/>
                        </pic:nvPicPr>
                        <pic:blipFill>
                          <a:blip r:embed="rId38" cstate="print"/>
                          <a:stretch>
                            <a:fillRect/>
                          </a:stretch>
                        </pic:blipFill>
                        <pic:spPr>
                          <a:xfrm>
                            <a:off x="0" y="0"/>
                            <a:ext cx="453603" cy="717518"/>
                          </a:xfrm>
                          <a:prstGeom prst="rect">
                            <a:avLst/>
                          </a:prstGeom>
                        </pic:spPr>
                      </pic:pic>
                    </a:graphicData>
                  </a:graphic>
                </wp:inline>
              </w:drawing>
            </w:r>
            <w:r>
              <w:rPr>
                <w:rFonts w:ascii="Times New Roman"/>
                <w:position w:val="-23"/>
                <w:sz w:val="20"/>
              </w:rPr>
            </w:r>
            <w:r>
              <w:rPr>
                <w:rFonts w:ascii="Times New Roman"/>
                <w:position w:val="-23"/>
                <w:sz w:val="20"/>
              </w:rPr>
              <w:tab/>
            </w:r>
            <w:r>
              <w:rPr>
                <w:rFonts w:ascii="Times New Roman"/>
                <w:position w:val="-22"/>
                <w:sz w:val="20"/>
              </w:rPr>
              <w:drawing>
                <wp:inline distT="0" distB="0" distL="0" distR="0">
                  <wp:extent cx="385726" cy="754379"/>
                  <wp:effectExtent l="0" t="0" r="0" b="0"/>
                  <wp:docPr id="35" name="image28.jpeg" descr=""/>
                  <wp:cNvGraphicFramePr>
                    <a:graphicFrameLocks noChangeAspect="1"/>
                  </wp:cNvGraphicFramePr>
                  <a:graphic>
                    <a:graphicData uri="http://schemas.openxmlformats.org/drawingml/2006/picture">
                      <pic:pic>
                        <pic:nvPicPr>
                          <pic:cNvPr id="36" name="image28.jpeg"/>
                          <pic:cNvPicPr/>
                        </pic:nvPicPr>
                        <pic:blipFill>
                          <a:blip r:embed="rId39" cstate="print"/>
                          <a:stretch>
                            <a:fillRect/>
                          </a:stretch>
                        </pic:blipFill>
                        <pic:spPr>
                          <a:xfrm>
                            <a:off x="0" y="0"/>
                            <a:ext cx="385726" cy="754379"/>
                          </a:xfrm>
                          <a:prstGeom prst="rect">
                            <a:avLst/>
                          </a:prstGeom>
                        </pic:spPr>
                      </pic:pic>
                    </a:graphicData>
                  </a:graphic>
                </wp:inline>
              </w:drawing>
            </w:r>
            <w:r>
              <w:rPr>
                <w:rFonts w:ascii="Times New Roman"/>
                <w:position w:val="-22"/>
                <w:sz w:val="20"/>
              </w:rPr>
            </w:r>
            <w:r>
              <w:rPr>
                <w:rFonts w:ascii="Times New Roman"/>
                <w:position w:val="-22"/>
                <w:sz w:val="20"/>
              </w:rPr>
              <w:tab/>
            </w:r>
            <w:r>
              <w:rPr>
                <w:rFonts w:ascii="Times New Roman"/>
                <w:position w:val="-23"/>
                <w:sz w:val="20"/>
              </w:rPr>
              <w:drawing>
                <wp:inline distT="0" distB="0" distL="0" distR="0">
                  <wp:extent cx="463471" cy="749808"/>
                  <wp:effectExtent l="0" t="0" r="0" b="0"/>
                  <wp:docPr id="37" name="image29.jpeg" descr=""/>
                  <wp:cNvGraphicFramePr>
                    <a:graphicFrameLocks noChangeAspect="1"/>
                  </wp:cNvGraphicFramePr>
                  <a:graphic>
                    <a:graphicData uri="http://schemas.openxmlformats.org/drawingml/2006/picture">
                      <pic:pic>
                        <pic:nvPicPr>
                          <pic:cNvPr id="38" name="image29.jpeg"/>
                          <pic:cNvPicPr/>
                        </pic:nvPicPr>
                        <pic:blipFill>
                          <a:blip r:embed="rId40" cstate="print"/>
                          <a:stretch>
                            <a:fillRect/>
                          </a:stretch>
                        </pic:blipFill>
                        <pic:spPr>
                          <a:xfrm>
                            <a:off x="0" y="0"/>
                            <a:ext cx="463471" cy="749808"/>
                          </a:xfrm>
                          <a:prstGeom prst="rect">
                            <a:avLst/>
                          </a:prstGeom>
                        </pic:spPr>
                      </pic:pic>
                    </a:graphicData>
                  </a:graphic>
                </wp:inline>
              </w:drawing>
            </w:r>
            <w:r>
              <w:rPr>
                <w:rFonts w:ascii="Times New Roman"/>
                <w:position w:val="-23"/>
                <w:sz w:val="20"/>
              </w:rPr>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338" w:right="3" w:hanging="337"/>
              <w:jc w:val="left"/>
              <w:rPr>
                <w:rFonts w:ascii="宋体" w:hAnsi="宋体" w:cs="宋体" w:eastAsia="宋体" w:hint="default"/>
                <w:sz w:val="18"/>
                <w:szCs w:val="18"/>
              </w:rPr>
            </w:pPr>
            <w:r>
              <w:rPr>
                <w:rFonts w:ascii="宋体" w:hAnsi="宋体" w:cs="宋体" w:eastAsia="宋体" w:hint="default"/>
                <w:spacing w:val="-5"/>
                <w:sz w:val="18"/>
                <w:szCs w:val="18"/>
              </w:rPr>
              <w:t>物流快递、零售、生产制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造、仓储运输等</w:t>
            </w:r>
          </w:p>
        </w:tc>
      </w:tr>
      <w:tr>
        <w:trPr>
          <w:trHeight w:val="1673" w:hRule="exact"/>
        </w:trPr>
        <w:tc>
          <w:tcPr>
            <w:tcW w:w="972" w:type="dxa"/>
            <w:vMerge/>
            <w:tcBorders>
              <w:left w:val="single" w:sz="6" w:space="0" w:color="000000"/>
              <w:right w:val="single" w:sz="6" w:space="0" w:color="000000"/>
            </w:tcBorders>
          </w:tcPr>
          <w:p>
            <w:pP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红外测温终端</w:t>
            </w:r>
          </w:p>
        </w:tc>
        <w:tc>
          <w:tcPr>
            <w:tcW w:w="4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1281" w:lineRule="exact"/>
              <w:ind w:left="2029"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
                <w:sz w:val="20"/>
                <w:szCs w:val="20"/>
              </w:rPr>
              <w:drawing>
                <wp:inline distT="0" distB="0" distL="0" distR="0">
                  <wp:extent cx="494374" cy="813815"/>
                  <wp:effectExtent l="0" t="0" r="0" b="0"/>
                  <wp:docPr id="39" name="image30.jpeg" descr=""/>
                  <wp:cNvGraphicFramePr>
                    <a:graphicFrameLocks noChangeAspect="1"/>
                  </wp:cNvGraphicFramePr>
                  <a:graphic>
                    <a:graphicData uri="http://schemas.openxmlformats.org/drawingml/2006/picture">
                      <pic:pic>
                        <pic:nvPicPr>
                          <pic:cNvPr id="40" name="image30.jpeg"/>
                          <pic:cNvPicPr/>
                        </pic:nvPicPr>
                        <pic:blipFill>
                          <a:blip r:embed="rId41" cstate="print"/>
                          <a:stretch>
                            <a:fillRect/>
                          </a:stretch>
                        </pic:blipFill>
                        <pic:spPr>
                          <a:xfrm>
                            <a:off x="0" y="0"/>
                            <a:ext cx="494374" cy="813815"/>
                          </a:xfrm>
                          <a:prstGeom prst="rect">
                            <a:avLst/>
                          </a:prstGeom>
                        </pic:spPr>
                      </pic:pic>
                    </a:graphicData>
                  </a:graphic>
                </wp:inline>
              </w:drawing>
            </w:r>
            <w:r>
              <w:rPr>
                <w:rFonts w:ascii="Times New Roman" w:hAnsi="Times New Roman" w:cs="Times New Roman" w:eastAsia="Times New Roman" w:hint="default"/>
                <w:position w:val="-25"/>
                <w:sz w:val="20"/>
                <w:szCs w:val="20"/>
              </w:rPr>
            </w:r>
          </w:p>
          <w:p>
            <w:pPr>
              <w:pStyle w:val="TableParagraph"/>
              <w:spacing w:line="240" w:lineRule="auto" w:before="7"/>
              <w:ind w:right="0"/>
              <w:jc w:val="left"/>
              <w:rPr>
                <w:rFonts w:ascii="Times New Roman" w:hAnsi="Times New Roman" w:cs="Times New Roman" w:eastAsia="Times New Roman" w:hint="default"/>
                <w:sz w:val="16"/>
                <w:szCs w:val="16"/>
              </w:rPr>
            </w:pP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610" w:right="68" w:hanging="541"/>
              <w:jc w:val="left"/>
              <w:rPr>
                <w:rFonts w:ascii="宋体" w:hAnsi="宋体" w:cs="宋体" w:eastAsia="宋体" w:hint="default"/>
                <w:sz w:val="18"/>
                <w:szCs w:val="18"/>
              </w:rPr>
            </w:pPr>
            <w:r>
              <w:rPr>
                <w:rFonts w:ascii="宋体" w:hAnsi="宋体" w:cs="宋体" w:eastAsia="宋体" w:hint="default"/>
                <w:sz w:val="18"/>
                <w:szCs w:val="18"/>
              </w:rPr>
              <w:t>需进行体温监测的各类 公共场所</w:t>
            </w:r>
          </w:p>
        </w:tc>
      </w:tr>
      <w:tr>
        <w:trPr>
          <w:trHeight w:val="1364" w:hRule="exact"/>
        </w:trPr>
        <w:tc>
          <w:tcPr>
            <w:tcW w:w="972" w:type="dxa"/>
            <w:vMerge/>
            <w:tcBorders>
              <w:left w:val="single" w:sz="6" w:space="0" w:color="000000"/>
              <w:right w:val="single" w:sz="6" w:space="0" w:color="000000"/>
            </w:tcBorders>
          </w:tcPr>
          <w:p>
            <w:pP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便携式标签打印机</w:t>
            </w:r>
          </w:p>
        </w:tc>
        <w:tc>
          <w:tcPr>
            <w:tcW w:w="4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1089" w:lineRule="exact"/>
              <w:ind w:left="260" w:right="0"/>
              <w:jc w:val="left"/>
              <w:rPr>
                <w:rFonts w:ascii="Times New Roman" w:hAnsi="Times New Roman" w:cs="Times New Roman" w:eastAsia="Times New Roman" w:hint="default"/>
                <w:sz w:val="20"/>
                <w:szCs w:val="20"/>
              </w:rPr>
            </w:pPr>
            <w:r>
              <w:rPr>
                <w:rFonts w:ascii="Times New Roman"/>
                <w:position w:val="-20"/>
                <w:sz w:val="20"/>
              </w:rPr>
              <w:drawing>
                <wp:inline distT="0" distB="0" distL="0" distR="0">
                  <wp:extent cx="628649" cy="628650"/>
                  <wp:effectExtent l="0" t="0" r="0" b="0"/>
                  <wp:docPr id="41" name="image31.jpeg" descr=""/>
                  <wp:cNvGraphicFramePr>
                    <a:graphicFrameLocks noChangeAspect="1"/>
                  </wp:cNvGraphicFramePr>
                  <a:graphic>
                    <a:graphicData uri="http://schemas.openxmlformats.org/drawingml/2006/picture">
                      <pic:pic>
                        <pic:nvPicPr>
                          <pic:cNvPr id="42" name="image31.jpeg"/>
                          <pic:cNvPicPr/>
                        </pic:nvPicPr>
                        <pic:blipFill>
                          <a:blip r:embed="rId42" cstate="print"/>
                          <a:stretch>
                            <a:fillRect/>
                          </a:stretch>
                        </pic:blipFill>
                        <pic:spPr>
                          <a:xfrm>
                            <a:off x="0" y="0"/>
                            <a:ext cx="628649" cy="628650"/>
                          </a:xfrm>
                          <a:prstGeom prst="rect">
                            <a:avLst/>
                          </a:prstGeom>
                        </pic:spPr>
                      </pic:pic>
                    </a:graphicData>
                  </a:graphic>
                </wp:inline>
              </w:drawing>
            </w:r>
            <w:r>
              <w:rPr>
                <w:rFonts w:ascii="Times New Roman"/>
                <w:position w:val="-20"/>
                <w:sz w:val="20"/>
              </w:rPr>
            </w:r>
            <w:r>
              <w:rPr>
                <w:rFonts w:ascii="Times New Roman"/>
                <w:spacing w:val="23"/>
                <w:position w:val="-20"/>
                <w:sz w:val="20"/>
              </w:rPr>
              <w:t> </w:t>
            </w:r>
            <w:r>
              <w:rPr>
                <w:rFonts w:ascii="Times New Roman"/>
                <w:spacing w:val="23"/>
                <w:position w:val="-21"/>
                <w:sz w:val="20"/>
              </w:rPr>
              <w:drawing>
                <wp:inline distT="0" distB="0" distL="0" distR="0">
                  <wp:extent cx="833315" cy="590931"/>
                  <wp:effectExtent l="0" t="0" r="0" b="0"/>
                  <wp:docPr id="43" name="image32.jpeg" descr=""/>
                  <wp:cNvGraphicFramePr>
                    <a:graphicFrameLocks noChangeAspect="1"/>
                  </wp:cNvGraphicFramePr>
                  <a:graphic>
                    <a:graphicData uri="http://schemas.openxmlformats.org/drawingml/2006/picture">
                      <pic:pic>
                        <pic:nvPicPr>
                          <pic:cNvPr id="44" name="image32.jpeg"/>
                          <pic:cNvPicPr/>
                        </pic:nvPicPr>
                        <pic:blipFill>
                          <a:blip r:embed="rId43" cstate="print"/>
                          <a:stretch>
                            <a:fillRect/>
                          </a:stretch>
                        </pic:blipFill>
                        <pic:spPr>
                          <a:xfrm>
                            <a:off x="0" y="0"/>
                            <a:ext cx="833315" cy="590931"/>
                          </a:xfrm>
                          <a:prstGeom prst="rect">
                            <a:avLst/>
                          </a:prstGeom>
                        </pic:spPr>
                      </pic:pic>
                    </a:graphicData>
                  </a:graphic>
                </wp:inline>
              </w:drawing>
            </w:r>
            <w:r>
              <w:rPr>
                <w:rFonts w:ascii="Times New Roman"/>
                <w:spacing w:val="23"/>
                <w:position w:val="-21"/>
                <w:sz w:val="20"/>
              </w:rPr>
            </w:r>
            <w:r>
              <w:rPr>
                <w:rFonts w:ascii="Times New Roman"/>
                <w:spacing w:val="12"/>
                <w:position w:val="-21"/>
                <w:sz w:val="20"/>
              </w:rPr>
              <w:t> </w:t>
            </w:r>
            <w:r>
              <w:rPr>
                <w:rFonts w:ascii="Times New Roman"/>
                <w:spacing w:val="12"/>
                <w:position w:val="-21"/>
                <w:sz w:val="20"/>
              </w:rPr>
              <w:drawing>
                <wp:inline distT="0" distB="0" distL="0" distR="0">
                  <wp:extent cx="580370" cy="632840"/>
                  <wp:effectExtent l="0" t="0" r="0" b="0"/>
                  <wp:docPr id="45" name="image33.jpeg" descr=""/>
                  <wp:cNvGraphicFramePr>
                    <a:graphicFrameLocks noChangeAspect="1"/>
                  </wp:cNvGraphicFramePr>
                  <a:graphic>
                    <a:graphicData uri="http://schemas.openxmlformats.org/drawingml/2006/picture">
                      <pic:pic>
                        <pic:nvPicPr>
                          <pic:cNvPr id="46" name="image33.jpeg"/>
                          <pic:cNvPicPr/>
                        </pic:nvPicPr>
                        <pic:blipFill>
                          <a:blip r:embed="rId44" cstate="print"/>
                          <a:stretch>
                            <a:fillRect/>
                          </a:stretch>
                        </pic:blipFill>
                        <pic:spPr>
                          <a:xfrm>
                            <a:off x="0" y="0"/>
                            <a:ext cx="580370" cy="632840"/>
                          </a:xfrm>
                          <a:prstGeom prst="rect">
                            <a:avLst/>
                          </a:prstGeom>
                        </pic:spPr>
                      </pic:pic>
                    </a:graphicData>
                  </a:graphic>
                </wp:inline>
              </w:drawing>
            </w:r>
            <w:r>
              <w:rPr>
                <w:rFonts w:ascii="Times New Roman"/>
                <w:spacing w:val="12"/>
                <w:position w:val="-21"/>
                <w:sz w:val="20"/>
              </w:rPr>
            </w:r>
            <w:r>
              <w:rPr>
                <w:rFonts w:ascii="Times New Roman"/>
                <w:spacing w:val="15"/>
                <w:position w:val="-21"/>
                <w:sz w:val="20"/>
              </w:rPr>
              <w:t> </w:t>
            </w:r>
            <w:r>
              <w:rPr>
                <w:rFonts w:ascii="Times New Roman"/>
                <w:spacing w:val="15"/>
                <w:position w:val="-21"/>
                <w:sz w:val="20"/>
              </w:rPr>
              <w:drawing>
                <wp:inline distT="0" distB="0" distL="0" distR="0">
                  <wp:extent cx="574981" cy="691514"/>
                  <wp:effectExtent l="0" t="0" r="0" b="0"/>
                  <wp:docPr id="47" name="image34.jpeg" descr=""/>
                  <wp:cNvGraphicFramePr>
                    <a:graphicFrameLocks noChangeAspect="1"/>
                  </wp:cNvGraphicFramePr>
                  <a:graphic>
                    <a:graphicData uri="http://schemas.openxmlformats.org/drawingml/2006/picture">
                      <pic:pic>
                        <pic:nvPicPr>
                          <pic:cNvPr id="48" name="image34.jpeg"/>
                          <pic:cNvPicPr/>
                        </pic:nvPicPr>
                        <pic:blipFill>
                          <a:blip r:embed="rId45" cstate="print"/>
                          <a:stretch>
                            <a:fillRect/>
                          </a:stretch>
                        </pic:blipFill>
                        <pic:spPr>
                          <a:xfrm>
                            <a:off x="0" y="0"/>
                            <a:ext cx="574981" cy="691514"/>
                          </a:xfrm>
                          <a:prstGeom prst="rect">
                            <a:avLst/>
                          </a:prstGeom>
                        </pic:spPr>
                      </pic:pic>
                    </a:graphicData>
                  </a:graphic>
                </wp:inline>
              </w:drawing>
            </w:r>
            <w:r>
              <w:rPr>
                <w:rFonts w:ascii="Times New Roman"/>
                <w:spacing w:val="15"/>
                <w:position w:val="-21"/>
                <w:sz w:val="20"/>
              </w:rPr>
            </w:r>
          </w:p>
        </w:tc>
        <w:tc>
          <w:tcPr>
            <w:tcW w:w="195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4" w:lineRule="auto"/>
              <w:ind w:left="610" w:right="3" w:hanging="608"/>
              <w:jc w:val="left"/>
              <w:rPr>
                <w:rFonts w:ascii="宋体" w:hAnsi="宋体" w:cs="宋体" w:eastAsia="宋体" w:hint="default"/>
                <w:sz w:val="18"/>
                <w:szCs w:val="18"/>
              </w:rPr>
            </w:pPr>
            <w:r>
              <w:rPr>
                <w:rFonts w:ascii="宋体" w:hAnsi="宋体" w:cs="宋体" w:eastAsia="宋体" w:hint="default"/>
                <w:spacing w:val="-5"/>
                <w:sz w:val="18"/>
                <w:szCs w:val="18"/>
              </w:rPr>
              <w:t>智慧城市、智慧交通、物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流电商等</w:t>
            </w:r>
          </w:p>
        </w:tc>
      </w:tr>
      <w:tr>
        <w:trPr>
          <w:trHeight w:val="1678" w:hRule="exact"/>
        </w:trPr>
        <w:tc>
          <w:tcPr>
            <w:tcW w:w="972" w:type="dxa"/>
            <w:vMerge/>
            <w:tcBorders>
              <w:left w:val="single" w:sz="6" w:space="0" w:color="000000"/>
              <w:bottom w:val="single" w:sz="6" w:space="0" w:color="000000"/>
              <w:right w:val="single" w:sz="6" w:space="0" w:color="000000"/>
            </w:tcBorders>
          </w:tcPr>
          <w:p>
            <w:pP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智能移动税控机</w:t>
            </w:r>
          </w:p>
        </w:tc>
        <w:tc>
          <w:tcPr>
            <w:tcW w:w="4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8"/>
                <w:szCs w:val="8"/>
              </w:rPr>
            </w:pPr>
          </w:p>
          <w:p>
            <w:pPr>
              <w:pStyle w:val="TableParagraph"/>
              <w:spacing w:line="1468" w:lineRule="exact"/>
              <w:ind w:left="187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8"/>
                <w:sz w:val="20"/>
                <w:szCs w:val="20"/>
              </w:rPr>
              <w:drawing>
                <wp:inline distT="0" distB="0" distL="0" distR="0">
                  <wp:extent cx="697594" cy="932688"/>
                  <wp:effectExtent l="0" t="0" r="0" b="0"/>
                  <wp:docPr id="49" name="image35.png" descr=""/>
                  <wp:cNvGraphicFramePr>
                    <a:graphicFrameLocks noChangeAspect="1"/>
                  </wp:cNvGraphicFramePr>
                  <a:graphic>
                    <a:graphicData uri="http://schemas.openxmlformats.org/drawingml/2006/picture">
                      <pic:pic>
                        <pic:nvPicPr>
                          <pic:cNvPr id="50" name="image35.png"/>
                          <pic:cNvPicPr/>
                        </pic:nvPicPr>
                        <pic:blipFill>
                          <a:blip r:embed="rId46" cstate="print"/>
                          <a:stretch>
                            <a:fillRect/>
                          </a:stretch>
                        </pic:blipFill>
                        <pic:spPr>
                          <a:xfrm>
                            <a:off x="0" y="0"/>
                            <a:ext cx="697594" cy="932688"/>
                          </a:xfrm>
                          <a:prstGeom prst="rect">
                            <a:avLst/>
                          </a:prstGeom>
                        </pic:spPr>
                      </pic:pic>
                    </a:graphicData>
                  </a:graphic>
                </wp:inline>
              </w:drawing>
            </w:r>
            <w:r>
              <w:rPr>
                <w:rFonts w:ascii="Times New Roman" w:hAnsi="Times New Roman" w:cs="Times New Roman" w:eastAsia="Times New Roman" w:hint="default"/>
                <w:position w:val="-28"/>
                <w:sz w:val="20"/>
                <w:szCs w:val="20"/>
              </w:rPr>
            </w:r>
          </w:p>
        </w:tc>
        <w:tc>
          <w:tcPr>
            <w:tcW w:w="1954" w:type="dxa"/>
            <w:vMerge/>
            <w:tcBorders>
              <w:left w:val="single" w:sz="6" w:space="0" w:color="000000"/>
              <w:bottom w:val="single" w:sz="6" w:space="0" w:color="000000"/>
              <w:right w:val="single" w:sz="6"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50" w:type="dxa"/>
        <w:tblLayout w:type="fixed"/>
        <w:tblCellMar>
          <w:top w:w="0" w:type="dxa"/>
          <w:left w:w="0" w:type="dxa"/>
          <w:bottom w:w="0" w:type="dxa"/>
          <w:right w:w="0" w:type="dxa"/>
        </w:tblCellMar>
        <w:tblLook w:val="01E0"/>
      </w:tblPr>
      <w:tblGrid>
        <w:gridCol w:w="972"/>
        <w:gridCol w:w="1719"/>
        <w:gridCol w:w="4851"/>
        <w:gridCol w:w="1954"/>
      </w:tblGrid>
      <w:tr>
        <w:trPr>
          <w:trHeight w:val="2300" w:hRule="exact"/>
        </w:trPr>
        <w:tc>
          <w:tcPr>
            <w:tcW w:w="972" w:type="dxa"/>
            <w:vMerge w:val="restart"/>
            <w:tcBorders>
              <w:top w:val="single" w:sz="6" w:space="0" w:color="000000"/>
              <w:left w:val="single" w:sz="6" w:space="0" w:color="000000"/>
              <w:right w:val="single" w:sz="6" w:space="0" w:color="000000"/>
            </w:tcBorders>
          </w:tcPr>
          <w:p>
            <w:pP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智能仓库机器人</w:t>
            </w:r>
          </w:p>
        </w:tc>
        <w:tc>
          <w:tcPr>
            <w:tcW w:w="4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6"/>
                <w:szCs w:val="6"/>
              </w:rPr>
            </w:pPr>
          </w:p>
          <w:p>
            <w:pPr>
              <w:pStyle w:val="TableParagraph"/>
              <w:spacing w:line="2139" w:lineRule="exact"/>
              <w:ind w:left="92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2"/>
                <w:sz w:val="20"/>
                <w:szCs w:val="20"/>
              </w:rPr>
              <w:drawing>
                <wp:inline distT="0" distB="0" distL="0" distR="0">
                  <wp:extent cx="1901826" cy="1358265"/>
                  <wp:effectExtent l="0" t="0" r="0" b="0"/>
                  <wp:docPr id="51" name="image36.png" descr=""/>
                  <wp:cNvGraphicFramePr>
                    <a:graphicFrameLocks noChangeAspect="1"/>
                  </wp:cNvGraphicFramePr>
                  <a:graphic>
                    <a:graphicData uri="http://schemas.openxmlformats.org/drawingml/2006/picture">
                      <pic:pic>
                        <pic:nvPicPr>
                          <pic:cNvPr id="52" name="image36.png"/>
                          <pic:cNvPicPr/>
                        </pic:nvPicPr>
                        <pic:blipFill>
                          <a:blip r:embed="rId47" cstate="print"/>
                          <a:stretch>
                            <a:fillRect/>
                          </a:stretch>
                        </pic:blipFill>
                        <pic:spPr>
                          <a:xfrm>
                            <a:off x="0" y="0"/>
                            <a:ext cx="1901826" cy="1358265"/>
                          </a:xfrm>
                          <a:prstGeom prst="rect">
                            <a:avLst/>
                          </a:prstGeom>
                        </pic:spPr>
                      </pic:pic>
                    </a:graphicData>
                  </a:graphic>
                </wp:inline>
              </w:drawing>
            </w:r>
            <w:r>
              <w:rPr>
                <w:rFonts w:ascii="Times New Roman" w:hAnsi="Times New Roman" w:cs="Times New Roman" w:eastAsia="Times New Roman" w:hint="default"/>
                <w:position w:val="-42"/>
                <w:sz w:val="20"/>
                <w:szCs w:val="20"/>
              </w:rPr>
            </w:r>
          </w:p>
        </w:tc>
        <w:tc>
          <w:tcPr>
            <w:tcW w:w="195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智能仓储等</w:t>
            </w:r>
          </w:p>
        </w:tc>
      </w:tr>
      <w:tr>
        <w:trPr>
          <w:trHeight w:val="1676" w:hRule="exact"/>
        </w:trPr>
        <w:tc>
          <w:tcPr>
            <w:tcW w:w="972" w:type="dxa"/>
            <w:vMerge/>
            <w:tcBorders>
              <w:left w:val="single" w:sz="6" w:space="0" w:color="000000"/>
              <w:right w:val="single" w:sz="6" w:space="0" w:color="000000"/>
            </w:tcBorders>
          </w:tcPr>
          <w:p>
            <w:pP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智能立体仓库</w:t>
            </w:r>
          </w:p>
        </w:tc>
        <w:tc>
          <w:tcPr>
            <w:tcW w:w="4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1"/>
                <w:szCs w:val="11"/>
              </w:rPr>
            </w:pPr>
          </w:p>
          <w:p>
            <w:pPr>
              <w:pStyle w:val="TableParagraph"/>
              <w:spacing w:line="1392" w:lineRule="exact"/>
              <w:ind w:left="92" w:right="0"/>
              <w:jc w:val="left"/>
              <w:rPr>
                <w:rFonts w:ascii="Times New Roman" w:hAnsi="Times New Roman" w:cs="Times New Roman" w:eastAsia="Times New Roman" w:hint="default"/>
                <w:sz w:val="20"/>
                <w:szCs w:val="20"/>
              </w:rPr>
            </w:pPr>
            <w:r>
              <w:rPr>
                <w:rFonts w:ascii="Times New Roman"/>
                <w:position w:val="-27"/>
                <w:sz w:val="20"/>
              </w:rPr>
              <w:drawing>
                <wp:inline distT="0" distB="0" distL="0" distR="0">
                  <wp:extent cx="1542414" cy="883920"/>
                  <wp:effectExtent l="0" t="0" r="0" b="0"/>
                  <wp:docPr id="53" name="image37.jpeg" descr=""/>
                  <wp:cNvGraphicFramePr>
                    <a:graphicFrameLocks noChangeAspect="1"/>
                  </wp:cNvGraphicFramePr>
                  <a:graphic>
                    <a:graphicData uri="http://schemas.openxmlformats.org/drawingml/2006/picture">
                      <pic:pic>
                        <pic:nvPicPr>
                          <pic:cNvPr id="54" name="image37.jpeg"/>
                          <pic:cNvPicPr/>
                        </pic:nvPicPr>
                        <pic:blipFill>
                          <a:blip r:embed="rId48" cstate="print"/>
                          <a:stretch>
                            <a:fillRect/>
                          </a:stretch>
                        </pic:blipFill>
                        <pic:spPr>
                          <a:xfrm>
                            <a:off x="0" y="0"/>
                            <a:ext cx="1542414" cy="883920"/>
                          </a:xfrm>
                          <a:prstGeom prst="rect">
                            <a:avLst/>
                          </a:prstGeom>
                        </pic:spPr>
                      </pic:pic>
                    </a:graphicData>
                  </a:graphic>
                </wp:inline>
              </w:drawing>
            </w:r>
            <w:r>
              <w:rPr>
                <w:rFonts w:ascii="Times New Roman"/>
                <w:position w:val="-27"/>
                <w:sz w:val="20"/>
              </w:rPr>
            </w:r>
            <w:r>
              <w:rPr>
                <w:rFonts w:ascii="Times New Roman"/>
                <w:spacing w:val="41"/>
                <w:position w:val="-27"/>
                <w:sz w:val="20"/>
              </w:rPr>
              <w:t> </w:t>
            </w:r>
            <w:r>
              <w:rPr>
                <w:rFonts w:ascii="Times New Roman"/>
                <w:spacing w:val="41"/>
                <w:position w:val="-27"/>
                <w:sz w:val="20"/>
              </w:rPr>
              <w:drawing>
                <wp:inline distT="0" distB="0" distL="0" distR="0">
                  <wp:extent cx="1353184" cy="883920"/>
                  <wp:effectExtent l="0" t="0" r="0" b="0"/>
                  <wp:docPr id="55" name="image38.jpeg" descr=""/>
                  <wp:cNvGraphicFramePr>
                    <a:graphicFrameLocks noChangeAspect="1"/>
                  </wp:cNvGraphicFramePr>
                  <a:graphic>
                    <a:graphicData uri="http://schemas.openxmlformats.org/drawingml/2006/picture">
                      <pic:pic>
                        <pic:nvPicPr>
                          <pic:cNvPr id="56" name="image38.jpeg"/>
                          <pic:cNvPicPr/>
                        </pic:nvPicPr>
                        <pic:blipFill>
                          <a:blip r:embed="rId49" cstate="print"/>
                          <a:stretch>
                            <a:fillRect/>
                          </a:stretch>
                        </pic:blipFill>
                        <pic:spPr>
                          <a:xfrm>
                            <a:off x="0" y="0"/>
                            <a:ext cx="1353184" cy="883920"/>
                          </a:xfrm>
                          <a:prstGeom prst="rect">
                            <a:avLst/>
                          </a:prstGeom>
                        </pic:spPr>
                      </pic:pic>
                    </a:graphicData>
                  </a:graphic>
                </wp:inline>
              </w:drawing>
            </w:r>
            <w:r>
              <w:rPr>
                <w:rFonts w:ascii="Times New Roman"/>
                <w:spacing w:val="41"/>
                <w:position w:val="-27"/>
                <w:sz w:val="20"/>
              </w:rPr>
            </w:r>
          </w:p>
        </w:tc>
        <w:tc>
          <w:tcPr>
            <w:tcW w:w="1954" w:type="dxa"/>
            <w:vMerge/>
            <w:tcBorders>
              <w:left w:val="single" w:sz="6" w:space="0" w:color="000000"/>
              <w:bottom w:val="single" w:sz="6" w:space="0" w:color="000000"/>
              <w:right w:val="single" w:sz="6" w:space="0" w:color="000000"/>
            </w:tcBorders>
          </w:tcPr>
          <w:p>
            <w:pPr/>
          </w:p>
        </w:tc>
      </w:tr>
      <w:tr>
        <w:trPr>
          <w:trHeight w:val="1675" w:hRule="exact"/>
        </w:trPr>
        <w:tc>
          <w:tcPr>
            <w:tcW w:w="972" w:type="dxa"/>
            <w:vMerge/>
            <w:tcBorders>
              <w:left w:val="single" w:sz="6" w:space="0" w:color="000000"/>
              <w:right w:val="single" w:sz="6" w:space="0" w:color="000000"/>
            </w:tcBorders>
          </w:tcPr>
          <w:p>
            <w:pP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便携式称重仪</w:t>
            </w:r>
          </w:p>
        </w:tc>
        <w:tc>
          <w:tcPr>
            <w:tcW w:w="4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1320" w:lineRule="exact"/>
              <w:ind w:left="144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
                <w:sz w:val="20"/>
                <w:szCs w:val="20"/>
              </w:rPr>
              <w:drawing>
                <wp:inline distT="0" distB="0" distL="0" distR="0">
                  <wp:extent cx="1239415" cy="838390"/>
                  <wp:effectExtent l="0" t="0" r="0" b="0"/>
                  <wp:docPr id="57" name="image39.png" descr=""/>
                  <wp:cNvGraphicFramePr>
                    <a:graphicFrameLocks noChangeAspect="1"/>
                  </wp:cNvGraphicFramePr>
                  <a:graphic>
                    <a:graphicData uri="http://schemas.openxmlformats.org/drawingml/2006/picture">
                      <pic:pic>
                        <pic:nvPicPr>
                          <pic:cNvPr id="58" name="image39.png"/>
                          <pic:cNvPicPr/>
                        </pic:nvPicPr>
                        <pic:blipFill>
                          <a:blip r:embed="rId50" cstate="print"/>
                          <a:stretch>
                            <a:fillRect/>
                          </a:stretch>
                        </pic:blipFill>
                        <pic:spPr>
                          <a:xfrm>
                            <a:off x="0" y="0"/>
                            <a:ext cx="1239415" cy="838390"/>
                          </a:xfrm>
                          <a:prstGeom prst="rect">
                            <a:avLst/>
                          </a:prstGeom>
                        </pic:spPr>
                      </pic:pic>
                    </a:graphicData>
                  </a:graphic>
                </wp:inline>
              </w:drawing>
            </w:r>
            <w:r>
              <w:rPr>
                <w:rFonts w:ascii="Times New Roman" w:hAnsi="Times New Roman" w:cs="Times New Roman" w:eastAsia="Times New Roman" w:hint="default"/>
                <w:position w:val="-25"/>
                <w:sz w:val="20"/>
                <w:szCs w:val="20"/>
              </w:rPr>
            </w:r>
          </w:p>
        </w:tc>
        <w:tc>
          <w:tcPr>
            <w:tcW w:w="195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智慧物流等</w:t>
            </w:r>
          </w:p>
        </w:tc>
      </w:tr>
      <w:tr>
        <w:trPr>
          <w:trHeight w:val="2312" w:hRule="exact"/>
        </w:trPr>
        <w:tc>
          <w:tcPr>
            <w:tcW w:w="972" w:type="dxa"/>
            <w:vMerge/>
            <w:tcBorders>
              <w:left w:val="single" w:sz="6" w:space="0" w:color="000000"/>
              <w:bottom w:val="single" w:sz="6" w:space="0" w:color="000000"/>
              <w:right w:val="single" w:sz="6" w:space="0" w:color="000000"/>
            </w:tcBorders>
          </w:tcPr>
          <w:p>
            <w:pP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智能物流一体机</w:t>
            </w:r>
          </w:p>
        </w:tc>
        <w:tc>
          <w:tcPr>
            <w:tcW w:w="4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1864" w:lineRule="exact"/>
              <w:ind w:left="201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6"/>
                <w:sz w:val="20"/>
                <w:szCs w:val="20"/>
              </w:rPr>
              <w:drawing>
                <wp:inline distT="0" distB="0" distL="0" distR="0">
                  <wp:extent cx="508371" cy="1183671"/>
                  <wp:effectExtent l="0" t="0" r="0" b="0"/>
                  <wp:docPr id="59" name="image40.jpeg" descr=""/>
                  <wp:cNvGraphicFramePr>
                    <a:graphicFrameLocks noChangeAspect="1"/>
                  </wp:cNvGraphicFramePr>
                  <a:graphic>
                    <a:graphicData uri="http://schemas.openxmlformats.org/drawingml/2006/picture">
                      <pic:pic>
                        <pic:nvPicPr>
                          <pic:cNvPr id="60" name="image40.jpeg"/>
                          <pic:cNvPicPr/>
                        </pic:nvPicPr>
                        <pic:blipFill>
                          <a:blip r:embed="rId51" cstate="print"/>
                          <a:stretch>
                            <a:fillRect/>
                          </a:stretch>
                        </pic:blipFill>
                        <pic:spPr>
                          <a:xfrm>
                            <a:off x="0" y="0"/>
                            <a:ext cx="508371" cy="1183671"/>
                          </a:xfrm>
                          <a:prstGeom prst="rect">
                            <a:avLst/>
                          </a:prstGeom>
                        </pic:spPr>
                      </pic:pic>
                    </a:graphicData>
                  </a:graphic>
                </wp:inline>
              </w:drawing>
            </w:r>
            <w:r>
              <w:rPr>
                <w:rFonts w:ascii="Times New Roman" w:hAnsi="Times New Roman" w:cs="Times New Roman" w:eastAsia="Times New Roman" w:hint="default"/>
                <w:position w:val="-36"/>
                <w:sz w:val="20"/>
                <w:szCs w:val="20"/>
              </w:rPr>
            </w:r>
          </w:p>
          <w:p>
            <w:pPr>
              <w:pStyle w:val="TableParagraph"/>
              <w:spacing w:line="240" w:lineRule="auto" w:before="10"/>
              <w:ind w:right="0"/>
              <w:jc w:val="left"/>
              <w:rPr>
                <w:rFonts w:ascii="Times New Roman" w:hAnsi="Times New Roman" w:cs="Times New Roman" w:eastAsia="Times New Roman" w:hint="default"/>
                <w:sz w:val="19"/>
                <w:szCs w:val="19"/>
              </w:rPr>
            </w:pPr>
          </w:p>
        </w:tc>
        <w:tc>
          <w:tcPr>
            <w:tcW w:w="1954" w:type="dxa"/>
            <w:vMerge/>
            <w:tcBorders>
              <w:left w:val="single" w:sz="6" w:space="0" w:color="000000"/>
              <w:bottom w:val="single" w:sz="6" w:space="0" w:color="000000"/>
              <w:right w:val="single" w:sz="6" w:space="0" w:color="000000"/>
            </w:tcBorders>
          </w:tcPr>
          <w:p>
            <w:pPr/>
          </w:p>
        </w:tc>
      </w:tr>
      <w:tr>
        <w:trPr>
          <w:trHeight w:val="415" w:hRule="exact"/>
        </w:trPr>
        <w:tc>
          <w:tcPr>
            <w:tcW w:w="2691"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8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功能概述</w:t>
            </w:r>
          </w:p>
        </w:tc>
        <w:tc>
          <w:tcPr>
            <w:tcW w:w="19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6"/>
              <w:ind w:left="223" w:right="0"/>
              <w:jc w:val="left"/>
              <w:rPr>
                <w:rFonts w:ascii="宋体" w:hAnsi="宋体" w:cs="宋体" w:eastAsia="宋体" w:hint="default"/>
                <w:sz w:val="18"/>
                <w:szCs w:val="18"/>
              </w:rPr>
            </w:pPr>
            <w:r>
              <w:rPr>
                <w:rFonts w:ascii="宋体" w:hAnsi="宋体" w:cs="宋体" w:eastAsia="宋体" w:hint="default"/>
                <w:sz w:val="18"/>
                <w:szCs w:val="18"/>
              </w:rPr>
              <w:t>主要应用行业</w:t>
            </w:r>
            <w:r>
              <w:rPr>
                <w:rFonts w:ascii="Times New Roman" w:hAnsi="Times New Roman" w:cs="Times New Roman" w:eastAsia="Times New Roman" w:hint="default"/>
                <w:sz w:val="18"/>
                <w:szCs w:val="18"/>
              </w:rPr>
              <w:t>/</w:t>
            </w:r>
            <w:r>
              <w:rPr>
                <w:rFonts w:ascii="宋体" w:hAnsi="宋体" w:cs="宋体" w:eastAsia="宋体" w:hint="default"/>
                <w:sz w:val="18"/>
                <w:szCs w:val="18"/>
              </w:rPr>
              <w:t>领域</w:t>
            </w:r>
          </w:p>
        </w:tc>
      </w:tr>
      <w:tr>
        <w:trPr>
          <w:trHeight w:val="1049" w:hRule="exact"/>
        </w:trPr>
        <w:tc>
          <w:tcPr>
            <w:tcW w:w="972" w:type="dxa"/>
            <w:vMerge w:val="restart"/>
            <w:tcBorders>
              <w:top w:val="single" w:sz="10"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8" w:right="27"/>
              <w:jc w:val="both"/>
              <w:rPr>
                <w:rFonts w:ascii="宋体" w:hAnsi="宋体" w:cs="宋体" w:eastAsia="宋体" w:hint="default"/>
                <w:sz w:val="18"/>
                <w:szCs w:val="18"/>
              </w:rPr>
            </w:pPr>
            <w:r>
              <w:rPr>
                <w:rFonts w:ascii="宋体" w:hAnsi="宋体" w:cs="宋体" w:eastAsia="宋体" w:hint="default"/>
                <w:sz w:val="18"/>
                <w:szCs w:val="18"/>
              </w:rPr>
              <w:t>行业智能移 动信息化应 用解决方案</w:t>
            </w:r>
          </w:p>
        </w:tc>
        <w:tc>
          <w:tcPr>
            <w:tcW w:w="171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物流快递信息管理</w:t>
            </w:r>
          </w:p>
        </w:tc>
        <w:tc>
          <w:tcPr>
            <w:tcW w:w="4851"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58"/>
              <w:ind w:left="4" w:right="0"/>
              <w:jc w:val="left"/>
              <w:rPr>
                <w:rFonts w:ascii="宋体" w:hAnsi="宋体" w:cs="宋体" w:eastAsia="宋体" w:hint="default"/>
                <w:sz w:val="18"/>
                <w:szCs w:val="18"/>
              </w:rPr>
            </w:pPr>
            <w:r>
              <w:rPr>
                <w:rFonts w:ascii="宋体" w:hAnsi="宋体" w:cs="宋体" w:eastAsia="宋体" w:hint="default"/>
                <w:spacing w:val="-2"/>
                <w:sz w:val="18"/>
                <w:szCs w:val="18"/>
              </w:rPr>
              <w:t>为物流快递、电商企业提供收派件管理、货件追踪、行程实时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监控、运单查询、客户回访等功能，以实现物流全程的</w:t>
            </w:r>
            <w:r>
              <w:rPr>
                <w:rFonts w:ascii="Times New Roman" w:hAnsi="Times New Roman" w:cs="Times New Roman" w:eastAsia="Times New Roman" w:hint="default"/>
                <w:sz w:val="18"/>
                <w:szCs w:val="18"/>
              </w:rPr>
              <w:t>“</w:t>
            </w:r>
            <w:r>
              <w:rPr>
                <w:rFonts w:ascii="宋体" w:hAnsi="宋体" w:cs="宋体" w:eastAsia="宋体" w:hint="default"/>
                <w:sz w:val="18"/>
                <w:szCs w:val="18"/>
              </w:rPr>
              <w:t>可视 化、智能化</w:t>
            </w:r>
            <w:r>
              <w:rPr>
                <w:rFonts w:ascii="Times New Roman" w:hAnsi="Times New Roman" w:cs="Times New Roman" w:eastAsia="Times New Roman" w:hint="default"/>
                <w:sz w:val="18"/>
                <w:szCs w:val="18"/>
              </w:rPr>
              <w:t>”</w:t>
            </w:r>
            <w:r>
              <w:rPr>
                <w:rFonts w:ascii="宋体" w:hAnsi="宋体" w:cs="宋体" w:eastAsia="宋体" w:hint="default"/>
                <w:sz w:val="18"/>
                <w:szCs w:val="18"/>
              </w:rPr>
              <w:t>管理</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pacing w:val="-5"/>
                <w:sz w:val="18"/>
                <w:szCs w:val="18"/>
              </w:rPr>
              <w:t>物流快递、电子商务行业</w:t>
            </w:r>
          </w:p>
        </w:tc>
      </w:tr>
      <w:tr>
        <w:trPr>
          <w:trHeight w:val="1363" w:hRule="exact"/>
        </w:trPr>
        <w:tc>
          <w:tcPr>
            <w:tcW w:w="972" w:type="dxa"/>
            <w:vMerge/>
            <w:tcBorders>
              <w:left w:val="single" w:sz="6" w:space="0" w:color="000000"/>
              <w:right w:val="single" w:sz="6" w:space="0" w:color="000000"/>
            </w:tcBorders>
          </w:tcPr>
          <w:p>
            <w:pP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
              <w:jc w:val="center"/>
              <w:rPr>
                <w:rFonts w:ascii="宋体" w:hAnsi="宋体" w:cs="宋体" w:eastAsia="宋体" w:hint="default"/>
                <w:sz w:val="18"/>
                <w:szCs w:val="18"/>
              </w:rPr>
            </w:pPr>
            <w:r>
              <w:rPr>
                <w:rFonts w:ascii="宋体" w:hAnsi="宋体" w:cs="宋体" w:eastAsia="宋体" w:hint="default"/>
                <w:sz w:val="18"/>
                <w:szCs w:val="18"/>
              </w:rPr>
              <w:t>供应链信息管理</w:t>
            </w:r>
          </w:p>
        </w:tc>
        <w:tc>
          <w:tcPr>
            <w:tcW w:w="48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0"/>
              <w:jc w:val="both"/>
              <w:rPr>
                <w:rFonts w:ascii="宋体" w:hAnsi="宋体" w:cs="宋体" w:eastAsia="宋体" w:hint="default"/>
                <w:sz w:val="18"/>
                <w:szCs w:val="18"/>
              </w:rPr>
            </w:pPr>
            <w:r>
              <w:rPr>
                <w:rFonts w:ascii="宋体" w:hAnsi="宋体" w:cs="宋体" w:eastAsia="宋体" w:hint="default"/>
                <w:spacing w:val="-2"/>
                <w:sz w:val="18"/>
                <w:szCs w:val="18"/>
              </w:rPr>
              <w:t>为生产制造、零售等行业企业在采购、生产、仓储、运输、分</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销、配送等各个供应链环节提供订单管理、仓库管理、运输管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理、配送管理等功能，有效降低供应链成本和库存压力、提高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供应链管理效率</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69" w:right="0"/>
              <w:jc w:val="left"/>
              <w:rPr>
                <w:rFonts w:ascii="宋体" w:hAnsi="宋体" w:cs="宋体" w:eastAsia="宋体" w:hint="default"/>
                <w:sz w:val="18"/>
                <w:szCs w:val="18"/>
              </w:rPr>
            </w:pPr>
            <w:r>
              <w:rPr>
                <w:rFonts w:ascii="宋体" w:hAnsi="宋体" w:cs="宋体" w:eastAsia="宋体" w:hint="default"/>
                <w:sz w:val="18"/>
                <w:szCs w:val="18"/>
              </w:rPr>
              <w:t>生产制造、零售等行业</w:t>
            </w:r>
          </w:p>
        </w:tc>
      </w:tr>
      <w:tr>
        <w:trPr>
          <w:trHeight w:val="1052" w:hRule="exact"/>
        </w:trPr>
        <w:tc>
          <w:tcPr>
            <w:tcW w:w="972" w:type="dxa"/>
            <w:vMerge/>
            <w:tcBorders>
              <w:left w:val="single" w:sz="6" w:space="0" w:color="000000"/>
              <w:right w:val="single" w:sz="6" w:space="0" w:color="000000"/>
            </w:tcBorders>
          </w:tcPr>
          <w:p>
            <w:pP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质量安全溯源管理</w:t>
            </w:r>
          </w:p>
        </w:tc>
        <w:tc>
          <w:tcPr>
            <w:tcW w:w="48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9"/>
              <w:jc w:val="both"/>
              <w:rPr>
                <w:rFonts w:ascii="宋体" w:hAnsi="宋体" w:cs="宋体" w:eastAsia="宋体" w:hint="default"/>
                <w:sz w:val="18"/>
                <w:szCs w:val="18"/>
              </w:rPr>
            </w:pPr>
            <w:r>
              <w:rPr>
                <w:rFonts w:ascii="宋体" w:hAnsi="宋体" w:cs="宋体" w:eastAsia="宋体" w:hint="default"/>
                <w:sz w:val="18"/>
                <w:szCs w:val="18"/>
              </w:rPr>
              <w:t>为食品、医药等行业企业及监管部门实现原材料供应、生产、 仓储物流、销售等业务环节的全程信息标识、采集及传递，可 实时跟踪监控产品的生产状态、原材料来源及产品流向</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4" w:lineRule="auto"/>
              <w:ind w:left="878" w:right="0" w:hanging="877"/>
              <w:jc w:val="left"/>
              <w:rPr>
                <w:rFonts w:ascii="宋体" w:hAnsi="宋体" w:cs="宋体" w:eastAsia="宋体" w:hint="default"/>
                <w:sz w:val="18"/>
                <w:szCs w:val="18"/>
              </w:rPr>
            </w:pPr>
            <w:r>
              <w:rPr>
                <w:rFonts w:ascii="宋体" w:hAnsi="宋体" w:cs="宋体" w:eastAsia="宋体" w:hint="default"/>
                <w:spacing w:val="-5"/>
                <w:sz w:val="18"/>
                <w:szCs w:val="18"/>
              </w:rPr>
              <w:t>食品医药、生产制造等行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业</w:t>
            </w:r>
          </w:p>
        </w:tc>
      </w:tr>
      <w:tr>
        <w:trPr>
          <w:trHeight w:val="1051" w:hRule="exact"/>
        </w:trPr>
        <w:tc>
          <w:tcPr>
            <w:tcW w:w="972" w:type="dxa"/>
            <w:vMerge/>
            <w:tcBorders>
              <w:left w:val="single" w:sz="6" w:space="0" w:color="000000"/>
              <w:right w:val="single" w:sz="6" w:space="0" w:color="000000"/>
            </w:tcBorders>
          </w:tcPr>
          <w:p>
            <w:pP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移动销售管理</w:t>
            </w:r>
          </w:p>
        </w:tc>
        <w:tc>
          <w:tcPr>
            <w:tcW w:w="48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9"/>
              <w:jc w:val="both"/>
              <w:rPr>
                <w:rFonts w:ascii="宋体" w:hAnsi="宋体" w:cs="宋体" w:eastAsia="宋体" w:hint="default"/>
                <w:sz w:val="18"/>
                <w:szCs w:val="18"/>
              </w:rPr>
            </w:pPr>
            <w:r>
              <w:rPr>
                <w:rFonts w:ascii="宋体" w:hAnsi="宋体" w:cs="宋体" w:eastAsia="宋体" w:hint="default"/>
                <w:sz w:val="18"/>
                <w:szCs w:val="18"/>
              </w:rPr>
              <w:t>为连锁零售和服务企业提供订单管理、会员管理、门店盘点、 人员管理等销售管理功能，并可实时与企业业务系统交互，实 现了企业对门店的实时信息化管理</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连锁零售和服务行业</w:t>
            </w:r>
          </w:p>
        </w:tc>
      </w:tr>
      <w:tr>
        <w:trPr>
          <w:trHeight w:val="739" w:hRule="exact"/>
        </w:trPr>
        <w:tc>
          <w:tcPr>
            <w:tcW w:w="972" w:type="dxa"/>
            <w:vMerge/>
            <w:tcBorders>
              <w:left w:val="single" w:sz="6" w:space="0" w:color="000000"/>
              <w:bottom w:val="single" w:sz="6" w:space="0" w:color="000000"/>
              <w:right w:val="single" w:sz="6" w:space="0" w:color="000000"/>
            </w:tcBorders>
          </w:tcPr>
          <w:p>
            <w:pP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电子政务管理</w:t>
            </w:r>
          </w:p>
        </w:tc>
        <w:tc>
          <w:tcPr>
            <w:tcW w:w="485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0"/>
              <w:jc w:val="left"/>
              <w:rPr>
                <w:rFonts w:ascii="宋体" w:hAnsi="宋体" w:cs="宋体" w:eastAsia="宋体" w:hint="default"/>
                <w:sz w:val="18"/>
                <w:szCs w:val="18"/>
              </w:rPr>
            </w:pPr>
            <w:r>
              <w:rPr>
                <w:rFonts w:ascii="宋体" w:hAnsi="宋体" w:cs="宋体" w:eastAsia="宋体" w:hint="default"/>
                <w:spacing w:val="-2"/>
                <w:sz w:val="18"/>
                <w:szCs w:val="18"/>
              </w:rPr>
              <w:t>为政府及公用事业管理单位提供电子取证、实时信息查询、移</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动办公等功能，构建移动政务管理系统，提高管理效率</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878" w:right="68" w:hanging="810"/>
              <w:jc w:val="left"/>
              <w:rPr>
                <w:rFonts w:ascii="宋体" w:hAnsi="宋体" w:cs="宋体" w:eastAsia="宋体" w:hint="default"/>
                <w:sz w:val="18"/>
                <w:szCs w:val="18"/>
              </w:rPr>
            </w:pPr>
            <w:r>
              <w:rPr>
                <w:rFonts w:ascii="宋体" w:hAnsi="宋体" w:cs="宋体" w:eastAsia="宋体" w:hint="default"/>
                <w:sz w:val="18"/>
                <w:szCs w:val="18"/>
              </w:rPr>
              <w:t>行政执法及公用事业管 理</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50" w:type="dxa"/>
        <w:tblLayout w:type="fixed"/>
        <w:tblCellMar>
          <w:top w:w="0" w:type="dxa"/>
          <w:left w:w="0" w:type="dxa"/>
          <w:bottom w:w="0" w:type="dxa"/>
          <w:right w:w="0" w:type="dxa"/>
        </w:tblCellMar>
        <w:tblLook w:val="01E0"/>
      </w:tblPr>
      <w:tblGrid>
        <w:gridCol w:w="972"/>
        <w:gridCol w:w="1719"/>
        <w:gridCol w:w="4851"/>
        <w:gridCol w:w="1954"/>
      </w:tblGrid>
      <w:tr>
        <w:trPr>
          <w:trHeight w:val="740" w:hRule="exact"/>
        </w:trPr>
        <w:tc>
          <w:tcPr>
            <w:tcW w:w="972" w:type="dxa"/>
            <w:vMerge w:val="restart"/>
            <w:tcBorders>
              <w:top w:val="single" w:sz="6" w:space="0" w:color="000000"/>
              <w:left w:val="single" w:sz="6" w:space="0" w:color="000000"/>
              <w:right w:val="single" w:sz="6" w:space="0" w:color="000000"/>
            </w:tcBorders>
          </w:tcPr>
          <w:p>
            <w:pP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智能仓储管理</w:t>
            </w:r>
          </w:p>
        </w:tc>
        <w:tc>
          <w:tcPr>
            <w:tcW w:w="485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8"/>
              <w:ind w:left="4" w:right="0"/>
              <w:jc w:val="left"/>
              <w:rPr>
                <w:rFonts w:ascii="宋体" w:hAnsi="宋体" w:cs="宋体" w:eastAsia="宋体" w:hint="default"/>
                <w:sz w:val="18"/>
                <w:szCs w:val="18"/>
              </w:rPr>
            </w:pPr>
            <w:r>
              <w:rPr>
                <w:rFonts w:ascii="宋体" w:hAnsi="宋体" w:cs="宋体" w:eastAsia="宋体" w:hint="default"/>
                <w:spacing w:val="-2"/>
                <w:sz w:val="18"/>
                <w:szCs w:val="18"/>
              </w:rPr>
              <w:t>运用自主研发的智能仓库机器人，集成其他智能仓储硬件，为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客户提供全新的智能化、自动化立体仓储管理系统</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8"/>
              <w:ind w:left="158" w:right="3" w:hanging="157"/>
              <w:jc w:val="left"/>
              <w:rPr>
                <w:rFonts w:ascii="宋体" w:hAnsi="宋体" w:cs="宋体" w:eastAsia="宋体" w:hint="default"/>
                <w:sz w:val="18"/>
                <w:szCs w:val="18"/>
              </w:rPr>
            </w:pPr>
            <w:r>
              <w:rPr>
                <w:rFonts w:ascii="宋体" w:hAnsi="宋体" w:cs="宋体" w:eastAsia="宋体" w:hint="default"/>
                <w:spacing w:val="-5"/>
                <w:sz w:val="18"/>
                <w:szCs w:val="18"/>
              </w:rPr>
              <w:t>物流快递、电子商务、生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产制造、零售等行业</w:t>
            </w:r>
          </w:p>
        </w:tc>
      </w:tr>
      <w:tr>
        <w:trPr>
          <w:trHeight w:val="367" w:hRule="exact"/>
        </w:trPr>
        <w:tc>
          <w:tcPr>
            <w:tcW w:w="972" w:type="dxa"/>
            <w:vMerge/>
            <w:tcBorders>
              <w:left w:val="single" w:sz="6" w:space="0" w:color="000000"/>
              <w:right w:val="single" w:sz="6" w:space="0" w:color="000000"/>
            </w:tcBorders>
          </w:tcPr>
          <w:p>
            <w:pPr/>
          </w:p>
        </w:tc>
        <w:tc>
          <w:tcPr>
            <w:tcW w:w="1719" w:type="dxa"/>
            <w:tcBorders>
              <w:top w:val="single" w:sz="6" w:space="0" w:color="000000"/>
              <w:left w:val="single" w:sz="6" w:space="0" w:color="000000"/>
              <w:bottom w:val="nil" w:sz="6" w:space="0" w:color="auto"/>
              <w:right w:val="single" w:sz="6" w:space="0" w:color="000000"/>
            </w:tcBorders>
          </w:tcPr>
          <w:p>
            <w:pPr/>
          </w:p>
        </w:tc>
        <w:tc>
          <w:tcPr>
            <w:tcW w:w="485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pacing w:val="-2"/>
                <w:sz w:val="18"/>
                <w:szCs w:val="18"/>
              </w:rPr>
              <w:t>基于智能移动支付终端为零售业、服务业商户及物流快递、电</w:t>
            </w:r>
          </w:p>
        </w:tc>
        <w:tc>
          <w:tcPr>
            <w:tcW w:w="195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pacing w:val="-5"/>
                <w:sz w:val="18"/>
                <w:szCs w:val="18"/>
              </w:rPr>
              <w:t>零售、消费服务、物流快</w:t>
            </w:r>
          </w:p>
        </w:tc>
      </w:tr>
      <w:tr>
        <w:trPr>
          <w:trHeight w:val="317" w:hRule="exact"/>
        </w:trPr>
        <w:tc>
          <w:tcPr>
            <w:tcW w:w="972" w:type="dxa"/>
            <w:vMerge/>
            <w:tcBorders>
              <w:left w:val="single" w:sz="6" w:space="0" w:color="000000"/>
              <w:right w:val="single" w:sz="6" w:space="0" w:color="000000"/>
            </w:tcBorders>
          </w:tcPr>
          <w:p>
            <w:pPr/>
          </w:p>
        </w:tc>
        <w:tc>
          <w:tcPr>
            <w:tcW w:w="1719"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智能移动支付</w:t>
            </w:r>
          </w:p>
        </w:tc>
        <w:tc>
          <w:tcPr>
            <w:tcW w:w="485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1"/>
              <w:jc w:val="left"/>
              <w:rPr>
                <w:rFonts w:ascii="宋体" w:hAnsi="宋体" w:cs="宋体" w:eastAsia="宋体" w:hint="default"/>
                <w:sz w:val="18"/>
                <w:szCs w:val="18"/>
              </w:rPr>
            </w:pPr>
            <w:r>
              <w:rPr>
                <w:rFonts w:ascii="宋体" w:hAnsi="宋体" w:cs="宋体" w:eastAsia="宋体" w:hint="default"/>
                <w:sz w:val="18"/>
                <w:szCs w:val="18"/>
              </w:rPr>
              <w:t>商、公共交通企业构建</w:t>
            </w:r>
            <w:r>
              <w:rPr>
                <w:rFonts w:ascii="Times New Roman" w:hAnsi="Times New Roman" w:cs="Times New Roman" w:eastAsia="Times New Roman" w:hint="default"/>
                <w:sz w:val="18"/>
                <w:szCs w:val="18"/>
              </w:rPr>
              <w:t>“</w:t>
            </w:r>
            <w:r>
              <w:rPr>
                <w:rFonts w:ascii="宋体" w:hAnsi="宋体" w:cs="宋体" w:eastAsia="宋体" w:hint="default"/>
                <w:sz w:val="18"/>
                <w:szCs w:val="18"/>
              </w:rPr>
              <w:t>客流、物流、资金流</w:t>
            </w:r>
            <w:r>
              <w:rPr>
                <w:rFonts w:ascii="Times New Roman" w:hAnsi="Times New Roman" w:cs="Times New Roman" w:eastAsia="Times New Roman" w:hint="default"/>
                <w:sz w:val="18"/>
                <w:szCs w:val="18"/>
              </w:rPr>
              <w:t>”</w:t>
            </w:r>
            <w:r>
              <w:rPr>
                <w:rFonts w:ascii="宋体" w:hAnsi="宋体" w:cs="宋体" w:eastAsia="宋体" w:hint="default"/>
                <w:sz w:val="18"/>
                <w:szCs w:val="18"/>
              </w:rPr>
              <w:t>三流合一的业务</w:t>
            </w:r>
          </w:p>
        </w:tc>
        <w:tc>
          <w:tcPr>
            <w:tcW w:w="195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5"/>
                <w:sz w:val="18"/>
                <w:szCs w:val="18"/>
              </w:rPr>
              <w:t>递、电子商务、公共交通</w:t>
            </w:r>
          </w:p>
        </w:tc>
      </w:tr>
      <w:tr>
        <w:trPr>
          <w:trHeight w:val="367" w:hRule="exact"/>
        </w:trPr>
        <w:tc>
          <w:tcPr>
            <w:tcW w:w="972" w:type="dxa"/>
            <w:vMerge/>
            <w:tcBorders>
              <w:left w:val="single" w:sz="6" w:space="0" w:color="000000"/>
              <w:right w:val="single" w:sz="6" w:space="0" w:color="000000"/>
            </w:tcBorders>
          </w:tcPr>
          <w:p>
            <w:pPr/>
          </w:p>
        </w:tc>
        <w:tc>
          <w:tcPr>
            <w:tcW w:w="1719" w:type="dxa"/>
            <w:tcBorders>
              <w:top w:val="nil" w:sz="6" w:space="0" w:color="auto"/>
              <w:left w:val="single" w:sz="6" w:space="0" w:color="000000"/>
              <w:bottom w:val="single" w:sz="6" w:space="0" w:color="000000"/>
              <w:right w:val="single" w:sz="6" w:space="0" w:color="000000"/>
            </w:tcBorders>
          </w:tcPr>
          <w:p>
            <w:pPr/>
          </w:p>
        </w:tc>
        <w:tc>
          <w:tcPr>
            <w:tcW w:w="485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管理平台</w:t>
            </w:r>
          </w:p>
        </w:tc>
        <w:tc>
          <w:tcPr>
            <w:tcW w:w="195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等行业</w:t>
            </w:r>
          </w:p>
        </w:tc>
      </w:tr>
      <w:tr>
        <w:trPr>
          <w:trHeight w:val="1051" w:hRule="exact"/>
        </w:trPr>
        <w:tc>
          <w:tcPr>
            <w:tcW w:w="972" w:type="dxa"/>
            <w:vMerge/>
            <w:tcBorders>
              <w:left w:val="single" w:sz="6" w:space="0" w:color="000000"/>
              <w:bottom w:val="single" w:sz="6" w:space="0" w:color="000000"/>
              <w:right w:val="single" w:sz="6" w:space="0" w:color="000000"/>
            </w:tcBorders>
          </w:tcPr>
          <w:p>
            <w:pP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资产管理</w:t>
            </w:r>
          </w:p>
        </w:tc>
        <w:tc>
          <w:tcPr>
            <w:tcW w:w="48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29"/>
              <w:jc w:val="left"/>
              <w:rPr>
                <w:rFonts w:ascii="宋体" w:hAnsi="宋体" w:cs="宋体" w:eastAsia="宋体" w:hint="default"/>
                <w:sz w:val="18"/>
                <w:szCs w:val="18"/>
              </w:rPr>
            </w:pPr>
            <w:r>
              <w:rPr>
                <w:rFonts w:ascii="宋体" w:hAnsi="宋体" w:cs="宋体" w:eastAsia="宋体" w:hint="default"/>
                <w:sz w:val="18"/>
                <w:szCs w:val="18"/>
              </w:rPr>
              <w:t>为电力、交通、能源、金融等行业企业对资产从购置、领用、 </w:t>
            </w:r>
            <w:r>
              <w:rPr>
                <w:rFonts w:ascii="宋体" w:hAnsi="宋体" w:cs="宋体" w:eastAsia="宋体" w:hint="default"/>
                <w:spacing w:val="-5"/>
                <w:sz w:val="18"/>
                <w:szCs w:val="18"/>
              </w:rPr>
              <w:t>转移、调拨、维修、盘点、清理到报废的全生命周期进行准确</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高效及实时管理</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196" w:lineRule="exact"/>
              <w:ind w:left="1" w:right="0"/>
              <w:jc w:val="center"/>
              <w:rPr>
                <w:rFonts w:ascii="宋体" w:hAnsi="宋体" w:cs="宋体" w:eastAsia="宋体" w:hint="default"/>
                <w:sz w:val="18"/>
                <w:szCs w:val="18"/>
              </w:rPr>
            </w:pPr>
            <w:r>
              <w:rPr>
                <w:rFonts w:ascii="宋体" w:hAnsi="宋体" w:cs="宋体" w:eastAsia="宋体" w:hint="default"/>
                <w:spacing w:val="-5"/>
                <w:sz w:val="18"/>
                <w:szCs w:val="18"/>
              </w:rPr>
              <w:t>电力、交通、能源、金融</w:t>
            </w:r>
          </w:p>
          <w:p>
            <w:pPr>
              <w:pStyle w:val="TableParagraph"/>
              <w:spacing w:line="156" w:lineRule="exact"/>
              <w:ind w:left="-10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right="1"/>
              <w:jc w:val="center"/>
              <w:rPr>
                <w:rFonts w:ascii="宋体" w:hAnsi="宋体" w:cs="宋体" w:eastAsia="宋体" w:hint="default"/>
                <w:sz w:val="18"/>
                <w:szCs w:val="18"/>
              </w:rPr>
            </w:pPr>
            <w:r>
              <w:rPr>
                <w:rFonts w:ascii="宋体" w:hAnsi="宋体" w:cs="宋体" w:eastAsia="宋体" w:hint="default"/>
                <w:sz w:val="18"/>
                <w:szCs w:val="18"/>
              </w:rPr>
              <w:t>等行业</w:t>
            </w:r>
          </w:p>
        </w:tc>
      </w:tr>
    </w:tbl>
    <w:p>
      <w:pPr>
        <w:pStyle w:val="Heading4"/>
        <w:spacing w:line="240" w:lineRule="auto" w:before="8"/>
        <w:ind w:right="1133"/>
        <w:jc w:val="left"/>
        <w:rPr>
          <w:b w:val="0"/>
          <w:bCs w:val="0"/>
        </w:rPr>
      </w:pPr>
      <w:r>
        <w:rPr/>
        <w:t>（二）经营模式</w:t>
      </w:r>
      <w:r>
        <w:rPr>
          <w:b w:val="0"/>
          <w:bCs w:val="0"/>
        </w:rPr>
      </w:r>
    </w:p>
    <w:p>
      <w:pPr>
        <w:pStyle w:val="BodyText"/>
        <w:spacing w:line="300" w:lineRule="auto" w:before="76"/>
        <w:ind w:left="513" w:right="1127"/>
        <w:jc w:val="left"/>
      </w:pPr>
      <w:r>
        <w:rPr>
          <w:rFonts w:ascii="Times New Roman" w:hAnsi="Times New Roman" w:cs="Times New Roman" w:eastAsia="Times New Roman" w:hint="default"/>
        </w:rPr>
        <w:t>1</w:t>
      </w:r>
      <w:r>
        <w:rPr/>
        <w:t>、采购模式 </w:t>
      </w:r>
      <w:r>
        <w:rPr>
          <w:spacing w:val="-1"/>
        </w:rPr>
        <w:t>公司根据经销商和客户的销售计划及订单安排生产计划和采购计划，采用</w:t>
      </w:r>
      <w:r>
        <w:rPr>
          <w:rFonts w:ascii="Times New Roman" w:hAnsi="Times New Roman" w:cs="Times New Roman" w:eastAsia="Times New Roman" w:hint="default"/>
          <w:spacing w:val="-1"/>
        </w:rPr>
        <w:t>“</w:t>
      </w:r>
      <w:r>
        <w:rPr>
          <w:spacing w:val="-1"/>
        </w:rPr>
        <w:t>以销定产</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以产定购</w:t>
      </w:r>
      <w:r>
        <w:rPr>
          <w:rFonts w:ascii="Times New Roman" w:hAnsi="Times New Roman" w:cs="Times New Roman" w:eastAsia="Times New Roman" w:hint="default"/>
          <w:spacing w:val="-1"/>
        </w:rPr>
        <w:t>”</w:t>
      </w:r>
      <w:r>
        <w:rPr>
          <w:spacing w:val="-1"/>
        </w:rPr>
        <w:t>的业务模式。该采购</w:t>
      </w:r>
    </w:p>
    <w:p>
      <w:pPr>
        <w:pStyle w:val="BodyText"/>
        <w:spacing w:line="240" w:lineRule="auto" w:before="13"/>
        <w:ind w:right="1133"/>
        <w:jc w:val="left"/>
      </w:pPr>
      <w:r>
        <w:rPr/>
        <w:t>模式符合公司实际业务开展的需要，也是行业内通常采用的业务模式。</w:t>
      </w:r>
    </w:p>
    <w:p>
      <w:pPr>
        <w:pStyle w:val="BodyText"/>
        <w:spacing w:line="300" w:lineRule="auto" w:before="76"/>
        <w:ind w:left="513" w:right="1035"/>
        <w:jc w:val="left"/>
      </w:pPr>
      <w:r>
        <w:rPr>
          <w:rFonts w:ascii="Times New Roman" w:hAnsi="Times New Roman" w:cs="Times New Roman" w:eastAsia="Times New Roman" w:hint="default"/>
        </w:rPr>
        <w:t>2</w:t>
      </w:r>
      <w:r>
        <w:rPr/>
        <w:t>、生产模式 </w:t>
      </w:r>
      <w:r>
        <w:rPr>
          <w:spacing w:val="-3"/>
        </w:rPr>
        <w:t>公司生产采取的是</w:t>
      </w:r>
      <w:r>
        <w:rPr>
          <w:rFonts w:ascii="Times New Roman" w:hAnsi="Times New Roman" w:cs="Times New Roman" w:eastAsia="Times New Roman" w:hint="default"/>
          <w:spacing w:val="-3"/>
        </w:rPr>
        <w:t>“</w:t>
      </w:r>
      <w:r>
        <w:rPr>
          <w:spacing w:val="-3"/>
        </w:rPr>
        <w:t>以销定产</w:t>
      </w:r>
      <w:r>
        <w:rPr>
          <w:rFonts w:ascii="Times New Roman" w:hAnsi="Times New Roman" w:cs="Times New Roman" w:eastAsia="Times New Roman" w:hint="default"/>
          <w:spacing w:val="-3"/>
        </w:rPr>
        <w:t>”</w:t>
      </w:r>
      <w:r>
        <w:rPr>
          <w:spacing w:val="-3"/>
        </w:rPr>
        <w:t>的模式，即依据销售计划和合同订单制定生产计划。根据生产计划组织进行预加工、组装、</w:t>
      </w:r>
    </w:p>
    <w:p>
      <w:pPr>
        <w:pStyle w:val="BodyText"/>
        <w:spacing w:line="316" w:lineRule="auto" w:before="13"/>
        <w:ind w:right="1133"/>
        <w:jc w:val="left"/>
      </w:pPr>
      <w:r>
        <w:rPr>
          <w:spacing w:val="-2"/>
        </w:rPr>
        <w:t>软件灌入、整机测试和包装。报告期内，由于公司订单大幅增加，自有产能不足以满足客户需求，公司将部分产品委托专业</w:t>
      </w:r>
      <w:r>
        <w:rPr>
          <w:spacing w:val="-67"/>
        </w:rPr>
        <w:t> </w:t>
      </w:r>
      <w:r>
        <w:rPr>
          <w:spacing w:val="-67"/>
        </w:rPr>
      </w:r>
      <w:r>
        <w:rPr/>
        <w:t>代工厂进行加工生产。</w:t>
      </w:r>
    </w:p>
    <w:p>
      <w:pPr>
        <w:pStyle w:val="BodyText"/>
        <w:spacing w:line="300" w:lineRule="auto" w:before="19"/>
        <w:ind w:left="513" w:right="1129"/>
        <w:jc w:val="left"/>
      </w:pPr>
      <w:r>
        <w:rPr>
          <w:rFonts w:ascii="Times New Roman" w:hAnsi="Times New Roman" w:cs="Times New Roman" w:eastAsia="Times New Roman" w:hint="default"/>
        </w:rPr>
        <w:t>3</w:t>
      </w:r>
      <w:r>
        <w:rPr/>
        <w:t>、营销模式 </w:t>
      </w:r>
      <w:r>
        <w:rPr>
          <w:spacing w:val="-2"/>
        </w:rPr>
        <w:t>公司的产品销售模式分为两大类：一、针对不特定的用户提供标准配置的产品，主要通过各级经销商等合作方进行销售</w:t>
      </w:r>
    </w:p>
    <w:p>
      <w:pPr>
        <w:pStyle w:val="BodyText"/>
        <w:spacing w:line="316" w:lineRule="auto" w:before="31"/>
        <w:ind w:right="1133"/>
        <w:jc w:val="both"/>
      </w:pPr>
      <w:r>
        <w:rPr>
          <w:spacing w:val="-2"/>
        </w:rPr>
        <w:t>或通过网络电商销售；二、针对采购规模大的最终客户的个性化需求提供定制化的智能终端产品、软件或整体解决方案，采</w:t>
      </w:r>
      <w:r>
        <w:rPr>
          <w:spacing w:val="-66"/>
        </w:rPr>
        <w:t> </w:t>
      </w:r>
      <w:r>
        <w:rPr>
          <w:spacing w:val="-66"/>
        </w:rPr>
      </w:r>
      <w:r>
        <w:rPr>
          <w:spacing w:val="-2"/>
        </w:rPr>
        <w:t>用项目制进行销售，针对各个客户对用途、性能等要求的不同，依据客户订单组织产品生产，直接向客户销售。同时，公司</w:t>
      </w:r>
      <w:r>
        <w:rPr>
          <w:spacing w:val="-70"/>
        </w:rPr>
        <w:t> </w:t>
      </w:r>
      <w:r>
        <w:rPr>
          <w:spacing w:val="-70"/>
        </w:rPr>
      </w:r>
      <w:r>
        <w:rPr/>
        <w:t>针对特定客户的短期需求，向客户提供智能终端设备的租赁服务。</w:t>
      </w:r>
    </w:p>
    <w:p>
      <w:pPr>
        <w:pStyle w:val="BodyText"/>
        <w:spacing w:line="300" w:lineRule="auto" w:before="19"/>
        <w:ind w:left="513" w:right="1033"/>
        <w:jc w:val="left"/>
      </w:pPr>
      <w:r>
        <w:rPr>
          <w:rFonts w:ascii="Times New Roman" w:hAnsi="Times New Roman" w:cs="Times New Roman" w:eastAsia="Times New Roman" w:hint="default"/>
        </w:rPr>
        <w:t>4</w:t>
      </w:r>
      <w:r>
        <w:rPr/>
        <w:t>、研发管理模式 公司高度重视研发工作，为了科学有效管理研发过程，公司建立了完善的新产品开发管理流程，将产品开发分为概念、</w:t>
      </w:r>
    </w:p>
    <w:p>
      <w:pPr>
        <w:pStyle w:val="BodyText"/>
        <w:spacing w:line="316" w:lineRule="auto" w:before="32"/>
        <w:ind w:right="1129"/>
        <w:jc w:val="left"/>
      </w:pPr>
      <w:r>
        <w:rPr>
          <w:spacing w:val="-2"/>
        </w:rPr>
        <w:t>计划、开发、发布及维护五个阶段，每个阶段都有清晰的技术和业务评审决策标准进行管控，并通过项目管理的方式对整个</w:t>
      </w:r>
      <w:r>
        <w:rPr>
          <w:spacing w:val="-64"/>
        </w:rPr>
        <w:t> </w:t>
      </w:r>
      <w:r>
        <w:rPr>
          <w:spacing w:val="-64"/>
        </w:rPr>
      </w:r>
      <w:r>
        <w:rPr/>
        <w:t>开发过程进行有效管控。</w:t>
      </w:r>
    </w:p>
    <w:p>
      <w:pPr>
        <w:pStyle w:val="Heading4"/>
        <w:spacing w:line="240" w:lineRule="auto"/>
        <w:ind w:right="1133"/>
        <w:jc w:val="left"/>
        <w:rPr>
          <w:b w:val="0"/>
          <w:bCs w:val="0"/>
        </w:rPr>
      </w:pPr>
      <w:r>
        <w:rPr/>
        <w:t>（三）主要业绩驱动因素</w:t>
      </w:r>
      <w:r>
        <w:rPr>
          <w:b w:val="0"/>
          <w:bCs w:val="0"/>
        </w:rPr>
      </w:r>
    </w:p>
    <w:p>
      <w:pPr>
        <w:pStyle w:val="Heading4"/>
        <w:spacing w:line="240" w:lineRule="auto" w:before="76"/>
        <w:ind w:right="1133"/>
        <w:jc w:val="left"/>
        <w:rPr>
          <w:b w:val="0"/>
          <w:bCs w:val="0"/>
        </w:rPr>
      </w:pPr>
      <w:r>
        <w:rPr>
          <w:rFonts w:ascii="Times New Roman" w:hAnsi="Times New Roman" w:cs="Times New Roman" w:eastAsia="Times New Roman" w:hint="default"/>
        </w:rPr>
        <w:t>1</w:t>
      </w:r>
      <w:r>
        <w:rPr/>
        <w:t>、市场需求驱动因素</w:t>
      </w:r>
      <w:r>
        <w:rPr>
          <w:b w:val="0"/>
          <w:bCs w:val="0"/>
        </w:rPr>
      </w:r>
    </w:p>
    <w:p>
      <w:pPr>
        <w:spacing w:line="300" w:lineRule="auto" w:before="63"/>
        <w:ind w:left="513" w:right="1129"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）产业数字化浪潮方兴未艾，行业智能移动应用场景不断丰富、智能移动终端市场规模不断扩大</w:t>
      </w:r>
      <w:r>
        <w:rPr>
          <w:rFonts w:ascii="宋体" w:hAnsi="宋体" w:cs="宋体" w:eastAsia="宋体" w:hint="default"/>
          <w:b/>
          <w:bCs/>
          <w:w w:val="99"/>
          <w:sz w:val="18"/>
          <w:szCs w:val="18"/>
        </w:rPr>
        <w:t> </w:t>
      </w:r>
      <w:r>
        <w:rPr>
          <w:rFonts w:ascii="宋体" w:hAnsi="宋体" w:cs="宋体" w:eastAsia="宋体" w:hint="default"/>
          <w:spacing w:val="-2"/>
          <w:sz w:val="18"/>
          <w:szCs w:val="18"/>
        </w:rPr>
        <w:t>物联网在全球市场的潜力和成长性正逐步凸显，以物联网技术为核心的智能移动信息化应用加速渗透到生产和生活各个</w:t>
      </w:r>
    </w:p>
    <w:p>
      <w:pPr>
        <w:pStyle w:val="BodyText"/>
        <w:spacing w:line="316" w:lineRule="auto" w:before="31"/>
        <w:ind w:right="1035"/>
        <w:jc w:val="left"/>
      </w:pPr>
      <w:r>
        <w:rPr>
          <w:spacing w:val="-2"/>
        </w:rPr>
        <w:t>环节，市场规模不断扩大，产业潜力加快释放。智能移动信息化应用与传统产业的深度融合将加剧，并带来生产方式和生活</w:t>
      </w:r>
      <w:r>
        <w:rPr>
          <w:spacing w:val="-64"/>
        </w:rPr>
        <w:t> </w:t>
      </w:r>
      <w:r>
        <w:rPr>
          <w:spacing w:val="-64"/>
        </w:rPr>
      </w:r>
      <w:r>
        <w:rPr>
          <w:spacing w:val="-4"/>
        </w:rPr>
        <w:t>方式的深刻变革。在工业、交通、物流、安防、金融、政务、电力等行业领域，物联网应用提升的空间广阔。在物联网时代，</w:t>
      </w:r>
      <w:r>
        <w:rPr>
          <w:spacing w:val="-49"/>
        </w:rPr>
        <w:t> </w:t>
      </w:r>
      <w:r>
        <w:rPr>
          <w:spacing w:val="-49"/>
        </w:rPr>
      </w:r>
      <w:r>
        <w:rPr>
          <w:spacing w:val="-2"/>
        </w:rPr>
        <w:t>包括金融、交通、生产制造、医疗卫生在内的传统行业都在以各种形式触网、联网，以实现智能化、自动化为主要特征的产</w:t>
      </w:r>
      <w:r>
        <w:rPr>
          <w:spacing w:val="-68"/>
        </w:rPr>
        <w:t> </w:t>
      </w:r>
      <w:r>
        <w:rPr>
          <w:spacing w:val="-68"/>
        </w:rPr>
      </w:r>
      <w:r>
        <w:rPr/>
        <w:t>业数字化。</w:t>
      </w:r>
    </w:p>
    <w:p>
      <w:pPr>
        <w:pStyle w:val="BodyText"/>
        <w:spacing w:line="300" w:lineRule="auto" w:before="19"/>
        <w:ind w:right="1034" w:firstLine="360"/>
        <w:jc w:val="left"/>
      </w:pPr>
      <w:r>
        <w:rPr/>
        <w:t>据中国信息通信研究院数据显示，</w:t>
      </w:r>
      <w:r>
        <w:rPr>
          <w:rFonts w:ascii="Times New Roman" w:hAnsi="Times New Roman" w:cs="Times New Roman" w:eastAsia="Times New Roman" w:hint="default"/>
        </w:rPr>
        <w:t>2018</w:t>
      </w:r>
      <w:r>
        <w:rPr/>
        <w:t>年我国申请进网的移动终端产品中，非手机类移动终端产品占比首次超过手机， 达到</w:t>
      </w:r>
      <w:r>
        <w:rPr>
          <w:rFonts w:ascii="Times New Roman" w:hAnsi="Times New Roman" w:cs="Times New Roman" w:eastAsia="Times New Roman" w:hint="default"/>
        </w:rPr>
        <w:t>53%</w:t>
      </w:r>
      <w:r>
        <w:rPr/>
        <w:t>，非手机类移动终端产品款型数比</w:t>
      </w:r>
      <w:r>
        <w:rPr>
          <w:rFonts w:ascii="Times New Roman" w:hAnsi="Times New Roman" w:cs="Times New Roman" w:eastAsia="Times New Roman" w:hint="default"/>
        </w:rPr>
        <w:t>2017</w:t>
      </w:r>
      <w:r>
        <w:rPr/>
        <w:t>年增加</w:t>
      </w:r>
      <w:r>
        <w:rPr>
          <w:rFonts w:ascii="Times New Roman" w:hAnsi="Times New Roman" w:cs="Times New Roman" w:eastAsia="Times New Roman" w:hint="default"/>
        </w:rPr>
        <w:t>56.1%</w:t>
      </w:r>
      <w:r>
        <w:rPr/>
        <w:t>。</w:t>
      </w:r>
      <w:r>
        <w:rPr>
          <w:rFonts w:ascii="Times New Roman" w:hAnsi="Times New Roman" w:cs="Times New Roman" w:eastAsia="Times New Roman" w:hint="default"/>
        </w:rPr>
        <w:t>2019</w:t>
      </w:r>
      <w:r>
        <w:rPr/>
        <w:t>年是</w:t>
      </w:r>
      <w:r>
        <w:rPr>
          <w:rFonts w:ascii="Times New Roman" w:hAnsi="Times New Roman" w:cs="Times New Roman" w:eastAsia="Times New Roman" w:hint="default"/>
        </w:rPr>
        <w:t>5G</w:t>
      </w:r>
      <w:r>
        <w:rPr/>
        <w:t>商用元年，随着</w:t>
      </w:r>
      <w:r>
        <w:rPr>
          <w:rFonts w:ascii="Times New Roman" w:hAnsi="Times New Roman" w:cs="Times New Roman" w:eastAsia="Times New Roman" w:hint="default"/>
        </w:rPr>
        <w:t>5G</w:t>
      </w:r>
      <w:r>
        <w:rPr/>
        <w:t>应用大规模进入社会生产和生 活的方方面面，行业移动智能终端的应用场景将进一步丰富、市场规模将进一步扩大。</w:t>
      </w:r>
    </w:p>
    <w:p>
      <w:pPr>
        <w:pStyle w:val="BodyText"/>
        <w:spacing w:line="316" w:lineRule="auto" w:before="31"/>
        <w:ind w:right="1051" w:firstLine="360"/>
        <w:jc w:val="both"/>
      </w:pPr>
      <w:r>
        <w:rPr/>
        <w:t>公司作为国内领先的行业智能移动信息化解决方案提供商，近年来一直致力于以具有竞争力的软硬件核心技术及产品、 丰富的行业信息化经验助推我国金融、交通、生产制造、仓储、医疗卫生、行政执法等行业的数字化升级进程。报告期内， 公司在诸多新兴行业领域的应用市场拓展成效显著，也进一步丰富了行业智能应用软硬件产品开发和实施部署经验。</w:t>
      </w:r>
    </w:p>
    <w:p>
      <w:pPr>
        <w:spacing w:line="300" w:lineRule="auto" w:before="19"/>
        <w:ind w:left="513" w:right="113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）海外市场发展前景广阔，尤其是海外新兴市场对智能终端需求量激增</w:t>
      </w:r>
      <w:r>
        <w:rPr>
          <w:rFonts w:ascii="宋体" w:hAnsi="宋体" w:cs="宋体" w:eastAsia="宋体" w:hint="default"/>
          <w:b/>
          <w:bCs/>
          <w:w w:val="99"/>
          <w:sz w:val="18"/>
          <w:szCs w:val="18"/>
        </w:rPr>
        <w:t> </w:t>
      </w:r>
      <w:r>
        <w:rPr>
          <w:rFonts w:ascii="宋体" w:hAnsi="宋体" w:cs="宋体" w:eastAsia="宋体" w:hint="default"/>
          <w:spacing w:val="-2"/>
          <w:sz w:val="18"/>
          <w:szCs w:val="18"/>
        </w:rPr>
        <w:t>相比于我国，印度、东南亚、中东、南美洲和非洲等国家和地区的电商、物流及移动支付等发展非常落后，网络零售在</w:t>
      </w:r>
    </w:p>
    <w:p>
      <w:pPr>
        <w:pStyle w:val="BodyText"/>
        <w:spacing w:line="316" w:lineRule="auto" w:before="31"/>
        <w:ind w:right="1129"/>
        <w:jc w:val="left"/>
      </w:pPr>
      <w:r>
        <w:rPr>
          <w:spacing w:val="-2"/>
        </w:rPr>
        <w:t>总零售额中占比极低，第三方物流收入规模及电子支付规模远小于我国，其他行业领域的智能信息化水平更是与我国相差甚</w:t>
      </w:r>
      <w:r>
        <w:rPr>
          <w:spacing w:val="-64"/>
        </w:rPr>
        <w:t> </w:t>
      </w:r>
      <w:r>
        <w:rPr>
          <w:spacing w:val="-64"/>
        </w:rPr>
      </w:r>
      <w:r>
        <w:rPr>
          <w:spacing w:val="-2"/>
        </w:rPr>
        <w:t>远。近年来，这些国家和地区电子商务及电子支付市场开始逐步兴起，零售、交通、医疗、能源、行政执法等传统行业领域</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7"/>
        <w:jc w:val="both"/>
      </w:pPr>
      <w:r>
        <w:rPr/>
        <w:t>对智能移动支付终端和智能移动数据终端的需求也开始快速增长。瑞士信贷发表报告称</w:t>
      </w:r>
      <w:r>
        <w:rPr>
          <w:rFonts w:ascii="Times New Roman" w:hAnsi="Times New Roman" w:cs="Times New Roman" w:eastAsia="Times New Roman" w:hint="default"/>
        </w:rPr>
        <w:t>2023</w:t>
      </w:r>
      <w:r>
        <w:rPr/>
        <w:t>年印度移动支付市场将成长到</w:t>
      </w:r>
      <w:r>
        <w:rPr>
          <w:rFonts w:ascii="Times New Roman" w:hAnsi="Times New Roman" w:cs="Times New Roman" w:eastAsia="Times New Roman" w:hint="default"/>
        </w:rPr>
        <w:t>1 </w:t>
      </w:r>
      <w:r>
        <w:rPr/>
        <w:t>兆美元。随着移动支付全球化发展的不断加快，移动支付在海外拥有不可限量的发展潜力。</w:t>
      </w:r>
    </w:p>
    <w:p>
      <w:pPr>
        <w:pStyle w:val="BodyText"/>
        <w:spacing w:line="309" w:lineRule="auto" w:before="31"/>
        <w:ind w:right="1129" w:firstLine="360"/>
        <w:jc w:val="left"/>
      </w:pPr>
      <w:r>
        <w:rPr>
          <w:spacing w:val="-2"/>
        </w:rPr>
        <w:t>报告期内，公司按照年度经营计划进一步加大了海外市场开拓力度，公司产品在海外市场的认可度显著提升，海外市场</w:t>
      </w:r>
      <w:r>
        <w:rPr/>
        <w:t> 拓展的成效显著，海外市场销售额继续保持较快增长，较上年同期增长</w:t>
      </w:r>
      <w:r>
        <w:rPr>
          <w:rFonts w:ascii="Times New Roman" w:hAnsi="Times New Roman" w:cs="Times New Roman" w:eastAsia="Times New Roman" w:hint="default"/>
        </w:rPr>
        <w:t>39.02%</w:t>
      </w:r>
      <w:r>
        <w:rPr/>
        <w:t>，主要销售市场集中在印度、东南亚、南美 洲、欧洲和俄罗斯。</w:t>
      </w:r>
    </w:p>
    <w:p>
      <w:pPr>
        <w:spacing w:line="300" w:lineRule="auto" w:before="24"/>
        <w:ind w:left="513" w:right="1131"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）物流快递行业仍将保持较高的增速但竞争激烈，</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新物流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模式带来利润和服务的提升</w:t>
      </w:r>
      <w:r>
        <w:rPr>
          <w:rFonts w:ascii="宋体" w:hAnsi="宋体" w:cs="宋体" w:eastAsia="宋体" w:hint="default"/>
          <w:b/>
          <w:bCs/>
          <w:w w:val="99"/>
          <w:sz w:val="18"/>
          <w:szCs w:val="18"/>
        </w:rPr>
        <w:t> </w:t>
      </w:r>
      <w:r>
        <w:rPr>
          <w:rFonts w:ascii="宋体" w:hAnsi="宋体" w:cs="宋体" w:eastAsia="宋体" w:hint="default"/>
          <w:spacing w:val="-2"/>
          <w:sz w:val="18"/>
          <w:szCs w:val="18"/>
        </w:rPr>
        <w:t>我国快递物流行业高速增长多年后，至今依然保持着较快的增速，未来</w:t>
      </w:r>
      <w:r>
        <w:rPr>
          <w:rFonts w:ascii="Times New Roman" w:hAnsi="Times New Roman" w:cs="Times New Roman" w:eastAsia="Times New Roman" w:hint="default"/>
          <w:spacing w:val="-2"/>
          <w:sz w:val="18"/>
          <w:szCs w:val="18"/>
        </w:rPr>
        <w:t>3-5</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6"/>
          <w:sz w:val="18"/>
          <w:szCs w:val="18"/>
        </w:rPr>
        <w:t> </w:t>
      </w:r>
      <w:r>
        <w:rPr>
          <w:rFonts w:ascii="宋体" w:hAnsi="宋体" w:cs="宋体" w:eastAsia="宋体" w:hint="default"/>
          <w:spacing w:val="-2"/>
          <w:sz w:val="18"/>
          <w:szCs w:val="18"/>
        </w:rPr>
        <w:t>年快递行业仍将保持</w:t>
      </w:r>
      <w:r>
        <w:rPr>
          <w:rFonts w:ascii="Times New Roman" w:hAnsi="Times New Roman" w:cs="Times New Roman" w:eastAsia="Times New Roman" w:hint="default"/>
          <w:spacing w:val="-2"/>
          <w:sz w:val="18"/>
          <w:szCs w:val="18"/>
        </w:rPr>
        <w:t>15-20%</w:t>
      </w:r>
      <w:r>
        <w:rPr>
          <w:rFonts w:ascii="宋体" w:hAnsi="宋体" w:cs="宋体" w:eastAsia="宋体" w:hint="default"/>
          <w:spacing w:val="-2"/>
          <w:sz w:val="18"/>
          <w:szCs w:val="18"/>
        </w:rPr>
        <w:t>的复合增速，主</w:t>
      </w:r>
    </w:p>
    <w:p>
      <w:pPr>
        <w:pStyle w:val="BodyText"/>
        <w:spacing w:line="307" w:lineRule="auto" w:before="13"/>
        <w:ind w:right="1131"/>
        <w:jc w:val="both"/>
      </w:pPr>
      <w:r>
        <w:rPr/>
        <w:t>要驱动力在于：</w:t>
      </w:r>
      <w:r>
        <w:rPr>
          <w:rFonts w:ascii="Times New Roman" w:hAnsi="Times New Roman" w:cs="Times New Roman" w:eastAsia="Times New Roman" w:hint="default"/>
        </w:rPr>
        <w:t>1</w:t>
      </w:r>
      <w:r>
        <w:rPr/>
        <w:t>）长尾品类在传统电商的渗透率持续提升，传统电商预计维持</w:t>
      </w:r>
      <w:r>
        <w:rPr>
          <w:rFonts w:ascii="Times New Roman" w:hAnsi="Times New Roman" w:cs="Times New Roman" w:eastAsia="Times New Roman" w:hint="default"/>
        </w:rPr>
        <w:t>20%</w:t>
      </w:r>
      <w:r>
        <w:rPr/>
        <w:t>增长；</w:t>
      </w:r>
      <w:r>
        <w:rPr>
          <w:rFonts w:ascii="Times New Roman" w:hAnsi="Times New Roman" w:cs="Times New Roman" w:eastAsia="Times New Roman" w:hint="default"/>
        </w:rPr>
        <w:t>2</w:t>
      </w:r>
      <w:r>
        <w:rPr/>
        <w:t>）新型电商平台崛起；</w:t>
      </w:r>
      <w:r>
        <w:rPr>
          <w:rFonts w:ascii="Times New Roman" w:hAnsi="Times New Roman" w:cs="Times New Roman" w:eastAsia="Times New Roman" w:hint="default"/>
        </w:rPr>
        <w:t>3</w:t>
      </w:r>
      <w:r>
        <w:rPr/>
        <w:t>）快递 </w:t>
      </w:r>
      <w:r>
        <w:rPr>
          <w:spacing w:val="-2"/>
        </w:rPr>
        <w:t>市场内部结构性增长贡献新增量。与此同时，快递单价大幅度下降的时代已经结束，未来行业将更加依赖于信息化应用实现</w:t>
      </w:r>
      <w:r>
        <w:rPr>
          <w:spacing w:val="-64"/>
        </w:rPr>
        <w:t> </w:t>
      </w:r>
      <w:r>
        <w:rPr>
          <w:spacing w:val="-64"/>
        </w:rPr>
      </w:r>
      <w:r>
        <w:rPr>
          <w:spacing w:val="-3"/>
        </w:rPr>
        <w:t>降本增效。如何加强供应链管理、精准控制库存、智能配送、提升现有物流服务水平则成为亟待解决的主要课题</w:t>
      </w:r>
      <w:r>
        <w:rPr>
          <w:rFonts w:ascii="Times New Roman" w:hAnsi="Times New Roman" w:cs="Times New Roman" w:eastAsia="Times New Roman" w:hint="default"/>
          <w:spacing w:val="-3"/>
        </w:rPr>
        <w:t>——</w:t>
      </w:r>
      <w:r>
        <w:rPr>
          <w:spacing w:val="-3"/>
        </w:rPr>
        <w:t>构建</w:t>
      </w:r>
      <w:r>
        <w:rPr>
          <w:rFonts w:ascii="Times New Roman" w:hAnsi="Times New Roman" w:cs="Times New Roman" w:eastAsia="Times New Roman" w:hint="default"/>
          <w:spacing w:val="-3"/>
        </w:rPr>
        <w:t>“</w:t>
      </w:r>
      <w:r>
        <w:rPr>
          <w:spacing w:val="-3"/>
        </w:rPr>
        <w:t>新</w:t>
      </w:r>
      <w:r>
        <w:rPr>
          <w:spacing w:val="-88"/>
        </w:rPr>
        <w:t> </w:t>
      </w:r>
      <w:r>
        <w:rPr/>
        <w:t>物流</w:t>
      </w:r>
      <w:r>
        <w:rPr>
          <w:rFonts w:ascii="Times New Roman" w:hAnsi="Times New Roman" w:cs="Times New Roman" w:eastAsia="Times New Roman" w:hint="default"/>
        </w:rPr>
        <w:t>”</w:t>
      </w:r>
      <w:r>
        <w:rPr/>
        <w:t>。从数字化的角度出发，新物流需要基于行业全链条的大数据向智能化、自动化优化升级，利用智能化设备实现智能 </w:t>
      </w:r>
      <w:r>
        <w:rPr>
          <w:spacing w:val="-2"/>
        </w:rPr>
        <w:t>仓储、智能运输、智能物流等全方位服务。目前国内各大电商巨头和快递公司已开始从智能终端和大数据系统入手，实现物</w:t>
      </w:r>
      <w:r>
        <w:rPr>
          <w:spacing w:val="-64"/>
        </w:rPr>
        <w:t> </w:t>
      </w:r>
      <w:r>
        <w:rPr>
          <w:spacing w:val="-64"/>
        </w:rPr>
      </w:r>
      <w:r>
        <w:rPr/>
        <w:t>流体系的改造升级，提高物流配送效率和消费者体验。</w:t>
      </w:r>
    </w:p>
    <w:p>
      <w:pPr>
        <w:pStyle w:val="BodyText"/>
        <w:spacing w:line="316" w:lineRule="auto" w:before="26"/>
        <w:ind w:right="1129" w:firstLine="360"/>
        <w:jc w:val="left"/>
      </w:pPr>
      <w:r>
        <w:rPr>
          <w:spacing w:val="-2"/>
        </w:rPr>
        <w:t>报告期内，公司进一步加深与国内物流快递、电商及零售企业的合作，以提升物流配送效率和消费者体验为出发点，协</w:t>
      </w:r>
      <w:r>
        <w:rPr/>
        <w:t> 助其打造</w:t>
      </w:r>
      <w:r>
        <w:rPr>
          <w:spacing w:val="-20"/>
        </w:rPr>
        <w:t> </w:t>
      </w:r>
      <w:r>
        <w:rPr>
          <w:rFonts w:ascii="Times New Roman" w:hAnsi="Times New Roman" w:cs="Times New Roman" w:eastAsia="Times New Roman" w:hint="default"/>
        </w:rPr>
        <w:t>“</w:t>
      </w:r>
      <w:r>
        <w:rPr/>
        <w:t>新物流</w:t>
      </w:r>
      <w:r>
        <w:rPr>
          <w:rFonts w:ascii="Times New Roman" w:hAnsi="Times New Roman" w:cs="Times New Roman" w:eastAsia="Times New Roman" w:hint="default"/>
        </w:rPr>
        <w:t>”</w:t>
      </w:r>
      <w:r>
        <w:rPr/>
        <w:t>模式。</w:t>
      </w:r>
    </w:p>
    <w:p>
      <w:pPr>
        <w:spacing w:line="300" w:lineRule="auto" w:before="0"/>
        <w:ind w:left="513" w:right="1129"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）在</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新零售</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的浪潮下，零售行业需要进一步加快数字化升级</w:t>
      </w:r>
      <w:r>
        <w:rPr>
          <w:rFonts w:ascii="宋体" w:hAnsi="宋体" w:cs="宋体" w:eastAsia="宋体" w:hint="default"/>
          <w:b/>
          <w:bCs/>
          <w:w w:val="99"/>
          <w:sz w:val="18"/>
          <w:szCs w:val="18"/>
        </w:rPr>
        <w:t> </w:t>
      </w:r>
      <w:r>
        <w:rPr>
          <w:rFonts w:ascii="宋体" w:hAnsi="宋体" w:cs="宋体" w:eastAsia="宋体" w:hint="default"/>
          <w:spacing w:val="-2"/>
          <w:sz w:val="18"/>
          <w:szCs w:val="18"/>
        </w:rPr>
        <w:t>新零售时代，纯线下和纯线上零售企业的发展相继遭遇瓶颈。在激烈的市场竞争中，迅速感知消费者需求并且及时回应</w:t>
      </w:r>
    </w:p>
    <w:p>
      <w:pPr>
        <w:pStyle w:val="BodyText"/>
        <w:spacing w:line="312" w:lineRule="auto" w:before="31"/>
        <w:ind w:right="1034"/>
        <w:jc w:val="left"/>
      </w:pPr>
      <w:r>
        <w:rPr>
          <w:spacing w:val="-2"/>
        </w:rPr>
        <w:t>是关键。在存量市场中，经营效率是企业竞争力的核心要素，数字化改造实现全渠道发展是提升经营效率的主要方法。对于</w:t>
      </w:r>
      <w:r>
        <w:rPr>
          <w:spacing w:val="-64"/>
        </w:rPr>
        <w:t> </w:t>
      </w:r>
      <w:r>
        <w:rPr>
          <w:spacing w:val="-64"/>
        </w:rPr>
      </w:r>
      <w:r>
        <w:rPr/>
        <w:t>线下传统零售企业，数字化改造增加线上获客渠道，推动线下扩张；而对于线上零售企业，在线下门店和终端消费者之间， 取代远程派送、调货，缩短和顾客之间的距离，数字化改造库存体系达到生产即发货的目的。近年来，智能</w:t>
      </w:r>
      <w:r>
        <w:rPr>
          <w:rFonts w:ascii="Times New Roman" w:hAnsi="Times New Roman" w:cs="Times New Roman" w:eastAsia="Times New Roman" w:hint="default"/>
        </w:rPr>
        <w:t>POS</w:t>
      </w:r>
      <w:r>
        <w:rPr/>
        <w:t>作为商户核 </w:t>
      </w:r>
      <w:r>
        <w:rPr>
          <w:spacing w:val="-2"/>
        </w:rPr>
        <w:t>心业务管理平台和数据入口的功能属性进一步强化，除了聚合支付，进销存管理、会员管理、订单管理、卡券营销、外卖团</w:t>
      </w:r>
      <w:r>
        <w:rPr>
          <w:spacing w:val="-68"/>
        </w:rPr>
        <w:t> </w:t>
      </w:r>
      <w:r>
        <w:rPr>
          <w:spacing w:val="-68"/>
        </w:rPr>
      </w:r>
      <w:r>
        <w:rPr/>
        <w:t>购、快速开票等增值服务功能进一步普及应用。智能</w:t>
      </w:r>
      <w:r>
        <w:rPr>
          <w:rFonts w:ascii="Times New Roman" w:hAnsi="Times New Roman" w:cs="Times New Roman" w:eastAsia="Times New Roman" w:hint="default"/>
        </w:rPr>
        <w:t>POS</w:t>
      </w:r>
      <w:r>
        <w:rPr/>
        <w:t>终端市场将会在新零售的浪潮下继续蓬勃发展，市场空间有望进一 步释放。</w:t>
      </w:r>
    </w:p>
    <w:p>
      <w:pPr>
        <w:pStyle w:val="BodyText"/>
        <w:spacing w:line="319" w:lineRule="auto" w:before="22"/>
        <w:ind w:right="1133" w:firstLine="360"/>
        <w:jc w:val="left"/>
      </w:pPr>
      <w:r>
        <w:rPr>
          <w:spacing w:val="-2"/>
        </w:rPr>
        <w:t>报告期内，公司与国内主要银行和第三方支付平台继续保持良好合作，新增中标了多个国有大行的项目；另外，公司的</w:t>
      </w:r>
      <w:r>
        <w:rPr/>
        <w:t> 智能</w:t>
      </w:r>
      <w:r>
        <w:rPr>
          <w:rFonts w:ascii="Times New Roman" w:hAnsi="Times New Roman" w:cs="Times New Roman" w:eastAsia="Times New Roman" w:hint="default"/>
        </w:rPr>
        <w:t>POS</w:t>
      </w:r>
      <w:r>
        <w:rPr/>
        <w:t>产品在印度等海外市场的销量继续保持了较快增速。</w:t>
      </w:r>
    </w:p>
    <w:p>
      <w:pPr>
        <w:pStyle w:val="BodyText"/>
        <w:spacing w:line="302" w:lineRule="auto"/>
        <w:ind w:right="1124" w:firstLine="360"/>
        <w:jc w:val="left"/>
      </w:pPr>
      <w:r>
        <w:rPr>
          <w:rFonts w:ascii="宋体" w:hAnsi="宋体" w:cs="宋体" w:eastAsia="宋体" w:hint="default"/>
          <w:b/>
          <w:bCs/>
        </w:rPr>
        <w:t>（</w:t>
      </w:r>
      <w:r>
        <w:rPr>
          <w:rFonts w:ascii="Times New Roman" w:hAnsi="Times New Roman" w:cs="Times New Roman" w:eastAsia="Times New Roman" w:hint="default"/>
          <w:b/>
          <w:bCs/>
        </w:rPr>
        <w:t>5</w:t>
      </w:r>
      <w:r>
        <w:rPr>
          <w:rFonts w:ascii="宋体" w:hAnsi="宋体" w:cs="宋体" w:eastAsia="宋体" w:hint="default"/>
          <w:b/>
          <w:bCs/>
        </w:rPr>
        <w:t>）国内医疗</w:t>
      </w:r>
      <w:r>
        <w:rPr>
          <w:rFonts w:ascii="Times New Roman" w:hAnsi="Times New Roman" w:cs="Times New Roman" w:eastAsia="Times New Roman" w:hint="default"/>
          <w:b/>
          <w:bCs/>
        </w:rPr>
        <w:t>IT</w:t>
      </w:r>
      <w:r>
        <w:rPr>
          <w:rFonts w:ascii="宋体" w:hAnsi="宋体" w:cs="宋体" w:eastAsia="宋体" w:hint="default"/>
          <w:b/>
          <w:bCs/>
        </w:rPr>
        <w:t>进入全面建设阶段，智慧医疗的应用空间逐步打开</w:t>
      </w:r>
      <w:r>
        <w:rPr>
          <w:rFonts w:ascii="宋体" w:hAnsi="宋体" w:cs="宋体" w:eastAsia="宋体" w:hint="default"/>
          <w:b/>
          <w:bCs/>
          <w:w w:val="99"/>
        </w:rPr>
        <w:t> </w:t>
      </w:r>
      <w:r>
        <w:rPr>
          <w:spacing w:val="-2"/>
        </w:rPr>
        <w:t>数字医疗是</w:t>
      </w:r>
      <w:r>
        <w:rPr>
          <w:rFonts w:ascii="Times New Roman" w:hAnsi="Times New Roman" w:cs="Times New Roman" w:eastAsia="Times New Roman" w:hint="default"/>
          <w:spacing w:val="-2"/>
        </w:rPr>
        <w:t>“</w:t>
      </w:r>
      <w:r>
        <w:rPr>
          <w:spacing w:val="-2"/>
        </w:rPr>
        <w:t>产业互联网</w:t>
      </w:r>
      <w:r>
        <w:rPr>
          <w:rFonts w:ascii="Times New Roman" w:hAnsi="Times New Roman" w:cs="Times New Roman" w:eastAsia="Times New Roman" w:hint="default"/>
          <w:spacing w:val="-2"/>
        </w:rPr>
        <w:t>”</w:t>
      </w:r>
      <w:r>
        <w:rPr>
          <w:spacing w:val="-2"/>
        </w:rPr>
        <w:t>在医疗领域的体现，是数字化时代医疗行业的大趋势。随着物联网技术日趋成熟，医疗物联网开始</w:t>
      </w:r>
      <w:r>
        <w:rPr>
          <w:spacing w:val="-45"/>
        </w:rPr>
        <w:t> </w:t>
      </w:r>
      <w:r>
        <w:rPr>
          <w:spacing w:val="-45"/>
        </w:rPr>
      </w:r>
      <w:r>
        <w:rPr>
          <w:spacing w:val="-2"/>
        </w:rPr>
        <w:t>呈现加速发展的迹象，国内的领先医院正在其医疗系统中更多的部署物联网应用。具体来看，医疗物联网应用现今主要体现</w:t>
      </w:r>
      <w:r>
        <w:rPr>
          <w:spacing w:val="-63"/>
        </w:rPr>
        <w:t> </w:t>
      </w:r>
      <w:r>
        <w:rPr>
          <w:spacing w:val="-63"/>
        </w:rPr>
      </w:r>
      <w:r>
        <w:rPr>
          <w:spacing w:val="-2"/>
        </w:rPr>
        <w:t>在以下方面：</w:t>
      </w:r>
      <w:r>
        <w:rPr>
          <w:rFonts w:ascii="Times New Roman" w:hAnsi="Times New Roman" w:cs="Times New Roman" w:eastAsia="Times New Roman" w:hint="default"/>
          <w:spacing w:val="-2"/>
        </w:rPr>
        <w:t>1</w:t>
      </w:r>
      <w:r>
        <w:rPr>
          <w:spacing w:val="-2"/>
        </w:rPr>
        <w:t>）实时采集病患体征数据，帮助医护人员做出更全面准确的诊断或更及时的预防，提升智能化水平；</w:t>
      </w:r>
      <w:r>
        <w:rPr>
          <w:rFonts w:ascii="Times New Roman" w:hAnsi="Times New Roman" w:cs="Times New Roman" w:eastAsia="Times New Roman" w:hint="default"/>
          <w:spacing w:val="-2"/>
        </w:rPr>
        <w:t>2</w:t>
      </w:r>
      <w:r>
        <w:rPr>
          <w:spacing w:val="-2"/>
        </w:rPr>
        <w:t>）更便</w:t>
      </w:r>
      <w:r>
        <w:rPr>
          <w:spacing w:val="-65"/>
        </w:rPr>
        <w:t> </w:t>
      </w:r>
      <w:r>
        <w:rPr>
          <w:spacing w:val="-65"/>
        </w:rPr>
      </w:r>
      <w:r>
        <w:rPr/>
        <w:t>捷的获取患者身份、定位等信息，降低错误用药等事故的发生概率，在需要急救时及时找到患者，确保患者安全；</w:t>
      </w:r>
      <w:r>
        <w:rPr>
          <w:rFonts w:ascii="Times New Roman" w:hAnsi="Times New Roman" w:cs="Times New Roman" w:eastAsia="Times New Roman" w:hint="default"/>
        </w:rPr>
        <w:t>3</w:t>
      </w:r>
      <w:r>
        <w:rPr/>
        <w:t>）采集</w:t>
      </w:r>
      <w:r>
        <w:rPr>
          <w:spacing w:val="-87"/>
        </w:rPr>
        <w:t> </w:t>
      </w:r>
      <w:r>
        <w:rPr/>
        <w:t>医疗设备运行数据，更高效的对其进行运营维护；</w:t>
      </w:r>
      <w:r>
        <w:rPr>
          <w:rFonts w:ascii="Times New Roman" w:hAnsi="Times New Roman" w:cs="Times New Roman" w:eastAsia="Times New Roman" w:hint="default"/>
        </w:rPr>
        <w:t>4</w:t>
      </w:r>
      <w:r>
        <w:rPr/>
        <w:t>）对药品、耗材、血液等进行跟踪管理，确保更准确的与患者匹配，同 时提升资产管理水平。</w:t>
      </w:r>
    </w:p>
    <w:p>
      <w:pPr>
        <w:pStyle w:val="BodyText"/>
        <w:spacing w:line="316" w:lineRule="auto" w:before="29"/>
        <w:ind w:right="0" w:firstLine="360"/>
        <w:jc w:val="left"/>
      </w:pPr>
      <w:r>
        <w:rPr>
          <w:spacing w:val="-4"/>
        </w:rPr>
        <w:t>突发公共医疗卫生事件的发生也是医疗信息化的催化剂，快速、全面、精确的数据采集和分析是高效管理和决策的前提，</w:t>
      </w:r>
      <w:r>
        <w:rPr/>
        <w:t> 未来全球各国可能会加大医疗等领域数字化基础设施的投资与采购力度。</w:t>
      </w:r>
    </w:p>
    <w:p>
      <w:pPr>
        <w:pStyle w:val="BodyText"/>
        <w:spacing w:line="240" w:lineRule="auto" w:before="19"/>
        <w:ind w:left="513" w:right="1133"/>
        <w:jc w:val="left"/>
      </w:pPr>
      <w:r>
        <w:rPr/>
        <w:t>报告期内，公司继续着力加强在医疗信息化领域的投入，目前已取得了初步成效。</w:t>
      </w:r>
    </w:p>
    <w:p>
      <w:pPr>
        <w:spacing w:line="340" w:lineRule="auto" w:before="77"/>
        <w:ind w:left="513" w:right="112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、公司自身的竞争优势驱动因素</w:t>
      </w:r>
      <w:r>
        <w:rPr>
          <w:rFonts w:ascii="宋体" w:hAnsi="宋体" w:cs="宋体" w:eastAsia="宋体" w:hint="default"/>
          <w:b/>
          <w:bCs/>
          <w:w w:val="99"/>
          <w:sz w:val="18"/>
          <w:szCs w:val="18"/>
        </w:rPr>
        <w:t> </w:t>
      </w:r>
      <w:r>
        <w:rPr>
          <w:rFonts w:ascii="宋体" w:hAnsi="宋体" w:cs="宋体" w:eastAsia="宋体" w:hint="default"/>
          <w:spacing w:val="-2"/>
          <w:sz w:val="18"/>
          <w:szCs w:val="18"/>
        </w:rPr>
        <w:t>经过十余年的发展，公司在行业级智能移动应用领域积累了具有核心竞争力的软硬件技术，同时建立起稳定完善的营销</w:t>
      </w:r>
    </w:p>
    <w:p>
      <w:pPr>
        <w:pStyle w:val="BodyText"/>
        <w:spacing w:line="316" w:lineRule="auto" w:before="1"/>
        <w:ind w:right="1130"/>
        <w:jc w:val="both"/>
      </w:pPr>
      <w:r>
        <w:rPr>
          <w:spacing w:val="-2"/>
        </w:rPr>
        <w:t>服务网络。报告期内，公司进一步加强智能终端与重点行业领域的融合应用，持续开展新的智能终端及行业应用软件产品研</w:t>
      </w:r>
      <w:r>
        <w:rPr>
          <w:spacing w:val="-66"/>
        </w:rPr>
        <w:t> </w:t>
      </w:r>
      <w:r>
        <w:rPr>
          <w:spacing w:val="-66"/>
        </w:rPr>
      </w:r>
      <w:r>
        <w:rPr>
          <w:spacing w:val="-2"/>
        </w:rPr>
        <w:t>发，以技术创新推动产品核心竞争力的提高、质量的完善优化和行业应用的深化。同时，公司积极探索人工智能技术及相关</w:t>
      </w:r>
      <w:r>
        <w:rPr>
          <w:spacing w:val="-63"/>
        </w:rPr>
        <w:t> </w:t>
      </w:r>
      <w:r>
        <w:rPr>
          <w:spacing w:val="-63"/>
        </w:rPr>
      </w:r>
      <w:r>
        <w:rPr/>
        <w:t>软硬件产品、解决方案在新零售和智慧物流等行业场景的应用。</w:t>
      </w:r>
    </w:p>
    <w:p>
      <w:pPr>
        <w:pStyle w:val="BodyText"/>
        <w:spacing w:line="316" w:lineRule="auto" w:before="57"/>
        <w:ind w:right="1131" w:firstLine="360"/>
        <w:jc w:val="both"/>
      </w:pPr>
      <w:r>
        <w:rPr>
          <w:spacing w:val="-2"/>
        </w:rPr>
        <w:t>行业级智能移动终端产品具有较强的通用性，不同国家和地区对其软硬件功能方面的需求差异不大。基于多年的技术和</w:t>
      </w:r>
      <w:r>
        <w:rPr/>
        <w:t> </w:t>
      </w:r>
      <w:r>
        <w:rPr>
          <w:spacing w:val="-2"/>
        </w:rPr>
        <w:t>产品开发经验积累，公司产品功能不断完善、产品质量不断提升，且已具备较强的国际通用性。凭借产品突出的技术性能优</w:t>
      </w:r>
      <w:r>
        <w:rPr>
          <w:spacing w:val="-65"/>
        </w:rPr>
        <w:t> </w:t>
      </w:r>
      <w:r>
        <w:rPr>
          <w:spacing w:val="-65"/>
        </w:rPr>
      </w:r>
      <w:r>
        <w:rPr/>
        <w:t>势和价格优势，公司通过自建渠道、与海外代理商及合作伙伴合作等方式，逐步构建起海外销售和服务网络。</w:t>
      </w:r>
    </w:p>
    <w:p>
      <w:pPr>
        <w:pStyle w:val="Heading4"/>
        <w:spacing w:line="240" w:lineRule="auto"/>
        <w:ind w:right="1133"/>
        <w:jc w:val="left"/>
        <w:rPr>
          <w:b w:val="0"/>
          <w:bCs w:val="0"/>
        </w:rPr>
      </w:pPr>
      <w:r>
        <w:rPr/>
        <w:t>（四）公司所属行业的发展阶段、周期性特点以及公司所处的行业地位</w:t>
      </w:r>
      <w:r>
        <w:rPr>
          <w:b w:val="0"/>
          <w:bCs w:val="0"/>
        </w:rPr>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b/>
          <w:bCs/>
          <w:sz w:val="25"/>
          <w:szCs w:val="25"/>
        </w:rPr>
      </w:pPr>
    </w:p>
    <w:p>
      <w:pPr>
        <w:spacing w:line="300" w:lineRule="auto" w:before="44"/>
        <w:ind w:left="513" w:right="112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、公司所属行业的发展情况</w:t>
      </w:r>
      <w:r>
        <w:rPr>
          <w:rFonts w:ascii="宋体" w:hAnsi="宋体" w:cs="宋体" w:eastAsia="宋体" w:hint="default"/>
          <w:b/>
          <w:bCs/>
          <w:w w:val="99"/>
          <w:sz w:val="18"/>
          <w:szCs w:val="18"/>
        </w:rPr>
        <w:t> </w:t>
      </w:r>
      <w:r>
        <w:rPr>
          <w:rFonts w:ascii="宋体" w:hAnsi="宋体" w:cs="宋体" w:eastAsia="宋体" w:hint="default"/>
          <w:spacing w:val="-2"/>
          <w:sz w:val="18"/>
          <w:szCs w:val="18"/>
        </w:rPr>
        <w:t>智能移动信息化应用解决方案是企业信息化系统的核心组成部分之一，以智能移动终端为载体，结合自动数据读取、移</w:t>
      </w:r>
    </w:p>
    <w:p>
      <w:pPr>
        <w:pStyle w:val="BodyText"/>
        <w:spacing w:line="316" w:lineRule="auto" w:before="31"/>
        <w:ind w:right="1130"/>
        <w:jc w:val="both"/>
      </w:pPr>
      <w:r>
        <w:rPr>
          <w:spacing w:val="-2"/>
        </w:rPr>
        <w:t>动通讯及数据库等技术，通过在企业核心业务操作流程中进行实时数据采集，并与企业信息化系统进行信息交互后，进行数</w:t>
      </w:r>
      <w:r>
        <w:rPr>
          <w:spacing w:val="-63"/>
        </w:rPr>
        <w:t> </w:t>
      </w:r>
      <w:r>
        <w:rPr>
          <w:spacing w:val="-63"/>
        </w:rPr>
      </w:r>
      <w:r>
        <w:rPr>
          <w:spacing w:val="-2"/>
        </w:rPr>
        <w:t>据处理及分析，协助企业进行业务流程的精细化管理。移动信息化应用解决方案已经被广泛应用在包括物流管理、供应链管</w:t>
      </w:r>
      <w:r>
        <w:rPr>
          <w:spacing w:val="-63"/>
        </w:rPr>
        <w:t> </w:t>
      </w:r>
      <w:r>
        <w:rPr>
          <w:spacing w:val="-63"/>
        </w:rPr>
      </w:r>
      <w:r>
        <w:rPr/>
        <w:t>理、零售连锁管理、质量追溯管理、人员管理等领域，成为企业信息化系统中不可缺少的组成部分。</w:t>
      </w:r>
    </w:p>
    <w:p>
      <w:pPr>
        <w:pStyle w:val="BodyText"/>
        <w:spacing w:line="300" w:lineRule="auto" w:before="19"/>
        <w:ind w:right="1115" w:firstLine="360"/>
        <w:jc w:val="left"/>
      </w:pPr>
      <w:r>
        <w:rPr/>
        <w:t>以物联网技术为核心的智能移动信息化应用将加速渗透到生产和生活各个环节，</w:t>
      </w:r>
      <w:r>
        <w:rPr>
          <w:rFonts w:ascii="Times New Roman" w:hAnsi="Times New Roman" w:cs="Times New Roman" w:eastAsia="Times New Roman" w:hint="default"/>
        </w:rPr>
        <w:t>5G</w:t>
      </w:r>
      <w:r>
        <w:rPr>
          <w:rFonts w:ascii="Times New Roman" w:hAnsi="Times New Roman" w:cs="Times New Roman" w:eastAsia="Times New Roman" w:hint="default"/>
          <w:spacing w:val="14"/>
        </w:rPr>
        <w:t> </w:t>
      </w:r>
      <w:r>
        <w:rPr/>
        <w:t>及人工智能技术应用的推进发展也 必将带来新一波的设备更新升级大潮。</w:t>
      </w:r>
    </w:p>
    <w:p>
      <w:pPr>
        <w:pStyle w:val="BodyText"/>
        <w:spacing w:line="300" w:lineRule="auto" w:before="31"/>
        <w:ind w:left="513" w:right="1133"/>
        <w:jc w:val="left"/>
      </w:pPr>
      <w:r>
        <w:rPr>
          <w:rFonts w:ascii="Times New Roman" w:hAnsi="Times New Roman" w:cs="Times New Roman" w:eastAsia="Times New Roman" w:hint="default"/>
          <w:b/>
          <w:bCs/>
        </w:rPr>
        <w:t>2</w:t>
      </w:r>
      <w:r>
        <w:rPr>
          <w:rFonts w:ascii="宋体" w:hAnsi="宋体" w:cs="宋体" w:eastAsia="宋体" w:hint="default"/>
          <w:b/>
          <w:bCs/>
        </w:rPr>
        <w:t>、公司所处的行业地位</w:t>
      </w:r>
      <w:r>
        <w:rPr>
          <w:rFonts w:ascii="宋体" w:hAnsi="宋体" w:cs="宋体" w:eastAsia="宋体" w:hint="default"/>
          <w:b/>
          <w:bCs/>
          <w:w w:val="99"/>
        </w:rPr>
        <w:t> </w:t>
      </w:r>
      <w:r>
        <w:rPr/>
        <w:t>从国外市场来看，包括斑马（</w:t>
      </w:r>
      <w:r>
        <w:rPr>
          <w:rFonts w:ascii="Times New Roman" w:hAnsi="Times New Roman" w:cs="Times New Roman" w:eastAsia="Times New Roman" w:hint="default"/>
        </w:rPr>
        <w:t>Zebra</w:t>
      </w:r>
      <w:r>
        <w:rPr/>
        <w:t>）、霍尼韦尔</w:t>
      </w:r>
      <w:r>
        <w:rPr>
          <w:rFonts w:ascii="Times New Roman" w:hAnsi="Times New Roman" w:cs="Times New Roman" w:eastAsia="Times New Roman" w:hint="default"/>
        </w:rPr>
        <w:t>(Honeywell)</w:t>
      </w:r>
      <w:r>
        <w:rPr/>
        <w:t>、得利捷（</w:t>
      </w:r>
      <w:r>
        <w:rPr>
          <w:rFonts w:ascii="Times New Roman" w:hAnsi="Times New Roman" w:cs="Times New Roman" w:eastAsia="Times New Roman" w:hint="default"/>
        </w:rPr>
        <w:t>Datalogic</w:t>
      </w:r>
      <w:r>
        <w:rPr/>
        <w:t>）、惠尔丰（</w:t>
      </w:r>
      <w:r>
        <w:rPr>
          <w:rFonts w:ascii="Times New Roman" w:hAnsi="Times New Roman" w:cs="Times New Roman" w:eastAsia="Times New Roman" w:hint="default"/>
        </w:rPr>
        <w:t>VeriFone</w:t>
      </w:r>
      <w:r>
        <w:rPr/>
        <w:t>）、银捷尼科</w:t>
      </w:r>
    </w:p>
    <w:p>
      <w:pPr>
        <w:pStyle w:val="BodyText"/>
        <w:spacing w:line="300" w:lineRule="auto" w:before="13"/>
        <w:ind w:left="513" w:right="0" w:hanging="361"/>
        <w:jc w:val="left"/>
      </w:pPr>
      <w:r>
        <w:rPr>
          <w:spacing w:val="-2"/>
        </w:rPr>
        <w:t>（</w:t>
      </w:r>
      <w:r>
        <w:rPr>
          <w:rFonts w:ascii="Times New Roman" w:hAnsi="Times New Roman" w:cs="Times New Roman" w:eastAsia="Times New Roman" w:hint="default"/>
          <w:spacing w:val="-2"/>
        </w:rPr>
        <w:t>Ingenico</w:t>
      </w:r>
      <w:r>
        <w:rPr>
          <w:spacing w:val="-2"/>
        </w:rPr>
        <w:t>）在内的欧美国家知名品牌占据了较高的市场份额，但主要收入来自欧美地区，在亚太地区的竞争优势并不显著。</w:t>
      </w:r>
      <w:r>
        <w:rPr>
          <w:spacing w:val="-58"/>
        </w:rPr>
        <w:t> </w:t>
      </w:r>
      <w:r>
        <w:rPr>
          <w:spacing w:val="-58"/>
        </w:rPr>
      </w:r>
      <w:r>
        <w:rPr>
          <w:spacing w:val="-4"/>
        </w:rPr>
        <w:t>国内市场行业竞争参与者众多，市场集中度较低，呈现充分竞争的状态。除公司外，福建新大陆自动识别技术有限公司、</w:t>
      </w:r>
    </w:p>
    <w:p>
      <w:pPr>
        <w:pStyle w:val="BodyText"/>
        <w:spacing w:line="319" w:lineRule="auto" w:before="31"/>
        <w:ind w:right="1131"/>
        <w:jc w:val="both"/>
      </w:pPr>
      <w:r>
        <w:rPr>
          <w:spacing w:val="-2"/>
        </w:rPr>
        <w:t>新大陆支付技术有限公司、深圳市新国都技术股份有限公司、百富环球科技有限公司、江苏东大集成电路系统工程技术有限</w:t>
      </w:r>
      <w:r>
        <w:rPr>
          <w:spacing w:val="-65"/>
        </w:rPr>
        <w:t> </w:t>
      </w:r>
      <w:r>
        <w:rPr>
          <w:spacing w:val="-65"/>
        </w:rPr>
      </w:r>
      <w:r>
        <w:rPr/>
        <w:t>公司、福建联迪商用设备有限公司等企业也占据较强的市场地位。</w:t>
      </w:r>
    </w:p>
    <w:p>
      <w:pPr>
        <w:pStyle w:val="BodyText"/>
        <w:spacing w:line="316" w:lineRule="auto" w:before="58"/>
        <w:ind w:right="1034" w:firstLine="360"/>
        <w:jc w:val="left"/>
      </w:pPr>
      <w:r>
        <w:rPr>
          <w:spacing w:val="-2"/>
        </w:rPr>
        <w:t>公司作为国内最早提供行业智能移动信息化解决方案的厂商之一，在国内市场具备较强的先发优势，尤其是在智能移动</w:t>
      </w:r>
      <w:r>
        <w:rPr/>
        <w:t> 信息化应用最早的物流快递和电商行业，公司产品具有较高的知名度，占有较高的市场份额，处于市场领先地位。近年来， </w:t>
      </w:r>
      <w:r>
        <w:rPr>
          <w:spacing w:val="-2"/>
        </w:rPr>
        <w:t>公司海外市场拓展成效显著，海外市场收入占总体收入的比重逐年上升，尤其在印度、东南亚、欧洲、俄罗斯及南美洲市场</w:t>
      </w:r>
      <w:r>
        <w:rPr>
          <w:spacing w:val="-67"/>
        </w:rPr>
        <w:t> </w:t>
      </w:r>
      <w:r>
        <w:rPr>
          <w:spacing w:val="-67"/>
        </w:rPr>
      </w:r>
      <w:r>
        <w:rPr/>
        <w:t>保持了较快的增速。</w:t>
      </w:r>
    </w:p>
    <w:p>
      <w:pPr>
        <w:spacing w:line="240" w:lineRule="auto" w:before="9"/>
        <w:rPr>
          <w:rFonts w:ascii="宋体" w:hAnsi="宋体" w:cs="宋体" w:eastAsia="宋体" w:hint="default"/>
          <w:sz w:val="20"/>
          <w:szCs w:val="20"/>
        </w:rPr>
      </w:pPr>
    </w:p>
    <w:p>
      <w:pPr>
        <w:pStyle w:val="Heading2"/>
        <w:spacing w:line="240" w:lineRule="auto"/>
        <w:ind w:right="0"/>
        <w:jc w:val="both"/>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0"/>
        <w:gridCol w:w="6519"/>
      </w:tblGrid>
      <w:tr>
        <w:trPr>
          <w:trHeight w:val="185" w:hRule="exact"/>
        </w:trPr>
        <w:tc>
          <w:tcPr>
            <w:tcW w:w="305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0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无重要变化</w:t>
            </w: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158.77%</w:t>
            </w:r>
            <w:r>
              <w:rPr>
                <w:rFonts w:ascii="宋体" w:hAnsi="宋体" w:cs="宋体" w:eastAsia="宋体" w:hint="default"/>
                <w:sz w:val="18"/>
                <w:szCs w:val="18"/>
              </w:rPr>
              <w:t>，因本报告期末并购子公司所致</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721.89%</w:t>
            </w:r>
            <w:r>
              <w:rPr>
                <w:rFonts w:ascii="宋体" w:hAnsi="宋体" w:cs="宋体" w:eastAsia="宋体" w:hint="default"/>
                <w:sz w:val="18"/>
                <w:szCs w:val="18"/>
              </w:rPr>
              <w:t>，因本报告期末并购子公司所致</w:t>
            </w: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无重要变化</w:t>
            </w:r>
          </w:p>
        </w:tc>
      </w:tr>
      <w:tr>
        <w:trPr>
          <w:trHeight w:val="715"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35"/>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，因本报告期根据新准则要求列报所致</w:t>
            </w: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52.64%</w:t>
            </w:r>
            <w:r>
              <w:rPr>
                <w:rFonts w:ascii="宋体" w:hAnsi="宋体" w:cs="宋体" w:eastAsia="宋体" w:hint="default"/>
                <w:sz w:val="18"/>
                <w:szCs w:val="18"/>
              </w:rPr>
              <w:t>，因本报告期内加大应收账款的清收所致</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60.26%</w:t>
            </w:r>
            <w:r>
              <w:rPr>
                <w:rFonts w:ascii="宋体" w:hAnsi="宋体" w:cs="宋体" w:eastAsia="宋体" w:hint="default"/>
                <w:sz w:val="18"/>
                <w:szCs w:val="18"/>
              </w:rPr>
              <w:t>，因本报告期内客户改变结算方式，减少票据结算所致</w:t>
            </w: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，因本报告期内采用新修订的财务报表格式列报所致</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273.32%</w:t>
            </w:r>
            <w:r>
              <w:rPr>
                <w:rFonts w:ascii="宋体" w:hAnsi="宋体" w:cs="宋体" w:eastAsia="宋体" w:hint="default"/>
                <w:sz w:val="18"/>
                <w:szCs w:val="18"/>
              </w:rPr>
              <w:t>，因本报告期末应收出口退税额增加所致</w:t>
            </w: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106.91%</w:t>
            </w:r>
            <w:r>
              <w:rPr>
                <w:rFonts w:ascii="宋体" w:hAnsi="宋体" w:cs="宋体" w:eastAsia="宋体" w:hint="default"/>
                <w:sz w:val="18"/>
                <w:szCs w:val="18"/>
              </w:rPr>
              <w:t>，因本报告期末增加预付备料款所致</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475.68%</w:t>
            </w:r>
            <w:r>
              <w:rPr>
                <w:rFonts w:ascii="宋体" w:hAnsi="宋体" w:cs="宋体" w:eastAsia="宋体" w:hint="default"/>
                <w:sz w:val="18"/>
                <w:szCs w:val="18"/>
              </w:rPr>
              <w:t>，因预缴企业所得税、待抵扣进项税留存所致</w:t>
            </w: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471.23%</w:t>
            </w:r>
            <w:r>
              <w:rPr>
                <w:rFonts w:ascii="宋体" w:hAnsi="宋体" w:cs="宋体" w:eastAsia="宋体" w:hint="default"/>
                <w:sz w:val="18"/>
                <w:szCs w:val="18"/>
              </w:rPr>
              <w:t>，因本报告期末并购子公司所致</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82.64%</w:t>
            </w:r>
            <w:r>
              <w:rPr>
                <w:rFonts w:ascii="宋体" w:hAnsi="宋体" w:cs="宋体" w:eastAsia="宋体" w:hint="default"/>
                <w:sz w:val="18"/>
                <w:szCs w:val="18"/>
              </w:rPr>
              <w:t>，因本报告期末并购子公司所致</w:t>
            </w: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，因本报告期内执行新金融工具准则所致</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6"/>
        <w:ind w:right="1133"/>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6"/>
        <w:gridCol w:w="778"/>
        <w:gridCol w:w="1277"/>
        <w:gridCol w:w="1135"/>
        <w:gridCol w:w="1275"/>
        <w:gridCol w:w="852"/>
        <w:gridCol w:w="1066"/>
        <w:gridCol w:w="1064"/>
        <w:gridCol w:w="1058"/>
      </w:tblGrid>
      <w:tr>
        <w:trPr>
          <w:trHeight w:val="1027"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8" w:right="75" w:hanging="270"/>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3"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92"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3"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9"/>
              <w:jc w:val="both"/>
              <w:rPr>
                <w:rFonts w:ascii="宋体" w:hAnsi="宋体" w:cs="宋体" w:eastAsia="宋体" w:hint="default"/>
                <w:sz w:val="18"/>
                <w:szCs w:val="18"/>
              </w:rPr>
            </w:pPr>
            <w:r>
              <w:rPr>
                <w:rFonts w:ascii="宋体" w:hAnsi="宋体" w:cs="宋体" w:eastAsia="宋体" w:hint="default"/>
                <w:sz w:val="18"/>
                <w:szCs w:val="18"/>
              </w:rPr>
              <w:t>保障资产 安全性的 控制措施</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4" w:right="72"/>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香港优博讯</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41,859,331.12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-5,096,837.50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马来西亚优 博讯</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2,328.52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9"/>
              <w:jc w:val="left"/>
              <w:rPr>
                <w:rFonts w:ascii="宋体" w:hAnsi="宋体" w:cs="宋体" w:eastAsia="宋体" w:hint="default"/>
                <w:sz w:val="18"/>
                <w:szCs w:val="18"/>
              </w:rPr>
            </w:pPr>
            <w:r>
              <w:rPr>
                <w:rFonts w:ascii="宋体" w:hAnsi="宋体" w:cs="宋体" w:eastAsia="宋体" w:hint="default"/>
                <w:sz w:val="18"/>
                <w:szCs w:val="18"/>
              </w:rPr>
              <w:t>马来西亚吉 隆坡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-11,839.46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0.0002%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其他情况说 明</w:t>
            </w:r>
          </w:p>
        </w:tc>
        <w:tc>
          <w:tcPr>
            <w:tcW w:w="8505" w:type="dxa"/>
            <w:gridSpan w:val="8"/>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香港优博讯自</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年起成为公司全资子公司，为公司境外销售及采购平台；</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日公司第二届董 </w:t>
            </w:r>
            <w:r>
              <w:rPr>
                <w:rFonts w:ascii="宋体" w:hAnsi="宋体" w:cs="宋体" w:eastAsia="宋体" w:hint="default"/>
                <w:spacing w:val="-1"/>
                <w:sz w:val="18"/>
                <w:szCs w:val="18"/>
              </w:rPr>
              <w:t>事会第十四次会议审议通过《关于公司拟受让子公司香港优博讯持有马来西亚优博讯</w:t>
            </w:r>
            <w:r>
              <w:rPr>
                <w:rFonts w:ascii="宋体" w:hAnsi="宋体" w:cs="宋体" w:eastAsia="宋体" w:hint="default"/>
                <w:spacing w:val="-28"/>
                <w:sz w:val="18"/>
                <w:szCs w:val="18"/>
              </w:rPr>
              <w:t> </w:t>
            </w:r>
            <w:r>
              <w:rPr>
                <w:rFonts w:ascii="Times New Roman" w:hAnsi="Times New Roman" w:cs="Times New Roman" w:eastAsia="Times New Roman" w:hint="default"/>
                <w:spacing w:val="-9"/>
                <w:sz w:val="18"/>
                <w:szCs w:val="18"/>
              </w:rPr>
              <w:t>100%</w:t>
            </w:r>
            <w:r>
              <w:rPr>
                <w:rFonts w:ascii="宋体" w:hAnsi="宋体" w:cs="宋体" w:eastAsia="宋体" w:hint="default"/>
                <w:spacing w:val="-9"/>
                <w:sz w:val="18"/>
                <w:szCs w:val="18"/>
              </w:rPr>
              <w:t>股权的议案》，股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权转让完成后，马来西亚优博讯为公司的全资子公司，上述变化不影响公司合并报表范围。</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3" w:firstLine="360"/>
        <w:jc w:val="left"/>
      </w:pPr>
      <w:r>
        <w:rPr>
          <w:spacing w:val="-2"/>
        </w:rPr>
        <w:t>报告期内，公司结合行业发展趋势，提升自身能力，积极顺应行业的变化，抓住行业发展机遇，布局智能移动信息化新</w:t>
      </w:r>
      <w:r>
        <w:rPr/>
        <w:t> 兴领域，向战略升级进一步迈进。</w:t>
      </w:r>
    </w:p>
    <w:p>
      <w:pPr>
        <w:pStyle w:val="Heading4"/>
        <w:spacing w:line="240" w:lineRule="auto"/>
        <w:ind w:right="1133"/>
        <w:jc w:val="left"/>
        <w:rPr>
          <w:b w:val="0"/>
          <w:bCs w:val="0"/>
        </w:rPr>
      </w:pPr>
      <w:r>
        <w:rPr>
          <w:rFonts w:ascii="Times New Roman" w:hAnsi="Times New Roman" w:cs="Times New Roman" w:eastAsia="Times New Roman" w:hint="default"/>
        </w:rPr>
        <w:t>1</w:t>
      </w:r>
      <w:r>
        <w:rPr/>
        <w:t>、技术及产品优势</w:t>
      </w:r>
      <w:r>
        <w:rPr>
          <w:b w:val="0"/>
          <w:bCs w:val="0"/>
        </w:rPr>
      </w:r>
    </w:p>
    <w:p>
      <w:pPr>
        <w:pStyle w:val="BodyText"/>
        <w:spacing w:line="300" w:lineRule="auto" w:before="63"/>
        <w:ind w:left="513" w:right="0"/>
        <w:jc w:val="left"/>
      </w:pPr>
      <w:r>
        <w:rPr/>
        <w:t>（</w:t>
      </w:r>
      <w:r>
        <w:rPr>
          <w:rFonts w:ascii="Times New Roman" w:hAnsi="Times New Roman" w:cs="Times New Roman" w:eastAsia="Times New Roman" w:hint="default"/>
        </w:rPr>
        <w:t>1</w:t>
      </w:r>
      <w:r>
        <w:rPr/>
        <w:t>）研发与技术优势 </w:t>
      </w:r>
      <w:r>
        <w:rPr>
          <w:spacing w:val="-2"/>
        </w:rPr>
        <w:t>公司拥有一支结构合理、专业能力较强、具有协作精神的技术研发队伍，为公司持续研发及保持技术领先奠定了坚实的</w:t>
      </w:r>
    </w:p>
    <w:p>
      <w:pPr>
        <w:pStyle w:val="BodyText"/>
        <w:spacing w:line="316" w:lineRule="auto" w:before="31"/>
        <w:ind w:left="513" w:right="1129" w:hanging="361"/>
        <w:jc w:val="left"/>
      </w:pPr>
      <w:r>
        <w:rPr/>
        <w:t>基础。公司关键技术人员稳定，报告期内未发生变化。 </w:t>
      </w:r>
      <w:r>
        <w:rPr>
          <w:spacing w:val="-2"/>
        </w:rPr>
        <w:t>公司自设立以来一直专注于智能移动信息化应用解决方案的技术研究与产品开发，逐步掌握了条码信息软解码技术、无</w:t>
      </w:r>
    </w:p>
    <w:p>
      <w:pPr>
        <w:pStyle w:val="BodyText"/>
        <w:spacing w:line="319" w:lineRule="auto" w:before="19"/>
        <w:ind w:right="1034"/>
        <w:jc w:val="left"/>
      </w:pPr>
      <w:r>
        <w:rPr/>
        <w:t>线传输抗干扰技术、移动应用设备远程升级管理框架技术及移动信息安全体系等多项先进技术，公司先后建成省级、市级、 </w:t>
      </w:r>
      <w:r>
        <w:rPr>
          <w:spacing w:val="-2"/>
        </w:rPr>
        <w:t>区级工程技术研究中心，并先后承担了工信部物联网发展专项、科技部科技型中小企业技术创新基金项目、深圳市新一代信</w:t>
      </w:r>
      <w:r>
        <w:rPr>
          <w:spacing w:val="-63"/>
        </w:rPr>
        <w:t> </w:t>
      </w:r>
      <w:r>
        <w:rPr>
          <w:spacing w:val="-63"/>
        </w:rPr>
      </w:r>
      <w:r>
        <w:rPr/>
        <w:t>息技术及互联网产业发展专项等多个重大科技项目。</w:t>
      </w:r>
    </w:p>
    <w:p>
      <w:pPr>
        <w:pStyle w:val="BodyText"/>
        <w:spacing w:line="300" w:lineRule="auto" w:before="17"/>
        <w:ind w:right="1124" w:firstLine="360"/>
        <w:jc w:val="left"/>
      </w:pPr>
      <w:r>
        <w:rPr/>
        <w:t>截至报告期末，公司（不含佳博科技及其子公司）累计获得专利</w:t>
      </w:r>
      <w:r>
        <w:rPr>
          <w:rFonts w:ascii="Times New Roman" w:hAnsi="Times New Roman" w:cs="Times New Roman" w:eastAsia="Times New Roman" w:hint="default"/>
        </w:rPr>
        <w:t>58</w:t>
      </w:r>
      <w:r>
        <w:rPr/>
        <w:t>项、计算机软件著作权</w:t>
      </w:r>
      <w:r>
        <w:rPr>
          <w:rFonts w:ascii="Times New Roman" w:hAnsi="Times New Roman" w:cs="Times New Roman" w:eastAsia="Times New Roman" w:hint="default"/>
        </w:rPr>
        <w:t>185</w:t>
      </w:r>
      <w:r>
        <w:rPr/>
        <w:t>项，报告期内新增专利</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项、新增软件著作权</w:t>
      </w:r>
      <w:r>
        <w:rPr>
          <w:rFonts w:ascii="Times New Roman" w:hAnsi="Times New Roman" w:cs="Times New Roman" w:eastAsia="Times New Roman" w:hint="default"/>
        </w:rPr>
        <w:t>38</w:t>
      </w:r>
      <w:r>
        <w:rPr/>
        <w:t>项。报告期新增知识产权情况如下：</w:t>
      </w:r>
    </w:p>
    <w:p>
      <w:pPr>
        <w:pStyle w:val="BodyText"/>
        <w:spacing w:line="240" w:lineRule="auto" w:before="13"/>
        <w:ind w:left="513" w:right="1133"/>
        <w:jc w:val="left"/>
      </w:pPr>
      <w:r>
        <w:rPr/>
        <w:t>取得的专利证书具体情况如下：</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13"/>
        <w:gridCol w:w="3826"/>
        <w:gridCol w:w="1136"/>
        <w:gridCol w:w="1416"/>
        <w:gridCol w:w="1419"/>
        <w:gridCol w:w="1433"/>
      </w:tblGrid>
      <w:tr>
        <w:trPr>
          <w:trHeight w:val="329" w:hRule="exact"/>
        </w:trPr>
        <w:tc>
          <w:tcPr>
            <w:tcW w:w="4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8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1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4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专利号</w:t>
            </w:r>
          </w:p>
        </w:tc>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授权公告日</w:t>
            </w:r>
          </w:p>
        </w:tc>
        <w:tc>
          <w:tcPr>
            <w:tcW w:w="14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权利人</w:t>
            </w:r>
          </w:p>
        </w:tc>
      </w:tr>
      <w:tr>
        <w:trPr>
          <w:trHeight w:val="365" w:hRule="exact"/>
        </w:trPr>
        <w:tc>
          <w:tcPr>
            <w:tcW w:w="41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1</w:t>
            </w:r>
          </w:p>
        </w:tc>
        <w:tc>
          <w:tcPr>
            <w:tcW w:w="382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2"/>
              <w:ind w:left="2" w:right="0"/>
              <w:jc w:val="left"/>
              <w:rPr>
                <w:rFonts w:ascii="宋体" w:hAnsi="宋体" w:cs="宋体" w:eastAsia="宋体" w:hint="default"/>
                <w:sz w:val="18"/>
                <w:szCs w:val="18"/>
              </w:rPr>
            </w:pPr>
            <w:r>
              <w:rPr>
                <w:rFonts w:ascii="宋体" w:hAnsi="宋体" w:cs="宋体" w:eastAsia="宋体" w:hint="default"/>
                <w:sz w:val="18"/>
                <w:szCs w:val="18"/>
              </w:rPr>
              <w:t>一种车载移动支付终端</w:t>
            </w:r>
          </w:p>
        </w:tc>
        <w:tc>
          <w:tcPr>
            <w:tcW w:w="113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1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201821265073.3</w:t>
            </w:r>
          </w:p>
        </w:tc>
        <w:tc>
          <w:tcPr>
            <w:tcW w:w="141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143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优博讯</w:t>
            </w:r>
          </w:p>
        </w:tc>
      </w:tr>
      <w:tr>
        <w:trPr>
          <w:trHeight w:val="348"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w:t>
            </w:r>
          </w:p>
        </w:tc>
        <w:tc>
          <w:tcPr>
            <w:tcW w:w="3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一种移动机器人自主充电装置</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201821491927.X</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优博讯</w:t>
            </w:r>
          </w:p>
        </w:tc>
      </w:tr>
      <w:tr>
        <w:trPr>
          <w:trHeight w:val="346"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w:t>
            </w:r>
          </w:p>
        </w:tc>
        <w:tc>
          <w:tcPr>
            <w:tcW w:w="3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一种用于智能终端的背夹</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201821857868.3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优博讯</w:t>
            </w:r>
          </w:p>
        </w:tc>
      </w:tr>
      <w:tr>
        <w:trPr>
          <w:trHeight w:val="348"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w:t>
            </w:r>
          </w:p>
        </w:tc>
        <w:tc>
          <w:tcPr>
            <w:tcW w:w="3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一种用于出租车的车费支付系统</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201822022221.5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优博讯</w:t>
            </w:r>
          </w:p>
        </w:tc>
      </w:tr>
      <w:tr>
        <w:trPr>
          <w:trHeight w:val="346"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w:t>
            </w:r>
          </w:p>
        </w:tc>
        <w:tc>
          <w:tcPr>
            <w:tcW w:w="3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一种移动智能终端</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201821970349.8</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优博讯</w:t>
            </w:r>
          </w:p>
        </w:tc>
      </w:tr>
      <w:tr>
        <w:trPr>
          <w:trHeight w:val="348"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6</w:t>
            </w:r>
          </w:p>
        </w:tc>
        <w:tc>
          <w:tcPr>
            <w:tcW w:w="3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防水充电顶针及设备</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201821973990.7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优博讯</w:t>
            </w:r>
          </w:p>
        </w:tc>
      </w:tr>
      <w:tr>
        <w:trPr>
          <w:trHeight w:val="348"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w:t>
            </w:r>
          </w:p>
        </w:tc>
        <w:tc>
          <w:tcPr>
            <w:tcW w:w="3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一种多电源输入电路</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201821970301.7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优博讯</w:t>
            </w:r>
          </w:p>
        </w:tc>
      </w:tr>
      <w:tr>
        <w:trPr>
          <w:trHeight w:val="346"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8</w:t>
            </w:r>
          </w:p>
        </w:tc>
        <w:tc>
          <w:tcPr>
            <w:tcW w:w="3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一种手持数据采集终端及装置</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201821979249.1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优博讯</w:t>
            </w:r>
          </w:p>
        </w:tc>
      </w:tr>
      <w:tr>
        <w:trPr>
          <w:trHeight w:val="348"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9</w:t>
            </w:r>
          </w:p>
        </w:tc>
        <w:tc>
          <w:tcPr>
            <w:tcW w:w="3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一种移动终端</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201821970316.3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优博讯</w:t>
            </w:r>
          </w:p>
        </w:tc>
      </w:tr>
      <w:tr>
        <w:trPr>
          <w:trHeight w:val="346"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10</w:t>
            </w:r>
          </w:p>
        </w:tc>
        <w:tc>
          <w:tcPr>
            <w:tcW w:w="3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一种扫描模组及电子设备</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201821970059.3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优博讯</w:t>
            </w:r>
          </w:p>
        </w:tc>
      </w:tr>
      <w:tr>
        <w:trPr>
          <w:trHeight w:val="348"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11</w:t>
            </w:r>
          </w:p>
        </w:tc>
        <w:tc>
          <w:tcPr>
            <w:tcW w:w="3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扫码支付设备</w:t>
            </w:r>
            <w:r>
              <w:rPr>
                <w:rFonts w:ascii="Times New Roman" w:hAnsi="Times New Roman" w:cs="Times New Roman" w:eastAsia="Times New Roman" w:hint="default"/>
                <w:sz w:val="18"/>
                <w:szCs w:val="18"/>
              </w:rPr>
              <w:t>Q500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201830696380.6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优博讯</w:t>
            </w:r>
          </w:p>
        </w:tc>
      </w:tr>
      <w:tr>
        <w:trPr>
          <w:trHeight w:val="348"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12</w:t>
            </w:r>
          </w:p>
        </w:tc>
        <w:tc>
          <w:tcPr>
            <w:tcW w:w="3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一种移动智能支付终端</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201822149127.6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优博讯</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13"/>
        <w:gridCol w:w="3826"/>
        <w:gridCol w:w="1136"/>
        <w:gridCol w:w="1416"/>
        <w:gridCol w:w="1419"/>
        <w:gridCol w:w="1433"/>
      </w:tblGrid>
      <w:tr>
        <w:trPr>
          <w:trHeight w:val="348"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13</w:t>
            </w:r>
          </w:p>
        </w:tc>
        <w:tc>
          <w:tcPr>
            <w:tcW w:w="3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一种单芯片驱动多组</w:t>
            </w:r>
            <w:r>
              <w:rPr>
                <w:rFonts w:ascii="Times New Roman" w:hAnsi="Times New Roman" w:cs="Times New Roman" w:eastAsia="Times New Roman" w:hint="default"/>
                <w:sz w:val="18"/>
                <w:szCs w:val="18"/>
              </w:rPr>
              <w:t>NFC</w:t>
            </w:r>
            <w:r>
              <w:rPr>
                <w:rFonts w:ascii="宋体" w:hAnsi="宋体" w:cs="宋体" w:eastAsia="宋体" w:hint="default"/>
                <w:sz w:val="18"/>
                <w:szCs w:val="18"/>
              </w:rPr>
              <w:t>芯片电路及电子设备</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201822148782.X</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优博讯</w:t>
            </w:r>
          </w:p>
        </w:tc>
      </w:tr>
      <w:tr>
        <w:trPr>
          <w:trHeight w:val="346"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14</w:t>
            </w:r>
          </w:p>
        </w:tc>
        <w:tc>
          <w:tcPr>
            <w:tcW w:w="3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一种卡托结构及电子设备</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201920286345.6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优博讯</w:t>
            </w:r>
          </w:p>
        </w:tc>
      </w:tr>
      <w:tr>
        <w:trPr>
          <w:trHeight w:val="348"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15</w:t>
            </w:r>
          </w:p>
        </w:tc>
        <w:tc>
          <w:tcPr>
            <w:tcW w:w="3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一种连接器结构</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201920294541.8</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01</w:t>
            </w:r>
            <w:r>
              <w:rPr>
                <w:rFonts w:ascii="宋体" w:hAnsi="宋体" w:cs="宋体" w:eastAsia="宋体" w:hint="default"/>
                <w:sz w:val="18"/>
                <w:szCs w:val="18"/>
              </w:rPr>
              <w:t>日</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优博讯</w:t>
            </w:r>
          </w:p>
        </w:tc>
      </w:tr>
      <w:tr>
        <w:trPr>
          <w:trHeight w:val="346"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16</w:t>
            </w:r>
          </w:p>
        </w:tc>
        <w:tc>
          <w:tcPr>
            <w:tcW w:w="3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智能移动数据终端（</w:t>
            </w:r>
            <w:r>
              <w:rPr>
                <w:rFonts w:ascii="Times New Roman" w:hAnsi="Times New Roman" w:cs="Times New Roman" w:eastAsia="Times New Roman" w:hint="default"/>
                <w:sz w:val="18"/>
                <w:szCs w:val="18"/>
              </w:rPr>
              <w:t>DT50</w:t>
            </w:r>
            <w:r>
              <w:rPr>
                <w:rFonts w:ascii="宋体" w:hAnsi="宋体" w:cs="宋体" w:eastAsia="宋体" w:hint="default"/>
                <w:sz w:val="18"/>
                <w:szCs w:val="18"/>
              </w:rPr>
              <w:t>）</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201930268832.5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优博讯</w:t>
            </w:r>
          </w:p>
        </w:tc>
      </w:tr>
      <w:tr>
        <w:trPr>
          <w:trHeight w:val="348"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17</w:t>
            </w:r>
          </w:p>
        </w:tc>
        <w:tc>
          <w:tcPr>
            <w:tcW w:w="3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防水卡托</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201920769243.X</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优博讯、东普</w:t>
            </w:r>
          </w:p>
        </w:tc>
      </w:tr>
    </w:tbl>
    <w:p>
      <w:pPr>
        <w:pStyle w:val="BodyText"/>
        <w:spacing w:line="240" w:lineRule="auto" w:before="8"/>
        <w:ind w:left="513" w:right="1133"/>
        <w:jc w:val="left"/>
      </w:pPr>
      <w:r>
        <w:rPr/>
        <w:t>取得的计算机软件著作权登记证书情况如下：</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13"/>
        <w:gridCol w:w="3401"/>
        <w:gridCol w:w="1844"/>
        <w:gridCol w:w="1416"/>
        <w:gridCol w:w="1419"/>
        <w:gridCol w:w="1150"/>
      </w:tblGrid>
      <w:tr>
        <w:trPr>
          <w:trHeight w:val="331" w:hRule="exact"/>
        </w:trPr>
        <w:tc>
          <w:tcPr>
            <w:tcW w:w="4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4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18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证书号</w:t>
            </w:r>
          </w:p>
        </w:tc>
        <w:tc>
          <w:tcPr>
            <w:tcW w:w="14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登记日期</w:t>
            </w:r>
          </w:p>
        </w:tc>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登记号</w:t>
            </w:r>
          </w:p>
        </w:tc>
        <w:tc>
          <w:tcPr>
            <w:tcW w:w="11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权利人</w:t>
            </w:r>
          </w:p>
        </w:tc>
      </w:tr>
      <w:tr>
        <w:trPr>
          <w:trHeight w:val="362"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1</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优博讯智能仓储管理系统软件</w:t>
            </w:r>
            <w:r>
              <w:rPr>
                <w:rFonts w:ascii="Times New Roman" w:hAnsi="Times New Roman" w:cs="Times New Roman" w:eastAsia="Times New Roman" w:hint="default"/>
                <w:sz w:val="18"/>
                <w:szCs w:val="18"/>
              </w:rPr>
              <w:t>V1.0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60"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4075692</w:t>
            </w:r>
            <w:r>
              <w:rPr>
                <w:rFonts w:ascii="宋体" w:hAnsi="宋体" w:cs="宋体" w:eastAsia="宋体" w:hint="default"/>
                <w:sz w:val="18"/>
                <w:szCs w:val="18"/>
              </w:rPr>
              <w:t>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sz w:val="18"/>
              </w:rPr>
              <w:t>2019SR0654935</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2"/>
              <w:jc w:val="center"/>
              <w:rPr>
                <w:rFonts w:ascii="宋体" w:hAnsi="宋体" w:cs="宋体" w:eastAsia="宋体" w:hint="default"/>
                <w:sz w:val="18"/>
                <w:szCs w:val="18"/>
              </w:rPr>
            </w:pPr>
            <w:r>
              <w:rPr>
                <w:rFonts w:ascii="宋体" w:hAnsi="宋体" w:cs="宋体" w:eastAsia="宋体" w:hint="default"/>
                <w:sz w:val="18"/>
                <w:szCs w:val="18"/>
              </w:rPr>
              <w:t>优博讯</w:t>
            </w:r>
          </w:p>
        </w:tc>
      </w:tr>
      <w:tr>
        <w:trPr>
          <w:trHeight w:val="348"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优博讯资产条码管理软件</w:t>
            </w:r>
            <w:r>
              <w:rPr>
                <w:rFonts w:ascii="Times New Roman" w:hAnsi="Times New Roman" w:cs="Times New Roman" w:eastAsia="Times New Roman" w:hint="default"/>
                <w:sz w:val="18"/>
                <w:szCs w:val="18"/>
              </w:rPr>
              <w:t>V1.0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0"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4079588</w:t>
            </w:r>
            <w:r>
              <w:rPr>
                <w:rFonts w:ascii="宋体" w:hAnsi="宋体" w:cs="宋体" w:eastAsia="宋体" w:hint="default"/>
                <w:sz w:val="18"/>
                <w:szCs w:val="18"/>
              </w:rPr>
              <w:t>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2019SR0658831</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优博讯</w:t>
            </w:r>
          </w:p>
        </w:tc>
      </w:tr>
      <w:tr>
        <w:trPr>
          <w:trHeight w:val="346"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优博讯年卡会员人脸识别系统软件</w:t>
            </w:r>
            <w:r>
              <w:rPr>
                <w:rFonts w:ascii="Times New Roman" w:hAnsi="Times New Roman" w:cs="Times New Roman" w:eastAsia="Times New Roman" w:hint="default"/>
                <w:sz w:val="18"/>
                <w:szCs w:val="18"/>
              </w:rPr>
              <w:t>V1.0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0"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4077694</w:t>
            </w:r>
            <w:r>
              <w:rPr>
                <w:rFonts w:ascii="宋体" w:hAnsi="宋体" w:cs="宋体" w:eastAsia="宋体" w:hint="default"/>
                <w:sz w:val="18"/>
                <w:szCs w:val="18"/>
              </w:rPr>
              <w:t>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2019SR0656937</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优博讯</w:t>
            </w:r>
          </w:p>
        </w:tc>
      </w:tr>
      <w:tr>
        <w:trPr>
          <w:trHeight w:val="348"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优博讯智能客流分析管理软件</w:t>
            </w:r>
            <w:r>
              <w:rPr>
                <w:rFonts w:ascii="Times New Roman" w:hAnsi="Times New Roman" w:cs="Times New Roman" w:eastAsia="Times New Roman" w:hint="default"/>
                <w:sz w:val="18"/>
                <w:szCs w:val="18"/>
              </w:rPr>
              <w:t>V1.0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0"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4079581</w:t>
            </w:r>
            <w:r>
              <w:rPr>
                <w:rFonts w:ascii="宋体" w:hAnsi="宋体" w:cs="宋体" w:eastAsia="宋体" w:hint="default"/>
                <w:sz w:val="18"/>
                <w:szCs w:val="18"/>
              </w:rPr>
              <w:t>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2019SR0658824</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优博讯</w:t>
            </w:r>
          </w:p>
        </w:tc>
      </w:tr>
      <w:tr>
        <w:trPr>
          <w:trHeight w:val="349"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优博讯</w:t>
            </w:r>
            <w:r>
              <w:rPr>
                <w:rFonts w:ascii="Times New Roman" w:hAnsi="Times New Roman" w:cs="Times New Roman" w:eastAsia="Times New Roman" w:hint="default"/>
                <w:sz w:val="18"/>
                <w:szCs w:val="18"/>
              </w:rPr>
              <w:t>-</w:t>
            </w:r>
            <w:r>
              <w:rPr>
                <w:rFonts w:ascii="宋体" w:hAnsi="宋体" w:cs="宋体" w:eastAsia="宋体" w:hint="default"/>
                <w:sz w:val="18"/>
                <w:szCs w:val="18"/>
              </w:rPr>
              <w:t>东普工业手机仪表盘管理软件</w:t>
            </w:r>
            <w:r>
              <w:rPr>
                <w:rFonts w:ascii="Times New Roman" w:hAnsi="Times New Roman" w:cs="Times New Roman" w:eastAsia="Times New Roman" w:hint="default"/>
                <w:sz w:val="18"/>
                <w:szCs w:val="18"/>
              </w:rPr>
              <w:t>V1.0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60"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4464745</w:t>
            </w:r>
            <w:r>
              <w:rPr>
                <w:rFonts w:ascii="宋体" w:hAnsi="宋体" w:cs="宋体" w:eastAsia="宋体" w:hint="default"/>
                <w:sz w:val="18"/>
                <w:szCs w:val="18"/>
              </w:rPr>
              <w:t>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2019SR1043988</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优博讯、东普</w:t>
            </w:r>
          </w:p>
        </w:tc>
      </w:tr>
      <w:tr>
        <w:trPr>
          <w:trHeight w:val="346"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优博讯</w:t>
            </w:r>
            <w:r>
              <w:rPr>
                <w:rFonts w:ascii="Times New Roman" w:hAnsi="Times New Roman" w:cs="Times New Roman" w:eastAsia="Times New Roman" w:hint="default"/>
                <w:sz w:val="18"/>
                <w:szCs w:val="18"/>
              </w:rPr>
              <w:t>-</w:t>
            </w:r>
            <w:r>
              <w:rPr>
                <w:rFonts w:ascii="宋体" w:hAnsi="宋体" w:cs="宋体" w:eastAsia="宋体" w:hint="default"/>
                <w:sz w:val="18"/>
                <w:szCs w:val="18"/>
              </w:rPr>
              <w:t>东普工业手机权限管理软件</w:t>
            </w:r>
            <w:r>
              <w:rPr>
                <w:rFonts w:ascii="Times New Roman" w:hAnsi="Times New Roman" w:cs="Times New Roman" w:eastAsia="Times New Roman" w:hint="default"/>
                <w:sz w:val="18"/>
                <w:szCs w:val="18"/>
              </w:rPr>
              <w:t>V1.0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0"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4502878</w:t>
            </w:r>
            <w:r>
              <w:rPr>
                <w:rFonts w:ascii="宋体" w:hAnsi="宋体" w:cs="宋体" w:eastAsia="宋体" w:hint="default"/>
                <w:sz w:val="18"/>
                <w:szCs w:val="18"/>
              </w:rPr>
              <w:t>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2019SR1082121</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优博讯、东普</w:t>
            </w:r>
          </w:p>
        </w:tc>
      </w:tr>
      <w:tr>
        <w:trPr>
          <w:trHeight w:val="660"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7</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优博讯</w:t>
            </w:r>
            <w:r>
              <w:rPr>
                <w:rFonts w:ascii="Times New Roman" w:hAnsi="Times New Roman" w:cs="Times New Roman" w:eastAsia="Times New Roman" w:hint="default"/>
                <w:sz w:val="18"/>
                <w:szCs w:val="18"/>
              </w:rPr>
              <w:t>-</w:t>
            </w:r>
            <w:r>
              <w:rPr>
                <w:rFonts w:ascii="宋体" w:hAnsi="宋体" w:cs="宋体" w:eastAsia="宋体" w:hint="default"/>
                <w:sz w:val="18"/>
                <w:szCs w:val="18"/>
              </w:rPr>
              <w:t>东普工业手机应用发布管理软件</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V1.0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0"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4475081</w:t>
            </w:r>
            <w:r>
              <w:rPr>
                <w:rFonts w:ascii="宋体" w:hAnsi="宋体" w:cs="宋体" w:eastAsia="宋体" w:hint="default"/>
                <w:sz w:val="18"/>
                <w:szCs w:val="18"/>
              </w:rPr>
              <w:t>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2019SR1054324</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优博讯、东普</w:t>
            </w:r>
          </w:p>
        </w:tc>
      </w:tr>
      <w:tr>
        <w:trPr>
          <w:trHeight w:val="658"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8</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74"/>
              <w:jc w:val="left"/>
              <w:rPr>
                <w:rFonts w:ascii="Times New Roman" w:hAnsi="Times New Roman" w:cs="Times New Roman" w:eastAsia="Times New Roman" w:hint="default"/>
                <w:sz w:val="18"/>
                <w:szCs w:val="18"/>
              </w:rPr>
            </w:pPr>
            <w:r>
              <w:rPr>
                <w:rFonts w:ascii="宋体" w:hAnsi="宋体" w:cs="宋体" w:eastAsia="宋体" w:hint="default"/>
                <w:sz w:val="18"/>
                <w:szCs w:val="18"/>
              </w:rPr>
              <w:t>优博讯</w:t>
            </w:r>
            <w:r>
              <w:rPr>
                <w:rFonts w:ascii="Times New Roman" w:hAnsi="Times New Roman" w:cs="Times New Roman" w:eastAsia="Times New Roman" w:hint="default"/>
                <w:sz w:val="18"/>
                <w:szCs w:val="18"/>
              </w:rPr>
              <w:t>-</w:t>
            </w:r>
            <w:r>
              <w:rPr>
                <w:rFonts w:ascii="宋体" w:hAnsi="宋体" w:cs="宋体" w:eastAsia="宋体" w:hint="default"/>
                <w:sz w:val="18"/>
                <w:szCs w:val="18"/>
              </w:rPr>
              <w:t>东普工业手机应用发布</w:t>
            </w:r>
            <w:r>
              <w:rPr>
                <w:rFonts w:ascii="Times New Roman" w:hAnsi="Times New Roman" w:cs="Times New Roman" w:eastAsia="Times New Roman" w:hint="default"/>
                <w:sz w:val="18"/>
                <w:szCs w:val="18"/>
              </w:rPr>
              <w:t>OTA</w:t>
            </w:r>
            <w:r>
              <w:rPr>
                <w:rFonts w:ascii="宋体" w:hAnsi="宋体" w:cs="宋体" w:eastAsia="宋体" w:hint="default"/>
                <w:sz w:val="18"/>
                <w:szCs w:val="18"/>
              </w:rPr>
              <w:t>在线升 级管理软件</w:t>
            </w:r>
            <w:r>
              <w:rPr>
                <w:rFonts w:ascii="Times New Roman" w:hAnsi="Times New Roman" w:cs="Times New Roman" w:eastAsia="Times New Roman" w:hint="default"/>
                <w:sz w:val="18"/>
                <w:szCs w:val="18"/>
              </w:rPr>
              <w:t>V1.0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0"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4477800</w:t>
            </w:r>
            <w:r>
              <w:rPr>
                <w:rFonts w:ascii="宋体" w:hAnsi="宋体" w:cs="宋体" w:eastAsia="宋体" w:hint="default"/>
                <w:sz w:val="18"/>
                <w:szCs w:val="18"/>
              </w:rPr>
              <w:t>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2019SR1057043</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优博讯、东普</w:t>
            </w:r>
          </w:p>
        </w:tc>
      </w:tr>
      <w:tr>
        <w:trPr>
          <w:trHeight w:val="660"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9</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优博讯</w:t>
            </w:r>
            <w:r>
              <w:rPr>
                <w:rFonts w:ascii="Times New Roman" w:hAnsi="Times New Roman" w:cs="Times New Roman" w:eastAsia="Times New Roman" w:hint="default"/>
                <w:sz w:val="18"/>
                <w:szCs w:val="18"/>
              </w:rPr>
              <w:t>-</w:t>
            </w:r>
            <w:r>
              <w:rPr>
                <w:rFonts w:ascii="宋体" w:hAnsi="宋体" w:cs="宋体" w:eastAsia="宋体" w:hint="default"/>
                <w:sz w:val="18"/>
                <w:szCs w:val="18"/>
              </w:rPr>
              <w:t>东普工业手机功能启停管理软件</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V1.0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0"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4481463</w:t>
            </w:r>
            <w:r>
              <w:rPr>
                <w:rFonts w:ascii="宋体" w:hAnsi="宋体" w:cs="宋体" w:eastAsia="宋体" w:hint="default"/>
                <w:sz w:val="18"/>
                <w:szCs w:val="18"/>
              </w:rPr>
              <w:t>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2019SR1060706</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优博讯、东普</w:t>
            </w:r>
          </w:p>
        </w:tc>
      </w:tr>
      <w:tr>
        <w:trPr>
          <w:trHeight w:val="660"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10</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优博讯</w:t>
            </w:r>
            <w:r>
              <w:rPr>
                <w:rFonts w:ascii="Times New Roman" w:hAnsi="Times New Roman" w:cs="Times New Roman" w:eastAsia="Times New Roman" w:hint="default"/>
                <w:sz w:val="18"/>
                <w:szCs w:val="18"/>
              </w:rPr>
              <w:t>-</w:t>
            </w:r>
            <w:r>
              <w:rPr>
                <w:rFonts w:ascii="宋体" w:hAnsi="宋体" w:cs="宋体" w:eastAsia="宋体" w:hint="default"/>
                <w:sz w:val="18"/>
                <w:szCs w:val="18"/>
              </w:rPr>
              <w:t>东普工业手机通话历史管理软件</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V1.0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0"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4472680</w:t>
            </w:r>
            <w:r>
              <w:rPr>
                <w:rFonts w:ascii="宋体" w:hAnsi="宋体" w:cs="宋体" w:eastAsia="宋体" w:hint="default"/>
                <w:sz w:val="18"/>
                <w:szCs w:val="18"/>
              </w:rPr>
              <w:t>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2019SR1051923</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优博讯、东普</w:t>
            </w:r>
          </w:p>
        </w:tc>
      </w:tr>
      <w:tr>
        <w:trPr>
          <w:trHeight w:val="658"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11</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优博讯</w:t>
            </w:r>
            <w:r>
              <w:rPr>
                <w:rFonts w:ascii="Times New Roman" w:hAnsi="Times New Roman" w:cs="Times New Roman" w:eastAsia="Times New Roman" w:hint="default"/>
                <w:sz w:val="18"/>
                <w:szCs w:val="18"/>
              </w:rPr>
              <w:t>-</w:t>
            </w:r>
            <w:r>
              <w:rPr>
                <w:rFonts w:ascii="宋体" w:hAnsi="宋体" w:cs="宋体" w:eastAsia="宋体" w:hint="default"/>
                <w:sz w:val="18"/>
                <w:szCs w:val="18"/>
              </w:rPr>
              <w:t>东普工业手机短信历史管理软件</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V1.0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0"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4472765</w:t>
            </w:r>
            <w:r>
              <w:rPr>
                <w:rFonts w:ascii="宋体" w:hAnsi="宋体" w:cs="宋体" w:eastAsia="宋体" w:hint="default"/>
                <w:sz w:val="18"/>
                <w:szCs w:val="18"/>
              </w:rPr>
              <w:t>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2019SR1052008</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优博讯、东普</w:t>
            </w:r>
          </w:p>
        </w:tc>
      </w:tr>
      <w:tr>
        <w:trPr>
          <w:trHeight w:val="660"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12</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82"/>
              <w:jc w:val="left"/>
              <w:rPr>
                <w:rFonts w:ascii="Times New Roman" w:hAnsi="Times New Roman" w:cs="Times New Roman" w:eastAsia="Times New Roman" w:hint="default"/>
                <w:sz w:val="18"/>
                <w:szCs w:val="18"/>
              </w:rPr>
            </w:pPr>
            <w:r>
              <w:rPr>
                <w:rFonts w:ascii="宋体" w:hAnsi="宋体" w:cs="宋体" w:eastAsia="宋体" w:hint="default"/>
                <w:sz w:val="18"/>
                <w:szCs w:val="18"/>
              </w:rPr>
              <w:t>优博讯</w:t>
            </w:r>
            <w:r>
              <w:rPr>
                <w:rFonts w:ascii="Times New Roman" w:hAnsi="Times New Roman" w:cs="Times New Roman" w:eastAsia="Times New Roman" w:hint="default"/>
                <w:sz w:val="18"/>
                <w:szCs w:val="18"/>
              </w:rPr>
              <w:t>-</w:t>
            </w:r>
            <w:r>
              <w:rPr>
                <w:rFonts w:ascii="宋体" w:hAnsi="宋体" w:cs="宋体" w:eastAsia="宋体" w:hint="default"/>
                <w:sz w:val="18"/>
                <w:szCs w:val="18"/>
              </w:rPr>
              <w:t>东普工业手机电量和位置监控管理 软件</w:t>
            </w:r>
            <w:r>
              <w:rPr>
                <w:rFonts w:ascii="Times New Roman" w:hAnsi="Times New Roman" w:cs="Times New Roman" w:eastAsia="Times New Roman" w:hint="default"/>
                <w:sz w:val="18"/>
                <w:szCs w:val="18"/>
              </w:rPr>
              <w:t>V1.0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0"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4493949</w:t>
            </w:r>
            <w:r>
              <w:rPr>
                <w:rFonts w:ascii="宋体" w:hAnsi="宋体" w:cs="宋体" w:eastAsia="宋体" w:hint="default"/>
                <w:sz w:val="18"/>
                <w:szCs w:val="18"/>
              </w:rPr>
              <w:t>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2019SR1073192</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优博讯、东普</w:t>
            </w:r>
          </w:p>
        </w:tc>
      </w:tr>
      <w:tr>
        <w:trPr>
          <w:trHeight w:val="658"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13</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优博讯</w:t>
            </w:r>
            <w:r>
              <w:rPr>
                <w:rFonts w:ascii="Times New Roman" w:hAnsi="Times New Roman" w:cs="Times New Roman" w:eastAsia="Times New Roman" w:hint="default"/>
                <w:sz w:val="18"/>
                <w:szCs w:val="18"/>
              </w:rPr>
              <w:t>-</w:t>
            </w:r>
            <w:r>
              <w:rPr>
                <w:rFonts w:ascii="宋体" w:hAnsi="宋体" w:cs="宋体" w:eastAsia="宋体" w:hint="default"/>
                <w:sz w:val="18"/>
                <w:szCs w:val="18"/>
              </w:rPr>
              <w:t>东普工业手机消息推送管理软件</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V1.0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4477805</w:t>
            </w:r>
            <w:r>
              <w:rPr>
                <w:rFonts w:ascii="宋体" w:hAnsi="宋体" w:cs="宋体" w:eastAsia="宋体" w:hint="default"/>
                <w:sz w:val="18"/>
                <w:szCs w:val="18"/>
              </w:rPr>
              <w:t>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2019SR1057048</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优博讯、东普</w:t>
            </w:r>
          </w:p>
        </w:tc>
      </w:tr>
      <w:tr>
        <w:trPr>
          <w:trHeight w:val="660"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14</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东普</w:t>
            </w:r>
            <w:r>
              <w:rPr>
                <w:rFonts w:ascii="Times New Roman" w:hAnsi="Times New Roman" w:cs="Times New Roman" w:eastAsia="Times New Roman" w:hint="default"/>
                <w:sz w:val="18"/>
                <w:szCs w:val="18"/>
              </w:rPr>
              <w:t>-</w:t>
            </w:r>
            <w:r>
              <w:rPr>
                <w:rFonts w:ascii="宋体" w:hAnsi="宋体" w:cs="宋体" w:eastAsia="宋体" w:hint="default"/>
                <w:sz w:val="18"/>
                <w:szCs w:val="18"/>
              </w:rPr>
              <w:t>优博讯工业手机应用市场管理软件</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V1.0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4493964</w:t>
            </w:r>
            <w:r>
              <w:rPr>
                <w:rFonts w:ascii="宋体" w:hAnsi="宋体" w:cs="宋体" w:eastAsia="宋体" w:hint="default"/>
                <w:sz w:val="18"/>
                <w:szCs w:val="18"/>
              </w:rPr>
              <w:t>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2019SR1073207</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优博讯、东普</w:t>
            </w:r>
          </w:p>
        </w:tc>
      </w:tr>
      <w:tr>
        <w:trPr>
          <w:trHeight w:val="346"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15</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东普</w:t>
            </w:r>
            <w:r>
              <w:rPr>
                <w:rFonts w:ascii="Times New Roman" w:hAnsi="Times New Roman" w:cs="Times New Roman" w:eastAsia="Times New Roman" w:hint="default"/>
                <w:sz w:val="18"/>
                <w:szCs w:val="18"/>
              </w:rPr>
              <w:t>-</w:t>
            </w:r>
            <w:r>
              <w:rPr>
                <w:rFonts w:ascii="宋体" w:hAnsi="宋体" w:cs="宋体" w:eastAsia="宋体" w:hint="default"/>
                <w:sz w:val="18"/>
                <w:szCs w:val="18"/>
              </w:rPr>
              <w:t>优博讯工业手机系统管理软件</w:t>
            </w:r>
            <w:r>
              <w:rPr>
                <w:rFonts w:ascii="Times New Roman" w:hAnsi="Times New Roman" w:cs="Times New Roman" w:eastAsia="Times New Roman" w:hint="default"/>
                <w:sz w:val="18"/>
                <w:szCs w:val="18"/>
              </w:rPr>
              <w:t>V1.0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4482548</w:t>
            </w:r>
            <w:r>
              <w:rPr>
                <w:rFonts w:ascii="宋体" w:hAnsi="宋体" w:cs="宋体" w:eastAsia="宋体" w:hint="default"/>
                <w:sz w:val="18"/>
                <w:szCs w:val="18"/>
              </w:rPr>
              <w:t>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2019SR1061791</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优博讯、东普</w:t>
            </w:r>
          </w:p>
        </w:tc>
      </w:tr>
      <w:tr>
        <w:trPr>
          <w:trHeight w:val="348"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16</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东普</w:t>
            </w:r>
            <w:r>
              <w:rPr>
                <w:rFonts w:ascii="Times New Roman" w:hAnsi="Times New Roman" w:cs="Times New Roman" w:eastAsia="Times New Roman" w:hint="default"/>
                <w:sz w:val="18"/>
                <w:szCs w:val="18"/>
              </w:rPr>
              <w:t>-</w:t>
            </w:r>
            <w:r>
              <w:rPr>
                <w:rFonts w:ascii="宋体" w:hAnsi="宋体" w:cs="宋体" w:eastAsia="宋体" w:hint="default"/>
                <w:sz w:val="18"/>
                <w:szCs w:val="18"/>
              </w:rPr>
              <w:t>优博讯工业手机应用管理软件</w:t>
            </w:r>
            <w:r>
              <w:rPr>
                <w:rFonts w:ascii="Times New Roman" w:hAnsi="Times New Roman" w:cs="Times New Roman" w:eastAsia="Times New Roman" w:hint="default"/>
                <w:sz w:val="18"/>
                <w:szCs w:val="18"/>
              </w:rPr>
              <w:t>V1.0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4495210</w:t>
            </w:r>
            <w:r>
              <w:rPr>
                <w:rFonts w:ascii="宋体" w:hAnsi="宋体" w:cs="宋体" w:eastAsia="宋体" w:hint="default"/>
                <w:sz w:val="18"/>
                <w:szCs w:val="18"/>
              </w:rPr>
              <w:t>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2019SR1074453</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优博讯、东普</w:t>
            </w:r>
          </w:p>
        </w:tc>
      </w:tr>
      <w:tr>
        <w:trPr>
          <w:trHeight w:val="348"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17</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东普</w:t>
            </w:r>
            <w:r>
              <w:rPr>
                <w:rFonts w:ascii="Times New Roman" w:hAnsi="Times New Roman" w:cs="Times New Roman" w:eastAsia="Times New Roman" w:hint="default"/>
                <w:sz w:val="18"/>
                <w:szCs w:val="18"/>
              </w:rPr>
              <w:t>-</w:t>
            </w:r>
            <w:r>
              <w:rPr>
                <w:rFonts w:ascii="宋体" w:hAnsi="宋体" w:cs="宋体" w:eastAsia="宋体" w:hint="default"/>
                <w:sz w:val="18"/>
                <w:szCs w:val="18"/>
              </w:rPr>
              <w:t>优博讯工业手机操作管理软件</w:t>
            </w:r>
            <w:r>
              <w:rPr>
                <w:rFonts w:ascii="Times New Roman" w:hAnsi="Times New Roman" w:cs="Times New Roman" w:eastAsia="Times New Roman" w:hint="default"/>
                <w:sz w:val="18"/>
                <w:szCs w:val="18"/>
              </w:rPr>
              <w:t>V1.0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4495908</w:t>
            </w:r>
            <w:r>
              <w:rPr>
                <w:rFonts w:ascii="宋体" w:hAnsi="宋体" w:cs="宋体" w:eastAsia="宋体" w:hint="default"/>
                <w:sz w:val="18"/>
                <w:szCs w:val="18"/>
              </w:rPr>
              <w:t>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2019SR1075151</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优博讯、东普</w:t>
            </w:r>
          </w:p>
        </w:tc>
      </w:tr>
      <w:tr>
        <w:trPr>
          <w:trHeight w:val="346"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18</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东普</w:t>
            </w:r>
            <w:r>
              <w:rPr>
                <w:rFonts w:ascii="Times New Roman" w:hAnsi="Times New Roman" w:cs="Times New Roman" w:eastAsia="Times New Roman" w:hint="default"/>
                <w:sz w:val="18"/>
                <w:szCs w:val="18"/>
              </w:rPr>
              <w:t>-</w:t>
            </w:r>
            <w:r>
              <w:rPr>
                <w:rFonts w:ascii="宋体" w:hAnsi="宋体" w:cs="宋体" w:eastAsia="宋体" w:hint="default"/>
                <w:sz w:val="18"/>
                <w:szCs w:val="18"/>
              </w:rPr>
              <w:t>优博讯工业手机业务管理软件</w:t>
            </w:r>
            <w:r>
              <w:rPr>
                <w:rFonts w:ascii="Times New Roman" w:hAnsi="Times New Roman" w:cs="Times New Roman" w:eastAsia="Times New Roman" w:hint="default"/>
                <w:sz w:val="18"/>
                <w:szCs w:val="18"/>
              </w:rPr>
              <w:t>V1.0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4495214</w:t>
            </w:r>
            <w:r>
              <w:rPr>
                <w:rFonts w:ascii="宋体" w:hAnsi="宋体" w:cs="宋体" w:eastAsia="宋体" w:hint="default"/>
                <w:sz w:val="18"/>
                <w:szCs w:val="18"/>
              </w:rPr>
              <w:t>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2019SR1074457</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优博讯、东普</w:t>
            </w:r>
          </w:p>
        </w:tc>
      </w:tr>
      <w:tr>
        <w:trPr>
          <w:trHeight w:val="660"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19</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82"/>
              <w:jc w:val="left"/>
              <w:rPr>
                <w:rFonts w:ascii="Times New Roman" w:hAnsi="Times New Roman" w:cs="Times New Roman" w:eastAsia="Times New Roman" w:hint="default"/>
                <w:sz w:val="18"/>
                <w:szCs w:val="18"/>
              </w:rPr>
            </w:pPr>
            <w:r>
              <w:rPr>
                <w:rFonts w:ascii="宋体" w:hAnsi="宋体" w:cs="宋体" w:eastAsia="宋体" w:hint="default"/>
                <w:sz w:val="18"/>
                <w:szCs w:val="18"/>
              </w:rPr>
              <w:t>东普</w:t>
            </w:r>
            <w:r>
              <w:rPr>
                <w:rFonts w:ascii="Times New Roman" w:hAnsi="Times New Roman" w:cs="Times New Roman" w:eastAsia="Times New Roman" w:hint="default"/>
                <w:sz w:val="18"/>
                <w:szCs w:val="18"/>
              </w:rPr>
              <w:t>-</w:t>
            </w:r>
            <w:r>
              <w:rPr>
                <w:rFonts w:ascii="宋体" w:hAnsi="宋体" w:cs="宋体" w:eastAsia="宋体" w:hint="default"/>
                <w:sz w:val="18"/>
                <w:szCs w:val="18"/>
              </w:rPr>
              <w:t>优博讯工业手机用户行为限制管理软 件</w:t>
            </w:r>
            <w:r>
              <w:rPr>
                <w:rFonts w:ascii="Times New Roman" w:hAnsi="Times New Roman" w:cs="Times New Roman" w:eastAsia="Times New Roman" w:hint="default"/>
                <w:sz w:val="18"/>
                <w:szCs w:val="18"/>
              </w:rPr>
              <w:t>V1.0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4493936</w:t>
            </w:r>
            <w:r>
              <w:rPr>
                <w:rFonts w:ascii="宋体" w:hAnsi="宋体" w:cs="宋体" w:eastAsia="宋体" w:hint="default"/>
                <w:sz w:val="18"/>
                <w:szCs w:val="18"/>
              </w:rPr>
              <w:t>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2019SR1073179</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优博讯、东普</w:t>
            </w:r>
          </w:p>
        </w:tc>
      </w:tr>
      <w:tr>
        <w:trPr>
          <w:trHeight w:val="346"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东普</w:t>
            </w:r>
            <w:r>
              <w:rPr>
                <w:rFonts w:ascii="Times New Roman" w:hAnsi="Times New Roman" w:cs="Times New Roman" w:eastAsia="Times New Roman" w:hint="default"/>
                <w:sz w:val="18"/>
                <w:szCs w:val="18"/>
              </w:rPr>
              <w:t>-</w:t>
            </w:r>
            <w:r>
              <w:rPr>
                <w:rFonts w:ascii="宋体" w:hAnsi="宋体" w:cs="宋体" w:eastAsia="宋体" w:hint="default"/>
                <w:sz w:val="18"/>
                <w:szCs w:val="18"/>
              </w:rPr>
              <w:t>优博讯</w:t>
            </w:r>
            <w:r>
              <w:rPr>
                <w:rFonts w:ascii="Times New Roman" w:hAnsi="Times New Roman" w:cs="Times New Roman" w:eastAsia="Times New Roman" w:hint="default"/>
                <w:sz w:val="18"/>
                <w:szCs w:val="18"/>
              </w:rPr>
              <w:t>V2</w:t>
            </w:r>
            <w:r>
              <w:rPr>
                <w:rFonts w:ascii="宋体" w:hAnsi="宋体" w:cs="宋体" w:eastAsia="宋体" w:hint="default"/>
                <w:sz w:val="18"/>
                <w:szCs w:val="18"/>
              </w:rPr>
              <w:t>签名系统软件</w:t>
            </w:r>
            <w:r>
              <w:rPr>
                <w:rFonts w:ascii="Times New Roman" w:hAnsi="Times New Roman" w:cs="Times New Roman" w:eastAsia="Times New Roman" w:hint="default"/>
                <w:sz w:val="18"/>
                <w:szCs w:val="18"/>
              </w:rPr>
              <w:t>V1.0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4490502</w:t>
            </w:r>
            <w:r>
              <w:rPr>
                <w:rFonts w:ascii="宋体" w:hAnsi="宋体" w:cs="宋体" w:eastAsia="宋体" w:hint="default"/>
                <w:sz w:val="18"/>
                <w:szCs w:val="18"/>
              </w:rPr>
              <w:t>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2019SR1069745</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优博讯、东普</w:t>
            </w:r>
          </w:p>
        </w:tc>
      </w:tr>
      <w:tr>
        <w:trPr>
          <w:trHeight w:val="348"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21</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东普</w:t>
            </w:r>
            <w:r>
              <w:rPr>
                <w:rFonts w:ascii="Times New Roman" w:hAnsi="Times New Roman" w:cs="Times New Roman" w:eastAsia="Times New Roman" w:hint="default"/>
                <w:sz w:val="18"/>
                <w:szCs w:val="18"/>
              </w:rPr>
              <w:t>-</w:t>
            </w:r>
            <w:r>
              <w:rPr>
                <w:rFonts w:ascii="宋体" w:hAnsi="宋体" w:cs="宋体" w:eastAsia="宋体" w:hint="default"/>
                <w:sz w:val="18"/>
                <w:szCs w:val="18"/>
              </w:rPr>
              <w:t>优博讯三指截屏软件</w:t>
            </w:r>
            <w:r>
              <w:rPr>
                <w:rFonts w:ascii="Times New Roman" w:hAnsi="Times New Roman" w:cs="Times New Roman" w:eastAsia="Times New Roman" w:hint="default"/>
                <w:sz w:val="18"/>
                <w:szCs w:val="18"/>
              </w:rPr>
              <w:t>V1.0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4493915</w:t>
            </w:r>
            <w:r>
              <w:rPr>
                <w:rFonts w:ascii="宋体" w:hAnsi="宋体" w:cs="宋体" w:eastAsia="宋体" w:hint="default"/>
                <w:sz w:val="18"/>
                <w:szCs w:val="18"/>
              </w:rPr>
              <w:t>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2019SR1073158</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优博讯、东普</w:t>
            </w:r>
          </w:p>
        </w:tc>
      </w:tr>
      <w:tr>
        <w:trPr>
          <w:trHeight w:val="348"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22</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东普</w:t>
            </w:r>
            <w:r>
              <w:rPr>
                <w:rFonts w:ascii="Times New Roman" w:hAnsi="Times New Roman" w:cs="Times New Roman" w:eastAsia="Times New Roman" w:hint="default"/>
                <w:sz w:val="18"/>
                <w:szCs w:val="18"/>
              </w:rPr>
              <w:t>-</w:t>
            </w:r>
            <w:r>
              <w:rPr>
                <w:rFonts w:ascii="宋体" w:hAnsi="宋体" w:cs="宋体" w:eastAsia="宋体" w:hint="default"/>
                <w:sz w:val="18"/>
                <w:szCs w:val="18"/>
              </w:rPr>
              <w:t>优博讯开机安全保护软件</w:t>
            </w:r>
            <w:r>
              <w:rPr>
                <w:rFonts w:ascii="Times New Roman" w:hAnsi="Times New Roman" w:cs="Times New Roman" w:eastAsia="Times New Roman" w:hint="default"/>
                <w:sz w:val="18"/>
                <w:szCs w:val="18"/>
              </w:rPr>
              <w:t>V1.0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4491196</w:t>
            </w:r>
            <w:r>
              <w:rPr>
                <w:rFonts w:ascii="宋体" w:hAnsi="宋体" w:cs="宋体" w:eastAsia="宋体" w:hint="default"/>
                <w:sz w:val="18"/>
                <w:szCs w:val="18"/>
              </w:rPr>
              <w:t>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2019SR1070439</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优博讯、东普</w:t>
            </w:r>
          </w:p>
        </w:tc>
      </w:tr>
      <w:tr>
        <w:trPr>
          <w:trHeight w:val="346"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23</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优金支付人脸识别支付软件</w:t>
            </w:r>
            <w:r>
              <w:rPr>
                <w:rFonts w:ascii="Times New Roman" w:hAnsi="Times New Roman" w:cs="Times New Roman" w:eastAsia="Times New Roman" w:hint="default"/>
                <w:sz w:val="18"/>
                <w:szCs w:val="18"/>
              </w:rPr>
              <w:t>V1.0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4075353</w:t>
            </w:r>
            <w:r>
              <w:rPr>
                <w:rFonts w:ascii="宋体" w:hAnsi="宋体" w:cs="宋体" w:eastAsia="宋体" w:hint="default"/>
                <w:sz w:val="18"/>
                <w:szCs w:val="18"/>
              </w:rPr>
              <w:t>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2019SR0654596</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优金支付</w:t>
            </w:r>
          </w:p>
        </w:tc>
      </w:tr>
      <w:tr>
        <w:trPr>
          <w:trHeight w:val="348"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24</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优金支付保费交易平台软件</w:t>
            </w:r>
            <w:r>
              <w:rPr>
                <w:rFonts w:ascii="Times New Roman" w:hAnsi="Times New Roman" w:cs="Times New Roman" w:eastAsia="Times New Roman" w:hint="default"/>
                <w:sz w:val="18"/>
                <w:szCs w:val="18"/>
              </w:rPr>
              <w:t>V1.0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4075357</w:t>
            </w:r>
            <w:r>
              <w:rPr>
                <w:rFonts w:ascii="宋体" w:hAnsi="宋体" w:cs="宋体" w:eastAsia="宋体" w:hint="default"/>
                <w:sz w:val="18"/>
                <w:szCs w:val="18"/>
              </w:rPr>
              <w:t>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2019SR0654600</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优金支付</w:t>
            </w:r>
          </w:p>
        </w:tc>
      </w:tr>
      <w:tr>
        <w:trPr>
          <w:trHeight w:val="348"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25</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优金支付会员充值付费软件</w:t>
            </w:r>
            <w:r>
              <w:rPr>
                <w:rFonts w:ascii="Times New Roman" w:hAnsi="Times New Roman" w:cs="Times New Roman" w:eastAsia="Times New Roman" w:hint="default"/>
                <w:sz w:val="18"/>
                <w:szCs w:val="18"/>
              </w:rPr>
              <w:t>V1.0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4072238</w:t>
            </w:r>
            <w:r>
              <w:rPr>
                <w:rFonts w:ascii="宋体" w:hAnsi="宋体" w:cs="宋体" w:eastAsia="宋体" w:hint="default"/>
                <w:sz w:val="18"/>
                <w:szCs w:val="18"/>
              </w:rPr>
              <w:t>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2019SR0651481</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优金支付</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13"/>
        <w:gridCol w:w="3401"/>
        <w:gridCol w:w="1844"/>
        <w:gridCol w:w="1416"/>
        <w:gridCol w:w="1419"/>
        <w:gridCol w:w="1150"/>
      </w:tblGrid>
      <w:tr>
        <w:trPr>
          <w:trHeight w:val="348"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26</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优金支付聚合支付收银平台软件</w:t>
            </w:r>
            <w:r>
              <w:rPr>
                <w:rFonts w:ascii="Times New Roman" w:hAnsi="Times New Roman" w:cs="Times New Roman" w:eastAsia="Times New Roman" w:hint="default"/>
                <w:sz w:val="18"/>
                <w:szCs w:val="18"/>
              </w:rPr>
              <w:t>V1.0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4072229</w:t>
            </w:r>
            <w:r>
              <w:rPr>
                <w:rFonts w:ascii="宋体" w:hAnsi="宋体" w:cs="宋体" w:eastAsia="宋体" w:hint="default"/>
                <w:sz w:val="18"/>
                <w:szCs w:val="18"/>
              </w:rPr>
              <w:t>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0"/>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8" w:right="0"/>
              <w:jc w:val="left"/>
              <w:rPr>
                <w:rFonts w:ascii="Times New Roman" w:hAnsi="Times New Roman" w:cs="Times New Roman" w:eastAsia="Times New Roman" w:hint="default"/>
                <w:sz w:val="18"/>
                <w:szCs w:val="18"/>
              </w:rPr>
            </w:pPr>
            <w:r>
              <w:rPr>
                <w:rFonts w:ascii="Times New Roman"/>
                <w:sz w:val="18"/>
              </w:rPr>
              <w:t>2019SR0651472</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优金支付</w:t>
            </w:r>
          </w:p>
        </w:tc>
      </w:tr>
      <w:tr>
        <w:trPr>
          <w:trHeight w:val="346"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27</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优金支付派件收单软件</w:t>
            </w:r>
            <w:r>
              <w:rPr>
                <w:rFonts w:ascii="Times New Roman" w:hAnsi="Times New Roman" w:cs="Times New Roman" w:eastAsia="Times New Roman" w:hint="default"/>
                <w:sz w:val="18"/>
                <w:szCs w:val="18"/>
              </w:rPr>
              <w:t>V1.0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4283839</w:t>
            </w:r>
            <w:r>
              <w:rPr>
                <w:rFonts w:ascii="宋体" w:hAnsi="宋体" w:cs="宋体" w:eastAsia="宋体" w:hint="default"/>
                <w:sz w:val="18"/>
                <w:szCs w:val="18"/>
              </w:rPr>
              <w:t>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0"/>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8" w:right="0"/>
              <w:jc w:val="left"/>
              <w:rPr>
                <w:rFonts w:ascii="Times New Roman" w:hAnsi="Times New Roman" w:cs="Times New Roman" w:eastAsia="Times New Roman" w:hint="default"/>
                <w:sz w:val="18"/>
                <w:szCs w:val="18"/>
              </w:rPr>
            </w:pPr>
            <w:r>
              <w:rPr>
                <w:rFonts w:ascii="Times New Roman"/>
                <w:sz w:val="18"/>
              </w:rPr>
              <w:t>2019SR0863082</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优金支付</w:t>
            </w:r>
          </w:p>
        </w:tc>
      </w:tr>
      <w:tr>
        <w:trPr>
          <w:trHeight w:val="348"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28</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优博讯清关单证打印软件</w:t>
            </w:r>
            <w:r>
              <w:rPr>
                <w:rFonts w:ascii="Times New Roman" w:hAnsi="Times New Roman" w:cs="Times New Roman" w:eastAsia="Times New Roman" w:hint="default"/>
                <w:sz w:val="18"/>
                <w:szCs w:val="18"/>
              </w:rPr>
              <w:t>V1.0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3433635</w:t>
            </w:r>
            <w:r>
              <w:rPr>
                <w:rFonts w:ascii="宋体" w:hAnsi="宋体" w:cs="宋体" w:eastAsia="宋体" w:hint="default"/>
                <w:sz w:val="18"/>
                <w:szCs w:val="18"/>
              </w:rPr>
              <w:t>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56"/>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8" w:right="0"/>
              <w:jc w:val="left"/>
              <w:rPr>
                <w:rFonts w:ascii="Times New Roman" w:hAnsi="Times New Roman" w:cs="Times New Roman" w:eastAsia="Times New Roman" w:hint="default"/>
                <w:sz w:val="18"/>
                <w:szCs w:val="18"/>
              </w:rPr>
            </w:pPr>
            <w:r>
              <w:rPr>
                <w:rFonts w:ascii="Times New Roman"/>
                <w:sz w:val="18"/>
              </w:rPr>
              <w:t>2019SR0012878</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武汉优软</w:t>
            </w:r>
          </w:p>
        </w:tc>
      </w:tr>
      <w:tr>
        <w:trPr>
          <w:trHeight w:val="346"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29</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优博讯银行支付管理软件</w:t>
            </w:r>
            <w:r>
              <w:rPr>
                <w:rFonts w:ascii="Times New Roman" w:hAnsi="Times New Roman" w:cs="Times New Roman" w:eastAsia="Times New Roman" w:hint="default"/>
                <w:sz w:val="18"/>
                <w:szCs w:val="18"/>
              </w:rPr>
              <w:t>V1.0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3434355</w:t>
            </w:r>
            <w:r>
              <w:rPr>
                <w:rFonts w:ascii="宋体" w:hAnsi="宋体" w:cs="宋体" w:eastAsia="宋体" w:hint="default"/>
                <w:sz w:val="18"/>
                <w:szCs w:val="18"/>
              </w:rPr>
              <w:t>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56"/>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8" w:right="0"/>
              <w:jc w:val="left"/>
              <w:rPr>
                <w:rFonts w:ascii="Times New Roman" w:hAnsi="Times New Roman" w:cs="Times New Roman" w:eastAsia="Times New Roman" w:hint="default"/>
                <w:sz w:val="18"/>
                <w:szCs w:val="18"/>
              </w:rPr>
            </w:pPr>
            <w:r>
              <w:rPr>
                <w:rFonts w:ascii="Times New Roman"/>
                <w:sz w:val="18"/>
              </w:rPr>
              <w:t>2019SR0013598</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武汉优软</w:t>
            </w:r>
          </w:p>
        </w:tc>
      </w:tr>
      <w:tr>
        <w:trPr>
          <w:trHeight w:val="660"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30</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优博讯合作伙伴管理平台后端系统软件</w:t>
            </w:r>
          </w:p>
          <w:p>
            <w:pPr>
              <w:pStyle w:val="TableParagraph"/>
              <w:spacing w:line="240" w:lineRule="auto" w:before="118"/>
              <w:ind w:left="2" w:right="0"/>
              <w:jc w:val="left"/>
              <w:rPr>
                <w:rFonts w:ascii="Times New Roman" w:hAnsi="Times New Roman" w:cs="Times New Roman" w:eastAsia="Times New Roman" w:hint="default"/>
                <w:sz w:val="18"/>
                <w:szCs w:val="18"/>
              </w:rPr>
            </w:pPr>
            <w:r>
              <w:rPr>
                <w:rFonts w:ascii="Times New Roman"/>
                <w:sz w:val="18"/>
              </w:rPr>
              <w:t>V1.0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4061624</w:t>
            </w:r>
            <w:r>
              <w:rPr>
                <w:rFonts w:ascii="宋体" w:hAnsi="宋体" w:cs="宋体" w:eastAsia="宋体" w:hint="default"/>
                <w:sz w:val="18"/>
                <w:szCs w:val="18"/>
              </w:rPr>
              <w:t>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0"/>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8" w:right="0"/>
              <w:jc w:val="left"/>
              <w:rPr>
                <w:rFonts w:ascii="Times New Roman" w:hAnsi="Times New Roman" w:cs="Times New Roman" w:eastAsia="Times New Roman" w:hint="default"/>
                <w:sz w:val="18"/>
                <w:szCs w:val="18"/>
              </w:rPr>
            </w:pPr>
            <w:r>
              <w:rPr>
                <w:rFonts w:ascii="Times New Roman"/>
                <w:sz w:val="18"/>
              </w:rPr>
              <w:t>2019SR0640867</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武汉优软</w:t>
            </w:r>
          </w:p>
        </w:tc>
      </w:tr>
      <w:tr>
        <w:trPr>
          <w:trHeight w:val="346"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31</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优博讯合作伙伴管理平台客户端软件</w:t>
            </w:r>
            <w:r>
              <w:rPr>
                <w:rFonts w:ascii="Times New Roman" w:hAnsi="Times New Roman" w:cs="Times New Roman" w:eastAsia="Times New Roman" w:hint="default"/>
                <w:sz w:val="18"/>
                <w:szCs w:val="18"/>
              </w:rPr>
              <w:t>V1.0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4059655</w:t>
            </w:r>
            <w:r>
              <w:rPr>
                <w:rFonts w:ascii="宋体" w:hAnsi="宋体" w:cs="宋体" w:eastAsia="宋体" w:hint="default"/>
                <w:sz w:val="18"/>
                <w:szCs w:val="18"/>
              </w:rPr>
              <w:t>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0"/>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8" w:right="0"/>
              <w:jc w:val="left"/>
              <w:rPr>
                <w:rFonts w:ascii="Times New Roman" w:hAnsi="Times New Roman" w:cs="Times New Roman" w:eastAsia="Times New Roman" w:hint="default"/>
                <w:sz w:val="18"/>
                <w:szCs w:val="18"/>
              </w:rPr>
            </w:pPr>
            <w:r>
              <w:rPr>
                <w:rFonts w:ascii="Times New Roman"/>
                <w:sz w:val="18"/>
              </w:rPr>
              <w:t>2019SR0638898</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武汉优软</w:t>
            </w:r>
          </w:p>
        </w:tc>
      </w:tr>
      <w:tr>
        <w:trPr>
          <w:trHeight w:val="348"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32</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瑞柏泰多媒体终端</w:t>
            </w:r>
            <w:r>
              <w:rPr>
                <w:rFonts w:ascii="Times New Roman" w:hAnsi="Times New Roman" w:cs="Times New Roman" w:eastAsia="Times New Roman" w:hint="default"/>
                <w:sz w:val="18"/>
                <w:szCs w:val="18"/>
              </w:rPr>
              <w:t>MIS</w:t>
            </w:r>
            <w:r>
              <w:rPr>
                <w:rFonts w:ascii="宋体" w:hAnsi="宋体" w:cs="宋体" w:eastAsia="宋体" w:hint="default"/>
                <w:sz w:val="18"/>
                <w:szCs w:val="18"/>
              </w:rPr>
              <w:t>应用软件</w:t>
            </w:r>
            <w:r>
              <w:rPr>
                <w:rFonts w:ascii="Times New Roman" w:hAnsi="Times New Roman" w:cs="Times New Roman" w:eastAsia="Times New Roman" w:hint="default"/>
                <w:sz w:val="18"/>
                <w:szCs w:val="18"/>
              </w:rPr>
              <w:t>V1.0.0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4146764</w:t>
            </w:r>
            <w:r>
              <w:rPr>
                <w:rFonts w:ascii="宋体" w:hAnsi="宋体" w:cs="宋体" w:eastAsia="宋体" w:hint="default"/>
                <w:sz w:val="18"/>
                <w:szCs w:val="18"/>
              </w:rPr>
              <w:t>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0"/>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8" w:right="0"/>
              <w:jc w:val="left"/>
              <w:rPr>
                <w:rFonts w:ascii="Times New Roman" w:hAnsi="Times New Roman" w:cs="Times New Roman" w:eastAsia="Times New Roman" w:hint="default"/>
                <w:sz w:val="18"/>
                <w:szCs w:val="18"/>
              </w:rPr>
            </w:pPr>
            <w:r>
              <w:rPr>
                <w:rFonts w:ascii="Times New Roman"/>
                <w:sz w:val="18"/>
              </w:rPr>
              <w:t>2019SR0726007</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瑞柏泰</w:t>
            </w:r>
          </w:p>
        </w:tc>
      </w:tr>
      <w:tr>
        <w:trPr>
          <w:trHeight w:val="348"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33</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瑞柏泰多媒体终端自助售卡应用软件</w:t>
            </w:r>
            <w:r>
              <w:rPr>
                <w:rFonts w:ascii="Times New Roman" w:hAnsi="Times New Roman" w:cs="Times New Roman" w:eastAsia="Times New Roman" w:hint="default"/>
                <w:sz w:val="18"/>
                <w:szCs w:val="18"/>
              </w:rPr>
              <w:t>V1.0.0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4417122</w:t>
            </w:r>
            <w:r>
              <w:rPr>
                <w:rFonts w:ascii="宋体" w:hAnsi="宋体" w:cs="宋体" w:eastAsia="宋体" w:hint="default"/>
                <w:sz w:val="18"/>
                <w:szCs w:val="18"/>
              </w:rPr>
              <w:t>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0"/>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8" w:right="0"/>
              <w:jc w:val="left"/>
              <w:rPr>
                <w:rFonts w:ascii="Times New Roman" w:hAnsi="Times New Roman" w:cs="Times New Roman" w:eastAsia="Times New Roman" w:hint="default"/>
                <w:sz w:val="18"/>
                <w:szCs w:val="18"/>
              </w:rPr>
            </w:pPr>
            <w:r>
              <w:rPr>
                <w:rFonts w:ascii="Times New Roman"/>
                <w:sz w:val="18"/>
              </w:rPr>
              <w:t>2019SR0996365</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瑞柏泰</w:t>
            </w:r>
          </w:p>
        </w:tc>
      </w:tr>
      <w:tr>
        <w:trPr>
          <w:trHeight w:val="346"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34</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瑞柏泰商户云对账应用软件</w:t>
            </w:r>
            <w:r>
              <w:rPr>
                <w:rFonts w:ascii="Times New Roman" w:hAnsi="Times New Roman" w:cs="Times New Roman" w:eastAsia="Times New Roman" w:hint="default"/>
                <w:sz w:val="18"/>
                <w:szCs w:val="18"/>
              </w:rPr>
              <w:t>V1.0.0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4450956</w:t>
            </w:r>
            <w:r>
              <w:rPr>
                <w:rFonts w:ascii="宋体" w:hAnsi="宋体" w:cs="宋体" w:eastAsia="宋体" w:hint="default"/>
                <w:sz w:val="18"/>
                <w:szCs w:val="18"/>
              </w:rPr>
              <w:t>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6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8" w:right="0"/>
              <w:jc w:val="left"/>
              <w:rPr>
                <w:rFonts w:ascii="Times New Roman" w:hAnsi="Times New Roman" w:cs="Times New Roman" w:eastAsia="Times New Roman" w:hint="default"/>
                <w:sz w:val="18"/>
                <w:szCs w:val="18"/>
              </w:rPr>
            </w:pPr>
            <w:r>
              <w:rPr>
                <w:rFonts w:ascii="Times New Roman"/>
                <w:sz w:val="18"/>
              </w:rPr>
              <w:t>2019SR1030199</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瑞柏泰</w:t>
            </w:r>
          </w:p>
        </w:tc>
      </w:tr>
      <w:tr>
        <w:trPr>
          <w:trHeight w:val="348"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35</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瑞柏泰移动应用管理系统软件</w:t>
            </w:r>
            <w:r>
              <w:rPr>
                <w:rFonts w:ascii="Times New Roman" w:hAnsi="Times New Roman" w:cs="Times New Roman" w:eastAsia="Times New Roman" w:hint="default"/>
                <w:sz w:val="18"/>
                <w:szCs w:val="18"/>
              </w:rPr>
              <w:t>V1.0.0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4826315</w:t>
            </w:r>
            <w:r>
              <w:rPr>
                <w:rFonts w:ascii="宋体" w:hAnsi="宋体" w:cs="宋体" w:eastAsia="宋体" w:hint="default"/>
                <w:sz w:val="18"/>
                <w:szCs w:val="18"/>
              </w:rPr>
              <w:t>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8" w:right="0"/>
              <w:jc w:val="left"/>
              <w:rPr>
                <w:rFonts w:ascii="Times New Roman" w:hAnsi="Times New Roman" w:cs="Times New Roman" w:eastAsia="Times New Roman" w:hint="default"/>
                <w:sz w:val="18"/>
                <w:szCs w:val="18"/>
              </w:rPr>
            </w:pPr>
            <w:r>
              <w:rPr>
                <w:rFonts w:ascii="Times New Roman"/>
                <w:sz w:val="18"/>
              </w:rPr>
              <w:t>2019SR1405558</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瑞柏泰</w:t>
            </w:r>
          </w:p>
        </w:tc>
      </w:tr>
      <w:tr>
        <w:trPr>
          <w:trHeight w:val="346"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36</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瑞柏泰消息推送应用软件</w:t>
            </w:r>
            <w:r>
              <w:rPr>
                <w:rFonts w:ascii="Times New Roman" w:hAnsi="Times New Roman" w:cs="Times New Roman" w:eastAsia="Times New Roman" w:hint="default"/>
                <w:sz w:val="18"/>
                <w:szCs w:val="18"/>
              </w:rPr>
              <w:t>V1.0.0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4826562</w:t>
            </w:r>
            <w:r>
              <w:rPr>
                <w:rFonts w:ascii="宋体" w:hAnsi="宋体" w:cs="宋体" w:eastAsia="宋体" w:hint="default"/>
                <w:sz w:val="18"/>
                <w:szCs w:val="18"/>
              </w:rPr>
              <w:t>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6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8" w:right="0"/>
              <w:jc w:val="left"/>
              <w:rPr>
                <w:rFonts w:ascii="Times New Roman" w:hAnsi="Times New Roman" w:cs="Times New Roman" w:eastAsia="Times New Roman" w:hint="default"/>
                <w:sz w:val="18"/>
                <w:szCs w:val="18"/>
              </w:rPr>
            </w:pPr>
            <w:r>
              <w:rPr>
                <w:rFonts w:ascii="Times New Roman"/>
                <w:sz w:val="18"/>
              </w:rPr>
              <w:t>2019SR1405805</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2"/>
              <w:jc w:val="center"/>
              <w:rPr>
                <w:rFonts w:ascii="宋体" w:hAnsi="宋体" w:cs="宋体" w:eastAsia="宋体" w:hint="default"/>
                <w:sz w:val="18"/>
                <w:szCs w:val="18"/>
              </w:rPr>
            </w:pPr>
            <w:r>
              <w:rPr>
                <w:rFonts w:ascii="宋体" w:hAnsi="宋体" w:cs="宋体" w:eastAsia="宋体" w:hint="default"/>
                <w:sz w:val="18"/>
                <w:szCs w:val="18"/>
              </w:rPr>
              <w:t>瑞柏泰</w:t>
            </w:r>
          </w:p>
        </w:tc>
      </w:tr>
      <w:tr>
        <w:trPr>
          <w:trHeight w:val="348"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37</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帕思菲特出租车消息推送软件</w:t>
            </w:r>
            <w:r>
              <w:rPr>
                <w:rFonts w:ascii="Times New Roman" w:hAnsi="Times New Roman" w:cs="Times New Roman" w:eastAsia="Times New Roman" w:hint="default"/>
                <w:sz w:val="18"/>
                <w:szCs w:val="18"/>
              </w:rPr>
              <w:t>V1.0.0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4145591</w:t>
            </w:r>
            <w:r>
              <w:rPr>
                <w:rFonts w:ascii="宋体" w:hAnsi="宋体" w:cs="宋体" w:eastAsia="宋体" w:hint="default"/>
                <w:sz w:val="18"/>
                <w:szCs w:val="18"/>
              </w:rPr>
              <w:t>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0"/>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8" w:right="0"/>
              <w:jc w:val="left"/>
              <w:rPr>
                <w:rFonts w:ascii="Times New Roman" w:hAnsi="Times New Roman" w:cs="Times New Roman" w:eastAsia="Times New Roman" w:hint="default"/>
                <w:sz w:val="18"/>
                <w:szCs w:val="18"/>
              </w:rPr>
            </w:pPr>
            <w:r>
              <w:rPr>
                <w:rFonts w:ascii="Times New Roman"/>
                <w:sz w:val="18"/>
              </w:rPr>
              <w:t>2019SR0724834</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帕思菲特</w:t>
            </w:r>
          </w:p>
        </w:tc>
      </w:tr>
      <w:tr>
        <w:trPr>
          <w:trHeight w:val="348"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38</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帕思菲特电子发票开票系统软件</w:t>
            </w:r>
            <w:r>
              <w:rPr>
                <w:rFonts w:ascii="Times New Roman" w:hAnsi="Times New Roman" w:cs="Times New Roman" w:eastAsia="Times New Roman" w:hint="default"/>
                <w:sz w:val="18"/>
                <w:szCs w:val="18"/>
              </w:rPr>
              <w:t>V1.0.0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4417112</w:t>
            </w:r>
            <w:r>
              <w:rPr>
                <w:rFonts w:ascii="宋体" w:hAnsi="宋体" w:cs="宋体" w:eastAsia="宋体" w:hint="default"/>
                <w:sz w:val="18"/>
                <w:szCs w:val="18"/>
              </w:rPr>
              <w:t>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0"/>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8" w:right="0"/>
              <w:jc w:val="left"/>
              <w:rPr>
                <w:rFonts w:ascii="Times New Roman" w:hAnsi="Times New Roman" w:cs="Times New Roman" w:eastAsia="Times New Roman" w:hint="default"/>
                <w:sz w:val="18"/>
                <w:szCs w:val="18"/>
              </w:rPr>
            </w:pPr>
            <w:r>
              <w:rPr>
                <w:rFonts w:ascii="Times New Roman"/>
                <w:sz w:val="18"/>
              </w:rPr>
              <w:t>2019SR0996355</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帕思菲特</w:t>
            </w:r>
          </w:p>
        </w:tc>
      </w:tr>
    </w:tbl>
    <w:p>
      <w:pPr>
        <w:pStyle w:val="BodyText"/>
        <w:spacing w:line="240" w:lineRule="auto" w:before="8"/>
        <w:ind w:left="513" w:right="1133"/>
        <w:jc w:val="left"/>
      </w:pPr>
      <w:r>
        <w:rPr/>
        <w:t>（注：东普指上海东普信息科技有限公司）</w:t>
      </w:r>
    </w:p>
    <w:p>
      <w:pPr>
        <w:pStyle w:val="BodyText"/>
        <w:spacing w:line="340" w:lineRule="auto" w:before="76"/>
        <w:ind w:left="513" w:right="1129"/>
        <w:jc w:val="left"/>
      </w:pPr>
      <w:r>
        <w:rPr/>
        <w:t>（</w:t>
      </w:r>
      <w:r>
        <w:rPr>
          <w:rFonts w:ascii="Times New Roman" w:hAnsi="Times New Roman" w:cs="Times New Roman" w:eastAsia="Times New Roman" w:hint="default"/>
        </w:rPr>
        <w:t>2</w:t>
      </w:r>
      <w:r>
        <w:rPr/>
        <w:t>）产品优势 </w:t>
      </w:r>
      <w:r>
        <w:rPr>
          <w:spacing w:val="-2"/>
        </w:rPr>
        <w:t>公司凭借对行业的深刻理解和丰富的产品开发经验，已构建起完备的行业智能移动信息化应用软硬件产品体系，已研发</w:t>
      </w:r>
    </w:p>
    <w:p>
      <w:pPr>
        <w:pStyle w:val="BodyText"/>
        <w:spacing w:line="300" w:lineRule="auto"/>
        <w:ind w:right="1133"/>
        <w:jc w:val="both"/>
      </w:pPr>
      <w:r>
        <w:rPr/>
        <w:t>出智能移动数据终端、智能移动支付终端、便携式扫码终端、智能移动税控机、智能</w:t>
      </w:r>
      <w:r>
        <w:rPr>
          <w:rFonts w:ascii="Times New Roman" w:hAnsi="Times New Roman" w:cs="Times New Roman" w:eastAsia="Times New Roman" w:hint="default"/>
        </w:rPr>
        <w:t>3D</w:t>
      </w:r>
      <w:r>
        <w:rPr/>
        <w:t>测量仪、智能物流一体机等多个智</w:t>
      </w:r>
      <w:r>
        <w:rPr>
          <w:spacing w:val="-37"/>
        </w:rPr>
        <w:t> </w:t>
      </w:r>
      <w:r>
        <w:rPr>
          <w:spacing w:val="-37"/>
        </w:rPr>
      </w:r>
      <w:r>
        <w:rPr/>
        <w:t>能终端产品系列。</w:t>
      </w:r>
    </w:p>
    <w:p>
      <w:pPr>
        <w:pStyle w:val="BodyText"/>
        <w:spacing w:line="307" w:lineRule="auto" w:before="72"/>
        <w:ind w:right="1129" w:firstLine="360"/>
        <w:jc w:val="both"/>
      </w:pPr>
      <w:r>
        <w:rPr/>
        <w:t>公司提供的软硬件一体化解决方案聚焦于</w:t>
      </w:r>
      <w:r>
        <w:rPr>
          <w:rFonts w:ascii="Times New Roman" w:hAnsi="Times New Roman" w:cs="Times New Roman" w:eastAsia="Times New Roman" w:hint="default"/>
        </w:rPr>
        <w:t>“</w:t>
      </w:r>
      <w:r>
        <w:rPr/>
        <w:t>物流快递信息管理</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供应链信息管理</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质量安全溯源管理</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移动销售 </w:t>
      </w:r>
      <w:r>
        <w:rPr>
          <w:spacing w:val="-2"/>
        </w:rPr>
        <w:t>管理</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电子政务管理</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固定资产管理</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智能移动支付</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资产管理</w:t>
      </w:r>
      <w:r>
        <w:rPr>
          <w:rFonts w:ascii="Times New Roman" w:hAnsi="Times New Roman" w:cs="Times New Roman" w:eastAsia="Times New Roman" w:hint="default"/>
          <w:spacing w:val="-2"/>
        </w:rPr>
        <w:t>”</w:t>
      </w:r>
      <w:r>
        <w:rPr>
          <w:spacing w:val="-2"/>
        </w:rPr>
        <w:t>等功能领域，广泛应用于物流快递、电子商务、零</w:t>
      </w:r>
      <w:r>
        <w:rPr>
          <w:spacing w:val="-61"/>
        </w:rPr>
        <w:t> </w:t>
      </w:r>
      <w:r>
        <w:rPr>
          <w:spacing w:val="-61"/>
        </w:rPr>
      </w:r>
      <w:r>
        <w:rPr>
          <w:spacing w:val="-2"/>
        </w:rPr>
        <w:t>售、生产制造、金融、食品医药和行政执法等多个行业领域。同时，公司产品采用模块化设计，具有较强的可扩展性，并提</w:t>
      </w:r>
      <w:r>
        <w:rPr>
          <w:spacing w:val="-73"/>
        </w:rPr>
        <w:t> </w:t>
      </w:r>
      <w:r>
        <w:rPr>
          <w:spacing w:val="-73"/>
        </w:rPr>
      </w:r>
      <w:r>
        <w:rPr/>
        <w:t>供开发包，供用户做进一步的功能扩展。</w:t>
      </w:r>
    </w:p>
    <w:p>
      <w:pPr>
        <w:pStyle w:val="BodyText"/>
        <w:spacing w:line="300" w:lineRule="auto" w:before="67"/>
        <w:ind w:left="513" w:right="1033"/>
        <w:jc w:val="left"/>
      </w:pPr>
      <w:r>
        <w:rPr/>
        <w:t>（</w:t>
      </w:r>
      <w:r>
        <w:rPr>
          <w:rFonts w:ascii="Times New Roman" w:hAnsi="Times New Roman" w:cs="Times New Roman" w:eastAsia="Times New Roman" w:hint="default"/>
        </w:rPr>
        <w:t>3</w:t>
      </w:r>
      <w:r>
        <w:rPr/>
        <w:t>）定制化优势 公司非常注重满足客户的个性化需求，拥有为客户提供定制化解决方案的能力。公司的技术研发团队根据客户的需求，</w:t>
      </w:r>
    </w:p>
    <w:p>
      <w:pPr>
        <w:pStyle w:val="BodyText"/>
        <w:spacing w:line="316" w:lineRule="auto" w:before="31"/>
        <w:ind w:right="1128"/>
        <w:jc w:val="both"/>
      </w:pPr>
      <w:r>
        <w:rPr>
          <w:spacing w:val="-2"/>
        </w:rPr>
        <w:t>设计和开发出个性化的系统解决方案及软硬件产品，与标准化产品相比，定制化产品和服务不仅更贴近客户的业务流程，令</w:t>
      </w:r>
      <w:r>
        <w:rPr>
          <w:spacing w:val="-61"/>
        </w:rPr>
        <w:t> </w:t>
      </w:r>
      <w:r>
        <w:rPr>
          <w:spacing w:val="-61"/>
        </w:rPr>
      </w:r>
      <w:r>
        <w:rPr/>
        <w:t>其更具市场竞争优势，而且加强了公司与客户合作的深度和广度，有利于建立长期稳定的客户关系。</w:t>
      </w:r>
    </w:p>
    <w:p>
      <w:pPr>
        <w:pStyle w:val="Heading4"/>
        <w:spacing w:line="240" w:lineRule="auto"/>
        <w:ind w:right="1133"/>
        <w:jc w:val="left"/>
        <w:rPr>
          <w:b w:val="0"/>
          <w:bCs w:val="0"/>
        </w:rPr>
      </w:pPr>
      <w:r>
        <w:rPr>
          <w:rFonts w:ascii="Times New Roman" w:hAnsi="Times New Roman" w:cs="Times New Roman" w:eastAsia="Times New Roman" w:hint="default"/>
        </w:rPr>
        <w:t>2</w:t>
      </w:r>
      <w:r>
        <w:rPr/>
        <w:t>、市场优势</w:t>
      </w:r>
      <w:r>
        <w:rPr>
          <w:b w:val="0"/>
          <w:bCs w:val="0"/>
        </w:rPr>
      </w:r>
    </w:p>
    <w:p>
      <w:pPr>
        <w:pStyle w:val="BodyText"/>
        <w:spacing w:line="300" w:lineRule="auto" w:before="63"/>
        <w:ind w:left="513" w:right="1129"/>
        <w:jc w:val="left"/>
      </w:pPr>
      <w:r>
        <w:rPr/>
        <w:t>（</w:t>
      </w:r>
      <w:r>
        <w:rPr>
          <w:rFonts w:ascii="Times New Roman" w:hAnsi="Times New Roman" w:cs="Times New Roman" w:eastAsia="Times New Roman" w:hint="default"/>
        </w:rPr>
        <w:t>1</w:t>
      </w:r>
      <w:r>
        <w:rPr/>
        <w:t>）行业先发优势 </w:t>
      </w:r>
      <w:r>
        <w:rPr>
          <w:spacing w:val="-2"/>
        </w:rPr>
        <w:t>公司是国内行业智能移动信息化应用领域的先行者。公司成立之初即服务于物流快递企业，是国内最早提供行业智能移</w:t>
      </w:r>
    </w:p>
    <w:p>
      <w:pPr>
        <w:pStyle w:val="BodyText"/>
        <w:spacing w:line="316" w:lineRule="auto" w:before="31"/>
        <w:ind w:right="1133"/>
        <w:jc w:val="both"/>
      </w:pPr>
      <w:r>
        <w:rPr>
          <w:spacing w:val="-2"/>
        </w:rPr>
        <w:t>动信息化应用解决方案的企业之一，经过多年的市场培育，积累了丰富的行业经验和客户资源，与下游客户建立了稳定的合</w:t>
      </w:r>
      <w:r>
        <w:rPr>
          <w:spacing w:val="-65"/>
        </w:rPr>
        <w:t> </w:t>
      </w:r>
      <w:r>
        <w:rPr>
          <w:spacing w:val="-65"/>
        </w:rPr>
      </w:r>
      <w:r>
        <w:rPr>
          <w:spacing w:val="-2"/>
        </w:rPr>
        <w:t>作关系。报告期内，公司继续强化在物流快递和电商行业智能移动信息化方面的优势，同时，在新零售、智能制造、智慧城</w:t>
      </w:r>
      <w:r>
        <w:rPr>
          <w:spacing w:val="-68"/>
        </w:rPr>
        <w:t> </w:t>
      </w:r>
      <w:r>
        <w:rPr>
          <w:spacing w:val="-68"/>
        </w:rPr>
      </w:r>
      <w:r>
        <w:rPr/>
        <w:t>市等领域的推广也取得了新的进展，形成了多个具有行业标杆意义的典型案例。</w:t>
      </w:r>
    </w:p>
    <w:p>
      <w:pPr>
        <w:pStyle w:val="BodyText"/>
        <w:spacing w:line="300" w:lineRule="auto" w:before="19"/>
        <w:ind w:left="513" w:right="1129"/>
        <w:jc w:val="left"/>
      </w:pPr>
      <w:r>
        <w:rPr/>
        <w:t>（</w:t>
      </w:r>
      <w:r>
        <w:rPr>
          <w:rFonts w:ascii="Times New Roman" w:hAnsi="Times New Roman" w:cs="Times New Roman" w:eastAsia="Times New Roman" w:hint="default"/>
        </w:rPr>
        <w:t>2</w:t>
      </w:r>
      <w:r>
        <w:rPr/>
        <w:t>）营销模式优势 </w:t>
      </w:r>
      <w:r>
        <w:rPr>
          <w:spacing w:val="-2"/>
        </w:rPr>
        <w:t>公司的产品及服务应用市场广阔。为扩大公司市场影响力和覆盖面、提高营销服务效率和质量，公司建立了以客户为中</w:t>
      </w:r>
    </w:p>
    <w:p>
      <w:pPr>
        <w:pStyle w:val="BodyText"/>
        <w:spacing w:line="316" w:lineRule="auto" w:before="31"/>
        <w:ind w:right="1131"/>
        <w:jc w:val="both"/>
      </w:pPr>
      <w:r>
        <w:rPr>
          <w:spacing w:val="-2"/>
        </w:rPr>
        <w:t>心的矩阵式营销网络。营销服务网络的横向层级架构注重技术研发与行业应用的深入结合，设置了以市场营销人员、行业专</w:t>
      </w:r>
      <w:r>
        <w:rPr>
          <w:spacing w:val="-66"/>
        </w:rPr>
        <w:t> </w:t>
      </w:r>
      <w:r>
        <w:rPr>
          <w:spacing w:val="-66"/>
        </w:rPr>
      </w:r>
      <w:r>
        <w:rPr>
          <w:spacing w:val="-2"/>
        </w:rPr>
        <w:t>家、研发人员及技术人员为核心的销售架构；纵向层级架构注重对客户的深入服务，在华南、华东、华北、西南、香港等地</w:t>
      </w:r>
      <w:r>
        <w:rPr>
          <w:spacing w:val="-71"/>
        </w:rPr>
        <w:t> </w:t>
      </w:r>
      <w:r>
        <w:rPr>
          <w:spacing w:val="-71"/>
        </w:rPr>
      </w:r>
      <w:r>
        <w:rPr>
          <w:spacing w:val="-2"/>
        </w:rPr>
        <w:t>建立了多个营销服务中心和售后网点，覆盖了公司业务的主要区域，确保了对客户需求的及时响应。同时，公司设立了海外</w:t>
      </w:r>
      <w:r>
        <w:rPr>
          <w:spacing w:val="-64"/>
        </w:rPr>
        <w:t> </w:t>
      </w:r>
      <w:r>
        <w:rPr>
          <w:spacing w:val="-64"/>
        </w:rPr>
      </w:r>
      <w:r>
        <w:rPr/>
        <w:t>事业部，负责海外市场的营销及售后服务。纵横布局的营销模式为公司维护客户资源、开发新市场提供了良好的基础。</w:t>
      </w:r>
    </w:p>
    <w:p>
      <w:pPr>
        <w:pStyle w:val="BodyText"/>
        <w:spacing w:line="300" w:lineRule="auto" w:before="19"/>
        <w:ind w:left="513" w:right="1033"/>
        <w:jc w:val="left"/>
      </w:pPr>
      <w:r>
        <w:rPr/>
        <w:t>（</w:t>
      </w:r>
      <w:r>
        <w:rPr>
          <w:rFonts w:ascii="Times New Roman" w:hAnsi="Times New Roman" w:cs="Times New Roman" w:eastAsia="Times New Roman" w:hint="default"/>
        </w:rPr>
        <w:t>3</w:t>
      </w:r>
      <w:r>
        <w:rPr/>
        <w:t>）整体服务优势 公司拥有整体化的服务能力，能为客户提供专业的软硬件一体化解决方案。公司的解决方案包括需求分析、方案设计、</w:t>
      </w:r>
    </w:p>
    <w:p>
      <w:pPr>
        <w:pStyle w:val="BodyText"/>
        <w:spacing w:line="240" w:lineRule="auto" w:before="31"/>
        <w:ind w:right="0"/>
        <w:jc w:val="both"/>
      </w:pPr>
      <w:r>
        <w:rPr/>
        <w:t>系统设计、硬件销售、软件开发、安装调试、客户培训、售后维护、方案优化到升级扩容等内容。一体化的服务能力增强了</w:t>
      </w:r>
    </w:p>
    <w:p>
      <w:pPr>
        <w:spacing w:after="0" w:line="24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软硬件的协同性，可以更好的满足客户需求。</w:t>
      </w:r>
    </w:p>
    <w:p>
      <w:pPr>
        <w:pStyle w:val="BodyText"/>
        <w:spacing w:line="300" w:lineRule="auto" w:before="77"/>
        <w:ind w:left="513" w:right="1133"/>
        <w:jc w:val="left"/>
      </w:pPr>
      <w:r>
        <w:rPr>
          <w:rFonts w:ascii="Times New Roman" w:hAnsi="Times New Roman" w:cs="Times New Roman" w:eastAsia="Times New Roman" w:hint="default"/>
          <w:b/>
          <w:bCs/>
        </w:rPr>
        <w:t>3</w:t>
      </w:r>
      <w:r>
        <w:rPr>
          <w:rFonts w:ascii="宋体" w:hAnsi="宋体" w:cs="宋体" w:eastAsia="宋体" w:hint="default"/>
          <w:b/>
          <w:bCs/>
        </w:rPr>
        <w:t>、管理团队优势</w:t>
      </w:r>
      <w:r>
        <w:rPr>
          <w:rFonts w:ascii="宋体" w:hAnsi="宋体" w:cs="宋体" w:eastAsia="宋体" w:hint="default"/>
          <w:b/>
          <w:bCs/>
          <w:w w:val="99"/>
        </w:rPr>
        <w:t> </w:t>
      </w:r>
      <w:r>
        <w:rPr>
          <w:spacing w:val="-2"/>
        </w:rPr>
        <w:t>公司管理团队拥有丰富的技术资源、行业资源及客户资源，对于研发、生产、销售等各业务环节较为熟悉，对智能移动</w:t>
      </w:r>
    </w:p>
    <w:p>
      <w:pPr>
        <w:pStyle w:val="BodyText"/>
        <w:spacing w:line="316" w:lineRule="auto" w:before="31"/>
        <w:ind w:right="1119"/>
        <w:jc w:val="left"/>
      </w:pPr>
      <w:r>
        <w:rPr>
          <w:spacing w:val="-2"/>
        </w:rPr>
        <w:t>信息化的技术发展及行业趋势有深刻的理解，有效保证了公司在技术路线选择、产品规划、行业布局等战略决策方面的前瞻</w:t>
      </w:r>
      <w:r>
        <w:rPr>
          <w:spacing w:val="-62"/>
        </w:rPr>
        <w:t> </w:t>
      </w:r>
      <w:r>
        <w:rPr>
          <w:spacing w:val="-62"/>
        </w:rPr>
      </w:r>
      <w:r>
        <w:rPr/>
        <w:t>性。</w:t>
      </w:r>
    </w:p>
    <w:p>
      <w:pPr>
        <w:pStyle w:val="BodyText"/>
        <w:spacing w:line="340" w:lineRule="auto" w:before="19"/>
        <w:ind w:left="513" w:right="1129"/>
        <w:jc w:val="left"/>
      </w:pPr>
      <w:r>
        <w:rPr>
          <w:rFonts w:ascii="Times New Roman" w:hAnsi="Times New Roman" w:cs="Times New Roman" w:eastAsia="Times New Roman" w:hint="default"/>
          <w:b/>
          <w:bCs/>
        </w:rPr>
        <w:t>4</w:t>
      </w:r>
      <w:r>
        <w:rPr>
          <w:rFonts w:ascii="宋体" w:hAnsi="宋体" w:cs="宋体" w:eastAsia="宋体" w:hint="default"/>
          <w:b/>
          <w:bCs/>
        </w:rPr>
        <w:t>、资本市场优势</w:t>
      </w:r>
      <w:r>
        <w:rPr>
          <w:rFonts w:ascii="宋体" w:hAnsi="宋体" w:cs="宋体" w:eastAsia="宋体" w:hint="default"/>
          <w:b/>
          <w:bCs/>
          <w:w w:val="99"/>
        </w:rPr>
        <w:t> </w:t>
      </w:r>
      <w:r>
        <w:rPr>
          <w:spacing w:val="-1"/>
        </w:rPr>
        <w:t>公司在创业板成功上市后，目前仍是国内同行中少数拥有资本市场支持的公司之一，国内资本市场的改革，尤其是</w:t>
      </w:r>
      <w:r>
        <w:rPr>
          <w:rFonts w:ascii="Times New Roman" w:hAnsi="Times New Roman" w:cs="Times New Roman" w:eastAsia="Times New Roman" w:hint="default"/>
          <w:spacing w:val="-1"/>
        </w:rPr>
        <w:t>A</w:t>
      </w:r>
      <w:r>
        <w:rPr>
          <w:spacing w:val="-1"/>
        </w:rPr>
        <w:t>股</w:t>
      </w:r>
    </w:p>
    <w:p>
      <w:pPr>
        <w:pStyle w:val="BodyText"/>
        <w:spacing w:line="215" w:lineRule="exact"/>
        <w:ind w:right="0"/>
        <w:jc w:val="left"/>
      </w:pPr>
      <w:r>
        <w:rPr/>
        <w:t>上市公司再融资制度的不断完善，能够为公司未来的业务发展和战略实施提供资金保障。公司将围绕未来战略发展规划，充</w:t>
      </w:r>
    </w:p>
    <w:p>
      <w:pPr>
        <w:pStyle w:val="BodyText"/>
        <w:spacing w:line="316" w:lineRule="auto" w:before="76"/>
        <w:ind w:right="1129"/>
        <w:jc w:val="left"/>
      </w:pPr>
      <w:r>
        <w:rPr>
          <w:spacing w:val="-2"/>
        </w:rPr>
        <w:t>分发挥公司资本市场优势，以市值促进产业发展、以产业发展夯实市值基础的方式，将公司推入一个产融结合、快速扩张的</w:t>
      </w:r>
      <w:r>
        <w:rPr>
          <w:spacing w:val="-65"/>
        </w:rPr>
        <w:t> </w:t>
      </w:r>
      <w:r>
        <w:rPr>
          <w:spacing w:val="-65"/>
        </w:rPr>
      </w:r>
      <w:r>
        <w:rPr/>
        <w:t>良性发展通道。</w:t>
      </w:r>
    </w:p>
    <w:p>
      <w:pPr>
        <w:spacing w:after="0" w:line="316"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1133"/>
        <w:jc w:val="left"/>
        <w:rPr>
          <w:b w:val="0"/>
          <w:bCs w:val="0"/>
        </w:rPr>
      </w:pPr>
      <w:bookmarkStart w:name="第四节经营情况讨论与分析" w:id="22"/>
      <w:bookmarkEnd w:id="22"/>
      <w:r>
        <w:rPr>
          <w:b w:val="0"/>
          <w:bCs w:val="0"/>
        </w:rPr>
      </w:r>
      <w:bookmarkStart w:name="_bookmark3" w:id="23"/>
      <w:bookmarkEnd w:id="23"/>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33"/>
        <w:jc w:val="left"/>
        <w:rPr>
          <w:b w:val="0"/>
          <w:bCs w:val="0"/>
        </w:rPr>
      </w:pPr>
      <w:bookmarkStart w:name="一、概述" w:id="24"/>
      <w:bookmarkEnd w:id="24"/>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2" w:lineRule="auto"/>
        <w:ind w:right="1034" w:firstLine="360"/>
        <w:jc w:val="left"/>
      </w:pPr>
      <w:r>
        <w:rPr>
          <w:rFonts w:ascii="Times New Roman" w:hAnsi="Times New Roman" w:cs="Times New Roman" w:eastAsia="Times New Roman" w:hint="default"/>
          <w:spacing w:val="-2"/>
        </w:rPr>
        <w:t>2019</w:t>
      </w:r>
      <w:r>
        <w:rPr>
          <w:spacing w:val="-2"/>
        </w:rPr>
        <w:t>年，公司各项工作按照年度经营计划稳步推进，保持了平稳较快发展的良好态势，公司规模实力不断壮大。公司坚</w:t>
      </w:r>
      <w:r>
        <w:rPr/>
        <w:t> 持以客户为中心、以技术创新为驱动，进一步加大技术创新、产品升级和新产品开发力度，公司产品在新零售、公共交通、 </w:t>
      </w:r>
      <w:r>
        <w:rPr>
          <w:spacing w:val="-1"/>
        </w:rPr>
        <w:t>医疗等新兴行业领域的应用规模稳步增长，海外市场继续保持快速增长。报告期内，公司实现营业总收入</w:t>
      </w:r>
      <w:r>
        <w:rPr>
          <w:rFonts w:ascii="Times New Roman" w:hAnsi="Times New Roman" w:cs="Times New Roman" w:eastAsia="Times New Roman" w:hint="default"/>
          <w:spacing w:val="-1"/>
        </w:rPr>
        <w:t>951,309,604.48</w:t>
      </w:r>
      <w:r>
        <w:rPr>
          <w:spacing w:val="-1"/>
        </w:rPr>
        <w:t>元，</w:t>
      </w:r>
      <w:r>
        <w:rPr>
          <w:spacing w:val="-68"/>
        </w:rPr>
        <w:t> </w:t>
      </w:r>
      <w:r>
        <w:rPr/>
        <w:t>较上年同期下降</w:t>
      </w:r>
      <w:r>
        <w:rPr>
          <w:rFonts w:ascii="Times New Roman" w:hAnsi="Times New Roman" w:cs="Times New Roman" w:eastAsia="Times New Roman" w:hint="default"/>
        </w:rPr>
        <w:t>0.07%</w:t>
      </w:r>
      <w:r>
        <w:rPr/>
        <w:t>；实现归属于上市公司股东的净利润</w:t>
      </w:r>
      <w:r>
        <w:rPr>
          <w:rFonts w:ascii="Times New Roman" w:hAnsi="Times New Roman" w:cs="Times New Roman" w:eastAsia="Times New Roman" w:hint="default"/>
        </w:rPr>
        <w:t>51,356,383.35</w:t>
      </w:r>
      <w:r>
        <w:rPr/>
        <w:t>元，较上年同期下降</w:t>
      </w:r>
      <w:r>
        <w:rPr>
          <w:rFonts w:ascii="Times New Roman" w:hAnsi="Times New Roman" w:cs="Times New Roman" w:eastAsia="Times New Roman" w:hint="default"/>
        </w:rPr>
        <w:t>56.20%</w:t>
      </w:r>
      <w:r>
        <w:rPr/>
        <w:t>；经营活动产生的现金</w:t>
      </w:r>
      <w:r>
        <w:rPr>
          <w:spacing w:val="-78"/>
        </w:rPr>
        <w:t> </w:t>
      </w:r>
      <w:r>
        <w:rPr/>
        <w:t>流量净额</w:t>
      </w:r>
      <w:r>
        <w:rPr>
          <w:rFonts w:ascii="Times New Roman" w:hAnsi="Times New Roman" w:cs="Times New Roman" w:eastAsia="Times New Roman" w:hint="default"/>
        </w:rPr>
        <w:t>209,983,213.09</w:t>
      </w:r>
      <w:r>
        <w:rPr/>
        <w:t>元，较上年同期增长</w:t>
      </w:r>
      <w:r>
        <w:rPr>
          <w:rFonts w:ascii="Times New Roman" w:hAnsi="Times New Roman" w:cs="Times New Roman" w:eastAsia="Times New Roman" w:hint="default"/>
        </w:rPr>
        <w:t>869.74%</w:t>
      </w:r>
      <w:r>
        <w:rPr/>
        <w:t>。报告期内公司的净利润同比较大幅度下降，主要影响因素是根据中国 证监会《会计监管风险提示第</w:t>
      </w:r>
      <w:r>
        <w:rPr>
          <w:spacing w:val="-5"/>
        </w:rPr>
        <w:t> </w:t>
      </w:r>
      <w:r>
        <w:rPr>
          <w:rFonts w:ascii="Times New Roman" w:hAnsi="Times New Roman" w:cs="Times New Roman" w:eastAsia="Times New Roman" w:hint="default"/>
        </w:rPr>
        <w:t>8</w:t>
      </w:r>
      <w:r>
        <w:rPr>
          <w:rFonts w:ascii="Times New Roman" w:hAnsi="Times New Roman" w:cs="Times New Roman" w:eastAsia="Times New Roman" w:hint="default"/>
          <w:spacing w:val="40"/>
        </w:rPr>
        <w:t> </w:t>
      </w:r>
      <w:r>
        <w:rPr/>
        <w:t>号</w:t>
      </w:r>
      <w:r>
        <w:rPr>
          <w:rFonts w:ascii="Times New Roman" w:hAnsi="Times New Roman" w:cs="Times New Roman" w:eastAsia="Times New Roman" w:hint="default"/>
        </w:rPr>
        <w:t>—</w:t>
      </w:r>
      <w:r>
        <w:rPr/>
        <w:t>商誉减值》相关要求，考虑到公司收购的部分子公司资产组合报告期内实现利润未达</w:t>
      </w:r>
      <w:r>
        <w:rPr>
          <w:spacing w:val="-77"/>
        </w:rPr>
        <w:t> </w:t>
      </w:r>
      <w:r>
        <w:rPr>
          <w:spacing w:val="-77"/>
        </w:rPr>
      </w:r>
      <w:r>
        <w:rPr/>
        <w:t>预期，公司基于谨慎性原则，在合并报表层面计提商誉减值。</w:t>
      </w:r>
    </w:p>
    <w:p>
      <w:pPr>
        <w:pStyle w:val="BodyText"/>
        <w:spacing w:line="240" w:lineRule="auto" w:before="68"/>
        <w:ind w:left="513" w:right="1133"/>
        <w:jc w:val="left"/>
      </w:pPr>
      <w:r>
        <w:rPr/>
        <w:t>报告期内，公司本年度经营计划执行情况如下：</w:t>
      </w:r>
    </w:p>
    <w:p>
      <w:pPr>
        <w:spacing w:line="360" w:lineRule="auto" w:before="117"/>
        <w:ind w:left="513" w:right="1133" w:firstLine="0"/>
        <w:jc w:val="left"/>
        <w:rPr>
          <w:rFonts w:ascii="宋体" w:hAnsi="宋体" w:cs="宋体" w:eastAsia="宋体" w:hint="default"/>
          <w:sz w:val="18"/>
          <w:szCs w:val="18"/>
        </w:rPr>
      </w:pPr>
      <w:r>
        <w:rPr>
          <w:rFonts w:ascii="宋体" w:hAnsi="宋体" w:cs="宋体" w:eastAsia="宋体" w:hint="default"/>
          <w:b/>
          <w:bCs/>
          <w:sz w:val="18"/>
          <w:szCs w:val="18"/>
        </w:rPr>
        <w:t>（一）技术和产品创新引领企业发展，围绕行业精耕细作，围绕品质精益求精</w:t>
      </w:r>
      <w:r>
        <w:rPr>
          <w:rFonts w:ascii="宋体" w:hAnsi="宋体" w:cs="宋体" w:eastAsia="宋体" w:hint="default"/>
          <w:b/>
          <w:bCs/>
          <w:w w:val="99"/>
          <w:sz w:val="18"/>
          <w:szCs w:val="18"/>
        </w:rPr>
        <w:t> </w:t>
      </w:r>
      <w:r>
        <w:rPr>
          <w:rFonts w:ascii="宋体" w:hAnsi="宋体" w:cs="宋体" w:eastAsia="宋体" w:hint="default"/>
          <w:sz w:val="18"/>
          <w:szCs w:val="18"/>
        </w:rPr>
        <w:t>报告期内，公司基于原有的智能移动应用软硬件核心技术，进一步深化了对人工智能、</w:t>
      </w:r>
      <w:r>
        <w:rPr>
          <w:rFonts w:ascii="Times New Roman" w:hAnsi="Times New Roman" w:cs="Times New Roman" w:eastAsia="Times New Roman" w:hint="default"/>
          <w:sz w:val="18"/>
          <w:szCs w:val="18"/>
        </w:rPr>
        <w:t>RFID</w:t>
      </w:r>
      <w:r>
        <w:rPr>
          <w:rFonts w:ascii="宋体" w:hAnsi="宋体" w:cs="宋体" w:eastAsia="宋体" w:hint="default"/>
          <w:sz w:val="18"/>
          <w:szCs w:val="18"/>
        </w:rPr>
        <w:t>、数字认证、生物识别、</w:t>
      </w:r>
    </w:p>
    <w:p>
      <w:pPr>
        <w:pStyle w:val="BodyText"/>
        <w:spacing w:line="199" w:lineRule="exact"/>
        <w:ind w:right="0"/>
        <w:jc w:val="left"/>
      </w:pPr>
      <w:r>
        <w:rPr/>
        <w:t>机器视觉、大数据及云计算、移动信息安全等行业智能应用新技术的研究，并着力于物流信息化、智能支付、智能仓储等相</w:t>
      </w:r>
    </w:p>
    <w:p>
      <w:pPr>
        <w:pStyle w:val="BodyText"/>
        <w:spacing w:line="357" w:lineRule="auto" w:before="76"/>
        <w:ind w:left="513" w:right="1129" w:hanging="361"/>
        <w:jc w:val="left"/>
      </w:pPr>
      <w:r>
        <w:rPr/>
        <w:t>关技术研究和产品开发。 </w:t>
      </w:r>
      <w:r>
        <w:rPr>
          <w:spacing w:val="-2"/>
        </w:rPr>
        <w:t>报告期内，公司着力加强了对识读模块等核心模块和功能器件的研发，在终端产品的平台兼容性、移动适应性、防护等</w:t>
      </w:r>
    </w:p>
    <w:p>
      <w:pPr>
        <w:pStyle w:val="BodyText"/>
        <w:spacing w:line="237" w:lineRule="exact"/>
        <w:ind w:right="0"/>
        <w:jc w:val="left"/>
      </w:pPr>
      <w:r>
        <w:rPr/>
        <w:t>级、通信稳定性等方面突破多项行业级技术瓶颈，发布了</w:t>
      </w:r>
      <w:r>
        <w:rPr>
          <w:rFonts w:ascii="Times New Roman" w:hAnsi="Times New Roman" w:cs="Times New Roman" w:eastAsia="Times New Roman" w:hint="default"/>
        </w:rPr>
        <w:t>DT30</w:t>
      </w:r>
      <w:r>
        <w:rPr/>
        <w:t>、</w:t>
      </w:r>
      <w:r>
        <w:rPr>
          <w:rFonts w:ascii="Times New Roman" w:hAnsi="Times New Roman" w:cs="Times New Roman" w:eastAsia="Times New Roman" w:hint="default"/>
        </w:rPr>
        <w:t>DT40</w:t>
      </w:r>
      <w:r>
        <w:rPr/>
        <w:t>、</w:t>
      </w:r>
      <w:r>
        <w:rPr>
          <w:rFonts w:ascii="Times New Roman" w:hAnsi="Times New Roman" w:cs="Times New Roman" w:eastAsia="Times New Roman" w:hint="default"/>
        </w:rPr>
        <w:t>DT50</w:t>
      </w:r>
      <w:r>
        <w:rPr/>
        <w:t>系列智能移动数据终端产品，同时推出了具备</w:t>
      </w:r>
    </w:p>
    <w:p>
      <w:pPr>
        <w:pStyle w:val="BodyText"/>
        <w:spacing w:line="300" w:lineRule="auto" w:before="63"/>
        <w:ind w:right="1130"/>
        <w:jc w:val="both"/>
      </w:pPr>
      <w:r>
        <w:rPr>
          <w:rFonts w:ascii="Times New Roman" w:hAnsi="Times New Roman" w:cs="Times New Roman" w:eastAsia="Times New Roman" w:hint="default"/>
        </w:rPr>
        <w:t>3D</w:t>
      </w:r>
      <w:r>
        <w:rPr/>
        <w:t>结构光物体测量等功能的智能终端、</w:t>
      </w:r>
      <w:r>
        <w:rPr>
          <w:color w:val="333333"/>
        </w:rPr>
        <w:t>基于</w:t>
      </w:r>
      <w:r>
        <w:rPr>
          <w:rFonts w:ascii="Times New Roman" w:hAnsi="Times New Roman" w:cs="Times New Roman" w:eastAsia="Times New Roman" w:hint="default"/>
          <w:color w:val="333333"/>
        </w:rPr>
        <w:t>PoC</w:t>
      </w:r>
      <w:r>
        <w:rPr>
          <w:color w:val="333333"/>
        </w:rPr>
        <w:t>技术的</w:t>
      </w:r>
      <w:r>
        <w:rPr>
          <w:rFonts w:ascii="Times New Roman" w:hAnsi="Times New Roman" w:cs="Times New Roman" w:eastAsia="Times New Roman" w:hint="default"/>
          <w:color w:val="333333"/>
        </w:rPr>
        <w:t>U-Talking</w:t>
      </w:r>
      <w:r>
        <w:rPr>
          <w:color w:val="333333"/>
        </w:rPr>
        <w:t>公网视频对讲工具等新产品</w:t>
      </w:r>
      <w:r>
        <w:rPr/>
        <w:t>。公司自主研发的工业级</w:t>
      </w:r>
      <w:r>
        <w:rPr>
          <w:rFonts w:ascii="Times New Roman" w:hAnsi="Times New Roman" w:cs="Times New Roman" w:eastAsia="Times New Roman" w:hint="default"/>
        </w:rPr>
        <w:t>RFID</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spacing w:val="-3"/>
        </w:rPr>
        <w:t>手持终端</w:t>
      </w:r>
      <w:r>
        <w:rPr>
          <w:rFonts w:ascii="Times New Roman" w:hAnsi="Times New Roman" w:cs="Times New Roman" w:eastAsia="Times New Roman" w:hint="default"/>
          <w:spacing w:val="-3"/>
        </w:rPr>
        <w:t>V5000S</w:t>
      </w:r>
      <w:r>
        <w:rPr>
          <w:spacing w:val="-3"/>
        </w:rPr>
        <w:t>凭借超高性能，从近</w:t>
      </w:r>
      <w:r>
        <w:rPr>
          <w:rFonts w:ascii="Times New Roman" w:hAnsi="Times New Roman" w:cs="Times New Roman" w:eastAsia="Times New Roman" w:hint="default"/>
          <w:spacing w:val="-3"/>
        </w:rPr>
        <w:t>400</w:t>
      </w:r>
      <w:r>
        <w:rPr>
          <w:spacing w:val="-3"/>
        </w:rPr>
        <w:t>家物联网企业中脱颖而出，荣获</w:t>
      </w:r>
      <w:r>
        <w:rPr>
          <w:rFonts w:ascii="Times New Roman" w:hAnsi="Times New Roman" w:cs="Times New Roman" w:eastAsia="Times New Roman" w:hint="default"/>
          <w:spacing w:val="-3"/>
        </w:rPr>
        <w:t>“2018</w:t>
      </w:r>
      <w:r>
        <w:rPr>
          <w:spacing w:val="-3"/>
        </w:rPr>
        <w:t>中国</w:t>
      </w:r>
      <w:r>
        <w:rPr>
          <w:rFonts w:ascii="Times New Roman" w:hAnsi="Times New Roman" w:cs="Times New Roman" w:eastAsia="Times New Roman" w:hint="default"/>
          <w:spacing w:val="-3"/>
        </w:rPr>
        <w:t>RFID</w:t>
      </w:r>
      <w:r>
        <w:rPr>
          <w:spacing w:val="-3"/>
        </w:rPr>
        <w:t>行业最有影响力创新产品</w:t>
      </w:r>
      <w:r>
        <w:rPr>
          <w:rFonts w:ascii="Times New Roman" w:hAnsi="Times New Roman" w:cs="Times New Roman" w:eastAsia="Times New Roman" w:hint="default"/>
          <w:spacing w:val="-3"/>
        </w:rPr>
        <w:t>-</w:t>
      </w:r>
      <w:r>
        <w:rPr>
          <w:spacing w:val="-3"/>
        </w:rPr>
        <w:t>手持终端</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7"/>
        </w:rPr>
        <w:t> </w:t>
      </w:r>
      <w:r>
        <w:rPr/>
        <w:t>奖项。</w:t>
      </w:r>
    </w:p>
    <w:p>
      <w:pPr>
        <w:pStyle w:val="BodyText"/>
        <w:spacing w:line="312" w:lineRule="auto" w:before="72"/>
        <w:ind w:right="1127" w:firstLine="360"/>
        <w:jc w:val="both"/>
      </w:pPr>
      <w:r>
        <w:rPr>
          <w:spacing w:val="-2"/>
        </w:rPr>
        <w:t>报告期内，公司基于移动信息领域多年的积淀，充分了解行业及客户需求，顺应云平台的发展趋势，为合作伙伴开发了</w:t>
      </w:r>
      <w:r>
        <w:rPr/>
        <w:t> 一站式数字化云服务平台</w:t>
      </w:r>
      <w:r>
        <w:rPr>
          <w:rFonts w:ascii="Times New Roman" w:hAnsi="Times New Roman" w:cs="Times New Roman" w:eastAsia="Times New Roman" w:hint="default"/>
        </w:rPr>
        <w:t>“UMS”</w:t>
      </w:r>
      <w:r>
        <w:rPr/>
        <w:t>（</w:t>
      </w:r>
      <w:r>
        <w:rPr>
          <w:rFonts w:ascii="Times New Roman" w:hAnsi="Times New Roman" w:cs="Times New Roman" w:eastAsia="Times New Roman" w:hint="default"/>
        </w:rPr>
        <w:t>Unified Management</w:t>
      </w:r>
      <w:r>
        <w:rPr>
          <w:rFonts w:ascii="Times New Roman" w:hAnsi="Times New Roman" w:cs="Times New Roman" w:eastAsia="Times New Roman" w:hint="default"/>
          <w:spacing w:val="-1"/>
        </w:rPr>
        <w:t> </w:t>
      </w:r>
      <w:r>
        <w:rPr>
          <w:rFonts w:ascii="Times New Roman" w:hAnsi="Times New Roman" w:cs="Times New Roman" w:eastAsia="Times New Roman" w:hint="default"/>
        </w:rPr>
        <w:t>System</w:t>
      </w:r>
      <w:r>
        <w:rPr/>
        <w:t>），目前平台注册账户已超过</w:t>
      </w:r>
      <w:r>
        <w:rPr>
          <w:rFonts w:ascii="Times New Roman" w:hAnsi="Times New Roman" w:cs="Times New Roman" w:eastAsia="Times New Roman" w:hint="default"/>
        </w:rPr>
        <w:t>100</w:t>
      </w:r>
      <w:r>
        <w:rPr/>
        <w:t>个。该平台提供应用市场、 </w:t>
      </w:r>
      <w:r>
        <w:rPr>
          <w:spacing w:val="-2"/>
        </w:rPr>
        <w:t>远程管理、数据中心、设备归属管理、商户信息管理等功能，大大降低了客户开发和维护的成本，为增强客户粘性提供了有</w:t>
      </w:r>
      <w:r>
        <w:rPr>
          <w:spacing w:val="-67"/>
        </w:rPr>
        <w:t> </w:t>
      </w:r>
      <w:r>
        <w:rPr>
          <w:spacing w:val="-67"/>
        </w:rPr>
      </w:r>
      <w:r>
        <w:rPr/>
        <w:t>力保障。</w:t>
      </w:r>
    </w:p>
    <w:p>
      <w:pPr>
        <w:pStyle w:val="BodyText"/>
        <w:spacing w:line="304" w:lineRule="auto" w:before="63"/>
        <w:ind w:right="1035" w:firstLine="360"/>
        <w:jc w:val="left"/>
      </w:pPr>
      <w:r>
        <w:rPr/>
        <w:t>报告期内，公司通过推行</w:t>
      </w:r>
      <w:r>
        <w:rPr>
          <w:rFonts w:ascii="Times New Roman" w:hAnsi="Times New Roman" w:cs="Times New Roman" w:eastAsia="Times New Roman" w:hint="default"/>
        </w:rPr>
        <w:t>“</w:t>
      </w:r>
      <w:r>
        <w:rPr/>
        <w:t>品质活动月</w:t>
      </w:r>
      <w:r>
        <w:rPr>
          <w:rFonts w:ascii="Times New Roman" w:hAnsi="Times New Roman" w:cs="Times New Roman" w:eastAsia="Times New Roman" w:hint="default"/>
        </w:rPr>
        <w:t>”</w:t>
      </w:r>
      <w:r>
        <w:rPr/>
        <w:t>活动，在全公司强化质量文化，通过长期展示和定期组织学习</w:t>
      </w:r>
      <w:r>
        <w:rPr>
          <w:rFonts w:ascii="Times New Roman" w:hAnsi="Times New Roman" w:cs="Times New Roman" w:eastAsia="Times New Roman" w:hint="default"/>
        </w:rPr>
        <w:t>“</w:t>
      </w:r>
      <w:r>
        <w:rPr/>
        <w:t>改良改善</w:t>
      </w:r>
      <w:r>
        <w:rPr>
          <w:rFonts w:ascii="Times New Roman" w:hAnsi="Times New Roman" w:cs="Times New Roman" w:eastAsia="Times New Roman" w:hint="default"/>
        </w:rPr>
        <w:t>”</w:t>
      </w:r>
      <w:r>
        <w:rPr/>
        <w:t>专题公 </w:t>
      </w:r>
      <w:r>
        <w:rPr>
          <w:spacing w:val="-1"/>
        </w:rPr>
        <w:t>示、</w:t>
      </w:r>
      <w:r>
        <w:rPr>
          <w:rFonts w:ascii="Times New Roman" w:hAnsi="Times New Roman" w:cs="Times New Roman" w:eastAsia="Times New Roman" w:hint="default"/>
          <w:spacing w:val="-1"/>
        </w:rPr>
        <w:t>5S</w:t>
      </w:r>
      <w:r>
        <w:rPr>
          <w:spacing w:val="-1"/>
        </w:rPr>
        <w:t>巡查记录管理公示、生产和品质管理公示、</w:t>
      </w:r>
      <w:r>
        <w:rPr>
          <w:rFonts w:ascii="Times New Roman" w:hAnsi="Times New Roman" w:cs="Times New Roman" w:eastAsia="Times New Roman" w:hint="default"/>
          <w:spacing w:val="-1"/>
        </w:rPr>
        <w:t>ISO</w:t>
      </w:r>
      <w:r>
        <w:rPr>
          <w:spacing w:val="-1"/>
        </w:rPr>
        <w:t>宣传公示的方式，以及实行</w:t>
      </w:r>
      <w:r>
        <w:rPr>
          <w:rFonts w:ascii="Times New Roman" w:hAnsi="Times New Roman" w:cs="Times New Roman" w:eastAsia="Times New Roman" w:hint="default"/>
          <w:spacing w:val="-1"/>
        </w:rPr>
        <w:t>“</w:t>
      </w:r>
      <w:r>
        <w:rPr>
          <w:spacing w:val="-1"/>
        </w:rPr>
        <w:t>品质</w:t>
      </w:r>
      <w:r>
        <w:rPr>
          <w:rFonts w:ascii="Times New Roman" w:hAnsi="Times New Roman" w:cs="Times New Roman" w:eastAsia="Times New Roman" w:hint="default"/>
          <w:spacing w:val="-1"/>
        </w:rPr>
        <w:t>PDCA</w:t>
      </w:r>
      <w:r>
        <w:rPr>
          <w:spacing w:val="-1"/>
        </w:rPr>
        <w:t>管理循环八步骤</w:t>
      </w:r>
      <w:r>
        <w:rPr>
          <w:rFonts w:ascii="Times New Roman" w:hAnsi="Times New Roman" w:cs="Times New Roman" w:eastAsia="Times New Roman" w:hint="default"/>
          <w:spacing w:val="-1"/>
        </w:rPr>
        <w:t>”</w:t>
      </w:r>
      <w:r>
        <w:rPr>
          <w:spacing w:val="-1"/>
        </w:rPr>
        <w:t>的管理办法，</w:t>
      </w:r>
      <w:r>
        <w:rPr>
          <w:spacing w:val="-69"/>
        </w:rPr>
        <w:t> </w:t>
      </w:r>
      <w:r>
        <w:rPr/>
        <w:t>来落实</w:t>
      </w:r>
      <w:r>
        <w:rPr>
          <w:rFonts w:ascii="Times New Roman" w:hAnsi="Times New Roman" w:cs="Times New Roman" w:eastAsia="Times New Roman" w:hint="default"/>
        </w:rPr>
        <w:t>“</w:t>
      </w:r>
      <w:r>
        <w:rPr/>
        <w:t>全员参与、提升品质、顾客满意、持续发展</w:t>
      </w:r>
      <w:r>
        <w:rPr>
          <w:rFonts w:ascii="Times New Roman" w:hAnsi="Times New Roman" w:cs="Times New Roman" w:eastAsia="Times New Roman" w:hint="default"/>
        </w:rPr>
        <w:t>”</w:t>
      </w:r>
      <w:r>
        <w:rPr/>
        <w:t>的质量方针。通过构建来料管控、制程管控、研发管控、认证资质体系 </w:t>
      </w:r>
      <w:r>
        <w:rPr>
          <w:spacing w:val="-2"/>
        </w:rPr>
        <w:t>以及实验室检测和售后六大部分组成的整体质量管控体系，实现从来料到产品交付的全程品质保证。公司产品品质进一步得</w:t>
      </w:r>
      <w:r>
        <w:rPr>
          <w:spacing w:val="-64"/>
        </w:rPr>
        <w:t> </w:t>
      </w:r>
      <w:r>
        <w:rPr>
          <w:spacing w:val="-64"/>
        </w:rPr>
      </w:r>
      <w:r>
        <w:rPr/>
        <w:t>到大幅提升。</w:t>
      </w:r>
    </w:p>
    <w:p>
      <w:pPr>
        <w:spacing w:line="360" w:lineRule="auto" w:before="66"/>
        <w:ind w:left="513" w:right="1129" w:firstLine="0"/>
        <w:jc w:val="left"/>
        <w:rPr>
          <w:rFonts w:ascii="宋体" w:hAnsi="宋体" w:cs="宋体" w:eastAsia="宋体" w:hint="default"/>
          <w:sz w:val="18"/>
          <w:szCs w:val="18"/>
        </w:rPr>
      </w:pPr>
      <w:r>
        <w:rPr>
          <w:rFonts w:ascii="宋体" w:hAnsi="宋体" w:cs="宋体" w:eastAsia="宋体" w:hint="default"/>
          <w:b/>
          <w:bCs/>
          <w:sz w:val="18"/>
          <w:szCs w:val="18"/>
        </w:rPr>
        <w:t>（二）持续强化渠道销售体系建设，搭建电子商务销售渠道，海外市场销量保持快速增长</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报告期内，公司持续强化国内外营销和服务网络布局，提升服务水平和服务效率，进一步加强渠道销售体系管理，推进</w:t>
      </w:r>
    </w:p>
    <w:p>
      <w:pPr>
        <w:pStyle w:val="BodyText"/>
        <w:spacing w:line="236" w:lineRule="exact"/>
        <w:ind w:right="0"/>
        <w:jc w:val="left"/>
      </w:pPr>
      <w:r>
        <w:rPr/>
        <w:t>渠道销售的规范化、标准化。公司推出</w:t>
      </w:r>
      <w:r>
        <w:rPr>
          <w:rFonts w:ascii="Times New Roman" w:hAnsi="Times New Roman" w:cs="Times New Roman" w:eastAsia="Times New Roman" w:hint="default"/>
        </w:rPr>
        <w:t>“</w:t>
      </w:r>
      <w:r>
        <w:rPr/>
        <w:t>云雀电商计划</w:t>
      </w:r>
      <w:r>
        <w:rPr>
          <w:rFonts w:ascii="Times New Roman" w:hAnsi="Times New Roman" w:cs="Times New Roman" w:eastAsia="Times New Roman" w:hint="default"/>
        </w:rPr>
        <w:t>”</w:t>
      </w:r>
      <w:r>
        <w:rPr/>
        <w:t>，对接了上百家知名第三方软件企业，建立了电商销售渠道，并成功</w:t>
      </w:r>
    </w:p>
    <w:p>
      <w:pPr>
        <w:pStyle w:val="BodyText"/>
        <w:spacing w:line="360" w:lineRule="auto" w:before="63"/>
        <w:ind w:left="513" w:right="1133" w:hanging="361"/>
        <w:jc w:val="left"/>
      </w:pPr>
      <w:r>
        <w:rPr/>
        <w:t>举办了多次电商营销活动。公司参加了多个国内外大型展会，获得了国内外参会者的瞩目。 </w:t>
      </w:r>
      <w:r>
        <w:rPr>
          <w:spacing w:val="-2"/>
        </w:rPr>
        <w:t>报告期内，基于在行业市场广为认可的良好口碑，公司继续巩固在物流快递、零售等行业的优势，积极向智能仓储、智</w:t>
      </w:r>
    </w:p>
    <w:p>
      <w:pPr>
        <w:pStyle w:val="BodyText"/>
        <w:spacing w:line="222" w:lineRule="exact"/>
        <w:ind w:right="0"/>
        <w:jc w:val="left"/>
      </w:pPr>
      <w:r>
        <w:rPr/>
        <w:t>慧医疗、智慧交通、智能制造、产品溯源、行政执法等新兴领域拓展，新增中标了农业银行、中国石化、华润万家、苏宁物</w:t>
      </w:r>
    </w:p>
    <w:p>
      <w:pPr>
        <w:pStyle w:val="BodyText"/>
        <w:spacing w:line="357" w:lineRule="auto" w:before="76"/>
        <w:ind w:left="513" w:right="1129" w:hanging="361"/>
        <w:jc w:val="left"/>
      </w:pPr>
      <w:r>
        <w:rPr/>
        <w:t>流等重大项目。 </w:t>
      </w:r>
      <w:r>
        <w:rPr>
          <w:spacing w:val="-2"/>
        </w:rPr>
        <w:t>报告期内，公司继续加大海外市场拓展力度，销售和技术支持团队建设逐渐完备。在国际环境不确定性风险持续上升的</w:t>
      </w:r>
    </w:p>
    <w:p>
      <w:pPr>
        <w:pStyle w:val="BodyText"/>
        <w:spacing w:line="237" w:lineRule="exact"/>
        <w:ind w:right="1133"/>
        <w:jc w:val="left"/>
      </w:pPr>
      <w:r>
        <w:rPr/>
        <w:t>情况下，公司通过采取有针对性的市场策略，保证了海外市场销售额继续保持快速增长，较上年同期增长</w:t>
      </w:r>
      <w:r>
        <w:rPr>
          <w:rFonts w:ascii="Times New Roman" w:hAnsi="Times New Roman" w:cs="Times New Roman" w:eastAsia="Times New Roman" w:hint="default"/>
        </w:rPr>
        <w:t>39.02%</w:t>
      </w:r>
      <w:r>
        <w:rPr/>
        <w:t>，主要销</w:t>
      </w:r>
    </w:p>
    <w:p>
      <w:pPr>
        <w:pStyle w:val="BodyText"/>
        <w:spacing w:line="240" w:lineRule="auto" w:before="62"/>
        <w:ind w:right="1133"/>
        <w:jc w:val="left"/>
      </w:pPr>
      <w:r>
        <w:rPr/>
        <w:t>售市场集中在印度、东南亚、欧洲、俄罗斯及南美洲。</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line="360" w:lineRule="auto" w:before="44"/>
        <w:ind w:left="513" w:right="1133" w:firstLine="0"/>
        <w:jc w:val="left"/>
        <w:rPr>
          <w:rFonts w:ascii="宋体" w:hAnsi="宋体" w:cs="宋体" w:eastAsia="宋体" w:hint="default"/>
          <w:sz w:val="18"/>
          <w:szCs w:val="18"/>
        </w:rPr>
      </w:pPr>
      <w:r>
        <w:rPr>
          <w:rFonts w:ascii="宋体" w:hAnsi="宋体" w:cs="宋体" w:eastAsia="宋体" w:hint="default"/>
          <w:b/>
          <w:bCs/>
          <w:sz w:val="18"/>
          <w:szCs w:val="18"/>
        </w:rPr>
        <w:t>（三）资本运营工作大力推进，进一步完善产业布局</w:t>
      </w:r>
      <w:r>
        <w:rPr>
          <w:rFonts w:ascii="宋体" w:hAnsi="宋体" w:cs="宋体" w:eastAsia="宋体" w:hint="default"/>
          <w:b/>
          <w:bCs/>
          <w:w w:val="99"/>
          <w:sz w:val="18"/>
          <w:szCs w:val="18"/>
        </w:rPr>
        <w:t> </w:t>
      </w:r>
      <w:r>
        <w:rPr>
          <w:rFonts w:ascii="宋体" w:hAnsi="宋体" w:cs="宋体" w:eastAsia="宋体" w:hint="default"/>
          <w:sz w:val="18"/>
          <w:szCs w:val="18"/>
        </w:rPr>
        <w:t>公司秉持</w:t>
      </w:r>
      <w:r>
        <w:rPr>
          <w:rFonts w:ascii="Times New Roman" w:hAnsi="Times New Roman" w:cs="Times New Roman" w:eastAsia="Times New Roman" w:hint="default"/>
          <w:sz w:val="18"/>
          <w:szCs w:val="18"/>
        </w:rPr>
        <w:t>“</w:t>
      </w:r>
      <w:r>
        <w:rPr>
          <w:rFonts w:ascii="宋体" w:hAnsi="宋体" w:cs="宋体" w:eastAsia="宋体" w:hint="default"/>
          <w:sz w:val="18"/>
          <w:szCs w:val="18"/>
        </w:rPr>
        <w:t>在以物联网为背景的跨行业智能移动应用产业链中占据核心地位，置身于物联网技术和云计算应用的前端，</w:t>
      </w:r>
    </w:p>
    <w:p>
      <w:pPr>
        <w:pStyle w:val="BodyText"/>
        <w:spacing w:line="212" w:lineRule="exact"/>
        <w:ind w:right="0"/>
        <w:jc w:val="left"/>
      </w:pPr>
      <w:r>
        <w:rPr/>
        <w:t>构建一个完整的价值生态系统</w:t>
      </w:r>
      <w:r>
        <w:rPr>
          <w:rFonts w:ascii="Times New Roman" w:hAnsi="Times New Roman" w:cs="Times New Roman" w:eastAsia="Times New Roman" w:hint="default"/>
        </w:rPr>
        <w:t>”</w:t>
      </w:r>
      <w:r>
        <w:rPr/>
        <w:t>的理念，充分发挥上市公司平台优势，进一步完善产业布局。报告期内，公司完成对国内领</w:t>
      </w:r>
    </w:p>
    <w:p>
      <w:pPr>
        <w:pStyle w:val="BodyText"/>
        <w:spacing w:line="316" w:lineRule="auto" w:before="63"/>
        <w:ind w:right="1034"/>
        <w:jc w:val="left"/>
      </w:pPr>
      <w:r>
        <w:rPr>
          <w:spacing w:val="-2"/>
        </w:rPr>
        <w:t>先的专用打印机方案提供商佳博科技的重大资产重组事项，在较短期间内拓展专用打印机这一行业智能移动信息化领域的重</w:t>
      </w:r>
      <w:r>
        <w:rPr>
          <w:spacing w:val="-64"/>
        </w:rPr>
        <w:t> </w:t>
      </w:r>
      <w:r>
        <w:rPr>
          <w:spacing w:val="-64"/>
        </w:rPr>
      </w:r>
      <w:r>
        <w:rPr>
          <w:spacing w:val="-2"/>
        </w:rPr>
        <w:t>要产品门类，进一步完善产业布局，提升对国内外行业客户的一体化综合服务能力，并极大地补充相关领域的技术储备和业</w:t>
      </w:r>
      <w:r>
        <w:rPr>
          <w:spacing w:val="-63"/>
        </w:rPr>
        <w:t> </w:t>
      </w:r>
      <w:r>
        <w:rPr>
          <w:spacing w:val="-63"/>
        </w:rPr>
      </w:r>
      <w:r>
        <w:rPr/>
        <w:t>务经验，抢占未来发展先机。公司根据战略布局成立了深圳市云栖信息科技有限公司、桐庐宏锐软件科技有限公司，同时， 不断加强与瑞柏泰、天眼智通、上海芝柯、中世顺的资源整合和业务协同。</w:t>
      </w:r>
    </w:p>
    <w:p>
      <w:pPr>
        <w:spacing w:line="240" w:lineRule="auto" w:before="9"/>
        <w:rPr>
          <w:rFonts w:ascii="宋体" w:hAnsi="宋体" w:cs="宋体" w:eastAsia="宋体" w:hint="default"/>
          <w:sz w:val="20"/>
          <w:szCs w:val="20"/>
        </w:rPr>
      </w:pPr>
    </w:p>
    <w:p>
      <w:pPr>
        <w:pStyle w:val="Heading2"/>
        <w:spacing w:line="240" w:lineRule="auto"/>
        <w:ind w:right="1133"/>
        <w:jc w:val="left"/>
        <w:rPr>
          <w:b w:val="0"/>
          <w:bCs w:val="0"/>
        </w:rPr>
      </w:pPr>
      <w:bookmarkStart w:name="二、主营业务分析" w:id="25"/>
      <w:bookmarkEnd w:id="25"/>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spacing w:line="547" w:lineRule="auto" w:before="0"/>
        <w:ind w:left="152" w:right="6474"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6"/>
        <w:ind w:right="1133"/>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营业收入整体情况</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9"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951,309,604.48</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951,939,425.66</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智能移动终端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866,633,242.59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91.10%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883,827,895.38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92.84%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软件及服务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26,206,054.52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23,542,173.88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11.32%</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配件及贸易商品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58,399,380.65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43,651,124.76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33.79%</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机具租赁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70,926.72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918,231.64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0.10%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-92.28%</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智能移动数据终端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393,814,052.74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41.40%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478,321,497.56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50.25%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-17.67%</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智能移动支付终端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472,819,189.85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49.70%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405,506,397.82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42.60%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16.60%</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开发及服务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25,901,806.73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23,542,173.88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10.02%</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304,247.79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配件销售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33,259,664.60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27,138,250.33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22.56%</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贸易商品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25,139,716.05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16,512,874.43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52.24%</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机具租赁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70,926.72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918,231.64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0.10%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-92.28%</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180,132,490.60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18.94%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199,640,355.46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20.97%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-9.77%</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326,184,504.37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34.29%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408,449,003.65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42.91%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-20.14%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境内其他地区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129,076,196.41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116,605,718.31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10.69%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315,916,413.10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33.20%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227,244,348.24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23.87%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39.02%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智能移动终端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866,633,242.59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589,712,174.92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-0.09%</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智能移动数据终 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393,814,052.74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252,189,248.06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-22.38%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3.88%</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智能移动支付终 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472,819,189.85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337,522,926.86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22.38%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-3.38%</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180,132,490.60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121,200,733.56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326,184,504.37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201,389,214.80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境内其他地区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129,076,196.41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87,628,220.10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-1.10%</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315,916,413.10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222,919,795.42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35.13%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w:t>
            </w:r>
          </w:p>
        </w:tc>
      </w:tr>
    </w:tbl>
    <w:p>
      <w:pPr>
        <w:pStyle w:val="BodyText"/>
        <w:spacing w:line="240" w:lineRule="auto" w:before="49"/>
        <w:ind w:right="1133"/>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3"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智能移动终端</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856,589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712,651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20.20%</w:t>
            </w:r>
          </w:p>
        </w:tc>
      </w:tr>
      <w:tr>
        <w:trPr>
          <w:trHeight w:val="403"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733,971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10.68%</w:t>
            </w: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-57.88%</w:t>
            </w:r>
          </w:p>
        </w:tc>
      </w:tr>
    </w:tbl>
    <w:p>
      <w:pPr>
        <w:pStyle w:val="BodyText"/>
        <w:spacing w:line="240" w:lineRule="auto" w:before="49"/>
        <w:ind w:right="1133"/>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338" w:lineRule="auto" w:before="103"/>
        <w:ind w:right="4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公司在报告期内实行精细化库存管理，不断优化库存量的计划，使得库存量减少。</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产品分类</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智能移动数据终 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252,189,248.06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39.83%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324,896,883.46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-22.38%</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智能移动支付终 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337,522,926.86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53.31%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275,796,522.52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22.38%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开发及服务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5,531,931.53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2,829,666.74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95.50%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103,773.58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配件销售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16,817,294.99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19,360,722.65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-13.14%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贸易商品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20,945,121.13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11,710,876.43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78.85%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机具租赁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27,667.73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334,149.50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-91.72%</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6"/>
        <w:ind w:right="1133"/>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BodyText"/>
        <w:spacing w:line="312" w:lineRule="auto" w:before="101"/>
        <w:ind w:right="1131" w:firstLine="360"/>
        <w:jc w:val="both"/>
      </w:pPr>
      <w:r>
        <w:rPr/>
        <w:t>本期纳入合并财务报表范围的主体较上期相比增加</w:t>
      </w:r>
      <w:r>
        <w:rPr>
          <w:rFonts w:ascii="Times New Roman" w:hAnsi="Times New Roman" w:cs="Times New Roman" w:eastAsia="Times New Roman" w:hint="default"/>
        </w:rPr>
        <w:t>9</w:t>
      </w:r>
      <w:r>
        <w:rPr/>
        <w:t>户，分别为：公司发起设立的深圳市云栖信息科技有限公司、桐庐 </w:t>
      </w:r>
      <w:r>
        <w:rPr>
          <w:spacing w:val="-2"/>
        </w:rPr>
        <w:t>宏锐软件科技有限公司，以及通过并购取得的珠海佳博科技有限公司及其全资子公司珠海浩盛标签打印机有限公司、珠海智</w:t>
      </w:r>
      <w:r>
        <w:rPr>
          <w:spacing w:val="-64"/>
        </w:rPr>
        <w:t> </w:t>
      </w:r>
      <w:r>
        <w:rPr>
          <w:spacing w:val="-64"/>
        </w:rPr>
      </w:r>
      <w:r>
        <w:rPr>
          <w:spacing w:val="-2"/>
        </w:rPr>
        <w:t>汇网络设备有限公司、珠海盛源信息科技有限公司、珠海佳博网络有限公司、深圳市佳博智联软件有限公司、深圳市佳博兆</w:t>
      </w:r>
      <w:r>
        <w:rPr>
          <w:spacing w:val="-65"/>
        </w:rPr>
        <w:t> </w:t>
      </w:r>
      <w:r>
        <w:rPr>
          <w:spacing w:val="-65"/>
        </w:rPr>
      </w:r>
      <w:r>
        <w:rPr/>
        <w:t>丰科技有限公司。</w:t>
      </w:r>
    </w:p>
    <w:p>
      <w:pPr>
        <w:pStyle w:val="BodyText"/>
        <w:spacing w:line="300" w:lineRule="auto" w:before="22"/>
        <w:ind w:right="1128" w:firstLine="360"/>
        <w:jc w:val="both"/>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w:t>
      </w:r>
      <w:r>
        <w:rPr>
          <w:spacing w:val="-1"/>
        </w:rPr>
        <w:t>日，公司发行股份购买珠海佳博科技有限公司</w:t>
      </w:r>
      <w:r>
        <w:rPr>
          <w:rFonts w:ascii="Times New Roman" w:hAnsi="Times New Roman" w:cs="Times New Roman" w:eastAsia="Times New Roman" w:hint="default"/>
          <w:spacing w:val="-1"/>
        </w:rPr>
        <w:t>100%</w:t>
      </w:r>
      <w:r>
        <w:rPr>
          <w:spacing w:val="-1"/>
        </w:rPr>
        <w:t>股权事项完成资产过户，珠海佳博科技有限公司成为公</w:t>
      </w:r>
      <w:r>
        <w:rPr/>
        <w:t> </w:t>
      </w:r>
      <w:r>
        <w:rPr>
          <w:spacing w:val="-2"/>
        </w:rPr>
        <w:t>司全资子公司，根据企业会计准则规定，珠海佳博科技有限公司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日资产负债表纳入公司合并范围，</w:t>
      </w:r>
      <w:r>
        <w:rPr>
          <w:rFonts w:ascii="Times New Roman" w:hAnsi="Times New Roman" w:cs="Times New Roman" w:eastAsia="Times New Roman" w:hint="default"/>
          <w:spacing w:val="-2"/>
        </w:rPr>
        <w:t>2019</w:t>
      </w:r>
      <w:r>
        <w:rPr>
          <w:spacing w:val="-2"/>
        </w:rPr>
        <w:t>年度利</w:t>
      </w:r>
      <w:r>
        <w:rPr>
          <w:spacing w:val="-55"/>
        </w:rPr>
        <w:t> </w:t>
      </w:r>
      <w:r>
        <w:rPr>
          <w:spacing w:val="-55"/>
        </w:rPr>
      </w:r>
      <w:r>
        <w:rPr/>
        <w:t>润表和现金流量表不纳入合并范围。</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1133"/>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495,665,742.63</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52.11%</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216,074,643.70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22.71%</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108,976,161.96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11.46%</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88,108,355.63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9.26%</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43,732,241.56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4.60%</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38,774,339.78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4.08%</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495,665,742.63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52.11%</w:t>
            </w:r>
          </w:p>
        </w:tc>
      </w:tr>
    </w:tbl>
    <w:p>
      <w:pPr>
        <w:pStyle w:val="BodyText"/>
        <w:spacing w:line="240" w:lineRule="auto" w:before="49"/>
        <w:ind w:right="1133"/>
        <w:jc w:val="left"/>
      </w:pPr>
      <w:r>
        <w:rPr/>
        <w:t>主要客户其他情况说明</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186,972,733.67</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32.52%</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49,869,073.56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8.67%</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45,026,421.80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7.83%</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39,183,823.27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6.82%</w:t>
            </w:r>
          </w:p>
        </w:tc>
      </w:tr>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28,609,704.64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4.98%</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24,283,710.40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4.22%</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186,972,733.67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32.52%</w:t>
            </w:r>
          </w:p>
        </w:tc>
      </w:tr>
    </w:tbl>
    <w:p>
      <w:pPr>
        <w:pStyle w:val="BodyText"/>
        <w:spacing w:line="240" w:lineRule="auto" w:before="49"/>
        <w:ind w:right="1133"/>
        <w:jc w:val="left"/>
      </w:pPr>
      <w:r>
        <w:rPr/>
        <w:t>主要供应商其他情况说明</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48"/>
        <w:gridCol w:w="1637"/>
        <w:gridCol w:w="1462"/>
        <w:gridCol w:w="2919"/>
      </w:tblGrid>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86,224,912.36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59,889,042.57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43.97%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本报告期加大市场推广力度所致</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36,143,111.16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36,043,044.77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1,288,480.27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-1,218,783.68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本报告期银行手续费增加所致</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74,004,866.84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72,231,425.05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428"/>
        <w:gridCol w:w="1274"/>
        <w:gridCol w:w="4820"/>
        <w:gridCol w:w="991"/>
        <w:gridCol w:w="2127"/>
      </w:tblGrid>
      <w:tr>
        <w:trPr>
          <w:trHeight w:val="348" w:hRule="exact"/>
        </w:trPr>
        <w:tc>
          <w:tcPr>
            <w:tcW w:w="4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2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48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研发目的及目标</w:t>
            </w:r>
          </w:p>
        </w:tc>
        <w:tc>
          <w:tcPr>
            <w:tcW w:w="9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29" w:right="0"/>
              <w:jc w:val="left"/>
              <w:rPr>
                <w:rFonts w:ascii="宋体" w:hAnsi="宋体" w:cs="宋体" w:eastAsia="宋体" w:hint="default"/>
                <w:sz w:val="18"/>
                <w:szCs w:val="18"/>
              </w:rPr>
            </w:pPr>
            <w:r>
              <w:rPr>
                <w:rFonts w:ascii="宋体" w:hAnsi="宋体" w:cs="宋体" w:eastAsia="宋体" w:hint="default"/>
                <w:sz w:val="18"/>
                <w:szCs w:val="18"/>
              </w:rPr>
              <w:t>进展情况</w:t>
            </w:r>
          </w:p>
        </w:tc>
        <w:tc>
          <w:tcPr>
            <w:tcW w:w="21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58" w:right="0"/>
              <w:jc w:val="left"/>
              <w:rPr>
                <w:rFonts w:ascii="宋体" w:hAnsi="宋体" w:cs="宋体" w:eastAsia="宋体" w:hint="default"/>
                <w:sz w:val="18"/>
                <w:szCs w:val="18"/>
              </w:rPr>
            </w:pPr>
            <w:r>
              <w:rPr>
                <w:rFonts w:ascii="宋体" w:hAnsi="宋体" w:cs="宋体" w:eastAsia="宋体" w:hint="default"/>
                <w:sz w:val="18"/>
                <w:szCs w:val="18"/>
              </w:rPr>
              <w:t>对公司未来发展的影响</w:t>
            </w:r>
          </w:p>
        </w:tc>
      </w:tr>
      <w:tr>
        <w:trPr>
          <w:trHeight w:val="1282" w:hRule="exact"/>
        </w:trPr>
        <w:tc>
          <w:tcPr>
            <w:tcW w:w="428" w:type="dxa"/>
            <w:vMerge w:val="restart"/>
            <w:tcBorders>
              <w:top w:val="single" w:sz="10"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1</w:t>
            </w:r>
          </w:p>
        </w:tc>
        <w:tc>
          <w:tcPr>
            <w:tcW w:w="127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2"/>
              <w:ind w:left="448" w:right="89" w:hanging="360"/>
              <w:jc w:val="left"/>
              <w:rPr>
                <w:rFonts w:ascii="宋体" w:hAnsi="宋体" w:cs="宋体" w:eastAsia="宋体" w:hint="default"/>
                <w:sz w:val="18"/>
                <w:szCs w:val="18"/>
              </w:rPr>
            </w:pPr>
            <w:r>
              <w:rPr>
                <w:rFonts w:ascii="宋体" w:hAnsi="宋体" w:cs="宋体" w:eastAsia="宋体" w:hint="default"/>
                <w:sz w:val="18"/>
                <w:szCs w:val="18"/>
              </w:rPr>
              <w:t>高端企业智能 终端</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17"/>
              <w:ind w:left="2" w:right="1"/>
              <w:jc w:val="both"/>
              <w:rPr>
                <w:rFonts w:ascii="宋体" w:hAnsi="宋体" w:cs="宋体" w:eastAsia="宋体" w:hint="default"/>
                <w:sz w:val="18"/>
                <w:szCs w:val="18"/>
              </w:rPr>
            </w:pPr>
            <w:r>
              <w:rPr>
                <w:rFonts w:ascii="宋体" w:hAnsi="宋体" w:cs="宋体" w:eastAsia="宋体" w:hint="default"/>
                <w:sz w:val="18"/>
                <w:szCs w:val="18"/>
              </w:rPr>
              <w:t>该设备采用高通高性能八核处理器、全键盘按键、</w:t>
            </w:r>
            <w:r>
              <w:rPr>
                <w:rFonts w:ascii="Times New Roman" w:hAnsi="Times New Roman" w:cs="Times New Roman" w:eastAsia="Times New Roman" w:hint="default"/>
                <w:sz w:val="18"/>
                <w:szCs w:val="18"/>
              </w:rPr>
              <w:t>Android 10 </w:t>
            </w:r>
            <w:r>
              <w:rPr>
                <w:rFonts w:ascii="宋体" w:hAnsi="宋体" w:cs="宋体" w:eastAsia="宋体" w:hint="default"/>
                <w:spacing w:val="-3"/>
                <w:sz w:val="18"/>
                <w:szCs w:val="18"/>
              </w:rPr>
              <w:t>操作系统，具备专业的数据采集和数据传输功能，高性能通讯</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和高扩展性，高防护等级的三防性能，丰富的企业级配件，主</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要应用于制造业、仓储等复杂恶劣环境</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2"/>
              <w:ind w:left="4" w:right="0"/>
              <w:jc w:val="left"/>
              <w:rPr>
                <w:rFonts w:ascii="宋体" w:hAnsi="宋体" w:cs="宋体" w:eastAsia="宋体" w:hint="default"/>
                <w:sz w:val="18"/>
                <w:szCs w:val="18"/>
              </w:rPr>
            </w:pPr>
            <w:r>
              <w:rPr>
                <w:rFonts w:ascii="宋体" w:hAnsi="宋体" w:cs="宋体" w:eastAsia="宋体" w:hint="default"/>
                <w:spacing w:val="14"/>
                <w:sz w:val="18"/>
                <w:szCs w:val="18"/>
              </w:rPr>
              <w:t>设计验证阶</w:t>
            </w:r>
            <w:r>
              <w:rPr>
                <w:rFonts w:ascii="宋体" w:hAnsi="宋体" w:cs="宋体" w:eastAsia="宋体" w:hint="default"/>
                <w:sz w:val="18"/>
                <w:szCs w:val="18"/>
              </w:rPr>
              <w:t> 段</w:t>
            </w:r>
          </w:p>
        </w:tc>
        <w:tc>
          <w:tcPr>
            <w:tcW w:w="212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2"/>
              <w:ind w:left="4" w:right="2"/>
              <w:jc w:val="left"/>
              <w:rPr>
                <w:rFonts w:ascii="宋体" w:hAnsi="宋体" w:cs="宋体" w:eastAsia="宋体" w:hint="default"/>
                <w:sz w:val="18"/>
                <w:szCs w:val="18"/>
              </w:rPr>
            </w:pPr>
            <w:r>
              <w:rPr>
                <w:rFonts w:ascii="宋体" w:hAnsi="宋体" w:cs="宋体" w:eastAsia="宋体" w:hint="default"/>
                <w:spacing w:val="10"/>
                <w:sz w:val="18"/>
                <w:szCs w:val="18"/>
              </w:rPr>
              <w:t>提升公司在行业移动智能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应用领域的市场竞争力</w:t>
            </w:r>
          </w:p>
        </w:tc>
      </w:tr>
      <w:tr>
        <w:trPr>
          <w:trHeight w:val="1284" w:hRule="exact"/>
        </w:trPr>
        <w:tc>
          <w:tcPr>
            <w:tcW w:w="428"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0"/>
              <w:ind w:left="2" w:right="-20"/>
              <w:jc w:val="both"/>
              <w:rPr>
                <w:rFonts w:ascii="宋体" w:hAnsi="宋体" w:cs="宋体" w:eastAsia="宋体" w:hint="default"/>
                <w:sz w:val="18"/>
                <w:szCs w:val="18"/>
              </w:rPr>
            </w:pPr>
            <w:r>
              <w:rPr>
                <w:rFonts w:ascii="宋体" w:hAnsi="宋体" w:cs="宋体" w:eastAsia="宋体" w:hint="default"/>
                <w:sz w:val="18"/>
                <w:szCs w:val="18"/>
              </w:rPr>
              <w:t>该设备采用高性能的高通</w:t>
            </w:r>
            <w:r>
              <w:rPr>
                <w:rFonts w:ascii="Times New Roman" w:hAnsi="Times New Roman" w:cs="Times New Roman" w:eastAsia="Times New Roman" w:hint="default"/>
                <w:sz w:val="18"/>
                <w:szCs w:val="18"/>
              </w:rPr>
              <w:t>660</w:t>
            </w:r>
            <w:r>
              <w:rPr>
                <w:rFonts w:ascii="宋体" w:hAnsi="宋体" w:cs="宋体" w:eastAsia="宋体" w:hint="default"/>
                <w:sz w:val="18"/>
                <w:szCs w:val="18"/>
              </w:rPr>
              <w:t>平台、</w:t>
            </w:r>
            <w:r>
              <w:rPr>
                <w:rFonts w:ascii="Times New Roman" w:hAnsi="Times New Roman" w:cs="Times New Roman" w:eastAsia="Times New Roman" w:hint="default"/>
                <w:sz w:val="18"/>
                <w:szCs w:val="18"/>
              </w:rPr>
              <w:t>Android</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pacing w:val="-4"/>
                <w:sz w:val="18"/>
                <w:szCs w:val="18"/>
              </w:rPr>
              <w:t>9</w:t>
            </w:r>
            <w:r>
              <w:rPr>
                <w:rFonts w:ascii="宋体" w:hAnsi="宋体" w:cs="宋体" w:eastAsia="宋体" w:hint="default"/>
                <w:spacing w:val="-4"/>
                <w:sz w:val="18"/>
                <w:szCs w:val="18"/>
              </w:rPr>
              <w:t>操作系统、</w:t>
            </w:r>
            <w:r>
              <w:rPr>
                <w:rFonts w:ascii="Times New Roman" w:hAnsi="Times New Roman" w:cs="Times New Roman" w:eastAsia="Times New Roman" w:hint="default"/>
                <w:spacing w:val="-4"/>
                <w:sz w:val="18"/>
                <w:szCs w:val="18"/>
              </w:rPr>
              <w:t>FHD+</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全面屏，具备专业的数据采集、数据传输及高性能通讯功能，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工业防护等级</w:t>
            </w:r>
            <w:r>
              <w:rPr>
                <w:rFonts w:ascii="Times New Roman" w:hAnsi="Times New Roman" w:cs="Times New Roman" w:eastAsia="Times New Roman" w:hint="default"/>
                <w:spacing w:val="-2"/>
                <w:sz w:val="18"/>
                <w:szCs w:val="18"/>
              </w:rPr>
              <w:t>IP67</w:t>
            </w:r>
            <w:r>
              <w:rPr>
                <w:rFonts w:ascii="宋体" w:hAnsi="宋体" w:cs="宋体" w:eastAsia="宋体" w:hint="default"/>
                <w:spacing w:val="-2"/>
                <w:sz w:val="18"/>
                <w:szCs w:val="18"/>
              </w:rPr>
              <w:t>，丰富的企业级配件，内置强大的设备管理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平台，以满足不同行业的多种应用需求</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4" w:right="0"/>
              <w:jc w:val="left"/>
              <w:rPr>
                <w:rFonts w:ascii="宋体" w:hAnsi="宋体" w:cs="宋体" w:eastAsia="宋体" w:hint="default"/>
                <w:sz w:val="18"/>
                <w:szCs w:val="18"/>
              </w:rPr>
            </w:pPr>
            <w:r>
              <w:rPr>
                <w:rFonts w:ascii="宋体" w:hAnsi="宋体" w:cs="宋体" w:eastAsia="宋体" w:hint="default"/>
                <w:spacing w:val="14"/>
                <w:sz w:val="18"/>
                <w:szCs w:val="18"/>
              </w:rPr>
              <w:t>已进入量产</w:t>
            </w:r>
            <w:r>
              <w:rPr>
                <w:rFonts w:ascii="宋体" w:hAnsi="宋体" w:cs="宋体" w:eastAsia="宋体" w:hint="default"/>
                <w:sz w:val="18"/>
                <w:szCs w:val="18"/>
              </w:rPr>
              <w:t> 阶段</w:t>
            </w:r>
          </w:p>
        </w:tc>
        <w:tc>
          <w:tcPr>
            <w:tcW w:w="2127" w:type="dxa"/>
            <w:vMerge/>
            <w:tcBorders>
              <w:left w:val="single" w:sz="6" w:space="0" w:color="000000"/>
              <w:bottom w:val="single" w:sz="6" w:space="0" w:color="000000"/>
              <w:right w:val="single" w:sz="6" w:space="0" w:color="000000"/>
            </w:tcBorders>
          </w:tcPr>
          <w:p>
            <w:pPr/>
          </w:p>
        </w:tc>
      </w:tr>
      <w:tr>
        <w:trPr>
          <w:trHeight w:val="1282"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2"/>
              <w:ind w:left="180" w:right="89" w:hanging="92"/>
              <w:jc w:val="left"/>
              <w:rPr>
                <w:rFonts w:ascii="宋体" w:hAnsi="宋体" w:cs="宋体" w:eastAsia="宋体" w:hint="default"/>
                <w:sz w:val="18"/>
                <w:szCs w:val="18"/>
              </w:rPr>
            </w:pPr>
            <w:r>
              <w:rPr>
                <w:rFonts w:ascii="宋体" w:hAnsi="宋体" w:cs="宋体" w:eastAsia="宋体" w:hint="default"/>
                <w:sz w:val="18"/>
                <w:szCs w:val="18"/>
              </w:rPr>
              <w:t>高性能人脸识 别支付终端</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该设备采用高通高性能八核处理器、</w:t>
            </w:r>
            <w:r>
              <w:rPr>
                <w:rFonts w:ascii="Times New Roman" w:hAnsi="Times New Roman" w:cs="Times New Roman" w:eastAsia="Times New Roman" w:hint="default"/>
                <w:sz w:val="18"/>
                <w:szCs w:val="18"/>
              </w:rPr>
              <w:t>Android 9</w:t>
            </w:r>
            <w:r>
              <w:rPr>
                <w:rFonts w:ascii="宋体" w:hAnsi="宋体" w:cs="宋体" w:eastAsia="宋体" w:hint="default"/>
                <w:sz w:val="18"/>
                <w:szCs w:val="18"/>
              </w:rPr>
              <w:t>操作系统、</w:t>
            </w:r>
            <w:r>
              <w:rPr>
                <w:rFonts w:ascii="Times New Roman" w:hAnsi="Times New Roman" w:cs="Times New Roman" w:eastAsia="Times New Roman" w:hint="default"/>
                <w:sz w:val="18"/>
                <w:szCs w:val="18"/>
              </w:rPr>
              <w:t>8</w:t>
            </w:r>
            <w:r>
              <w:rPr>
                <w:rFonts w:ascii="宋体" w:hAnsi="宋体" w:cs="宋体" w:eastAsia="宋体" w:hint="default"/>
                <w:sz w:val="18"/>
                <w:szCs w:val="18"/>
              </w:rPr>
              <w:t>寸 </w:t>
            </w:r>
            <w:r>
              <w:rPr>
                <w:rFonts w:ascii="Times New Roman" w:hAnsi="Times New Roman" w:cs="Times New Roman" w:eastAsia="Times New Roman" w:hint="default"/>
                <w:sz w:val="18"/>
                <w:szCs w:val="18"/>
              </w:rPr>
              <w:t>HD</w:t>
            </w:r>
            <w:r>
              <w:rPr>
                <w:rFonts w:ascii="宋体" w:hAnsi="宋体" w:cs="宋体" w:eastAsia="宋体" w:hint="default"/>
                <w:sz w:val="18"/>
                <w:szCs w:val="18"/>
              </w:rPr>
              <w:t>显示屏，内置安全芯片，搭载支持活体检测的</w:t>
            </w:r>
            <w:r>
              <w:rPr>
                <w:rFonts w:ascii="Times New Roman" w:hAnsi="Times New Roman" w:cs="Times New Roman" w:eastAsia="Times New Roman" w:hint="default"/>
                <w:sz w:val="18"/>
                <w:szCs w:val="18"/>
              </w:rPr>
              <w:t>3D</w:t>
            </w:r>
            <w:r>
              <w:rPr>
                <w:rFonts w:ascii="宋体" w:hAnsi="宋体" w:cs="宋体" w:eastAsia="宋体" w:hint="default"/>
                <w:sz w:val="18"/>
                <w:szCs w:val="18"/>
              </w:rPr>
              <w:t>结构光摄 像头，支持机具防拆，产品已通过银联认证，可应用于银联</w:t>
            </w:r>
            <w:r>
              <w:rPr>
                <w:rFonts w:ascii="Times New Roman" w:hAnsi="Times New Roman" w:cs="Times New Roman" w:eastAsia="Times New Roman" w:hint="default"/>
                <w:sz w:val="18"/>
                <w:szCs w:val="18"/>
              </w:rPr>
              <w:t>/ </w:t>
            </w:r>
            <w:r>
              <w:rPr>
                <w:rFonts w:ascii="宋体" w:hAnsi="宋体" w:cs="宋体" w:eastAsia="宋体" w:hint="default"/>
                <w:sz w:val="18"/>
                <w:szCs w:val="18"/>
              </w:rPr>
              <w:t>微信</w:t>
            </w:r>
            <w:r>
              <w:rPr>
                <w:rFonts w:ascii="Times New Roman" w:hAnsi="Times New Roman" w:cs="Times New Roman" w:eastAsia="Times New Roman" w:hint="default"/>
                <w:sz w:val="18"/>
                <w:szCs w:val="18"/>
              </w:rPr>
              <w:t>/</w:t>
            </w:r>
            <w:r>
              <w:rPr>
                <w:rFonts w:ascii="宋体" w:hAnsi="宋体" w:cs="宋体" w:eastAsia="宋体" w:hint="default"/>
                <w:sz w:val="18"/>
                <w:szCs w:val="18"/>
              </w:rPr>
              <w:t>支付宝等支付通道的人脸识别支付场景</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2"/>
              <w:ind w:left="4" w:right="0"/>
              <w:jc w:val="left"/>
              <w:rPr>
                <w:rFonts w:ascii="宋体" w:hAnsi="宋体" w:cs="宋体" w:eastAsia="宋体" w:hint="default"/>
                <w:sz w:val="18"/>
                <w:szCs w:val="18"/>
              </w:rPr>
            </w:pPr>
            <w:r>
              <w:rPr>
                <w:rFonts w:ascii="宋体" w:hAnsi="宋体" w:cs="宋体" w:eastAsia="宋体" w:hint="default"/>
                <w:spacing w:val="14"/>
                <w:sz w:val="18"/>
                <w:szCs w:val="18"/>
              </w:rPr>
              <w:t>设计验证阶</w:t>
            </w:r>
            <w:r>
              <w:rPr>
                <w:rFonts w:ascii="宋体" w:hAnsi="宋体" w:cs="宋体" w:eastAsia="宋体" w:hint="default"/>
                <w:sz w:val="18"/>
                <w:szCs w:val="18"/>
              </w:rPr>
              <w:t> 段</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2"/>
              <w:ind w:left="4" w:right="2"/>
              <w:jc w:val="left"/>
              <w:rPr>
                <w:rFonts w:ascii="宋体" w:hAnsi="宋体" w:cs="宋体" w:eastAsia="宋体" w:hint="default"/>
                <w:sz w:val="18"/>
                <w:szCs w:val="18"/>
              </w:rPr>
            </w:pPr>
            <w:r>
              <w:rPr>
                <w:rFonts w:ascii="宋体" w:hAnsi="宋体" w:cs="宋体" w:eastAsia="宋体" w:hint="default"/>
                <w:spacing w:val="10"/>
                <w:sz w:val="18"/>
                <w:szCs w:val="18"/>
              </w:rPr>
              <w:t>提升公司在人脸支付应用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领域的市场竞争力</w:t>
            </w:r>
          </w:p>
        </w:tc>
      </w:tr>
      <w:tr>
        <w:trPr>
          <w:trHeight w:val="1596"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316" w:lineRule="auto"/>
              <w:ind w:left="360" w:right="89" w:hanging="272"/>
              <w:jc w:val="left"/>
              <w:rPr>
                <w:rFonts w:ascii="宋体" w:hAnsi="宋体" w:cs="宋体" w:eastAsia="宋体" w:hint="default"/>
                <w:sz w:val="18"/>
                <w:szCs w:val="18"/>
              </w:rPr>
            </w:pPr>
            <w:r>
              <w:rPr>
                <w:rFonts w:ascii="宋体" w:hAnsi="宋体" w:cs="宋体" w:eastAsia="宋体" w:hint="default"/>
                <w:sz w:val="18"/>
                <w:szCs w:val="18"/>
              </w:rPr>
              <w:t>企业级安全智 能终端</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该设备采用</w:t>
            </w:r>
            <w:r>
              <w:rPr>
                <w:rFonts w:ascii="Times New Roman" w:hAnsi="Times New Roman" w:cs="Times New Roman" w:eastAsia="Times New Roman" w:hint="default"/>
                <w:sz w:val="18"/>
                <w:szCs w:val="18"/>
              </w:rPr>
              <w:t>Android</w:t>
            </w:r>
            <w:r>
              <w:rPr>
                <w:rFonts w:ascii="Times New Roman" w:hAnsi="Times New Roman" w:cs="Times New Roman" w:eastAsia="Times New Roman" w:hint="default"/>
                <w:spacing w:val="-4"/>
                <w:sz w:val="18"/>
                <w:szCs w:val="18"/>
              </w:rPr>
              <w:t> 9</w:t>
            </w:r>
            <w:r>
              <w:rPr>
                <w:rFonts w:ascii="宋体" w:hAnsi="宋体" w:cs="宋体" w:eastAsia="宋体" w:hint="default"/>
                <w:spacing w:val="-4"/>
                <w:sz w:val="18"/>
                <w:szCs w:val="18"/>
              </w:rPr>
              <w:t>操作系统，具备专业的数据采集、数据传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输及通讯功能，采用灵活的全键盘按键以提高操作者效率， </w:t>
            </w:r>
            <w:r>
              <w:rPr>
                <w:rFonts w:ascii="Times New Roman" w:hAnsi="Times New Roman" w:cs="Times New Roman" w:eastAsia="Times New Roman" w:hint="default"/>
                <w:spacing w:val="-2"/>
                <w:sz w:val="18"/>
                <w:szCs w:val="18"/>
              </w:rPr>
              <w:t>IP67</w:t>
            </w:r>
            <w:r>
              <w:rPr>
                <w:rFonts w:ascii="宋体" w:hAnsi="宋体" w:cs="宋体" w:eastAsia="宋体" w:hint="default"/>
                <w:spacing w:val="-2"/>
                <w:sz w:val="18"/>
                <w:szCs w:val="18"/>
              </w:rPr>
              <w:t>防护等级，可应用于快递运营管理、物流取派管理、货物</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管理、连锁门店管理、门店货品管理、移动销售管理、景区检</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票管理、车销管理、供应链</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316" w:lineRule="auto"/>
              <w:ind w:left="4" w:right="0"/>
              <w:jc w:val="left"/>
              <w:rPr>
                <w:rFonts w:ascii="宋体" w:hAnsi="宋体" w:cs="宋体" w:eastAsia="宋体" w:hint="default"/>
                <w:sz w:val="18"/>
                <w:szCs w:val="18"/>
              </w:rPr>
            </w:pPr>
            <w:r>
              <w:rPr>
                <w:rFonts w:ascii="宋体" w:hAnsi="宋体" w:cs="宋体" w:eastAsia="宋体" w:hint="default"/>
                <w:spacing w:val="14"/>
                <w:sz w:val="18"/>
                <w:szCs w:val="18"/>
              </w:rPr>
              <w:t>已进入量产</w:t>
            </w:r>
            <w:r>
              <w:rPr>
                <w:rFonts w:ascii="宋体" w:hAnsi="宋体" w:cs="宋体" w:eastAsia="宋体" w:hint="default"/>
                <w:sz w:val="18"/>
                <w:szCs w:val="18"/>
              </w:rPr>
              <w:t> 阶段</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4" w:right="2"/>
              <w:jc w:val="both"/>
              <w:rPr>
                <w:rFonts w:ascii="宋体" w:hAnsi="宋体" w:cs="宋体" w:eastAsia="宋体" w:hint="default"/>
                <w:sz w:val="18"/>
                <w:szCs w:val="18"/>
              </w:rPr>
            </w:pPr>
            <w:r>
              <w:rPr>
                <w:rFonts w:ascii="宋体" w:hAnsi="宋体" w:cs="宋体" w:eastAsia="宋体" w:hint="default"/>
                <w:spacing w:val="10"/>
                <w:sz w:val="18"/>
                <w:szCs w:val="18"/>
              </w:rPr>
              <w:t>提升公司在行业移动智能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应用智能物流领域的市场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竞争力</w:t>
            </w:r>
          </w:p>
        </w:tc>
      </w:tr>
      <w:tr>
        <w:trPr>
          <w:trHeight w:val="1282" w:hRule="exact"/>
        </w:trPr>
        <w:tc>
          <w:tcPr>
            <w:tcW w:w="42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4</w:t>
            </w:r>
          </w:p>
        </w:tc>
        <w:tc>
          <w:tcPr>
            <w:tcW w:w="127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5"/>
              <w:ind w:left="539" w:right="89" w:hanging="452"/>
              <w:jc w:val="left"/>
              <w:rPr>
                <w:rFonts w:ascii="宋体" w:hAnsi="宋体" w:cs="宋体" w:eastAsia="宋体" w:hint="default"/>
                <w:sz w:val="18"/>
                <w:szCs w:val="18"/>
              </w:rPr>
            </w:pPr>
            <w:r>
              <w:rPr>
                <w:rFonts w:ascii="宋体" w:hAnsi="宋体" w:cs="宋体" w:eastAsia="宋体" w:hint="default"/>
                <w:sz w:val="18"/>
                <w:szCs w:val="18"/>
              </w:rPr>
              <w:t>企业级智能终 端</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7"/>
              <w:ind w:left="2" w:right="1"/>
              <w:jc w:val="both"/>
              <w:rPr>
                <w:rFonts w:ascii="宋体" w:hAnsi="宋体" w:cs="宋体" w:eastAsia="宋体" w:hint="default"/>
                <w:sz w:val="18"/>
                <w:szCs w:val="18"/>
              </w:rPr>
            </w:pPr>
            <w:r>
              <w:rPr>
                <w:rFonts w:ascii="宋体" w:hAnsi="宋体" w:cs="宋体" w:eastAsia="宋体" w:hint="default"/>
                <w:sz w:val="18"/>
                <w:szCs w:val="18"/>
              </w:rPr>
              <w:t>该设备采用</w:t>
            </w:r>
            <w:r>
              <w:rPr>
                <w:rFonts w:ascii="Times New Roman" w:hAnsi="Times New Roman" w:cs="Times New Roman" w:eastAsia="Times New Roman" w:hint="default"/>
                <w:sz w:val="18"/>
                <w:szCs w:val="18"/>
              </w:rPr>
              <w:t>Android 9.0</w:t>
            </w:r>
            <w:r>
              <w:rPr>
                <w:rFonts w:ascii="宋体" w:hAnsi="宋体" w:cs="宋体" w:eastAsia="宋体" w:hint="default"/>
                <w:sz w:val="18"/>
                <w:szCs w:val="18"/>
              </w:rPr>
              <w:t>操作系统，具备八核</w:t>
            </w:r>
            <w:r>
              <w:rPr>
                <w:rFonts w:ascii="Times New Roman" w:hAnsi="Times New Roman" w:cs="Times New Roman" w:eastAsia="Times New Roman" w:hint="default"/>
                <w:sz w:val="18"/>
                <w:szCs w:val="18"/>
              </w:rPr>
              <w:t>1.4GHz</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CPU</w:t>
            </w:r>
            <w:r>
              <w:rPr>
                <w:rFonts w:ascii="宋体" w:hAnsi="宋体" w:cs="宋体" w:eastAsia="宋体" w:hint="default"/>
                <w:sz w:val="18"/>
                <w:szCs w:val="18"/>
              </w:rPr>
              <w:t>、</w:t>
            </w:r>
            <w:r>
              <w:rPr>
                <w:rFonts w:ascii="Times New Roman" w:hAnsi="Times New Roman" w:cs="Times New Roman" w:eastAsia="Times New Roman" w:hint="default"/>
                <w:sz w:val="18"/>
                <w:szCs w:val="18"/>
              </w:rPr>
              <w:t>2W</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大功率扬声器等配置，舒适高效按键布局，定位更精准；搭载</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Times New Roman" w:hAnsi="Times New Roman" w:cs="Times New Roman" w:eastAsia="Times New Roman" w:hint="default"/>
                <w:spacing w:val="-2"/>
                <w:sz w:val="18"/>
                <w:szCs w:val="18"/>
              </w:rPr>
              <w:t>4500mAh</w:t>
            </w:r>
            <w:r>
              <w:rPr>
                <w:rFonts w:ascii="宋体" w:hAnsi="宋体" w:cs="宋体" w:eastAsia="宋体" w:hint="default"/>
                <w:spacing w:val="-2"/>
                <w:sz w:val="18"/>
                <w:szCs w:val="18"/>
              </w:rPr>
              <w:t>大容量电池，提高续航能力；工业防护等级</w:t>
            </w:r>
            <w:r>
              <w:rPr>
                <w:rFonts w:ascii="Times New Roman" w:hAnsi="Times New Roman" w:cs="Times New Roman" w:eastAsia="Times New Roman" w:hint="default"/>
                <w:spacing w:val="-2"/>
                <w:sz w:val="18"/>
                <w:szCs w:val="18"/>
              </w:rPr>
              <w:t>IP65</w:t>
            </w:r>
            <w:r>
              <w:rPr>
                <w:rFonts w:ascii="宋体" w:hAnsi="宋体" w:cs="宋体" w:eastAsia="宋体" w:hint="default"/>
                <w:spacing w:val="-2"/>
                <w:sz w:val="18"/>
                <w:szCs w:val="18"/>
              </w:rPr>
              <w:t>，可</w:t>
            </w:r>
            <w:r>
              <w:rPr>
                <w:rFonts w:ascii="宋体" w:hAnsi="宋体" w:cs="宋体" w:eastAsia="宋体" w:hint="default"/>
                <w:spacing w:val="-85"/>
                <w:sz w:val="18"/>
                <w:szCs w:val="18"/>
              </w:rPr>
              <w:t> </w:t>
            </w:r>
            <w:r>
              <w:rPr>
                <w:rFonts w:ascii="宋体" w:hAnsi="宋体" w:cs="宋体" w:eastAsia="宋体" w:hint="default"/>
                <w:sz w:val="18"/>
                <w:szCs w:val="18"/>
              </w:rPr>
              <w:t>满足不同行业的应用需求</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2"/>
              <w:ind w:left="4" w:right="0"/>
              <w:jc w:val="left"/>
              <w:rPr>
                <w:rFonts w:ascii="宋体" w:hAnsi="宋体" w:cs="宋体" w:eastAsia="宋体" w:hint="default"/>
                <w:sz w:val="18"/>
                <w:szCs w:val="18"/>
              </w:rPr>
            </w:pPr>
            <w:r>
              <w:rPr>
                <w:rFonts w:ascii="宋体" w:hAnsi="宋体" w:cs="宋体" w:eastAsia="宋体" w:hint="default"/>
                <w:spacing w:val="14"/>
                <w:sz w:val="18"/>
                <w:szCs w:val="18"/>
              </w:rPr>
              <w:t>小批量量产</w:t>
            </w:r>
            <w:r>
              <w:rPr>
                <w:rFonts w:ascii="宋体" w:hAnsi="宋体" w:cs="宋体" w:eastAsia="宋体" w:hint="default"/>
                <w:sz w:val="18"/>
                <w:szCs w:val="18"/>
              </w:rPr>
              <w:t> 阶段</w:t>
            </w:r>
          </w:p>
        </w:tc>
        <w:tc>
          <w:tcPr>
            <w:tcW w:w="212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5"/>
              <w:ind w:left="4" w:right="2"/>
              <w:jc w:val="left"/>
              <w:rPr>
                <w:rFonts w:ascii="宋体" w:hAnsi="宋体" w:cs="宋体" w:eastAsia="宋体" w:hint="default"/>
                <w:sz w:val="18"/>
                <w:szCs w:val="18"/>
              </w:rPr>
            </w:pPr>
            <w:r>
              <w:rPr>
                <w:rFonts w:ascii="宋体" w:hAnsi="宋体" w:cs="宋体" w:eastAsia="宋体" w:hint="default"/>
                <w:spacing w:val="10"/>
                <w:sz w:val="18"/>
                <w:szCs w:val="18"/>
              </w:rPr>
              <w:t>提升公司在行业移动智能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应用领域的市场竞争力</w:t>
            </w:r>
          </w:p>
        </w:tc>
      </w:tr>
      <w:tr>
        <w:trPr>
          <w:trHeight w:val="1284" w:hRule="exact"/>
        </w:trPr>
        <w:tc>
          <w:tcPr>
            <w:tcW w:w="428"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1"/>
              <w:jc w:val="both"/>
              <w:rPr>
                <w:rFonts w:ascii="Times New Roman" w:hAnsi="Times New Roman" w:cs="Times New Roman" w:eastAsia="Times New Roman" w:hint="default"/>
                <w:sz w:val="18"/>
                <w:szCs w:val="18"/>
              </w:rPr>
            </w:pPr>
            <w:r>
              <w:rPr>
                <w:rFonts w:ascii="宋体" w:hAnsi="宋体" w:cs="宋体" w:eastAsia="宋体" w:hint="default"/>
                <w:sz w:val="18"/>
                <w:szCs w:val="18"/>
              </w:rPr>
              <w:t>该设备是一款专业数据采集智能终端，采用</w:t>
            </w:r>
            <w:r>
              <w:rPr>
                <w:rFonts w:ascii="Times New Roman" w:hAnsi="Times New Roman" w:cs="Times New Roman" w:eastAsia="Times New Roman" w:hint="default"/>
                <w:sz w:val="18"/>
                <w:szCs w:val="18"/>
              </w:rPr>
              <w:t>Android9.0</w:t>
            </w:r>
            <w:r>
              <w:rPr>
                <w:rFonts w:ascii="宋体" w:hAnsi="宋体" w:cs="宋体" w:eastAsia="宋体" w:hint="default"/>
                <w:sz w:val="18"/>
                <w:szCs w:val="18"/>
              </w:rPr>
              <w:t>操作系 统、具备</w:t>
            </w:r>
            <w:r>
              <w:rPr>
                <w:rFonts w:ascii="Times New Roman" w:hAnsi="Times New Roman" w:cs="Times New Roman" w:eastAsia="Times New Roman" w:hint="default"/>
                <w:sz w:val="18"/>
                <w:szCs w:val="18"/>
              </w:rPr>
              <w:t>12.6mm</w:t>
            </w:r>
            <w:r>
              <w:rPr>
                <w:rFonts w:ascii="宋体" w:hAnsi="宋体" w:cs="宋体" w:eastAsia="宋体" w:hint="default"/>
                <w:sz w:val="18"/>
                <w:szCs w:val="18"/>
              </w:rPr>
              <w:t>极致超薄机身、四核</w:t>
            </w:r>
            <w:r>
              <w:rPr>
                <w:rFonts w:ascii="Times New Roman" w:hAnsi="Times New Roman" w:cs="Times New Roman" w:eastAsia="Times New Roman" w:hint="default"/>
                <w:sz w:val="18"/>
                <w:szCs w:val="18"/>
              </w:rPr>
              <w:t>1.4HzCPU</w:t>
            </w:r>
            <w:r>
              <w:rPr>
                <w:rFonts w:ascii="宋体" w:hAnsi="宋体" w:cs="宋体" w:eastAsia="宋体" w:hint="default"/>
                <w:sz w:val="18"/>
                <w:szCs w:val="18"/>
              </w:rPr>
              <w:t>、</w:t>
            </w:r>
            <w:r>
              <w:rPr>
                <w:rFonts w:ascii="Times New Roman" w:hAnsi="Times New Roman" w:cs="Times New Roman" w:eastAsia="Times New Roman" w:hint="default"/>
                <w:sz w:val="18"/>
                <w:szCs w:val="18"/>
              </w:rPr>
              <w:t>1300</w:t>
            </w:r>
            <w:r>
              <w:rPr>
                <w:rFonts w:ascii="宋体" w:hAnsi="宋体" w:cs="宋体" w:eastAsia="宋体" w:hint="default"/>
                <w:sz w:val="18"/>
                <w:szCs w:val="18"/>
              </w:rPr>
              <w:t>万像素 </w:t>
            </w:r>
            <w:r>
              <w:rPr>
                <w:rFonts w:ascii="宋体" w:hAnsi="宋体" w:cs="宋体" w:eastAsia="宋体" w:hint="default"/>
                <w:spacing w:val="-2"/>
                <w:sz w:val="18"/>
                <w:szCs w:val="18"/>
              </w:rPr>
              <w:t>后置摄像头等配置，支持</w:t>
            </w:r>
            <w:r>
              <w:rPr>
                <w:rFonts w:ascii="Times New Roman" w:hAnsi="Times New Roman" w:cs="Times New Roman" w:eastAsia="Times New Roman" w:hint="default"/>
                <w:spacing w:val="-2"/>
                <w:sz w:val="18"/>
                <w:szCs w:val="18"/>
              </w:rPr>
              <w:t>4G</w:t>
            </w:r>
            <w:r>
              <w:rPr>
                <w:rFonts w:ascii="宋体" w:hAnsi="宋体" w:cs="宋体" w:eastAsia="宋体" w:hint="default"/>
                <w:spacing w:val="-2"/>
                <w:sz w:val="18"/>
                <w:szCs w:val="18"/>
              </w:rPr>
              <w:t>全网通、</w:t>
            </w:r>
            <w:r>
              <w:rPr>
                <w:rFonts w:ascii="Times New Roman" w:hAnsi="Times New Roman" w:cs="Times New Roman" w:eastAsia="Times New Roman" w:hint="default"/>
                <w:spacing w:val="-2"/>
                <w:sz w:val="18"/>
                <w:szCs w:val="18"/>
              </w:rPr>
              <w:t>2.4G/5G</w:t>
            </w:r>
            <w:r>
              <w:rPr>
                <w:rFonts w:ascii="宋体" w:hAnsi="宋体" w:cs="宋体" w:eastAsia="宋体" w:hint="default"/>
                <w:spacing w:val="-2"/>
                <w:sz w:val="18"/>
                <w:szCs w:val="18"/>
              </w:rPr>
              <w:t>双频</w:t>
            </w:r>
            <w:r>
              <w:rPr>
                <w:rFonts w:ascii="Times New Roman" w:hAnsi="Times New Roman" w:cs="Times New Roman" w:eastAsia="Times New Roman" w:hint="default"/>
                <w:spacing w:val="-2"/>
                <w:sz w:val="18"/>
                <w:szCs w:val="18"/>
              </w:rPr>
              <w:t>WIFI</w:t>
            </w:r>
            <w:r>
              <w:rPr>
                <w:rFonts w:ascii="宋体" w:hAnsi="宋体" w:cs="宋体" w:eastAsia="宋体" w:hint="default"/>
                <w:spacing w:val="-2"/>
                <w:sz w:val="18"/>
                <w:szCs w:val="18"/>
              </w:rPr>
              <w:t>、指纹</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识别等功能，工业防护等级</w:t>
            </w:r>
            <w:r>
              <w:rPr>
                <w:rFonts w:ascii="Times New Roman" w:hAnsi="Times New Roman" w:cs="Times New Roman" w:eastAsia="Times New Roman" w:hint="default"/>
                <w:sz w:val="18"/>
                <w:szCs w:val="18"/>
              </w:rPr>
              <w:t>IP65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4" w:right="0"/>
              <w:jc w:val="left"/>
              <w:rPr>
                <w:rFonts w:ascii="宋体" w:hAnsi="宋体" w:cs="宋体" w:eastAsia="宋体" w:hint="default"/>
                <w:sz w:val="18"/>
                <w:szCs w:val="18"/>
              </w:rPr>
            </w:pPr>
            <w:r>
              <w:rPr>
                <w:rFonts w:ascii="宋体" w:hAnsi="宋体" w:cs="宋体" w:eastAsia="宋体" w:hint="default"/>
                <w:spacing w:val="14"/>
                <w:sz w:val="18"/>
                <w:szCs w:val="18"/>
              </w:rPr>
              <w:t>已进入量产</w:t>
            </w:r>
            <w:r>
              <w:rPr>
                <w:rFonts w:ascii="宋体" w:hAnsi="宋体" w:cs="宋体" w:eastAsia="宋体" w:hint="default"/>
                <w:sz w:val="18"/>
                <w:szCs w:val="18"/>
              </w:rPr>
              <w:t> 阶段</w:t>
            </w:r>
          </w:p>
        </w:tc>
        <w:tc>
          <w:tcPr>
            <w:tcW w:w="2127" w:type="dxa"/>
            <w:vMerge/>
            <w:tcBorders>
              <w:left w:val="single" w:sz="6" w:space="0" w:color="000000"/>
              <w:bottom w:val="single" w:sz="6" w:space="0" w:color="000000"/>
              <w:right w:val="single" w:sz="6" w:space="0" w:color="000000"/>
            </w:tcBorders>
          </w:tcPr>
          <w:p>
            <w:pPr/>
          </w:p>
        </w:tc>
      </w:tr>
      <w:tr>
        <w:trPr>
          <w:trHeight w:val="972" w:hRule="exact"/>
        </w:trPr>
        <w:tc>
          <w:tcPr>
            <w:tcW w:w="42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127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00" w:lineRule="auto"/>
              <w:ind w:left="360" w:right="62" w:hanging="296"/>
              <w:jc w:val="left"/>
              <w:rPr>
                <w:rFonts w:ascii="宋体" w:hAnsi="宋体" w:cs="宋体" w:eastAsia="宋体" w:hint="default"/>
                <w:sz w:val="18"/>
                <w:szCs w:val="18"/>
              </w:rPr>
            </w:pPr>
            <w:r>
              <w:rPr>
                <w:rFonts w:ascii="宋体" w:hAnsi="宋体" w:cs="宋体" w:eastAsia="宋体" w:hint="default"/>
                <w:sz w:val="18"/>
                <w:szCs w:val="18"/>
              </w:rPr>
              <w:t>工业级</w:t>
            </w:r>
            <w:r>
              <w:rPr>
                <w:rFonts w:ascii="Times New Roman" w:hAnsi="Times New Roman" w:cs="Times New Roman" w:eastAsia="Times New Roman" w:hint="default"/>
                <w:sz w:val="18"/>
                <w:szCs w:val="18"/>
              </w:rPr>
              <w:t>RFID</w:t>
            </w:r>
            <w:r>
              <w:rPr>
                <w:rFonts w:ascii="宋体" w:hAnsi="宋体" w:cs="宋体" w:eastAsia="宋体" w:hint="default"/>
                <w:sz w:val="18"/>
                <w:szCs w:val="18"/>
              </w:rPr>
              <w:t>手 持终端</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该设备采用</w:t>
            </w:r>
            <w:r>
              <w:rPr>
                <w:rFonts w:ascii="Times New Roman" w:hAnsi="Times New Roman" w:cs="Times New Roman" w:eastAsia="Times New Roman" w:hint="default"/>
                <w:sz w:val="18"/>
                <w:szCs w:val="18"/>
              </w:rPr>
              <w:t>Android</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操作系统，具备出色的远距离超高频和 高频双重读写，主要应用于资产管理、库存盘点、货物追溯 药品安全监管和工业流程管理等领域</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196" w:lineRule="exact"/>
              <w:ind w:left="4" w:right="0"/>
              <w:jc w:val="left"/>
              <w:rPr>
                <w:rFonts w:ascii="宋体" w:hAnsi="宋体" w:cs="宋体" w:eastAsia="宋体" w:hint="default"/>
                <w:sz w:val="18"/>
                <w:szCs w:val="18"/>
              </w:rPr>
            </w:pPr>
            <w:r>
              <w:rPr>
                <w:rFonts w:ascii="宋体" w:hAnsi="宋体" w:cs="宋体" w:eastAsia="宋体" w:hint="default"/>
                <w:spacing w:val="14"/>
                <w:sz w:val="18"/>
                <w:szCs w:val="18"/>
              </w:rPr>
              <w:t>小批量量产</w:t>
            </w:r>
          </w:p>
          <w:p>
            <w:pPr>
              <w:pStyle w:val="TableParagraph"/>
              <w:spacing w:line="156" w:lineRule="exact"/>
              <w:ind w:left="-13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4" w:right="0"/>
              <w:jc w:val="left"/>
              <w:rPr>
                <w:rFonts w:ascii="宋体" w:hAnsi="宋体" w:cs="宋体" w:eastAsia="宋体" w:hint="default"/>
                <w:sz w:val="18"/>
                <w:szCs w:val="18"/>
              </w:rPr>
            </w:pPr>
            <w:r>
              <w:rPr>
                <w:rFonts w:ascii="宋体" w:hAnsi="宋体" w:cs="宋体" w:eastAsia="宋体" w:hint="default"/>
                <w:sz w:val="18"/>
                <w:szCs w:val="18"/>
              </w:rPr>
              <w:t>阶段</w:t>
            </w:r>
          </w:p>
        </w:tc>
        <w:tc>
          <w:tcPr>
            <w:tcW w:w="212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6" w:lineRule="auto"/>
              <w:ind w:left="4" w:right="2"/>
              <w:jc w:val="left"/>
              <w:rPr>
                <w:rFonts w:ascii="宋体" w:hAnsi="宋体" w:cs="宋体" w:eastAsia="宋体" w:hint="default"/>
                <w:sz w:val="18"/>
                <w:szCs w:val="18"/>
              </w:rPr>
            </w:pPr>
            <w:r>
              <w:rPr>
                <w:rFonts w:ascii="宋体" w:hAnsi="宋体" w:cs="宋体" w:eastAsia="宋体" w:hint="default"/>
                <w:spacing w:val="10"/>
                <w:sz w:val="18"/>
                <w:szCs w:val="18"/>
              </w:rPr>
              <w:t>提升公司在行业移动智能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应用领域的市场竞争力</w:t>
            </w:r>
          </w:p>
        </w:tc>
      </w:tr>
      <w:tr>
        <w:trPr>
          <w:trHeight w:val="970" w:hRule="exact"/>
        </w:trPr>
        <w:tc>
          <w:tcPr>
            <w:tcW w:w="428"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该设备采用</w:t>
            </w:r>
            <w:r>
              <w:rPr>
                <w:rFonts w:ascii="Times New Roman" w:hAnsi="Times New Roman" w:cs="Times New Roman" w:eastAsia="Times New Roman" w:hint="default"/>
                <w:sz w:val="18"/>
                <w:szCs w:val="18"/>
              </w:rPr>
              <w:t>Android</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操作系统，具备出色的远距离超高频和 高频双重读写，主要应用于资产管理、库存盘点、货物追溯 药品安全监管和工业流程管理等领域</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196" w:lineRule="exact"/>
              <w:ind w:left="4" w:right="0"/>
              <w:jc w:val="left"/>
              <w:rPr>
                <w:rFonts w:ascii="宋体" w:hAnsi="宋体" w:cs="宋体" w:eastAsia="宋体" w:hint="default"/>
                <w:sz w:val="18"/>
                <w:szCs w:val="18"/>
              </w:rPr>
            </w:pPr>
            <w:r>
              <w:rPr>
                <w:rFonts w:ascii="宋体" w:hAnsi="宋体" w:cs="宋体" w:eastAsia="宋体" w:hint="default"/>
                <w:spacing w:val="14"/>
                <w:sz w:val="18"/>
                <w:szCs w:val="18"/>
              </w:rPr>
              <w:t>已进入量产</w:t>
            </w:r>
          </w:p>
          <w:p>
            <w:pPr>
              <w:pStyle w:val="TableParagraph"/>
              <w:spacing w:line="156" w:lineRule="exact"/>
              <w:ind w:left="-13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4" w:right="0"/>
              <w:jc w:val="left"/>
              <w:rPr>
                <w:rFonts w:ascii="宋体" w:hAnsi="宋体" w:cs="宋体" w:eastAsia="宋体" w:hint="default"/>
                <w:sz w:val="18"/>
                <w:szCs w:val="18"/>
              </w:rPr>
            </w:pPr>
            <w:r>
              <w:rPr>
                <w:rFonts w:ascii="宋体" w:hAnsi="宋体" w:cs="宋体" w:eastAsia="宋体" w:hint="default"/>
                <w:sz w:val="18"/>
                <w:szCs w:val="18"/>
              </w:rPr>
              <w:t>阶段</w:t>
            </w:r>
          </w:p>
        </w:tc>
        <w:tc>
          <w:tcPr>
            <w:tcW w:w="2127" w:type="dxa"/>
            <w:vMerge/>
            <w:tcBorders>
              <w:left w:val="single" w:sz="6" w:space="0" w:color="000000"/>
              <w:bottom w:val="single" w:sz="6" w:space="0" w:color="000000"/>
              <w:right w:val="single" w:sz="6" w:space="0" w:color="000000"/>
            </w:tcBorders>
          </w:tcPr>
          <w:p>
            <w:pPr/>
          </w:p>
        </w:tc>
      </w:tr>
      <w:tr>
        <w:trPr>
          <w:trHeight w:val="1285"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5"/>
              <w:ind w:left="448" w:right="89" w:hanging="360"/>
              <w:jc w:val="left"/>
              <w:rPr>
                <w:rFonts w:ascii="宋体" w:hAnsi="宋体" w:cs="宋体" w:eastAsia="宋体" w:hint="default"/>
                <w:sz w:val="18"/>
                <w:szCs w:val="18"/>
              </w:rPr>
            </w:pPr>
            <w:r>
              <w:rPr>
                <w:rFonts w:ascii="宋体" w:hAnsi="宋体" w:cs="宋体" w:eastAsia="宋体" w:hint="default"/>
                <w:sz w:val="18"/>
                <w:szCs w:val="18"/>
              </w:rPr>
              <w:t>移动智能支付 终端</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该设备是一款集摄像头条码扫描、</w:t>
            </w:r>
            <w:r>
              <w:rPr>
                <w:rFonts w:ascii="Times New Roman" w:hAnsi="Times New Roman" w:cs="Times New Roman" w:eastAsia="Times New Roman" w:hint="default"/>
                <w:sz w:val="18"/>
                <w:szCs w:val="18"/>
              </w:rPr>
              <w:t>4G</w:t>
            </w:r>
            <w:r>
              <w:rPr>
                <w:rFonts w:ascii="宋体" w:hAnsi="宋体" w:cs="宋体" w:eastAsia="宋体" w:hint="default"/>
                <w:sz w:val="18"/>
                <w:szCs w:val="18"/>
              </w:rPr>
              <w:t>全网通讯、打印机、非 接卡读写、接触式</w:t>
            </w:r>
            <w:r>
              <w:rPr>
                <w:rFonts w:ascii="Times New Roman" w:hAnsi="Times New Roman" w:cs="Times New Roman" w:eastAsia="Times New Roman" w:hint="default"/>
                <w:sz w:val="18"/>
                <w:szCs w:val="18"/>
              </w:rPr>
              <w:t>IC</w:t>
            </w:r>
            <w:r>
              <w:rPr>
                <w:rFonts w:ascii="宋体" w:hAnsi="宋体" w:cs="宋体" w:eastAsia="宋体" w:hint="default"/>
                <w:sz w:val="18"/>
                <w:szCs w:val="18"/>
              </w:rPr>
              <w:t>卡读写、磁条卡读写、</w:t>
            </w:r>
            <w:r>
              <w:rPr>
                <w:rFonts w:ascii="Times New Roman" w:hAnsi="Times New Roman" w:cs="Times New Roman" w:eastAsia="Times New Roman" w:hint="default"/>
                <w:sz w:val="18"/>
                <w:szCs w:val="18"/>
              </w:rPr>
              <w:t>PSAM</w:t>
            </w:r>
            <w:r>
              <w:rPr>
                <w:rFonts w:ascii="宋体" w:hAnsi="宋体" w:cs="宋体" w:eastAsia="宋体" w:hint="default"/>
                <w:sz w:val="18"/>
                <w:szCs w:val="18"/>
              </w:rPr>
              <w:t>等强大功能 </w:t>
            </w:r>
            <w:r>
              <w:rPr>
                <w:rFonts w:ascii="宋体" w:hAnsi="宋体" w:cs="宋体" w:eastAsia="宋体" w:hint="default"/>
                <w:spacing w:val="-3"/>
                <w:sz w:val="18"/>
                <w:szCs w:val="18"/>
              </w:rPr>
              <w:t>于一体的智能移动支付终端，外观轻便时尚，线条流畅，便于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手持</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5"/>
              <w:ind w:left="4" w:right="0"/>
              <w:jc w:val="left"/>
              <w:rPr>
                <w:rFonts w:ascii="宋体" w:hAnsi="宋体" w:cs="宋体" w:eastAsia="宋体" w:hint="default"/>
                <w:sz w:val="18"/>
                <w:szCs w:val="18"/>
              </w:rPr>
            </w:pPr>
            <w:r>
              <w:rPr>
                <w:rFonts w:ascii="宋体" w:hAnsi="宋体" w:cs="宋体" w:eastAsia="宋体" w:hint="default"/>
                <w:spacing w:val="14"/>
                <w:sz w:val="18"/>
                <w:szCs w:val="18"/>
              </w:rPr>
              <w:t>已进入量产</w:t>
            </w:r>
            <w:r>
              <w:rPr>
                <w:rFonts w:ascii="宋体" w:hAnsi="宋体" w:cs="宋体" w:eastAsia="宋体" w:hint="default"/>
                <w:sz w:val="18"/>
                <w:szCs w:val="18"/>
              </w:rPr>
              <w:t> 阶段</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5"/>
              <w:ind w:left="4" w:right="1"/>
              <w:jc w:val="left"/>
              <w:rPr>
                <w:rFonts w:ascii="宋体" w:hAnsi="宋体" w:cs="宋体" w:eastAsia="宋体" w:hint="default"/>
                <w:sz w:val="18"/>
                <w:szCs w:val="18"/>
              </w:rPr>
            </w:pPr>
            <w:r>
              <w:rPr>
                <w:rFonts w:ascii="宋体" w:hAnsi="宋体" w:cs="宋体" w:eastAsia="宋体" w:hint="default"/>
                <w:spacing w:val="10"/>
                <w:sz w:val="18"/>
                <w:szCs w:val="18"/>
              </w:rPr>
              <w:t>提升公司在智能移动支付</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领域的竞争力</w:t>
            </w:r>
          </w:p>
        </w:tc>
      </w:tr>
      <w:tr>
        <w:trPr>
          <w:trHeight w:val="1594"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316" w:lineRule="auto"/>
              <w:ind w:left="268" w:right="89" w:hanging="180"/>
              <w:jc w:val="left"/>
              <w:rPr>
                <w:rFonts w:ascii="宋体" w:hAnsi="宋体" w:cs="宋体" w:eastAsia="宋体" w:hint="default"/>
                <w:sz w:val="18"/>
                <w:szCs w:val="18"/>
              </w:rPr>
            </w:pPr>
            <w:r>
              <w:rPr>
                <w:rFonts w:ascii="宋体" w:hAnsi="宋体" w:cs="宋体" w:eastAsia="宋体" w:hint="default"/>
                <w:sz w:val="18"/>
                <w:szCs w:val="18"/>
              </w:rPr>
              <w:t>公交车载智能 支付终端</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17"/>
              <w:ind w:left="2" w:right="0"/>
              <w:jc w:val="left"/>
              <w:rPr>
                <w:rFonts w:ascii="宋体" w:hAnsi="宋体" w:cs="宋体" w:eastAsia="宋体" w:hint="default"/>
                <w:sz w:val="18"/>
                <w:szCs w:val="18"/>
              </w:rPr>
            </w:pPr>
            <w:r>
              <w:rPr>
                <w:rFonts w:ascii="宋体" w:hAnsi="宋体" w:cs="宋体" w:eastAsia="宋体" w:hint="default"/>
                <w:spacing w:val="-2"/>
                <w:sz w:val="18"/>
                <w:szCs w:val="18"/>
              </w:rPr>
              <w:t>该设备采用</w:t>
            </w:r>
            <w:r>
              <w:rPr>
                <w:rFonts w:ascii="Times New Roman" w:hAnsi="Times New Roman" w:cs="Times New Roman" w:eastAsia="Times New Roman" w:hint="default"/>
                <w:spacing w:val="-2"/>
                <w:sz w:val="18"/>
                <w:szCs w:val="18"/>
              </w:rPr>
              <w:t>Linux/Android</w:t>
            </w:r>
            <w:r>
              <w:rPr>
                <w:rFonts w:ascii="宋体" w:hAnsi="宋体" w:cs="宋体" w:eastAsia="宋体" w:hint="default"/>
                <w:spacing w:val="-2"/>
                <w:sz w:val="18"/>
                <w:szCs w:val="18"/>
              </w:rPr>
              <w:t>系统，融合扫码支付、</w:t>
            </w:r>
            <w:r>
              <w:rPr>
                <w:rFonts w:ascii="Times New Roman" w:hAnsi="Times New Roman" w:cs="Times New Roman" w:eastAsia="Times New Roman" w:hint="default"/>
                <w:spacing w:val="-2"/>
                <w:sz w:val="18"/>
                <w:szCs w:val="18"/>
              </w:rPr>
              <w:t>NFC</w:t>
            </w:r>
            <w:r>
              <w:rPr>
                <w:rFonts w:ascii="宋体" w:hAnsi="宋体" w:cs="宋体" w:eastAsia="宋体" w:hint="default"/>
                <w:spacing w:val="-2"/>
                <w:sz w:val="18"/>
                <w:szCs w:val="18"/>
              </w:rPr>
              <w:t>闪付、一</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卡通支付等多种支付方式，能有效满足市民</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无现金</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安全支付</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需求，同时具备精确定位、</w:t>
            </w:r>
            <w:r>
              <w:rPr>
                <w:rFonts w:ascii="Times New Roman" w:hAnsi="Times New Roman" w:cs="Times New Roman" w:eastAsia="Times New Roman" w:hint="default"/>
                <w:sz w:val="18"/>
                <w:szCs w:val="18"/>
              </w:rPr>
              <w:t>4G</w:t>
            </w:r>
            <w:r>
              <w:rPr>
                <w:rFonts w:ascii="宋体" w:hAnsi="宋体" w:cs="宋体" w:eastAsia="宋体" w:hint="default"/>
                <w:sz w:val="18"/>
                <w:szCs w:val="18"/>
              </w:rPr>
              <w:t>全网通等其他多种功能，可有 </w:t>
            </w:r>
            <w:r>
              <w:rPr>
                <w:rFonts w:ascii="宋体" w:hAnsi="宋体" w:cs="宋体" w:eastAsia="宋体" w:hint="default"/>
                <w:spacing w:val="-3"/>
                <w:sz w:val="18"/>
                <w:szCs w:val="18"/>
              </w:rPr>
              <w:t>效帮助公交管理系统后台实时监控车辆运行状态、统计车辆空</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驶率、实时调度车辆等</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316" w:lineRule="auto"/>
              <w:ind w:left="4" w:right="0"/>
              <w:jc w:val="left"/>
              <w:rPr>
                <w:rFonts w:ascii="宋体" w:hAnsi="宋体" w:cs="宋体" w:eastAsia="宋体" w:hint="default"/>
                <w:sz w:val="18"/>
                <w:szCs w:val="18"/>
              </w:rPr>
            </w:pPr>
            <w:r>
              <w:rPr>
                <w:rFonts w:ascii="宋体" w:hAnsi="宋体" w:cs="宋体" w:eastAsia="宋体" w:hint="default"/>
                <w:spacing w:val="14"/>
                <w:sz w:val="18"/>
                <w:szCs w:val="18"/>
              </w:rPr>
              <w:t>已进入量产</w:t>
            </w:r>
            <w:r>
              <w:rPr>
                <w:rFonts w:ascii="宋体" w:hAnsi="宋体" w:cs="宋体" w:eastAsia="宋体" w:hint="default"/>
                <w:sz w:val="18"/>
                <w:szCs w:val="18"/>
              </w:rPr>
              <w:t> 阶段</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316" w:lineRule="auto"/>
              <w:ind w:left="4" w:right="2"/>
              <w:jc w:val="left"/>
              <w:rPr>
                <w:rFonts w:ascii="宋体" w:hAnsi="宋体" w:cs="宋体" w:eastAsia="宋体" w:hint="default"/>
                <w:sz w:val="18"/>
                <w:szCs w:val="18"/>
              </w:rPr>
            </w:pPr>
            <w:r>
              <w:rPr>
                <w:rFonts w:ascii="宋体" w:hAnsi="宋体" w:cs="宋体" w:eastAsia="宋体" w:hint="default"/>
                <w:spacing w:val="10"/>
                <w:sz w:val="18"/>
                <w:szCs w:val="18"/>
              </w:rPr>
              <w:t>提升公司在智能移动支付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领域的竞争力</w:t>
            </w:r>
          </w:p>
        </w:tc>
      </w:tr>
      <w:tr>
        <w:trPr>
          <w:trHeight w:val="660"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工业平板电脑</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20"/>
              <w:jc w:val="left"/>
              <w:rPr>
                <w:rFonts w:ascii="宋体" w:hAnsi="宋体" w:cs="宋体" w:eastAsia="宋体" w:hint="default"/>
                <w:sz w:val="18"/>
                <w:szCs w:val="18"/>
              </w:rPr>
            </w:pPr>
            <w:r>
              <w:rPr>
                <w:rFonts w:ascii="宋体" w:hAnsi="宋体" w:cs="宋体" w:eastAsia="宋体" w:hint="default"/>
                <w:sz w:val="18"/>
                <w:szCs w:val="18"/>
              </w:rPr>
              <w:t>该设备采用高性能的高通</w:t>
            </w:r>
            <w:r>
              <w:rPr>
                <w:rFonts w:ascii="Times New Roman" w:hAnsi="Times New Roman" w:cs="Times New Roman" w:eastAsia="Times New Roman" w:hint="default"/>
                <w:sz w:val="18"/>
                <w:szCs w:val="18"/>
              </w:rPr>
              <w:t>660</w:t>
            </w:r>
            <w:r>
              <w:rPr>
                <w:rFonts w:ascii="宋体" w:hAnsi="宋体" w:cs="宋体" w:eastAsia="宋体" w:hint="default"/>
                <w:sz w:val="18"/>
                <w:szCs w:val="18"/>
              </w:rPr>
              <w:t>平台，</w:t>
            </w:r>
            <w:r>
              <w:rPr>
                <w:rFonts w:ascii="Times New Roman" w:hAnsi="Times New Roman" w:cs="Times New Roman" w:eastAsia="Times New Roman" w:hint="default"/>
                <w:sz w:val="18"/>
                <w:szCs w:val="18"/>
              </w:rPr>
              <w:t>FHD+ 8</w:t>
            </w:r>
            <w:r>
              <w:rPr>
                <w:rFonts w:ascii="宋体" w:hAnsi="宋体" w:cs="宋体" w:eastAsia="宋体" w:hint="default"/>
                <w:sz w:val="18"/>
                <w:szCs w:val="18"/>
              </w:rPr>
              <w:t>寸屏，</w:t>
            </w:r>
            <w:r>
              <w:rPr>
                <w:rFonts w:ascii="Times New Roman" w:hAnsi="Times New Roman" w:cs="Times New Roman" w:eastAsia="Times New Roman" w:hint="default"/>
                <w:sz w:val="18"/>
                <w:szCs w:val="18"/>
              </w:rPr>
              <w:t>Android</w:t>
            </w:r>
            <w:r>
              <w:rPr>
                <w:rFonts w:ascii="Times New Roman" w:hAnsi="Times New Roman" w:cs="Times New Roman" w:eastAsia="Times New Roman" w:hint="default"/>
                <w:spacing w:val="-3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操 </w:t>
            </w:r>
            <w:r>
              <w:rPr>
                <w:rFonts w:ascii="宋体" w:hAnsi="宋体" w:cs="宋体" w:eastAsia="宋体" w:hint="default"/>
                <w:spacing w:val="-2"/>
                <w:sz w:val="18"/>
                <w:szCs w:val="18"/>
              </w:rPr>
              <w:t>作系统，具备专业扫码模块，高防护等级，可选配指纹模块，</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14"/>
                <w:sz w:val="18"/>
                <w:szCs w:val="18"/>
              </w:rPr>
              <w:t>小批量量产</w:t>
            </w:r>
            <w:r>
              <w:rPr>
                <w:rFonts w:ascii="宋体" w:hAnsi="宋体" w:cs="宋体" w:eastAsia="宋体" w:hint="default"/>
                <w:sz w:val="18"/>
                <w:szCs w:val="18"/>
              </w:rPr>
              <w:t> 阶段</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
              <w:jc w:val="left"/>
              <w:rPr>
                <w:rFonts w:ascii="宋体" w:hAnsi="宋体" w:cs="宋体" w:eastAsia="宋体" w:hint="default"/>
                <w:sz w:val="18"/>
                <w:szCs w:val="18"/>
              </w:rPr>
            </w:pPr>
            <w:r>
              <w:rPr>
                <w:rFonts w:ascii="宋体" w:hAnsi="宋体" w:cs="宋体" w:eastAsia="宋体" w:hint="default"/>
                <w:spacing w:val="10"/>
                <w:sz w:val="18"/>
                <w:szCs w:val="18"/>
              </w:rPr>
              <w:t>提升公司在行业移动智能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应用领域的市场竞争力</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428"/>
        <w:gridCol w:w="1274"/>
        <w:gridCol w:w="4820"/>
        <w:gridCol w:w="991"/>
        <w:gridCol w:w="2127"/>
      </w:tblGrid>
      <w:tr>
        <w:trPr>
          <w:trHeight w:val="348" w:hRule="exact"/>
        </w:trPr>
        <w:tc>
          <w:tcPr>
            <w:tcW w:w="428"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可选电磁屏幕，多功能按键，适用于手套快捷按键操作</w:t>
            </w:r>
          </w:p>
        </w:tc>
        <w:tc>
          <w:tcPr>
            <w:tcW w:w="991"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970"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448" w:right="89" w:hanging="360"/>
              <w:jc w:val="left"/>
              <w:rPr>
                <w:rFonts w:ascii="宋体" w:hAnsi="宋体" w:cs="宋体" w:eastAsia="宋体" w:hint="default"/>
                <w:sz w:val="18"/>
                <w:szCs w:val="18"/>
              </w:rPr>
            </w:pPr>
            <w:r>
              <w:rPr>
                <w:rFonts w:ascii="宋体" w:hAnsi="宋体" w:cs="宋体" w:eastAsia="宋体" w:hint="default"/>
                <w:sz w:val="18"/>
                <w:szCs w:val="18"/>
              </w:rPr>
              <w:t>手持非接扫码 终端</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2" w:right="0"/>
              <w:jc w:val="both"/>
              <w:rPr>
                <w:rFonts w:ascii="宋体" w:hAnsi="宋体" w:cs="宋体" w:eastAsia="宋体" w:hint="default"/>
                <w:sz w:val="18"/>
                <w:szCs w:val="18"/>
              </w:rPr>
            </w:pPr>
            <w:r>
              <w:rPr>
                <w:rFonts w:ascii="宋体" w:hAnsi="宋体" w:cs="宋体" w:eastAsia="宋体" w:hint="default"/>
                <w:spacing w:val="-3"/>
                <w:sz w:val="18"/>
                <w:szCs w:val="18"/>
              </w:rPr>
              <w:t>该设备通过中国银联动态二维码生成设备测试认证，支持二维</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码识别、非接卡读写、接触式</w:t>
            </w:r>
            <w:r>
              <w:rPr>
                <w:rFonts w:ascii="Times New Roman" w:hAnsi="Times New Roman" w:cs="Times New Roman" w:eastAsia="Times New Roman" w:hint="default"/>
                <w:spacing w:val="-3"/>
                <w:sz w:val="18"/>
                <w:szCs w:val="18"/>
              </w:rPr>
              <w:t>IC</w:t>
            </w:r>
            <w:r>
              <w:rPr>
                <w:rFonts w:ascii="宋体" w:hAnsi="宋体" w:cs="宋体" w:eastAsia="宋体" w:hint="default"/>
                <w:spacing w:val="-3"/>
                <w:sz w:val="18"/>
                <w:szCs w:val="18"/>
              </w:rPr>
              <w:t>卡读写、微信支付宝等扫码支</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付功能，支持顾客被扫交易</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4" w:right="0"/>
              <w:jc w:val="left"/>
              <w:rPr>
                <w:rFonts w:ascii="宋体" w:hAnsi="宋体" w:cs="宋体" w:eastAsia="宋体" w:hint="default"/>
                <w:sz w:val="18"/>
                <w:szCs w:val="18"/>
              </w:rPr>
            </w:pPr>
            <w:r>
              <w:rPr>
                <w:rFonts w:ascii="宋体" w:hAnsi="宋体" w:cs="宋体" w:eastAsia="宋体" w:hint="default"/>
                <w:spacing w:val="14"/>
                <w:sz w:val="18"/>
                <w:szCs w:val="18"/>
              </w:rPr>
              <w:t>已进入量产</w:t>
            </w:r>
            <w:r>
              <w:rPr>
                <w:rFonts w:ascii="宋体" w:hAnsi="宋体" w:cs="宋体" w:eastAsia="宋体" w:hint="default"/>
                <w:sz w:val="18"/>
                <w:szCs w:val="18"/>
              </w:rPr>
              <w:t> 阶段</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4" w:right="2"/>
              <w:jc w:val="left"/>
              <w:rPr>
                <w:rFonts w:ascii="宋体" w:hAnsi="宋体" w:cs="宋体" w:eastAsia="宋体" w:hint="default"/>
                <w:sz w:val="18"/>
                <w:szCs w:val="18"/>
              </w:rPr>
            </w:pPr>
            <w:r>
              <w:rPr>
                <w:rFonts w:ascii="宋体" w:hAnsi="宋体" w:cs="宋体" w:eastAsia="宋体" w:hint="default"/>
                <w:spacing w:val="10"/>
                <w:sz w:val="18"/>
                <w:szCs w:val="18"/>
              </w:rPr>
              <w:t>提升公司在智能移动支付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领域的竞争力</w:t>
            </w:r>
          </w:p>
        </w:tc>
      </w:tr>
      <w:tr>
        <w:trPr>
          <w:trHeight w:val="660"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台式扫码盒</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26"/>
              <w:jc w:val="left"/>
              <w:rPr>
                <w:rFonts w:ascii="宋体" w:hAnsi="宋体" w:cs="宋体" w:eastAsia="宋体" w:hint="default"/>
                <w:sz w:val="18"/>
                <w:szCs w:val="18"/>
              </w:rPr>
            </w:pPr>
            <w:r>
              <w:rPr>
                <w:rFonts w:ascii="宋体" w:hAnsi="宋体" w:cs="宋体" w:eastAsia="宋体" w:hint="default"/>
                <w:sz w:val="18"/>
                <w:szCs w:val="18"/>
              </w:rPr>
              <w:t>该设备是为小微商户开发的一款收款设备，即插即用</w:t>
            </w:r>
            <w:r>
              <w:rPr>
                <w:rFonts w:ascii="Times New Roman" w:hAnsi="Times New Roman" w:cs="Times New Roman" w:eastAsia="Times New Roman" w:hint="default"/>
                <w:sz w:val="18"/>
                <w:szCs w:val="18"/>
              </w:rPr>
              <w:t>360</w:t>
            </w:r>
            <w:r>
              <w:rPr>
                <w:rFonts w:ascii="宋体" w:hAnsi="宋体" w:cs="宋体" w:eastAsia="宋体" w:hint="default"/>
                <w:sz w:val="18"/>
                <w:szCs w:val="18"/>
              </w:rPr>
              <w:t>度扫</w:t>
            </w:r>
            <w:r>
              <w:rPr>
                <w:rFonts w:ascii="宋体" w:hAnsi="宋体" w:cs="宋体" w:eastAsia="宋体" w:hint="default"/>
                <w:spacing w:val="-86"/>
                <w:sz w:val="18"/>
                <w:szCs w:val="18"/>
              </w:rPr>
              <w:t> </w:t>
            </w:r>
            <w:r>
              <w:rPr>
                <w:rFonts w:ascii="宋体" w:hAnsi="宋体" w:cs="宋体" w:eastAsia="宋体" w:hint="default"/>
                <w:sz w:val="18"/>
                <w:szCs w:val="18"/>
              </w:rPr>
              <w:t>描，满足小微商户微信、支付宝等收款应用场景</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14"/>
                <w:sz w:val="18"/>
                <w:szCs w:val="18"/>
              </w:rPr>
              <w:t>已进入量产</w:t>
            </w:r>
            <w:r>
              <w:rPr>
                <w:rFonts w:ascii="宋体" w:hAnsi="宋体" w:cs="宋体" w:eastAsia="宋体" w:hint="default"/>
                <w:sz w:val="18"/>
                <w:szCs w:val="18"/>
              </w:rPr>
              <w:t> 阶段</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
              <w:jc w:val="left"/>
              <w:rPr>
                <w:rFonts w:ascii="宋体" w:hAnsi="宋体" w:cs="宋体" w:eastAsia="宋体" w:hint="default"/>
                <w:sz w:val="18"/>
                <w:szCs w:val="18"/>
              </w:rPr>
            </w:pPr>
            <w:r>
              <w:rPr>
                <w:rFonts w:ascii="宋体" w:hAnsi="宋体" w:cs="宋体" w:eastAsia="宋体" w:hint="default"/>
                <w:spacing w:val="10"/>
                <w:sz w:val="18"/>
                <w:szCs w:val="18"/>
              </w:rPr>
              <w:t>提升公司在智能移动支付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领域的竞争力</w:t>
            </w:r>
          </w:p>
        </w:tc>
      </w:tr>
      <w:tr>
        <w:trPr>
          <w:trHeight w:val="1594"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11</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316" w:lineRule="auto"/>
              <w:ind w:left="448" w:right="89" w:hanging="360"/>
              <w:jc w:val="left"/>
              <w:rPr>
                <w:rFonts w:ascii="宋体" w:hAnsi="宋体" w:cs="宋体" w:eastAsia="宋体" w:hint="default"/>
                <w:sz w:val="18"/>
                <w:szCs w:val="18"/>
              </w:rPr>
            </w:pPr>
            <w:r>
              <w:rPr>
                <w:rFonts w:ascii="宋体" w:hAnsi="宋体" w:cs="宋体" w:eastAsia="宋体" w:hint="default"/>
                <w:sz w:val="18"/>
                <w:szCs w:val="18"/>
              </w:rPr>
              <w:t>台式非接扫码 终端</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17"/>
              <w:ind w:left="2" w:right="1"/>
              <w:jc w:val="both"/>
              <w:rPr>
                <w:rFonts w:ascii="宋体" w:hAnsi="宋体" w:cs="宋体" w:eastAsia="宋体" w:hint="default"/>
                <w:sz w:val="18"/>
                <w:szCs w:val="18"/>
              </w:rPr>
            </w:pPr>
            <w:r>
              <w:rPr>
                <w:rFonts w:ascii="宋体" w:hAnsi="宋体" w:cs="宋体" w:eastAsia="宋体" w:hint="default"/>
                <w:sz w:val="18"/>
                <w:szCs w:val="18"/>
              </w:rPr>
              <w:t>该设备可识读</w:t>
            </w:r>
            <w:r>
              <w:rPr>
                <w:rFonts w:ascii="Times New Roman" w:hAnsi="Times New Roman" w:cs="Times New Roman" w:eastAsia="Times New Roman" w:hint="default"/>
                <w:sz w:val="18"/>
                <w:szCs w:val="18"/>
              </w:rPr>
              <w:t>1D</w:t>
            </w:r>
            <w:r>
              <w:rPr>
                <w:rFonts w:ascii="宋体" w:hAnsi="宋体" w:cs="宋体" w:eastAsia="宋体" w:hint="default"/>
                <w:sz w:val="18"/>
                <w:szCs w:val="18"/>
              </w:rPr>
              <w:t>和</w:t>
            </w:r>
            <w:r>
              <w:rPr>
                <w:rFonts w:ascii="Times New Roman" w:hAnsi="Times New Roman" w:cs="Times New Roman" w:eastAsia="Times New Roman" w:hint="default"/>
                <w:sz w:val="18"/>
                <w:szCs w:val="18"/>
              </w:rPr>
              <w:t>2D</w:t>
            </w:r>
            <w:r>
              <w:rPr>
                <w:rFonts w:ascii="宋体" w:hAnsi="宋体" w:cs="宋体" w:eastAsia="宋体" w:hint="default"/>
                <w:sz w:val="18"/>
                <w:szCs w:val="18"/>
              </w:rPr>
              <w:t>条码，并将扫码与云闪付融合成一体， </w:t>
            </w:r>
            <w:r>
              <w:rPr>
                <w:rFonts w:ascii="宋体" w:hAnsi="宋体" w:cs="宋体" w:eastAsia="宋体" w:hint="default"/>
                <w:spacing w:val="-3"/>
                <w:sz w:val="18"/>
                <w:szCs w:val="18"/>
              </w:rPr>
              <w:t>支持双屏显示和外接键盘，</w:t>
            </w:r>
            <w:r>
              <w:rPr>
                <w:rFonts w:ascii="Times New Roman" w:hAnsi="Times New Roman" w:cs="Times New Roman" w:eastAsia="Times New Roman" w:hint="default"/>
                <w:spacing w:val="-3"/>
                <w:sz w:val="18"/>
                <w:szCs w:val="18"/>
              </w:rPr>
              <w:t>USB</w:t>
            </w:r>
            <w:r>
              <w:rPr>
                <w:rFonts w:ascii="宋体" w:hAnsi="宋体" w:cs="宋体" w:eastAsia="宋体" w:hint="default"/>
                <w:spacing w:val="-3"/>
                <w:sz w:val="18"/>
                <w:szCs w:val="18"/>
              </w:rPr>
              <w:t>、串口、蓝牙、</w:t>
            </w:r>
            <w:r>
              <w:rPr>
                <w:rFonts w:ascii="Times New Roman" w:hAnsi="Times New Roman" w:cs="Times New Roman" w:eastAsia="Times New Roman" w:hint="default"/>
                <w:spacing w:val="-3"/>
                <w:sz w:val="18"/>
                <w:szCs w:val="18"/>
              </w:rPr>
              <w:t>WIFI</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GRPS</w:t>
            </w:r>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宋体" w:hAnsi="宋体" w:cs="宋体" w:eastAsia="宋体" w:hint="default"/>
                <w:spacing w:val="-3"/>
                <w:sz w:val="18"/>
                <w:szCs w:val="18"/>
              </w:rPr>
              <w:t>以太网等多通讯方式，可与多种支付场景实现无缝链接。内置</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安全芯片，整机采用金融</w:t>
            </w:r>
            <w:r>
              <w:rPr>
                <w:rFonts w:ascii="Times New Roman" w:hAnsi="Times New Roman" w:cs="Times New Roman" w:eastAsia="Times New Roman" w:hint="default"/>
                <w:spacing w:val="-2"/>
                <w:sz w:val="18"/>
                <w:szCs w:val="18"/>
              </w:rPr>
              <w:t>POS</w:t>
            </w:r>
            <w:r>
              <w:rPr>
                <w:rFonts w:ascii="宋体" w:hAnsi="宋体" w:cs="宋体" w:eastAsia="宋体" w:hint="default"/>
                <w:spacing w:val="-2"/>
                <w:sz w:val="18"/>
                <w:szCs w:val="18"/>
              </w:rPr>
              <w:t>的安全防护设计，产品通过中国</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银联动态二维码生成设备测试认证，为金融交易提供安全保护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96" w:lineRule="exact" w:before="122"/>
              <w:ind w:left="-10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4" w:right="0"/>
              <w:jc w:val="left"/>
              <w:rPr>
                <w:rFonts w:ascii="宋体" w:hAnsi="宋体" w:cs="宋体" w:eastAsia="宋体" w:hint="default"/>
                <w:sz w:val="18"/>
                <w:szCs w:val="18"/>
              </w:rPr>
            </w:pPr>
            <w:r>
              <w:rPr>
                <w:rFonts w:ascii="宋体" w:hAnsi="宋体" w:cs="宋体" w:eastAsia="宋体" w:hint="default"/>
                <w:spacing w:val="14"/>
                <w:sz w:val="18"/>
                <w:szCs w:val="18"/>
              </w:rPr>
              <w:t>已进入量产</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阶段</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316" w:lineRule="auto"/>
              <w:ind w:left="4" w:right="2"/>
              <w:jc w:val="left"/>
              <w:rPr>
                <w:rFonts w:ascii="宋体" w:hAnsi="宋体" w:cs="宋体" w:eastAsia="宋体" w:hint="default"/>
                <w:sz w:val="18"/>
                <w:szCs w:val="18"/>
              </w:rPr>
            </w:pPr>
            <w:r>
              <w:rPr>
                <w:rFonts w:ascii="宋体" w:hAnsi="宋体" w:cs="宋体" w:eastAsia="宋体" w:hint="default"/>
                <w:spacing w:val="10"/>
                <w:sz w:val="18"/>
                <w:szCs w:val="18"/>
              </w:rPr>
              <w:t>提升公司在智能移动支付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领域的竞争力</w:t>
            </w:r>
          </w:p>
        </w:tc>
      </w:tr>
      <w:tr>
        <w:trPr>
          <w:trHeight w:val="661"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合作伙伴平台</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2" w:right="1"/>
              <w:jc w:val="left"/>
              <w:rPr>
                <w:rFonts w:ascii="宋体" w:hAnsi="宋体" w:cs="宋体" w:eastAsia="宋体" w:hint="default"/>
                <w:sz w:val="18"/>
                <w:szCs w:val="18"/>
              </w:rPr>
            </w:pPr>
            <w:r>
              <w:rPr>
                <w:rFonts w:ascii="宋体" w:hAnsi="宋体" w:cs="宋体" w:eastAsia="宋体" w:hint="default"/>
                <w:spacing w:val="-3"/>
                <w:sz w:val="18"/>
                <w:szCs w:val="18"/>
              </w:rPr>
              <w:t>该平台具备设备远程管理、应用远程部署、设备信息采集以及</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多级分销的商务管理等功能</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试运行阶段</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2"/>
              <w:jc w:val="left"/>
              <w:rPr>
                <w:rFonts w:ascii="宋体" w:hAnsi="宋体" w:cs="宋体" w:eastAsia="宋体" w:hint="default"/>
                <w:sz w:val="18"/>
                <w:szCs w:val="18"/>
              </w:rPr>
            </w:pPr>
            <w:r>
              <w:rPr>
                <w:rFonts w:ascii="宋体" w:hAnsi="宋体" w:cs="宋体" w:eastAsia="宋体" w:hint="default"/>
                <w:spacing w:val="10"/>
                <w:sz w:val="18"/>
                <w:szCs w:val="18"/>
              </w:rPr>
              <w:t>提升公司在行业移动智能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应用领域的市场竞争力</w:t>
            </w:r>
          </w:p>
        </w:tc>
      </w:tr>
      <w:tr>
        <w:trPr>
          <w:trHeight w:val="1282"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4" w:right="0"/>
              <w:jc w:val="center"/>
              <w:rPr>
                <w:rFonts w:ascii="Times New Roman" w:hAnsi="Times New Roman" w:cs="Times New Roman" w:eastAsia="Times New Roman" w:hint="default"/>
                <w:sz w:val="18"/>
                <w:szCs w:val="18"/>
              </w:rPr>
            </w:pPr>
            <w:r>
              <w:rPr>
                <w:rFonts w:ascii="Times New Roman"/>
                <w:sz w:val="18"/>
              </w:rPr>
              <w:t>13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2"/>
              <w:ind w:left="268" w:right="89" w:hanging="180"/>
              <w:jc w:val="left"/>
              <w:rPr>
                <w:rFonts w:ascii="宋体" w:hAnsi="宋体" w:cs="宋体" w:eastAsia="宋体" w:hint="default"/>
                <w:sz w:val="18"/>
                <w:szCs w:val="18"/>
              </w:rPr>
            </w:pPr>
            <w:r>
              <w:rPr>
                <w:rFonts w:ascii="宋体" w:hAnsi="宋体" w:cs="宋体" w:eastAsia="宋体" w:hint="default"/>
                <w:sz w:val="18"/>
                <w:szCs w:val="18"/>
              </w:rPr>
              <w:t>动态包裹数据 采集系统</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17"/>
              <w:ind w:left="2" w:right="1"/>
              <w:jc w:val="both"/>
              <w:rPr>
                <w:rFonts w:ascii="宋体" w:hAnsi="宋体" w:cs="宋体" w:eastAsia="宋体" w:hint="default"/>
                <w:sz w:val="18"/>
                <w:szCs w:val="18"/>
              </w:rPr>
            </w:pPr>
            <w:r>
              <w:rPr>
                <w:rFonts w:ascii="宋体" w:hAnsi="宋体" w:cs="宋体" w:eastAsia="宋体" w:hint="default"/>
                <w:sz w:val="18"/>
                <w:szCs w:val="18"/>
              </w:rPr>
              <w:t>该设备实时检测采集动态包裹的重量</w:t>
            </w:r>
            <w:r>
              <w:rPr>
                <w:rFonts w:ascii="Times New Roman" w:hAnsi="Times New Roman" w:cs="Times New Roman" w:eastAsia="Times New Roman" w:hint="default"/>
                <w:sz w:val="18"/>
                <w:szCs w:val="18"/>
              </w:rPr>
              <w:t>/</w:t>
            </w:r>
            <w:r>
              <w:rPr>
                <w:rFonts w:ascii="宋体" w:hAnsi="宋体" w:cs="宋体" w:eastAsia="宋体" w:hint="default"/>
                <w:sz w:val="18"/>
                <w:szCs w:val="18"/>
              </w:rPr>
              <w:t>条码</w:t>
            </w:r>
            <w:r>
              <w:rPr>
                <w:rFonts w:ascii="Times New Roman" w:hAnsi="Times New Roman" w:cs="Times New Roman" w:eastAsia="Times New Roman" w:hint="default"/>
                <w:sz w:val="18"/>
                <w:szCs w:val="18"/>
              </w:rPr>
              <w:t>/</w:t>
            </w:r>
            <w:r>
              <w:rPr>
                <w:rFonts w:ascii="宋体" w:hAnsi="宋体" w:cs="宋体" w:eastAsia="宋体" w:hint="default"/>
                <w:sz w:val="18"/>
                <w:szCs w:val="18"/>
              </w:rPr>
              <w:t>体积</w:t>
            </w:r>
            <w:r>
              <w:rPr>
                <w:rFonts w:ascii="Times New Roman" w:hAnsi="Times New Roman" w:cs="Times New Roman" w:eastAsia="Times New Roman" w:hint="default"/>
                <w:sz w:val="18"/>
                <w:szCs w:val="18"/>
              </w:rPr>
              <w:t>/</w:t>
            </w:r>
            <w:r>
              <w:rPr>
                <w:rFonts w:ascii="宋体" w:hAnsi="宋体" w:cs="宋体" w:eastAsia="宋体" w:hint="default"/>
                <w:sz w:val="18"/>
                <w:szCs w:val="18"/>
              </w:rPr>
              <w:t>尺寸</w:t>
            </w:r>
            <w:r>
              <w:rPr>
                <w:rFonts w:ascii="Times New Roman" w:hAnsi="Times New Roman" w:cs="Times New Roman" w:eastAsia="Times New Roman" w:hint="default"/>
                <w:sz w:val="18"/>
                <w:szCs w:val="18"/>
              </w:rPr>
              <w:t>/RFID</w:t>
            </w:r>
            <w:r>
              <w:rPr>
                <w:rFonts w:ascii="宋体" w:hAnsi="宋体" w:cs="宋体" w:eastAsia="宋体" w:hint="default"/>
                <w:sz w:val="18"/>
                <w:szCs w:val="18"/>
              </w:rPr>
              <w:t>等 </w:t>
            </w:r>
            <w:r>
              <w:rPr>
                <w:rFonts w:ascii="宋体" w:hAnsi="宋体" w:cs="宋体" w:eastAsia="宋体" w:hint="default"/>
                <w:spacing w:val="-3"/>
                <w:sz w:val="18"/>
                <w:szCs w:val="18"/>
              </w:rPr>
              <w:t>信息，并根据客户的对数据的要求对包裹信息进行分类统计表</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格输出。该系统相对于静态包裹数据采集，大大提升了物流行</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业在生产线上包裹数据采集的工作效率和智能化程度</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2"/>
              <w:ind w:left="4" w:right="0"/>
              <w:jc w:val="left"/>
              <w:rPr>
                <w:rFonts w:ascii="宋体" w:hAnsi="宋体" w:cs="宋体" w:eastAsia="宋体" w:hint="default"/>
                <w:sz w:val="18"/>
                <w:szCs w:val="18"/>
              </w:rPr>
            </w:pPr>
            <w:r>
              <w:rPr>
                <w:rFonts w:ascii="宋体" w:hAnsi="宋体" w:cs="宋体" w:eastAsia="宋体" w:hint="default"/>
                <w:spacing w:val="14"/>
                <w:sz w:val="18"/>
                <w:szCs w:val="18"/>
              </w:rPr>
              <w:t>小批量量产</w:t>
            </w:r>
            <w:r>
              <w:rPr>
                <w:rFonts w:ascii="宋体" w:hAnsi="宋体" w:cs="宋体" w:eastAsia="宋体" w:hint="default"/>
                <w:sz w:val="18"/>
                <w:szCs w:val="18"/>
              </w:rPr>
              <w:t> 阶段</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22"/>
              <w:ind w:left="4" w:right="-10"/>
              <w:jc w:val="left"/>
              <w:rPr>
                <w:rFonts w:ascii="宋体" w:hAnsi="宋体" w:cs="宋体" w:eastAsia="宋体" w:hint="default"/>
                <w:sz w:val="18"/>
                <w:szCs w:val="18"/>
              </w:rPr>
            </w:pPr>
            <w:r>
              <w:rPr>
                <w:rFonts w:ascii="宋体" w:hAnsi="宋体" w:cs="宋体" w:eastAsia="宋体" w:hint="default"/>
                <w:spacing w:val="7"/>
                <w:sz w:val="18"/>
                <w:szCs w:val="18"/>
              </w:rPr>
              <w:t>提升公司在智能物流</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智能 </w:t>
            </w:r>
            <w:r>
              <w:rPr>
                <w:rFonts w:ascii="宋体" w:hAnsi="宋体" w:cs="宋体" w:eastAsia="宋体" w:hint="default"/>
                <w:sz w:val="18"/>
                <w:szCs w:val="18"/>
              </w:rPr>
              <w:t>仓储领域的竞争力</w:t>
            </w:r>
          </w:p>
        </w:tc>
      </w:tr>
      <w:tr>
        <w:trPr>
          <w:trHeight w:val="972"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6" w:lineRule="auto"/>
              <w:ind w:left="268" w:right="89" w:hanging="180"/>
              <w:jc w:val="left"/>
              <w:rPr>
                <w:rFonts w:ascii="宋体" w:hAnsi="宋体" w:cs="宋体" w:eastAsia="宋体" w:hint="default"/>
                <w:sz w:val="18"/>
                <w:szCs w:val="18"/>
              </w:rPr>
            </w:pPr>
            <w:r>
              <w:rPr>
                <w:rFonts w:ascii="宋体" w:hAnsi="宋体" w:cs="宋体" w:eastAsia="宋体" w:hint="default"/>
                <w:sz w:val="18"/>
                <w:szCs w:val="18"/>
              </w:rPr>
              <w:t>扫条码写电子 标签设备</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2" w:right="1"/>
              <w:jc w:val="left"/>
              <w:rPr>
                <w:rFonts w:ascii="宋体" w:hAnsi="宋体" w:cs="宋体" w:eastAsia="宋体" w:hint="default"/>
                <w:sz w:val="18"/>
                <w:szCs w:val="18"/>
              </w:rPr>
            </w:pPr>
            <w:r>
              <w:rPr>
                <w:rFonts w:ascii="宋体" w:hAnsi="宋体" w:cs="宋体" w:eastAsia="宋体" w:hint="default"/>
                <w:spacing w:val="-3"/>
                <w:sz w:val="18"/>
                <w:szCs w:val="18"/>
              </w:rPr>
              <w:t>该设备用于物流行业包裹、行李运输环节的实时线上条码扫描</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及</w:t>
            </w:r>
            <w:r>
              <w:rPr>
                <w:rFonts w:ascii="Times New Roman" w:hAnsi="Times New Roman" w:cs="Times New Roman" w:eastAsia="Times New Roman" w:hint="default"/>
                <w:sz w:val="18"/>
                <w:szCs w:val="18"/>
              </w:rPr>
              <w:t>RFID</w:t>
            </w:r>
            <w:r>
              <w:rPr>
                <w:rFonts w:ascii="宋体" w:hAnsi="宋体" w:cs="宋体" w:eastAsia="宋体" w:hint="default"/>
                <w:sz w:val="18"/>
                <w:szCs w:val="18"/>
              </w:rPr>
              <w:t>卡写入，大大提升了物流行业数据采集的工作效率和 智能化程度</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6" w:lineRule="auto"/>
              <w:ind w:left="4" w:right="0"/>
              <w:jc w:val="left"/>
              <w:rPr>
                <w:rFonts w:ascii="宋体" w:hAnsi="宋体" w:cs="宋体" w:eastAsia="宋体" w:hint="default"/>
                <w:sz w:val="18"/>
                <w:szCs w:val="18"/>
              </w:rPr>
            </w:pPr>
            <w:r>
              <w:rPr>
                <w:rFonts w:ascii="宋体" w:hAnsi="宋体" w:cs="宋体" w:eastAsia="宋体" w:hint="default"/>
                <w:spacing w:val="14"/>
                <w:sz w:val="18"/>
                <w:szCs w:val="18"/>
              </w:rPr>
              <w:t>已进入量产</w:t>
            </w:r>
            <w:r>
              <w:rPr>
                <w:rFonts w:ascii="宋体" w:hAnsi="宋体" w:cs="宋体" w:eastAsia="宋体" w:hint="default"/>
                <w:sz w:val="18"/>
                <w:szCs w:val="18"/>
              </w:rPr>
              <w:t> 阶段</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6" w:lineRule="auto"/>
              <w:ind w:left="4" w:right="2"/>
              <w:jc w:val="left"/>
              <w:rPr>
                <w:rFonts w:ascii="宋体" w:hAnsi="宋体" w:cs="宋体" w:eastAsia="宋体" w:hint="default"/>
                <w:sz w:val="18"/>
                <w:szCs w:val="18"/>
              </w:rPr>
            </w:pPr>
            <w:r>
              <w:rPr>
                <w:rFonts w:ascii="宋体" w:hAnsi="宋体" w:cs="宋体" w:eastAsia="宋体" w:hint="default"/>
                <w:spacing w:val="10"/>
                <w:sz w:val="18"/>
                <w:szCs w:val="18"/>
              </w:rPr>
              <w:t>提升公司在智慧物流领域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的竞争力</w:t>
            </w:r>
          </w:p>
        </w:tc>
      </w:tr>
      <w:tr>
        <w:trPr>
          <w:trHeight w:val="660"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超市快扫项目</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70"/>
              <w:jc w:val="left"/>
              <w:rPr>
                <w:rFonts w:ascii="宋体" w:hAnsi="宋体" w:cs="宋体" w:eastAsia="宋体" w:hint="default"/>
                <w:sz w:val="18"/>
                <w:szCs w:val="18"/>
              </w:rPr>
            </w:pPr>
            <w:r>
              <w:rPr>
                <w:rFonts w:ascii="宋体" w:hAnsi="宋体" w:cs="宋体" w:eastAsia="宋体" w:hint="default"/>
                <w:sz w:val="18"/>
                <w:szCs w:val="18"/>
              </w:rPr>
              <w:t>该设备用于快递超市，用于包裹的出</w:t>
            </w:r>
            <w:r>
              <w:rPr>
                <w:rFonts w:ascii="Times New Roman" w:hAnsi="Times New Roman" w:cs="Times New Roman" w:eastAsia="Times New Roman" w:hint="default"/>
                <w:sz w:val="18"/>
                <w:szCs w:val="18"/>
              </w:rPr>
              <w:t>/</w:t>
            </w:r>
            <w:r>
              <w:rPr>
                <w:rFonts w:ascii="宋体" w:hAnsi="宋体" w:cs="宋体" w:eastAsia="宋体" w:hint="default"/>
                <w:sz w:val="18"/>
                <w:szCs w:val="18"/>
              </w:rPr>
              <w:t>入库快速扫码并快速对 包裹及人脸进行拍照保存</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pacing w:val="14"/>
                <w:sz w:val="18"/>
                <w:szCs w:val="18"/>
              </w:rPr>
              <w:t>已进入量产</w:t>
            </w:r>
            <w:r>
              <w:rPr>
                <w:rFonts w:ascii="宋体" w:hAnsi="宋体" w:cs="宋体" w:eastAsia="宋体" w:hint="default"/>
                <w:sz w:val="18"/>
                <w:szCs w:val="18"/>
              </w:rPr>
              <w:t> 阶段</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2"/>
              <w:jc w:val="left"/>
              <w:rPr>
                <w:rFonts w:ascii="宋体" w:hAnsi="宋体" w:cs="宋体" w:eastAsia="宋体" w:hint="default"/>
                <w:sz w:val="18"/>
                <w:szCs w:val="18"/>
              </w:rPr>
            </w:pPr>
            <w:r>
              <w:rPr>
                <w:rFonts w:ascii="宋体" w:hAnsi="宋体" w:cs="宋体" w:eastAsia="宋体" w:hint="default"/>
                <w:spacing w:val="10"/>
                <w:sz w:val="18"/>
                <w:szCs w:val="18"/>
              </w:rPr>
              <w:t>提升公司在智慧物流领域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的竞争力</w:t>
            </w:r>
          </w:p>
        </w:tc>
      </w:tr>
      <w:tr>
        <w:trPr>
          <w:trHeight w:val="970"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韵课堂</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2" w:right="0"/>
              <w:jc w:val="both"/>
              <w:rPr>
                <w:rFonts w:ascii="宋体" w:hAnsi="宋体" w:cs="宋体" w:eastAsia="宋体" w:hint="default"/>
                <w:sz w:val="18"/>
                <w:szCs w:val="18"/>
              </w:rPr>
            </w:pPr>
            <w:r>
              <w:rPr>
                <w:rFonts w:ascii="宋体" w:hAnsi="宋体" w:cs="宋体" w:eastAsia="宋体" w:hint="default"/>
                <w:spacing w:val="-2"/>
                <w:sz w:val="18"/>
                <w:szCs w:val="18"/>
              </w:rPr>
              <w:t>结合工业手机管理系统，提供一个可供操作员在</w:t>
            </w:r>
            <w:r>
              <w:rPr>
                <w:rFonts w:ascii="Times New Roman" w:hAnsi="Times New Roman" w:cs="Times New Roman" w:eastAsia="Times New Roman" w:hint="default"/>
                <w:spacing w:val="-2"/>
                <w:sz w:val="18"/>
                <w:szCs w:val="18"/>
              </w:rPr>
              <w:t>APP</w:t>
            </w:r>
            <w:r>
              <w:rPr>
                <w:rFonts w:ascii="宋体" w:hAnsi="宋体" w:cs="宋体" w:eastAsia="宋体" w:hint="default"/>
                <w:spacing w:val="-2"/>
                <w:sz w:val="18"/>
                <w:szCs w:val="18"/>
              </w:rPr>
              <w:t>端进行在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线学习的平台，更好的提升线下操作人员的业务能力和专业知</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识</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4" w:right="0"/>
              <w:jc w:val="left"/>
              <w:rPr>
                <w:rFonts w:ascii="宋体" w:hAnsi="宋体" w:cs="宋体" w:eastAsia="宋体" w:hint="default"/>
                <w:sz w:val="18"/>
                <w:szCs w:val="18"/>
              </w:rPr>
            </w:pPr>
            <w:r>
              <w:rPr>
                <w:rFonts w:ascii="宋体" w:hAnsi="宋体" w:cs="宋体" w:eastAsia="宋体" w:hint="default"/>
                <w:sz w:val="18"/>
                <w:szCs w:val="18"/>
              </w:rPr>
              <w:t>试运行阶段</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316" w:lineRule="auto"/>
              <w:ind w:left="4" w:right="2"/>
              <w:jc w:val="left"/>
              <w:rPr>
                <w:rFonts w:ascii="宋体" w:hAnsi="宋体" w:cs="宋体" w:eastAsia="宋体" w:hint="default"/>
                <w:sz w:val="18"/>
                <w:szCs w:val="18"/>
              </w:rPr>
            </w:pPr>
            <w:r>
              <w:rPr>
                <w:rFonts w:ascii="宋体" w:hAnsi="宋体" w:cs="宋体" w:eastAsia="宋体" w:hint="default"/>
                <w:spacing w:val="10"/>
                <w:sz w:val="18"/>
                <w:szCs w:val="18"/>
              </w:rPr>
              <w:t>提升公司在快递物流行业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的竞争力</w:t>
            </w:r>
          </w:p>
        </w:tc>
      </w:tr>
      <w:tr>
        <w:trPr>
          <w:trHeight w:val="1284"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4" w:right="0"/>
              <w:jc w:val="center"/>
              <w:rPr>
                <w:rFonts w:ascii="Times New Roman" w:hAnsi="Times New Roman" w:cs="Times New Roman" w:eastAsia="Times New Roman" w:hint="default"/>
                <w:sz w:val="18"/>
                <w:szCs w:val="18"/>
              </w:rPr>
            </w:pPr>
            <w:r>
              <w:rPr>
                <w:rFonts w:ascii="Times New Roman"/>
                <w:sz w:val="18"/>
              </w:rPr>
              <w:t>17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448" w:right="89" w:hanging="360"/>
              <w:jc w:val="left"/>
              <w:rPr>
                <w:rFonts w:ascii="宋体" w:hAnsi="宋体" w:cs="宋体" w:eastAsia="宋体" w:hint="default"/>
                <w:sz w:val="18"/>
                <w:szCs w:val="18"/>
              </w:rPr>
            </w:pPr>
            <w:r>
              <w:rPr>
                <w:rFonts w:ascii="宋体" w:hAnsi="宋体" w:cs="宋体" w:eastAsia="宋体" w:hint="default"/>
                <w:sz w:val="18"/>
                <w:szCs w:val="18"/>
              </w:rPr>
              <w:t>工厂智慧管理 系统</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
              <w:jc w:val="both"/>
              <w:rPr>
                <w:rFonts w:ascii="宋体" w:hAnsi="宋体" w:cs="宋体" w:eastAsia="宋体" w:hint="default"/>
                <w:sz w:val="18"/>
                <w:szCs w:val="18"/>
              </w:rPr>
            </w:pPr>
            <w:r>
              <w:rPr>
                <w:rFonts w:ascii="宋体" w:hAnsi="宋体" w:cs="宋体" w:eastAsia="宋体" w:hint="default"/>
                <w:spacing w:val="-3"/>
                <w:sz w:val="18"/>
                <w:szCs w:val="18"/>
              </w:rPr>
              <w:t>本系统基于计算机视觉、物联网传感技术、大数据服务的智慧</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工厂解决方案，结合人脸识别、人形识别、物体识别、物联网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传感技术、大数据服务等实现刷脸考勤，考勤记录可查，报表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可输出，远程可实时查看在岗状态，不在岗预警提醒等功能</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试运行阶段</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4" w:right="2"/>
              <w:jc w:val="left"/>
              <w:rPr>
                <w:rFonts w:ascii="宋体" w:hAnsi="宋体" w:cs="宋体" w:eastAsia="宋体" w:hint="default"/>
                <w:sz w:val="18"/>
                <w:szCs w:val="18"/>
              </w:rPr>
            </w:pPr>
            <w:r>
              <w:rPr>
                <w:rFonts w:ascii="宋体" w:hAnsi="宋体" w:cs="宋体" w:eastAsia="宋体" w:hint="default"/>
                <w:spacing w:val="10"/>
                <w:sz w:val="18"/>
                <w:szCs w:val="18"/>
              </w:rPr>
              <w:t>提升公司人工智能领域的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市场竞争力</w:t>
            </w:r>
          </w:p>
        </w:tc>
      </w:tr>
      <w:tr>
        <w:trPr>
          <w:trHeight w:val="1282"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4" w:right="0"/>
              <w:jc w:val="center"/>
              <w:rPr>
                <w:rFonts w:ascii="Times New Roman" w:hAnsi="Times New Roman" w:cs="Times New Roman" w:eastAsia="Times New Roman" w:hint="default"/>
                <w:sz w:val="18"/>
                <w:szCs w:val="18"/>
              </w:rPr>
            </w:pPr>
            <w:r>
              <w:rPr>
                <w:rFonts w:ascii="Times New Roman"/>
                <w:sz w:val="18"/>
              </w:rPr>
              <w:t>18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2"/>
              <w:ind w:left="268" w:right="89" w:hanging="180"/>
              <w:jc w:val="left"/>
              <w:rPr>
                <w:rFonts w:ascii="宋体" w:hAnsi="宋体" w:cs="宋体" w:eastAsia="宋体" w:hint="default"/>
                <w:sz w:val="18"/>
                <w:szCs w:val="18"/>
              </w:rPr>
            </w:pPr>
            <w:r>
              <w:rPr>
                <w:rFonts w:ascii="宋体" w:hAnsi="宋体" w:cs="宋体" w:eastAsia="宋体" w:hint="default"/>
                <w:sz w:val="18"/>
                <w:szCs w:val="18"/>
              </w:rPr>
              <w:t>员工考勤管理 系统开发</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
              <w:jc w:val="both"/>
              <w:rPr>
                <w:rFonts w:ascii="宋体" w:hAnsi="宋体" w:cs="宋体" w:eastAsia="宋体" w:hint="default"/>
                <w:sz w:val="18"/>
                <w:szCs w:val="18"/>
              </w:rPr>
            </w:pPr>
            <w:r>
              <w:rPr>
                <w:rFonts w:ascii="宋体" w:hAnsi="宋体" w:cs="宋体" w:eastAsia="宋体" w:hint="default"/>
                <w:spacing w:val="-3"/>
                <w:sz w:val="18"/>
                <w:szCs w:val="18"/>
              </w:rPr>
              <w:t>本软件通过微信企业号实现上下班打卡功能，为一线员工解决</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无法使用公司内网网络上下班打卡的需求，还可查看历史打卡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记录、班次安排情况、工资单详情等，为企业解决复杂情况员</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工考勤管理，提高企业</w:t>
            </w:r>
            <w:r>
              <w:rPr>
                <w:rFonts w:ascii="Times New Roman" w:hAnsi="Times New Roman" w:cs="Times New Roman" w:eastAsia="Times New Roman" w:hint="default"/>
                <w:sz w:val="18"/>
                <w:szCs w:val="18"/>
              </w:rPr>
              <w:t>IT</w:t>
            </w:r>
            <w:r>
              <w:rPr>
                <w:rFonts w:ascii="宋体" w:hAnsi="宋体" w:cs="宋体" w:eastAsia="宋体" w:hint="default"/>
                <w:sz w:val="18"/>
                <w:szCs w:val="18"/>
              </w:rPr>
              <w:t>信息化能力</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试运行阶段</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22"/>
              <w:ind w:left="4" w:right="-17"/>
              <w:jc w:val="left"/>
              <w:rPr>
                <w:rFonts w:ascii="宋体" w:hAnsi="宋体" w:cs="宋体" w:eastAsia="宋体" w:hint="default"/>
                <w:sz w:val="18"/>
                <w:szCs w:val="18"/>
              </w:rPr>
            </w:pPr>
            <w:r>
              <w:rPr>
                <w:rFonts w:ascii="宋体" w:hAnsi="宋体" w:cs="宋体" w:eastAsia="宋体" w:hint="default"/>
                <w:spacing w:val="12"/>
                <w:sz w:val="18"/>
                <w:szCs w:val="18"/>
              </w:rPr>
              <w:t>提升企业内部</w:t>
            </w:r>
            <w:r>
              <w:rPr>
                <w:rFonts w:ascii="Times New Roman" w:hAnsi="Times New Roman" w:cs="Times New Roman" w:eastAsia="Times New Roman" w:hint="default"/>
                <w:spacing w:val="12"/>
                <w:sz w:val="18"/>
                <w:szCs w:val="18"/>
              </w:rPr>
              <w:t>IT</w:t>
            </w:r>
            <w:r>
              <w:rPr>
                <w:rFonts w:ascii="宋体" w:hAnsi="宋体" w:cs="宋体" w:eastAsia="宋体" w:hint="default"/>
                <w:spacing w:val="12"/>
                <w:sz w:val="18"/>
                <w:szCs w:val="18"/>
              </w:rPr>
              <w:t>信息化管</w:t>
            </w:r>
            <w:r>
              <w:rPr>
                <w:rFonts w:ascii="宋体" w:hAnsi="宋体" w:cs="宋体" w:eastAsia="宋体" w:hint="default"/>
                <w:spacing w:val="-85"/>
                <w:sz w:val="18"/>
                <w:szCs w:val="18"/>
              </w:rPr>
              <w:t> </w:t>
            </w:r>
            <w:r>
              <w:rPr>
                <w:rFonts w:ascii="宋体" w:hAnsi="宋体" w:cs="宋体" w:eastAsia="宋体" w:hint="default"/>
                <w:sz w:val="18"/>
                <w:szCs w:val="18"/>
              </w:rPr>
              <w:t>理</w:t>
            </w:r>
          </w:p>
        </w:tc>
      </w:tr>
      <w:tr>
        <w:trPr>
          <w:trHeight w:val="1285"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4" w:right="0"/>
              <w:jc w:val="center"/>
              <w:rPr>
                <w:rFonts w:ascii="Times New Roman" w:hAnsi="Times New Roman" w:cs="Times New Roman" w:eastAsia="Times New Roman" w:hint="default"/>
                <w:sz w:val="18"/>
                <w:szCs w:val="18"/>
              </w:rPr>
            </w:pPr>
            <w:r>
              <w:rPr>
                <w:rFonts w:ascii="Times New Roman"/>
                <w:sz w:val="18"/>
              </w:rPr>
              <w:t>19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6" w:lineRule="auto"/>
              <w:ind w:left="88" w:right="89"/>
              <w:jc w:val="center"/>
              <w:rPr>
                <w:rFonts w:ascii="宋体" w:hAnsi="宋体" w:cs="宋体" w:eastAsia="宋体" w:hint="default"/>
                <w:sz w:val="18"/>
                <w:szCs w:val="18"/>
              </w:rPr>
            </w:pPr>
            <w:r>
              <w:rPr>
                <w:rFonts w:ascii="宋体" w:hAnsi="宋体" w:cs="宋体" w:eastAsia="宋体" w:hint="default"/>
                <w:sz w:val="18"/>
                <w:szCs w:val="18"/>
              </w:rPr>
              <w:t>基于区块链技 术的食品溯源 平台软件</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本软件基于区块链技术开发食品溯源平台以及面向不同对象 </w:t>
            </w:r>
            <w:r>
              <w:rPr>
                <w:rFonts w:ascii="宋体" w:hAnsi="宋体" w:cs="宋体" w:eastAsia="宋体" w:hint="default"/>
                <w:spacing w:val="-3"/>
                <w:sz w:val="18"/>
                <w:szCs w:val="18"/>
              </w:rPr>
              <w:t>的客户端应用，可实现食品从生产到消费使用全过程的溯源查</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证、过程追踪、动态监测、风险预警和应急处理等多方位的管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理服务</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已上线</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4" w:right="2"/>
              <w:jc w:val="left"/>
              <w:rPr>
                <w:rFonts w:ascii="宋体" w:hAnsi="宋体" w:cs="宋体" w:eastAsia="宋体" w:hint="default"/>
                <w:sz w:val="18"/>
                <w:szCs w:val="18"/>
              </w:rPr>
            </w:pPr>
            <w:r>
              <w:rPr>
                <w:rFonts w:ascii="宋体" w:hAnsi="宋体" w:cs="宋体" w:eastAsia="宋体" w:hint="default"/>
                <w:spacing w:val="10"/>
                <w:sz w:val="18"/>
                <w:szCs w:val="18"/>
              </w:rPr>
              <w:t>提升公司在追溯领域的市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场竞争力</w:t>
            </w:r>
          </w:p>
        </w:tc>
      </w:tr>
      <w:tr>
        <w:trPr>
          <w:trHeight w:val="1284"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4" w:right="0"/>
              <w:jc w:val="center"/>
              <w:rPr>
                <w:rFonts w:ascii="Times New Roman" w:hAnsi="Times New Roman" w:cs="Times New Roman" w:eastAsia="Times New Roman" w:hint="default"/>
                <w:sz w:val="18"/>
                <w:szCs w:val="18"/>
              </w:rPr>
            </w:pPr>
            <w:r>
              <w:rPr>
                <w:rFonts w:ascii="Times New Roman"/>
                <w:sz w:val="18"/>
              </w:rPr>
              <w:t>20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2"/>
              <w:ind w:left="448" w:right="89" w:hanging="360"/>
              <w:jc w:val="left"/>
              <w:rPr>
                <w:rFonts w:ascii="宋体" w:hAnsi="宋体" w:cs="宋体" w:eastAsia="宋体" w:hint="default"/>
                <w:sz w:val="18"/>
                <w:szCs w:val="18"/>
              </w:rPr>
            </w:pPr>
            <w:r>
              <w:rPr>
                <w:rFonts w:ascii="宋体" w:hAnsi="宋体" w:cs="宋体" w:eastAsia="宋体" w:hint="default"/>
                <w:sz w:val="18"/>
                <w:szCs w:val="18"/>
              </w:rPr>
              <w:t>移动设备管理 平台</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
              <w:jc w:val="left"/>
              <w:rPr>
                <w:rFonts w:ascii="宋体" w:hAnsi="宋体" w:cs="宋体" w:eastAsia="宋体" w:hint="default"/>
                <w:sz w:val="18"/>
                <w:szCs w:val="18"/>
              </w:rPr>
            </w:pPr>
            <w:r>
              <w:rPr>
                <w:rFonts w:ascii="宋体" w:hAnsi="宋体" w:cs="宋体" w:eastAsia="宋体" w:hint="default"/>
                <w:spacing w:val="-3"/>
                <w:sz w:val="18"/>
                <w:szCs w:val="18"/>
              </w:rPr>
              <w:t>本软件提供了一个全面、高效的平台，实现设备严格监控，可</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6"/>
                <w:sz w:val="18"/>
                <w:szCs w:val="18"/>
              </w:rPr>
              <w:t>视化设备位置、状态和应用情况，并结合应用分发、配置管理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文档管理以及设备管控等功能，在设备从出厂、激活、使用 回收等各个生命周期阶段，为设备提供一套完善的管控系统</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196" w:lineRule="exact"/>
              <w:ind w:left="4" w:right="0"/>
              <w:jc w:val="left"/>
              <w:rPr>
                <w:rFonts w:ascii="宋体" w:hAnsi="宋体" w:cs="宋体" w:eastAsia="宋体" w:hint="default"/>
                <w:sz w:val="18"/>
                <w:szCs w:val="18"/>
              </w:rPr>
            </w:pPr>
            <w:r>
              <w:rPr>
                <w:rFonts w:ascii="宋体" w:hAnsi="宋体" w:cs="宋体" w:eastAsia="宋体" w:hint="default"/>
                <w:spacing w:val="13"/>
                <w:sz w:val="18"/>
                <w:szCs w:val="18"/>
              </w:rPr>
              <w:t>已上线，</w:t>
            </w:r>
            <w:r>
              <w:rPr>
                <w:rFonts w:ascii="宋体" w:hAnsi="宋体" w:cs="宋体" w:eastAsia="宋体" w:hint="default"/>
                <w:spacing w:val="-72"/>
                <w:sz w:val="18"/>
                <w:szCs w:val="18"/>
              </w:rPr>
              <w:t> </w:t>
            </w:r>
            <w:r>
              <w:rPr>
                <w:rFonts w:ascii="宋体" w:hAnsi="宋体" w:cs="宋体" w:eastAsia="宋体" w:hint="default"/>
                <w:sz w:val="18"/>
                <w:szCs w:val="18"/>
              </w:rPr>
              <w:t>已</w:t>
            </w:r>
          </w:p>
          <w:p>
            <w:pPr>
              <w:pStyle w:val="TableParagraph"/>
              <w:spacing w:line="156" w:lineRule="exact"/>
              <w:ind w:left="-10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56" w:lineRule="exact"/>
              <w:ind w:left="4" w:right="0"/>
              <w:jc w:val="left"/>
              <w:rPr>
                <w:rFonts w:ascii="宋体" w:hAnsi="宋体" w:cs="宋体" w:eastAsia="宋体" w:hint="default"/>
                <w:sz w:val="18"/>
                <w:szCs w:val="18"/>
              </w:rPr>
            </w:pPr>
            <w:r>
              <w:rPr>
                <w:rFonts w:ascii="宋体" w:hAnsi="宋体" w:cs="宋体" w:eastAsia="宋体" w:hint="default"/>
                <w:spacing w:val="14"/>
                <w:sz w:val="18"/>
                <w:szCs w:val="18"/>
              </w:rPr>
              <w:t>申请软件著</w:t>
            </w:r>
          </w:p>
          <w:p>
            <w:pPr>
              <w:pStyle w:val="TableParagraph"/>
              <w:spacing w:line="156" w:lineRule="exact"/>
              <w:ind w:left="-13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4" w:right="0"/>
              <w:jc w:val="left"/>
              <w:rPr>
                <w:rFonts w:ascii="宋体" w:hAnsi="宋体" w:cs="宋体" w:eastAsia="宋体" w:hint="default"/>
                <w:sz w:val="18"/>
                <w:szCs w:val="18"/>
              </w:rPr>
            </w:pPr>
            <w:r>
              <w:rPr>
                <w:rFonts w:ascii="宋体" w:hAnsi="宋体" w:cs="宋体" w:eastAsia="宋体" w:hint="default"/>
                <w:sz w:val="18"/>
                <w:szCs w:val="18"/>
              </w:rPr>
              <w:t>作权</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2"/>
              <w:ind w:left="4" w:right="2"/>
              <w:jc w:val="left"/>
              <w:rPr>
                <w:rFonts w:ascii="宋体" w:hAnsi="宋体" w:cs="宋体" w:eastAsia="宋体" w:hint="default"/>
                <w:sz w:val="18"/>
                <w:szCs w:val="18"/>
              </w:rPr>
            </w:pPr>
            <w:r>
              <w:rPr>
                <w:rFonts w:ascii="宋体" w:hAnsi="宋体" w:cs="宋体" w:eastAsia="宋体" w:hint="default"/>
                <w:spacing w:val="10"/>
                <w:sz w:val="18"/>
                <w:szCs w:val="18"/>
              </w:rPr>
              <w:t>提升公司在行业移动智能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应用领域的市场竞争力</w:t>
            </w:r>
          </w:p>
        </w:tc>
      </w:tr>
      <w:tr>
        <w:trPr>
          <w:trHeight w:val="658"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21</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48" w:right="89" w:hanging="360"/>
              <w:jc w:val="left"/>
              <w:rPr>
                <w:rFonts w:ascii="宋体" w:hAnsi="宋体" w:cs="宋体" w:eastAsia="宋体" w:hint="default"/>
                <w:sz w:val="18"/>
                <w:szCs w:val="18"/>
              </w:rPr>
            </w:pPr>
            <w:r>
              <w:rPr>
                <w:rFonts w:ascii="宋体" w:hAnsi="宋体" w:cs="宋体" w:eastAsia="宋体" w:hint="default"/>
                <w:sz w:val="18"/>
                <w:szCs w:val="18"/>
              </w:rPr>
              <w:t>智能仓储管理 系统</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0"/>
              <w:jc w:val="left"/>
              <w:rPr>
                <w:rFonts w:ascii="宋体" w:hAnsi="宋体" w:cs="宋体" w:eastAsia="宋体" w:hint="default"/>
                <w:sz w:val="18"/>
                <w:szCs w:val="18"/>
              </w:rPr>
            </w:pPr>
            <w:r>
              <w:rPr>
                <w:rFonts w:ascii="宋体" w:hAnsi="宋体" w:cs="宋体" w:eastAsia="宋体" w:hint="default"/>
                <w:spacing w:val="-3"/>
                <w:sz w:val="18"/>
                <w:szCs w:val="18"/>
              </w:rPr>
              <w:t>本软件结合</w:t>
            </w:r>
            <w:r>
              <w:rPr>
                <w:rFonts w:ascii="Times New Roman" w:hAnsi="Times New Roman" w:cs="Times New Roman" w:eastAsia="Times New Roman" w:hint="default"/>
                <w:spacing w:val="-3"/>
                <w:sz w:val="18"/>
                <w:szCs w:val="18"/>
              </w:rPr>
              <w:t>RGV</w:t>
            </w:r>
            <w:r>
              <w:rPr>
                <w:rFonts w:ascii="宋体" w:hAnsi="宋体" w:cs="宋体" w:eastAsia="宋体" w:hint="default"/>
                <w:spacing w:val="-3"/>
                <w:sz w:val="18"/>
                <w:szCs w:val="18"/>
              </w:rPr>
              <w:t>设备、智能机器人、自动化恒温恒湿柜、移动</w:t>
            </w:r>
            <w:r>
              <w:rPr>
                <w:rFonts w:ascii="宋体" w:hAnsi="宋体" w:cs="宋体" w:eastAsia="宋体" w:hint="default"/>
                <w:sz w:val="18"/>
                <w:szCs w:val="18"/>
              </w:rPr>
              <w:t> </w:t>
            </w:r>
            <w:r>
              <w:rPr>
                <w:rFonts w:ascii="宋体" w:hAnsi="宋体" w:cs="宋体" w:eastAsia="宋体" w:hint="default"/>
                <w:spacing w:val="-3"/>
                <w:sz w:val="18"/>
                <w:szCs w:val="18"/>
              </w:rPr>
              <w:t>设备等智能硬件，实现仓库物资物联网化管理。系统实现了物</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pacing w:val="13"/>
                <w:sz w:val="18"/>
                <w:szCs w:val="18"/>
              </w:rPr>
              <w:t>已上线，</w:t>
            </w:r>
            <w:r>
              <w:rPr>
                <w:rFonts w:ascii="宋体" w:hAnsi="宋体" w:cs="宋体" w:eastAsia="宋体" w:hint="default"/>
                <w:spacing w:val="-74"/>
                <w:sz w:val="18"/>
                <w:szCs w:val="18"/>
              </w:rPr>
              <w:t> </w:t>
            </w:r>
            <w:r>
              <w:rPr>
                <w:rFonts w:ascii="宋体" w:hAnsi="宋体" w:cs="宋体" w:eastAsia="宋体" w:hint="default"/>
                <w:sz w:val="18"/>
                <w:szCs w:val="18"/>
              </w:rPr>
              <w:t>已</w:t>
            </w:r>
            <w:r>
              <w:rPr>
                <w:rFonts w:ascii="宋体" w:hAnsi="宋体" w:cs="宋体" w:eastAsia="宋体" w:hint="default"/>
                <w:sz w:val="18"/>
                <w:szCs w:val="18"/>
              </w:rPr>
              <w:t> </w:t>
            </w:r>
            <w:r>
              <w:rPr>
                <w:rFonts w:ascii="宋体" w:hAnsi="宋体" w:cs="宋体" w:eastAsia="宋体" w:hint="default"/>
                <w:spacing w:val="14"/>
                <w:sz w:val="18"/>
                <w:szCs w:val="18"/>
              </w:rPr>
              <w:t>申请软件著</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2"/>
              <w:jc w:val="left"/>
              <w:rPr>
                <w:rFonts w:ascii="宋体" w:hAnsi="宋体" w:cs="宋体" w:eastAsia="宋体" w:hint="default"/>
                <w:sz w:val="18"/>
                <w:szCs w:val="18"/>
              </w:rPr>
            </w:pPr>
            <w:r>
              <w:rPr>
                <w:rFonts w:ascii="宋体" w:hAnsi="宋体" w:cs="宋体" w:eastAsia="宋体" w:hint="default"/>
                <w:spacing w:val="10"/>
                <w:sz w:val="18"/>
                <w:szCs w:val="18"/>
              </w:rPr>
              <w:t>提升公司在仓储自动化行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业市场竞争力</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428"/>
        <w:gridCol w:w="1274"/>
        <w:gridCol w:w="4820"/>
        <w:gridCol w:w="991"/>
        <w:gridCol w:w="2127"/>
      </w:tblGrid>
      <w:tr>
        <w:trPr>
          <w:trHeight w:val="972" w:hRule="exact"/>
        </w:trPr>
        <w:tc>
          <w:tcPr>
            <w:tcW w:w="428"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2" w:right="1"/>
              <w:jc w:val="both"/>
              <w:rPr>
                <w:rFonts w:ascii="宋体" w:hAnsi="宋体" w:cs="宋体" w:eastAsia="宋体" w:hint="default"/>
                <w:sz w:val="18"/>
                <w:szCs w:val="18"/>
              </w:rPr>
            </w:pPr>
            <w:r>
              <w:rPr>
                <w:rFonts w:ascii="宋体" w:hAnsi="宋体" w:cs="宋体" w:eastAsia="宋体" w:hint="default"/>
                <w:spacing w:val="-3"/>
                <w:sz w:val="18"/>
                <w:szCs w:val="18"/>
              </w:rPr>
              <w:t>品在仓库内的可视化、流程化管理。可提升仓库的货物进出效</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率、有效节省人力成本，做到无纸化、极少量人员的仓储物资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管理和控制</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作权</w:t>
            </w: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1594"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316" w:lineRule="auto"/>
              <w:ind w:left="539" w:right="89" w:hanging="452"/>
              <w:jc w:val="left"/>
              <w:rPr>
                <w:rFonts w:ascii="宋体" w:hAnsi="宋体" w:cs="宋体" w:eastAsia="宋体" w:hint="default"/>
                <w:sz w:val="18"/>
                <w:szCs w:val="18"/>
              </w:rPr>
            </w:pPr>
            <w:r>
              <w:rPr>
                <w:rFonts w:ascii="宋体" w:hAnsi="宋体" w:cs="宋体" w:eastAsia="宋体" w:hint="default"/>
                <w:sz w:val="18"/>
                <w:szCs w:val="18"/>
              </w:rPr>
              <w:t>优之家软件平 台</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0"/>
              <w:jc w:val="both"/>
              <w:rPr>
                <w:rFonts w:ascii="宋体" w:hAnsi="宋体" w:cs="宋体" w:eastAsia="宋体" w:hint="default"/>
                <w:sz w:val="18"/>
                <w:szCs w:val="18"/>
              </w:rPr>
            </w:pPr>
            <w:r>
              <w:rPr>
                <w:rFonts w:ascii="宋体" w:hAnsi="宋体" w:cs="宋体" w:eastAsia="宋体" w:hint="default"/>
                <w:spacing w:val="-3"/>
                <w:sz w:val="18"/>
                <w:szCs w:val="18"/>
              </w:rPr>
              <w:t>本平台分为以下四大功能模块：①合作平台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为代理商管理设</w:t>
            </w:r>
            <w:r>
              <w:rPr>
                <w:rFonts w:ascii="宋体" w:hAnsi="宋体" w:cs="宋体" w:eastAsia="宋体" w:hint="default"/>
                <w:spacing w:val="-69"/>
                <w:sz w:val="18"/>
                <w:szCs w:val="18"/>
              </w:rPr>
              <w:t> </w:t>
            </w:r>
            <w:r>
              <w:rPr>
                <w:rFonts w:ascii="宋体" w:hAnsi="宋体" w:cs="宋体" w:eastAsia="宋体" w:hint="default"/>
                <w:spacing w:val="-2"/>
                <w:sz w:val="18"/>
                <w:szCs w:val="18"/>
              </w:rPr>
              <w:t>备及管理商户；②</w:t>
            </w:r>
            <w:r>
              <w:rPr>
                <w:rFonts w:ascii="Times New Roman" w:hAnsi="Times New Roman" w:cs="Times New Roman" w:eastAsia="Times New Roman" w:hint="default"/>
                <w:spacing w:val="-2"/>
                <w:sz w:val="18"/>
                <w:szCs w:val="18"/>
              </w:rPr>
              <w:t>U-Setting</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快速设置同步工具；③系统特色</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设置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设备特殊功能管理工具；④云对讲</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实现设备之间对讲</w:t>
            </w:r>
            <w:r>
              <w:rPr>
                <w:rFonts w:ascii="宋体" w:hAnsi="宋体" w:cs="宋体" w:eastAsia="宋体" w:hint="default"/>
                <w:spacing w:val="-69"/>
                <w:sz w:val="18"/>
                <w:szCs w:val="18"/>
              </w:rPr>
              <w:t> </w:t>
            </w:r>
            <w:r>
              <w:rPr>
                <w:rFonts w:ascii="宋体" w:hAnsi="宋体" w:cs="宋体" w:eastAsia="宋体" w:hint="default"/>
                <w:sz w:val="18"/>
                <w:szCs w:val="18"/>
              </w:rPr>
              <w:t>功能</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both"/>
              <w:rPr>
                <w:rFonts w:ascii="宋体" w:hAnsi="宋体" w:cs="宋体" w:eastAsia="宋体" w:hint="default"/>
                <w:sz w:val="18"/>
                <w:szCs w:val="18"/>
              </w:rPr>
            </w:pPr>
            <w:r>
              <w:rPr>
                <w:rFonts w:ascii="宋体" w:hAnsi="宋体" w:cs="宋体" w:eastAsia="宋体" w:hint="default"/>
                <w:spacing w:val="9"/>
                <w:sz w:val="18"/>
                <w:szCs w:val="18"/>
              </w:rPr>
              <w:t>一、</w:t>
            </w:r>
            <w:r>
              <w:rPr>
                <w:rFonts w:ascii="宋体" w:hAnsi="宋体" w:cs="宋体" w:eastAsia="宋体" w:hint="default"/>
                <w:spacing w:val="-70"/>
                <w:sz w:val="18"/>
                <w:szCs w:val="18"/>
              </w:rPr>
              <w:t> </w:t>
            </w:r>
            <w:r>
              <w:rPr>
                <w:rFonts w:ascii="宋体" w:hAnsi="宋体" w:cs="宋体" w:eastAsia="宋体" w:hint="default"/>
                <w:spacing w:val="10"/>
                <w:sz w:val="18"/>
                <w:szCs w:val="18"/>
              </w:rPr>
              <w:t>二期已</w:t>
            </w:r>
            <w:r>
              <w:rPr>
                <w:rFonts w:ascii="宋体" w:hAnsi="宋体" w:cs="宋体" w:eastAsia="宋体" w:hint="default"/>
                <w:sz w:val="18"/>
                <w:szCs w:val="18"/>
              </w:rPr>
              <w:t> </w:t>
            </w:r>
            <w:r>
              <w:rPr>
                <w:rFonts w:ascii="宋体" w:hAnsi="宋体" w:cs="宋体" w:eastAsia="宋体" w:hint="default"/>
                <w:spacing w:val="12"/>
                <w:sz w:val="18"/>
                <w:szCs w:val="18"/>
              </w:rPr>
              <w:t>上线，</w:t>
            </w:r>
            <w:r>
              <w:rPr>
                <w:rFonts w:ascii="宋体" w:hAnsi="宋体" w:cs="宋体" w:eastAsia="宋体" w:hint="default"/>
                <w:spacing w:val="-74"/>
                <w:sz w:val="18"/>
                <w:szCs w:val="18"/>
              </w:rPr>
              <w:t> </w:t>
            </w:r>
            <w:r>
              <w:rPr>
                <w:rFonts w:ascii="宋体" w:hAnsi="宋体" w:cs="宋体" w:eastAsia="宋体" w:hint="default"/>
                <w:spacing w:val="8"/>
                <w:sz w:val="18"/>
                <w:szCs w:val="18"/>
              </w:rPr>
              <w:t>已申</w:t>
            </w:r>
            <w:r>
              <w:rPr>
                <w:rFonts w:ascii="宋体" w:hAnsi="宋体" w:cs="宋体" w:eastAsia="宋体" w:hint="default"/>
                <w:sz w:val="18"/>
                <w:szCs w:val="18"/>
              </w:rPr>
              <w:t> </w:t>
            </w:r>
            <w:r>
              <w:rPr>
                <w:rFonts w:ascii="宋体" w:hAnsi="宋体" w:cs="宋体" w:eastAsia="宋体" w:hint="default"/>
                <w:spacing w:val="14"/>
                <w:sz w:val="18"/>
                <w:szCs w:val="18"/>
              </w:rPr>
              <w:t>请软件著作</w:t>
            </w:r>
            <w:r>
              <w:rPr>
                <w:rFonts w:ascii="宋体" w:hAnsi="宋体" w:cs="宋体" w:eastAsia="宋体" w:hint="default"/>
                <w:sz w:val="18"/>
                <w:szCs w:val="18"/>
              </w:rPr>
              <w:t> </w:t>
            </w:r>
            <w:r>
              <w:rPr>
                <w:rFonts w:ascii="宋体" w:hAnsi="宋体" w:cs="宋体" w:eastAsia="宋体" w:hint="default"/>
                <w:spacing w:val="9"/>
                <w:sz w:val="18"/>
                <w:szCs w:val="18"/>
              </w:rPr>
              <w:t>权；</w:t>
            </w:r>
            <w:r>
              <w:rPr>
                <w:rFonts w:ascii="宋体" w:hAnsi="宋体" w:cs="宋体" w:eastAsia="宋体" w:hint="default"/>
                <w:spacing w:val="-70"/>
                <w:sz w:val="18"/>
                <w:szCs w:val="18"/>
              </w:rPr>
              <w:t> </w:t>
            </w:r>
            <w:r>
              <w:rPr>
                <w:rFonts w:ascii="宋体" w:hAnsi="宋体" w:cs="宋体" w:eastAsia="宋体" w:hint="default"/>
                <w:spacing w:val="10"/>
                <w:sz w:val="18"/>
                <w:szCs w:val="18"/>
              </w:rPr>
              <w:t>三期研</w:t>
            </w:r>
            <w:r>
              <w:rPr>
                <w:rFonts w:ascii="宋体" w:hAnsi="宋体" w:cs="宋体" w:eastAsia="宋体" w:hint="default"/>
                <w:sz w:val="18"/>
                <w:szCs w:val="18"/>
              </w:rPr>
              <w:t> 发阶段</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316" w:lineRule="auto"/>
              <w:ind w:left="4" w:right="2"/>
              <w:jc w:val="left"/>
              <w:rPr>
                <w:rFonts w:ascii="宋体" w:hAnsi="宋体" w:cs="宋体" w:eastAsia="宋体" w:hint="default"/>
                <w:sz w:val="18"/>
                <w:szCs w:val="18"/>
              </w:rPr>
            </w:pPr>
            <w:r>
              <w:rPr>
                <w:rFonts w:ascii="宋体" w:hAnsi="宋体" w:cs="宋体" w:eastAsia="宋体" w:hint="default"/>
                <w:spacing w:val="10"/>
                <w:sz w:val="18"/>
                <w:szCs w:val="18"/>
              </w:rPr>
              <w:t>提升公司在行业移动智能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应用领域的市场竞争力</w:t>
            </w:r>
          </w:p>
        </w:tc>
      </w:tr>
      <w:tr>
        <w:trPr>
          <w:trHeight w:val="1597"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316" w:lineRule="auto"/>
              <w:ind w:left="180" w:right="89" w:hanging="92"/>
              <w:jc w:val="left"/>
              <w:rPr>
                <w:rFonts w:ascii="宋体" w:hAnsi="宋体" w:cs="宋体" w:eastAsia="宋体" w:hint="default"/>
                <w:sz w:val="18"/>
                <w:szCs w:val="18"/>
              </w:rPr>
            </w:pPr>
            <w:r>
              <w:rPr>
                <w:rFonts w:ascii="宋体" w:hAnsi="宋体" w:cs="宋体" w:eastAsia="宋体" w:hint="default"/>
                <w:sz w:val="18"/>
                <w:szCs w:val="18"/>
              </w:rPr>
              <w:t>宝贝王智慧门 店管理系统</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本系统是提供给新零售行业的一套线上线下的智慧门店解决 </w:t>
            </w:r>
            <w:r>
              <w:rPr>
                <w:rFonts w:ascii="宋体" w:hAnsi="宋体" w:cs="宋体" w:eastAsia="宋体" w:hint="default"/>
                <w:spacing w:val="-3"/>
                <w:sz w:val="18"/>
                <w:szCs w:val="18"/>
              </w:rPr>
              <w:t>方案。结合人脸相机等设备采集人脸，录入会员等，同步线上</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智慧管理，分析；帮助门店分析客户行为，促进门店销售；系</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统包括客流统计、热力图、客流动线分析、门店管理、会员管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理、广告管理、经营报告等功能</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4" w:right="0"/>
              <w:jc w:val="both"/>
              <w:rPr>
                <w:rFonts w:ascii="宋体" w:hAnsi="宋体" w:cs="宋体" w:eastAsia="宋体" w:hint="default"/>
                <w:sz w:val="18"/>
                <w:szCs w:val="18"/>
              </w:rPr>
            </w:pPr>
            <w:r>
              <w:rPr>
                <w:rFonts w:ascii="宋体" w:hAnsi="宋体" w:cs="宋体" w:eastAsia="宋体" w:hint="default"/>
                <w:spacing w:val="13"/>
                <w:sz w:val="18"/>
                <w:szCs w:val="18"/>
              </w:rPr>
              <w:t>已上线，</w:t>
            </w:r>
            <w:r>
              <w:rPr>
                <w:rFonts w:ascii="宋体" w:hAnsi="宋体" w:cs="宋体" w:eastAsia="宋体" w:hint="default"/>
                <w:spacing w:val="-74"/>
                <w:sz w:val="18"/>
                <w:szCs w:val="18"/>
              </w:rPr>
              <w:t> </w:t>
            </w:r>
            <w:r>
              <w:rPr>
                <w:rFonts w:ascii="宋体" w:hAnsi="宋体" w:cs="宋体" w:eastAsia="宋体" w:hint="default"/>
                <w:sz w:val="18"/>
                <w:szCs w:val="18"/>
              </w:rPr>
              <w:t>已</w:t>
            </w:r>
            <w:r>
              <w:rPr>
                <w:rFonts w:ascii="宋体" w:hAnsi="宋体" w:cs="宋体" w:eastAsia="宋体" w:hint="default"/>
                <w:sz w:val="18"/>
                <w:szCs w:val="18"/>
              </w:rPr>
              <w:t> </w:t>
            </w:r>
            <w:r>
              <w:rPr>
                <w:rFonts w:ascii="宋体" w:hAnsi="宋体" w:cs="宋体" w:eastAsia="宋体" w:hint="default"/>
                <w:spacing w:val="14"/>
                <w:sz w:val="18"/>
                <w:szCs w:val="18"/>
              </w:rPr>
              <w:t>申请软件著</w:t>
            </w:r>
            <w:r>
              <w:rPr>
                <w:rFonts w:ascii="宋体" w:hAnsi="宋体" w:cs="宋体" w:eastAsia="宋体" w:hint="default"/>
                <w:sz w:val="18"/>
                <w:szCs w:val="18"/>
              </w:rPr>
              <w:t> 作权</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316" w:lineRule="auto"/>
              <w:ind w:left="4" w:right="1"/>
              <w:jc w:val="left"/>
              <w:rPr>
                <w:rFonts w:ascii="宋体" w:hAnsi="宋体" w:cs="宋体" w:eastAsia="宋体" w:hint="default"/>
                <w:sz w:val="18"/>
                <w:szCs w:val="18"/>
              </w:rPr>
            </w:pPr>
            <w:r>
              <w:rPr>
                <w:rFonts w:ascii="宋体" w:hAnsi="宋体" w:cs="宋体" w:eastAsia="宋体" w:hint="default"/>
                <w:spacing w:val="-5"/>
                <w:sz w:val="18"/>
                <w:szCs w:val="18"/>
              </w:rPr>
              <w:t>提升公司在零售、人工智能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领域的市场竞争力</w:t>
            </w:r>
          </w:p>
        </w:tc>
      </w:tr>
      <w:tr>
        <w:trPr>
          <w:trHeight w:val="1594"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316" w:lineRule="auto"/>
              <w:ind w:left="448" w:right="89" w:hanging="360"/>
              <w:jc w:val="left"/>
              <w:rPr>
                <w:rFonts w:ascii="宋体" w:hAnsi="宋体" w:cs="宋体" w:eastAsia="宋体" w:hint="default"/>
                <w:sz w:val="18"/>
                <w:szCs w:val="18"/>
              </w:rPr>
            </w:pPr>
            <w:r>
              <w:rPr>
                <w:rFonts w:ascii="宋体" w:hAnsi="宋体" w:cs="宋体" w:eastAsia="宋体" w:hint="default"/>
                <w:sz w:val="18"/>
                <w:szCs w:val="18"/>
              </w:rPr>
              <w:t>工业手机管理 系统</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本系统是为了统一管控分散在全国各地的移动设备，及时把控</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设备在使用过程中遇到的问题，第一时间了解设备的使用情 </w:t>
            </w:r>
            <w:r>
              <w:rPr>
                <w:rFonts w:ascii="宋体" w:hAnsi="宋体" w:cs="宋体" w:eastAsia="宋体" w:hint="default"/>
                <w:spacing w:val="-3"/>
                <w:sz w:val="18"/>
                <w:szCs w:val="18"/>
              </w:rPr>
              <w:t>况，快速精准的捕获设备端的敏感信息，从而更好的结合数据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分析为移动设备的业务使用提升效率；项目架构：基于</w:t>
            </w:r>
            <w:r>
              <w:rPr>
                <w:rFonts w:ascii="Times New Roman" w:hAnsi="Times New Roman" w:cs="Times New Roman" w:eastAsia="Times New Roman" w:hint="default"/>
                <w:sz w:val="18"/>
                <w:szCs w:val="18"/>
              </w:rPr>
              <w:t>B/S</w:t>
            </w:r>
            <w:r>
              <w:rPr>
                <w:rFonts w:ascii="宋体" w:hAnsi="宋体" w:cs="宋体" w:eastAsia="宋体" w:hint="default"/>
                <w:sz w:val="18"/>
                <w:szCs w:val="18"/>
              </w:rPr>
              <w:t>模 式的</w:t>
            </w:r>
            <w:r>
              <w:rPr>
                <w:rFonts w:ascii="Times New Roman" w:hAnsi="Times New Roman" w:cs="Times New Roman" w:eastAsia="Times New Roman" w:hint="default"/>
                <w:sz w:val="18"/>
                <w:szCs w:val="18"/>
              </w:rPr>
              <w:t>PC</w:t>
            </w:r>
            <w:r>
              <w:rPr>
                <w:rFonts w:ascii="宋体" w:hAnsi="宋体" w:cs="宋体" w:eastAsia="宋体" w:hint="default"/>
                <w:sz w:val="18"/>
                <w:szCs w:val="18"/>
              </w:rPr>
              <w:t>端管理程序</w:t>
            </w:r>
            <w:r>
              <w:rPr>
                <w:rFonts w:ascii="Times New Roman" w:hAnsi="Times New Roman" w:cs="Times New Roman" w:eastAsia="Times New Roman" w:hint="default"/>
                <w:sz w:val="18"/>
                <w:szCs w:val="18"/>
              </w:rPr>
              <w:t>+</w:t>
            </w:r>
            <w:r>
              <w:rPr>
                <w:rFonts w:ascii="宋体" w:hAnsi="宋体" w:cs="宋体" w:eastAsia="宋体" w:hint="default"/>
                <w:sz w:val="18"/>
                <w:szCs w:val="18"/>
              </w:rPr>
              <w:t>手机端</w:t>
            </w:r>
            <w:r>
              <w:rPr>
                <w:rFonts w:ascii="Times New Roman" w:hAnsi="Times New Roman" w:cs="Times New Roman" w:eastAsia="Times New Roman" w:hint="default"/>
                <w:sz w:val="18"/>
                <w:szCs w:val="18"/>
              </w:rPr>
              <w:t>APP</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2"/>
              <w:ind w:left="4" w:right="0"/>
              <w:jc w:val="both"/>
              <w:rPr>
                <w:rFonts w:ascii="宋体" w:hAnsi="宋体" w:cs="宋体" w:eastAsia="宋体" w:hint="default"/>
                <w:sz w:val="18"/>
                <w:szCs w:val="18"/>
              </w:rPr>
            </w:pPr>
            <w:r>
              <w:rPr>
                <w:rFonts w:ascii="宋体" w:hAnsi="宋体" w:cs="宋体" w:eastAsia="宋体" w:hint="default"/>
                <w:spacing w:val="13"/>
                <w:sz w:val="18"/>
                <w:szCs w:val="18"/>
              </w:rPr>
              <w:t>已上线，</w:t>
            </w:r>
            <w:r>
              <w:rPr>
                <w:rFonts w:ascii="宋体" w:hAnsi="宋体" w:cs="宋体" w:eastAsia="宋体" w:hint="default"/>
                <w:spacing w:val="-74"/>
                <w:sz w:val="18"/>
                <w:szCs w:val="18"/>
              </w:rPr>
              <w:t> </w:t>
            </w:r>
            <w:r>
              <w:rPr>
                <w:rFonts w:ascii="宋体" w:hAnsi="宋体" w:cs="宋体" w:eastAsia="宋体" w:hint="default"/>
                <w:sz w:val="18"/>
                <w:szCs w:val="18"/>
              </w:rPr>
              <w:t>已</w:t>
            </w:r>
            <w:r>
              <w:rPr>
                <w:rFonts w:ascii="宋体" w:hAnsi="宋体" w:cs="宋体" w:eastAsia="宋体" w:hint="default"/>
                <w:sz w:val="18"/>
                <w:szCs w:val="18"/>
              </w:rPr>
              <w:t> </w:t>
            </w:r>
            <w:r>
              <w:rPr>
                <w:rFonts w:ascii="宋体" w:hAnsi="宋体" w:cs="宋体" w:eastAsia="宋体" w:hint="default"/>
                <w:spacing w:val="14"/>
                <w:sz w:val="18"/>
                <w:szCs w:val="18"/>
              </w:rPr>
              <w:t>申请软件著</w:t>
            </w:r>
            <w:r>
              <w:rPr>
                <w:rFonts w:ascii="宋体" w:hAnsi="宋体" w:cs="宋体" w:eastAsia="宋体" w:hint="default"/>
                <w:sz w:val="18"/>
                <w:szCs w:val="18"/>
              </w:rPr>
              <w:t> 作权</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316" w:lineRule="auto"/>
              <w:ind w:left="4" w:right="2"/>
              <w:jc w:val="left"/>
              <w:rPr>
                <w:rFonts w:ascii="宋体" w:hAnsi="宋体" w:cs="宋体" w:eastAsia="宋体" w:hint="default"/>
                <w:sz w:val="18"/>
                <w:szCs w:val="18"/>
              </w:rPr>
            </w:pPr>
            <w:r>
              <w:rPr>
                <w:rFonts w:ascii="宋体" w:hAnsi="宋体" w:cs="宋体" w:eastAsia="宋体" w:hint="default"/>
                <w:spacing w:val="10"/>
                <w:sz w:val="18"/>
                <w:szCs w:val="18"/>
              </w:rPr>
              <w:t>提升公司在快递物流行业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的影响力和竞争力</w:t>
            </w:r>
          </w:p>
        </w:tc>
      </w:tr>
      <w:tr>
        <w:trPr>
          <w:trHeight w:val="972"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88" w:right="89"/>
              <w:jc w:val="center"/>
              <w:rPr>
                <w:rFonts w:ascii="宋体" w:hAnsi="宋体" w:cs="宋体" w:eastAsia="宋体" w:hint="default"/>
                <w:sz w:val="18"/>
                <w:szCs w:val="18"/>
              </w:rPr>
            </w:pPr>
            <w:r>
              <w:rPr>
                <w:rFonts w:ascii="宋体" w:hAnsi="宋体" w:cs="宋体" w:eastAsia="宋体" w:hint="default"/>
                <w:sz w:val="18"/>
                <w:szCs w:val="18"/>
              </w:rPr>
              <w:t>优金支付聚合 支付收银平台 软件</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2" w:right="0"/>
              <w:jc w:val="both"/>
              <w:rPr>
                <w:rFonts w:ascii="宋体" w:hAnsi="宋体" w:cs="宋体" w:eastAsia="宋体" w:hint="default"/>
                <w:sz w:val="18"/>
                <w:szCs w:val="18"/>
              </w:rPr>
            </w:pPr>
            <w:r>
              <w:rPr>
                <w:rFonts w:ascii="宋体" w:hAnsi="宋体" w:cs="宋体" w:eastAsia="宋体" w:hint="default"/>
                <w:spacing w:val="-3"/>
                <w:sz w:val="18"/>
                <w:szCs w:val="18"/>
              </w:rPr>
              <w:t>本软件是一款集银行卡和微信、支付宝、银联扫码于一体的聚</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合支付平台，可以广泛应用于</w:t>
            </w:r>
            <w:r>
              <w:rPr>
                <w:rFonts w:ascii="Times New Roman" w:hAnsi="Times New Roman" w:cs="Times New Roman" w:eastAsia="Times New Roman" w:hint="default"/>
                <w:spacing w:val="-2"/>
                <w:sz w:val="18"/>
                <w:szCs w:val="18"/>
              </w:rPr>
              <w:t>POS</w:t>
            </w:r>
            <w:r>
              <w:rPr>
                <w:rFonts w:ascii="宋体" w:hAnsi="宋体" w:cs="宋体" w:eastAsia="宋体" w:hint="default"/>
                <w:spacing w:val="-2"/>
                <w:sz w:val="18"/>
                <w:szCs w:val="18"/>
              </w:rPr>
              <w:t>收款服务，使支付交易更加</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便捷和高效</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both"/>
              <w:rPr>
                <w:rFonts w:ascii="宋体" w:hAnsi="宋体" w:cs="宋体" w:eastAsia="宋体" w:hint="default"/>
                <w:sz w:val="18"/>
                <w:szCs w:val="18"/>
              </w:rPr>
            </w:pPr>
            <w:r>
              <w:rPr>
                <w:rFonts w:ascii="宋体" w:hAnsi="宋体" w:cs="宋体" w:eastAsia="宋体" w:hint="default"/>
                <w:spacing w:val="13"/>
                <w:sz w:val="18"/>
                <w:szCs w:val="18"/>
              </w:rPr>
              <w:t>已上线，</w:t>
            </w:r>
            <w:r>
              <w:rPr>
                <w:rFonts w:ascii="宋体" w:hAnsi="宋体" w:cs="宋体" w:eastAsia="宋体" w:hint="default"/>
                <w:spacing w:val="-74"/>
                <w:sz w:val="18"/>
                <w:szCs w:val="18"/>
              </w:rPr>
              <w:t> </w:t>
            </w:r>
            <w:r>
              <w:rPr>
                <w:rFonts w:ascii="宋体" w:hAnsi="宋体" w:cs="宋体" w:eastAsia="宋体" w:hint="default"/>
                <w:sz w:val="18"/>
                <w:szCs w:val="18"/>
              </w:rPr>
              <w:t>已</w:t>
            </w:r>
            <w:r>
              <w:rPr>
                <w:rFonts w:ascii="宋体" w:hAnsi="宋体" w:cs="宋体" w:eastAsia="宋体" w:hint="default"/>
                <w:sz w:val="18"/>
                <w:szCs w:val="18"/>
              </w:rPr>
              <w:t> </w:t>
            </w:r>
            <w:r>
              <w:rPr>
                <w:rFonts w:ascii="宋体" w:hAnsi="宋体" w:cs="宋体" w:eastAsia="宋体" w:hint="default"/>
                <w:spacing w:val="14"/>
                <w:sz w:val="18"/>
                <w:szCs w:val="18"/>
              </w:rPr>
              <w:t>申请软件著</w:t>
            </w:r>
            <w:r>
              <w:rPr>
                <w:rFonts w:ascii="宋体" w:hAnsi="宋体" w:cs="宋体" w:eastAsia="宋体" w:hint="default"/>
                <w:sz w:val="18"/>
                <w:szCs w:val="18"/>
              </w:rPr>
              <w:t> 作权</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00" w:lineRule="auto"/>
              <w:ind w:left="4" w:right="-15"/>
              <w:jc w:val="left"/>
              <w:rPr>
                <w:rFonts w:ascii="宋体" w:hAnsi="宋体" w:cs="宋体" w:eastAsia="宋体" w:hint="default"/>
                <w:sz w:val="18"/>
                <w:szCs w:val="18"/>
              </w:rPr>
            </w:pPr>
            <w:r>
              <w:rPr>
                <w:rFonts w:ascii="宋体" w:hAnsi="宋体" w:cs="宋体" w:eastAsia="宋体" w:hint="default"/>
                <w:spacing w:val="12"/>
                <w:sz w:val="18"/>
                <w:szCs w:val="18"/>
              </w:rPr>
              <w:t>提升公司在</w:t>
            </w:r>
            <w:r>
              <w:rPr>
                <w:rFonts w:ascii="Times New Roman" w:hAnsi="Times New Roman" w:cs="Times New Roman" w:eastAsia="Times New Roman" w:hint="default"/>
                <w:spacing w:val="12"/>
                <w:sz w:val="18"/>
                <w:szCs w:val="18"/>
              </w:rPr>
              <w:t>POS</w:t>
            </w:r>
            <w:r>
              <w:rPr>
                <w:rFonts w:ascii="宋体" w:hAnsi="宋体" w:cs="宋体" w:eastAsia="宋体" w:hint="default"/>
                <w:spacing w:val="12"/>
                <w:sz w:val="18"/>
                <w:szCs w:val="18"/>
              </w:rPr>
              <w:t>支付交易</w:t>
            </w:r>
            <w:r>
              <w:rPr>
                <w:rFonts w:ascii="宋体" w:hAnsi="宋体" w:cs="宋体" w:eastAsia="宋体" w:hint="default"/>
                <w:spacing w:val="-87"/>
                <w:sz w:val="18"/>
                <w:szCs w:val="18"/>
              </w:rPr>
              <w:t> </w:t>
            </w:r>
            <w:r>
              <w:rPr>
                <w:rFonts w:ascii="宋体" w:hAnsi="宋体" w:cs="宋体" w:eastAsia="宋体" w:hint="default"/>
                <w:sz w:val="18"/>
                <w:szCs w:val="18"/>
              </w:rPr>
              <w:t>领域的竞争力</w:t>
            </w:r>
          </w:p>
        </w:tc>
      </w:tr>
      <w:tr>
        <w:trPr>
          <w:trHeight w:val="970"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88" w:right="89"/>
              <w:jc w:val="left"/>
              <w:rPr>
                <w:rFonts w:ascii="宋体" w:hAnsi="宋体" w:cs="宋体" w:eastAsia="宋体" w:hint="default"/>
                <w:sz w:val="18"/>
                <w:szCs w:val="18"/>
              </w:rPr>
            </w:pPr>
            <w:r>
              <w:rPr>
                <w:rFonts w:ascii="宋体" w:hAnsi="宋体" w:cs="宋体" w:eastAsia="宋体" w:hint="default"/>
                <w:sz w:val="18"/>
                <w:szCs w:val="18"/>
              </w:rPr>
              <w:t>微信销售线索 跟踪管理软件</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本软件是通过微信企业号帮助物流快递企业维护现有客户信 </w:t>
            </w:r>
            <w:r>
              <w:rPr>
                <w:rFonts w:ascii="宋体" w:hAnsi="宋体" w:cs="宋体" w:eastAsia="宋体" w:hint="default"/>
                <w:spacing w:val="-3"/>
                <w:sz w:val="18"/>
                <w:szCs w:val="18"/>
              </w:rPr>
              <w:t>息，开拓潜在客户信息；内部员工可在微信企业号平台进行快</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递员与销售之间的线索传递，实现信息互通、信息共享</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4" w:right="0"/>
              <w:jc w:val="both"/>
              <w:rPr>
                <w:rFonts w:ascii="宋体" w:hAnsi="宋体" w:cs="宋体" w:eastAsia="宋体" w:hint="default"/>
                <w:sz w:val="18"/>
                <w:szCs w:val="18"/>
              </w:rPr>
            </w:pPr>
            <w:r>
              <w:rPr>
                <w:rFonts w:ascii="宋体" w:hAnsi="宋体" w:cs="宋体" w:eastAsia="宋体" w:hint="default"/>
                <w:spacing w:val="13"/>
                <w:sz w:val="18"/>
                <w:szCs w:val="18"/>
              </w:rPr>
              <w:t>已上线，</w:t>
            </w:r>
            <w:r>
              <w:rPr>
                <w:rFonts w:ascii="宋体" w:hAnsi="宋体" w:cs="宋体" w:eastAsia="宋体" w:hint="default"/>
                <w:spacing w:val="-74"/>
                <w:sz w:val="18"/>
                <w:szCs w:val="18"/>
              </w:rPr>
              <w:t> </w:t>
            </w:r>
            <w:r>
              <w:rPr>
                <w:rFonts w:ascii="宋体" w:hAnsi="宋体" w:cs="宋体" w:eastAsia="宋体" w:hint="default"/>
                <w:sz w:val="18"/>
                <w:szCs w:val="18"/>
              </w:rPr>
              <w:t>已</w:t>
            </w:r>
            <w:r>
              <w:rPr>
                <w:rFonts w:ascii="宋体" w:hAnsi="宋体" w:cs="宋体" w:eastAsia="宋体" w:hint="default"/>
                <w:sz w:val="18"/>
                <w:szCs w:val="18"/>
              </w:rPr>
              <w:t> </w:t>
            </w:r>
            <w:r>
              <w:rPr>
                <w:rFonts w:ascii="宋体" w:hAnsi="宋体" w:cs="宋体" w:eastAsia="宋体" w:hint="default"/>
                <w:spacing w:val="14"/>
                <w:sz w:val="18"/>
                <w:szCs w:val="18"/>
              </w:rPr>
              <w:t>申请软件著</w:t>
            </w:r>
            <w:r>
              <w:rPr>
                <w:rFonts w:ascii="宋体" w:hAnsi="宋体" w:cs="宋体" w:eastAsia="宋体" w:hint="default"/>
                <w:sz w:val="18"/>
                <w:szCs w:val="18"/>
              </w:rPr>
              <w:t> 作权</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4" w:right="2"/>
              <w:jc w:val="left"/>
              <w:rPr>
                <w:rFonts w:ascii="宋体" w:hAnsi="宋体" w:cs="宋体" w:eastAsia="宋体" w:hint="default"/>
                <w:sz w:val="18"/>
                <w:szCs w:val="18"/>
              </w:rPr>
            </w:pPr>
            <w:r>
              <w:rPr>
                <w:rFonts w:ascii="宋体" w:hAnsi="宋体" w:cs="宋体" w:eastAsia="宋体" w:hint="default"/>
                <w:spacing w:val="10"/>
                <w:sz w:val="18"/>
                <w:szCs w:val="18"/>
              </w:rPr>
              <w:t>提升公司在智能物流领域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的竞争力</w:t>
            </w:r>
          </w:p>
        </w:tc>
      </w:tr>
      <w:tr>
        <w:trPr>
          <w:trHeight w:val="1284"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4" w:right="0"/>
              <w:jc w:val="center"/>
              <w:rPr>
                <w:rFonts w:ascii="Times New Roman" w:hAnsi="Times New Roman" w:cs="Times New Roman" w:eastAsia="Times New Roman" w:hint="default"/>
                <w:sz w:val="18"/>
                <w:szCs w:val="18"/>
              </w:rPr>
            </w:pPr>
            <w:r>
              <w:rPr>
                <w:rFonts w:ascii="Times New Roman"/>
                <w:sz w:val="18"/>
              </w:rPr>
              <w:t>27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268" w:right="89" w:hanging="180"/>
              <w:jc w:val="left"/>
              <w:rPr>
                <w:rFonts w:ascii="宋体" w:hAnsi="宋体" w:cs="宋体" w:eastAsia="宋体" w:hint="default"/>
                <w:sz w:val="18"/>
                <w:szCs w:val="18"/>
              </w:rPr>
            </w:pPr>
            <w:r>
              <w:rPr>
                <w:rFonts w:ascii="宋体" w:hAnsi="宋体" w:cs="宋体" w:eastAsia="宋体" w:hint="default"/>
                <w:sz w:val="18"/>
                <w:szCs w:val="18"/>
              </w:rPr>
              <w:t>微信物流客户 评价软件</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
              <w:jc w:val="both"/>
              <w:rPr>
                <w:rFonts w:ascii="宋体" w:hAnsi="宋体" w:cs="宋体" w:eastAsia="宋体" w:hint="default"/>
                <w:sz w:val="18"/>
                <w:szCs w:val="18"/>
              </w:rPr>
            </w:pPr>
            <w:r>
              <w:rPr>
                <w:rFonts w:ascii="宋体" w:hAnsi="宋体" w:cs="宋体" w:eastAsia="宋体" w:hint="default"/>
                <w:spacing w:val="-3"/>
                <w:sz w:val="18"/>
                <w:szCs w:val="18"/>
              </w:rPr>
              <w:t>本软件是一款针对物流快递企业微信公众平台开发的软件，用</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户通过微信公众号下单、对物流信息进行查询、跟踪以及评价</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反馈。让微信用户更方便地使用快递服务，也让客户对员工服</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务质量更好地管理，提高物流企业服务的效率及质量</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6" w:lineRule="auto"/>
              <w:ind w:left="4" w:right="0"/>
              <w:jc w:val="both"/>
              <w:rPr>
                <w:rFonts w:ascii="宋体" w:hAnsi="宋体" w:cs="宋体" w:eastAsia="宋体" w:hint="default"/>
                <w:sz w:val="18"/>
                <w:szCs w:val="18"/>
              </w:rPr>
            </w:pPr>
            <w:r>
              <w:rPr>
                <w:rFonts w:ascii="宋体" w:hAnsi="宋体" w:cs="宋体" w:eastAsia="宋体" w:hint="default"/>
                <w:spacing w:val="13"/>
                <w:sz w:val="18"/>
                <w:szCs w:val="18"/>
              </w:rPr>
              <w:t>已上线，</w:t>
            </w:r>
            <w:r>
              <w:rPr>
                <w:rFonts w:ascii="宋体" w:hAnsi="宋体" w:cs="宋体" w:eastAsia="宋体" w:hint="default"/>
                <w:spacing w:val="-74"/>
                <w:sz w:val="18"/>
                <w:szCs w:val="18"/>
              </w:rPr>
              <w:t> </w:t>
            </w:r>
            <w:r>
              <w:rPr>
                <w:rFonts w:ascii="宋体" w:hAnsi="宋体" w:cs="宋体" w:eastAsia="宋体" w:hint="default"/>
                <w:sz w:val="18"/>
                <w:szCs w:val="18"/>
              </w:rPr>
              <w:t>已</w:t>
            </w:r>
            <w:r>
              <w:rPr>
                <w:rFonts w:ascii="宋体" w:hAnsi="宋体" w:cs="宋体" w:eastAsia="宋体" w:hint="default"/>
                <w:sz w:val="18"/>
                <w:szCs w:val="18"/>
              </w:rPr>
              <w:t> </w:t>
            </w:r>
            <w:r>
              <w:rPr>
                <w:rFonts w:ascii="宋体" w:hAnsi="宋体" w:cs="宋体" w:eastAsia="宋体" w:hint="default"/>
                <w:spacing w:val="14"/>
                <w:sz w:val="18"/>
                <w:szCs w:val="18"/>
              </w:rPr>
              <w:t>申请软件著</w:t>
            </w:r>
            <w:r>
              <w:rPr>
                <w:rFonts w:ascii="宋体" w:hAnsi="宋体" w:cs="宋体" w:eastAsia="宋体" w:hint="default"/>
                <w:sz w:val="18"/>
                <w:szCs w:val="18"/>
              </w:rPr>
              <w:t> 作权</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4" w:right="2"/>
              <w:jc w:val="left"/>
              <w:rPr>
                <w:rFonts w:ascii="宋体" w:hAnsi="宋体" w:cs="宋体" w:eastAsia="宋体" w:hint="default"/>
                <w:sz w:val="18"/>
                <w:szCs w:val="18"/>
              </w:rPr>
            </w:pPr>
            <w:r>
              <w:rPr>
                <w:rFonts w:ascii="宋体" w:hAnsi="宋体" w:cs="宋体" w:eastAsia="宋体" w:hint="default"/>
                <w:spacing w:val="10"/>
                <w:sz w:val="18"/>
                <w:szCs w:val="18"/>
              </w:rPr>
              <w:t>提升公司在智能物流领域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的竞争力</w:t>
            </w:r>
          </w:p>
        </w:tc>
      </w:tr>
      <w:tr>
        <w:trPr>
          <w:trHeight w:val="972"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539" w:right="89" w:hanging="452"/>
              <w:jc w:val="left"/>
              <w:rPr>
                <w:rFonts w:ascii="宋体" w:hAnsi="宋体" w:cs="宋体" w:eastAsia="宋体" w:hint="default"/>
                <w:sz w:val="18"/>
                <w:szCs w:val="18"/>
              </w:rPr>
            </w:pPr>
            <w:r>
              <w:rPr>
                <w:rFonts w:ascii="宋体" w:hAnsi="宋体" w:cs="宋体" w:eastAsia="宋体" w:hint="default"/>
                <w:sz w:val="18"/>
                <w:szCs w:val="18"/>
              </w:rPr>
              <w:t>微信自动化软 件</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本软件是一款为物流快递企业提供的、针对微信物流自动下 </w:t>
            </w:r>
            <w:r>
              <w:rPr>
                <w:rFonts w:ascii="宋体" w:hAnsi="宋体" w:cs="宋体" w:eastAsia="宋体" w:hint="default"/>
                <w:spacing w:val="-3"/>
                <w:sz w:val="18"/>
                <w:szCs w:val="18"/>
              </w:rPr>
              <w:t>单、审单及统计的软件。审单自动化方便客户对订单的处理及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统计、对物流信息的管理，可以节省人力、提高工作效率</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both"/>
              <w:rPr>
                <w:rFonts w:ascii="宋体" w:hAnsi="宋体" w:cs="宋体" w:eastAsia="宋体" w:hint="default"/>
                <w:sz w:val="18"/>
                <w:szCs w:val="18"/>
              </w:rPr>
            </w:pPr>
            <w:r>
              <w:rPr>
                <w:rFonts w:ascii="宋体" w:hAnsi="宋体" w:cs="宋体" w:eastAsia="宋体" w:hint="default"/>
                <w:spacing w:val="13"/>
                <w:sz w:val="18"/>
                <w:szCs w:val="18"/>
              </w:rPr>
              <w:t>已上线，</w:t>
            </w:r>
            <w:r>
              <w:rPr>
                <w:rFonts w:ascii="宋体" w:hAnsi="宋体" w:cs="宋体" w:eastAsia="宋体" w:hint="default"/>
                <w:spacing w:val="-74"/>
                <w:sz w:val="18"/>
                <w:szCs w:val="18"/>
              </w:rPr>
              <w:t> </w:t>
            </w:r>
            <w:r>
              <w:rPr>
                <w:rFonts w:ascii="宋体" w:hAnsi="宋体" w:cs="宋体" w:eastAsia="宋体" w:hint="default"/>
                <w:sz w:val="18"/>
                <w:szCs w:val="18"/>
              </w:rPr>
              <w:t>已</w:t>
            </w:r>
            <w:r>
              <w:rPr>
                <w:rFonts w:ascii="宋体" w:hAnsi="宋体" w:cs="宋体" w:eastAsia="宋体" w:hint="default"/>
                <w:sz w:val="18"/>
                <w:szCs w:val="18"/>
              </w:rPr>
              <w:t> </w:t>
            </w:r>
            <w:r>
              <w:rPr>
                <w:rFonts w:ascii="宋体" w:hAnsi="宋体" w:cs="宋体" w:eastAsia="宋体" w:hint="default"/>
                <w:spacing w:val="14"/>
                <w:sz w:val="18"/>
                <w:szCs w:val="18"/>
              </w:rPr>
              <w:t>申请软件著</w:t>
            </w:r>
            <w:r>
              <w:rPr>
                <w:rFonts w:ascii="宋体" w:hAnsi="宋体" w:cs="宋体" w:eastAsia="宋体" w:hint="default"/>
                <w:sz w:val="18"/>
                <w:szCs w:val="18"/>
              </w:rPr>
              <w:t> 作权</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4" w:right="2"/>
              <w:jc w:val="left"/>
              <w:rPr>
                <w:rFonts w:ascii="宋体" w:hAnsi="宋体" w:cs="宋体" w:eastAsia="宋体" w:hint="default"/>
                <w:sz w:val="18"/>
                <w:szCs w:val="18"/>
              </w:rPr>
            </w:pPr>
            <w:r>
              <w:rPr>
                <w:rFonts w:ascii="宋体" w:hAnsi="宋体" w:cs="宋体" w:eastAsia="宋体" w:hint="default"/>
                <w:spacing w:val="10"/>
                <w:sz w:val="18"/>
                <w:szCs w:val="18"/>
              </w:rPr>
              <w:t>提升公司在智能物流领域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的竞争力</w:t>
            </w:r>
          </w:p>
        </w:tc>
      </w:tr>
      <w:tr>
        <w:trPr>
          <w:trHeight w:val="970"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448" w:right="89" w:hanging="360"/>
              <w:jc w:val="left"/>
              <w:rPr>
                <w:rFonts w:ascii="宋体" w:hAnsi="宋体" w:cs="宋体" w:eastAsia="宋体" w:hint="default"/>
                <w:sz w:val="18"/>
                <w:szCs w:val="18"/>
              </w:rPr>
            </w:pPr>
            <w:r>
              <w:rPr>
                <w:rFonts w:ascii="宋体" w:hAnsi="宋体" w:cs="宋体" w:eastAsia="宋体" w:hint="default"/>
                <w:sz w:val="18"/>
                <w:szCs w:val="18"/>
              </w:rPr>
              <w:t>人脸支付收银 软件</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2" w:right="1"/>
              <w:jc w:val="both"/>
              <w:rPr>
                <w:rFonts w:ascii="宋体" w:hAnsi="宋体" w:cs="宋体" w:eastAsia="宋体" w:hint="default"/>
                <w:sz w:val="18"/>
                <w:szCs w:val="18"/>
              </w:rPr>
            </w:pPr>
            <w:r>
              <w:rPr>
                <w:rFonts w:ascii="宋体" w:hAnsi="宋体" w:cs="宋体" w:eastAsia="宋体" w:hint="default"/>
                <w:spacing w:val="-2"/>
                <w:sz w:val="18"/>
                <w:szCs w:val="18"/>
              </w:rPr>
              <w:t>本软件是一款移动</w:t>
            </w:r>
            <w:r>
              <w:rPr>
                <w:rFonts w:ascii="Times New Roman" w:hAnsi="Times New Roman" w:cs="Times New Roman" w:eastAsia="Times New Roman" w:hint="default"/>
                <w:spacing w:val="-2"/>
                <w:sz w:val="18"/>
                <w:szCs w:val="18"/>
              </w:rPr>
              <w:t>POS</w:t>
            </w:r>
            <w:r>
              <w:rPr>
                <w:rFonts w:ascii="宋体" w:hAnsi="宋体" w:cs="宋体" w:eastAsia="宋体" w:hint="default"/>
                <w:spacing w:val="-2"/>
                <w:sz w:val="18"/>
                <w:szCs w:val="18"/>
              </w:rPr>
              <w:t>人脸识别支付软件。通过先进的人脸识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别技术，对比人脸采集数据库进行数据校验，输入客户手机号</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及支付金额即可完成支付扣款</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both"/>
              <w:rPr>
                <w:rFonts w:ascii="宋体" w:hAnsi="宋体" w:cs="宋体" w:eastAsia="宋体" w:hint="default"/>
                <w:sz w:val="18"/>
                <w:szCs w:val="18"/>
              </w:rPr>
            </w:pPr>
            <w:r>
              <w:rPr>
                <w:rFonts w:ascii="宋体" w:hAnsi="宋体" w:cs="宋体" w:eastAsia="宋体" w:hint="default"/>
                <w:spacing w:val="13"/>
                <w:sz w:val="18"/>
                <w:szCs w:val="18"/>
              </w:rPr>
              <w:t>已上线，</w:t>
            </w:r>
            <w:r>
              <w:rPr>
                <w:rFonts w:ascii="宋体" w:hAnsi="宋体" w:cs="宋体" w:eastAsia="宋体" w:hint="default"/>
                <w:spacing w:val="-74"/>
                <w:sz w:val="18"/>
                <w:szCs w:val="18"/>
              </w:rPr>
              <w:t> </w:t>
            </w:r>
            <w:r>
              <w:rPr>
                <w:rFonts w:ascii="宋体" w:hAnsi="宋体" w:cs="宋体" w:eastAsia="宋体" w:hint="default"/>
                <w:sz w:val="18"/>
                <w:szCs w:val="18"/>
              </w:rPr>
              <w:t>已</w:t>
            </w:r>
            <w:r>
              <w:rPr>
                <w:rFonts w:ascii="宋体" w:hAnsi="宋体" w:cs="宋体" w:eastAsia="宋体" w:hint="default"/>
                <w:sz w:val="18"/>
                <w:szCs w:val="18"/>
              </w:rPr>
              <w:t> </w:t>
            </w:r>
            <w:r>
              <w:rPr>
                <w:rFonts w:ascii="宋体" w:hAnsi="宋体" w:cs="宋体" w:eastAsia="宋体" w:hint="default"/>
                <w:spacing w:val="14"/>
                <w:sz w:val="18"/>
                <w:szCs w:val="18"/>
              </w:rPr>
              <w:t>申请软件著</w:t>
            </w:r>
            <w:r>
              <w:rPr>
                <w:rFonts w:ascii="宋体" w:hAnsi="宋体" w:cs="宋体" w:eastAsia="宋体" w:hint="default"/>
                <w:sz w:val="18"/>
                <w:szCs w:val="18"/>
              </w:rPr>
              <w:t> 作权</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4" w:right="2"/>
              <w:jc w:val="left"/>
              <w:rPr>
                <w:rFonts w:ascii="宋体" w:hAnsi="宋体" w:cs="宋体" w:eastAsia="宋体" w:hint="default"/>
                <w:sz w:val="18"/>
                <w:szCs w:val="18"/>
              </w:rPr>
            </w:pPr>
            <w:r>
              <w:rPr>
                <w:rFonts w:ascii="宋体" w:hAnsi="宋体" w:cs="宋体" w:eastAsia="宋体" w:hint="default"/>
                <w:spacing w:val="10"/>
                <w:sz w:val="18"/>
                <w:szCs w:val="18"/>
              </w:rPr>
              <w:t>提升公司在智能移动支付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领域的竞争力</w:t>
            </w:r>
          </w:p>
        </w:tc>
      </w:tr>
      <w:tr>
        <w:trPr>
          <w:trHeight w:val="1285"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4" w:right="0"/>
              <w:jc w:val="center"/>
              <w:rPr>
                <w:rFonts w:ascii="Times New Roman" w:hAnsi="Times New Roman" w:cs="Times New Roman" w:eastAsia="Times New Roman" w:hint="default"/>
                <w:sz w:val="18"/>
                <w:szCs w:val="18"/>
              </w:rPr>
            </w:pPr>
            <w:r>
              <w:rPr>
                <w:rFonts w:ascii="Times New Roman"/>
                <w:sz w:val="18"/>
              </w:rPr>
              <w:t>30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360" w:right="89" w:hanging="272"/>
              <w:jc w:val="left"/>
              <w:rPr>
                <w:rFonts w:ascii="宋体" w:hAnsi="宋体" w:cs="宋体" w:eastAsia="宋体" w:hint="default"/>
                <w:sz w:val="18"/>
                <w:szCs w:val="18"/>
              </w:rPr>
            </w:pPr>
            <w:r>
              <w:rPr>
                <w:rFonts w:ascii="宋体" w:hAnsi="宋体" w:cs="宋体" w:eastAsia="宋体" w:hint="default"/>
                <w:sz w:val="18"/>
                <w:szCs w:val="18"/>
              </w:rPr>
              <w:t>出入境收费管 理软件</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2" w:right="0"/>
              <w:jc w:val="left"/>
              <w:rPr>
                <w:rFonts w:ascii="宋体" w:hAnsi="宋体" w:cs="宋体" w:eastAsia="宋体" w:hint="default"/>
                <w:sz w:val="18"/>
                <w:szCs w:val="18"/>
              </w:rPr>
            </w:pPr>
            <w:r>
              <w:rPr>
                <w:rFonts w:ascii="宋体" w:hAnsi="宋体" w:cs="宋体" w:eastAsia="宋体" w:hint="default"/>
                <w:spacing w:val="-2"/>
                <w:sz w:val="18"/>
                <w:szCs w:val="18"/>
              </w:rPr>
              <w:t>本软件是一款为出入境管理部门提供的移动</w:t>
            </w:r>
            <w:r>
              <w:rPr>
                <w:rFonts w:ascii="Times New Roman" w:hAnsi="Times New Roman" w:cs="Times New Roman" w:eastAsia="Times New Roman" w:hint="default"/>
                <w:spacing w:val="-2"/>
                <w:sz w:val="18"/>
                <w:szCs w:val="18"/>
              </w:rPr>
              <w:t>POS</w:t>
            </w:r>
            <w:r>
              <w:rPr>
                <w:rFonts w:ascii="宋体" w:hAnsi="宋体" w:cs="宋体" w:eastAsia="宋体" w:hint="default"/>
                <w:spacing w:val="-2"/>
                <w:sz w:val="18"/>
                <w:szCs w:val="18"/>
              </w:rPr>
              <w:t>收款平台。该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软件包括刷银行卡、微信、支付宝的快捷缴费，并支持退款</w:t>
            </w:r>
            <w:r>
              <w:rPr>
                <w:rFonts w:ascii="宋体" w:hAnsi="宋体" w:cs="宋体" w:eastAsia="宋体" w:hint="default"/>
                <w:sz w:val="18"/>
                <w:szCs w:val="18"/>
              </w:rPr>
              <w:t> </w:t>
            </w:r>
            <w:r>
              <w:rPr>
                <w:rFonts w:ascii="宋体" w:hAnsi="宋体" w:cs="宋体" w:eastAsia="宋体" w:hint="default"/>
                <w:spacing w:val="-3"/>
                <w:sz w:val="18"/>
                <w:szCs w:val="18"/>
              </w:rPr>
              <w:t>余额查询、流水查询、结算等功能，提高出入境办理证件收款</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效率</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196" w:lineRule="exact"/>
              <w:ind w:left="4" w:right="0"/>
              <w:jc w:val="left"/>
              <w:rPr>
                <w:rFonts w:ascii="宋体" w:hAnsi="宋体" w:cs="宋体" w:eastAsia="宋体" w:hint="default"/>
                <w:sz w:val="18"/>
                <w:szCs w:val="18"/>
              </w:rPr>
            </w:pPr>
            <w:r>
              <w:rPr>
                <w:rFonts w:ascii="宋体" w:hAnsi="宋体" w:cs="宋体" w:eastAsia="宋体" w:hint="default"/>
                <w:spacing w:val="13"/>
                <w:sz w:val="18"/>
                <w:szCs w:val="18"/>
              </w:rPr>
              <w:t>已上线，</w:t>
            </w:r>
            <w:r>
              <w:rPr>
                <w:rFonts w:ascii="宋体" w:hAnsi="宋体" w:cs="宋体" w:eastAsia="宋体" w:hint="default"/>
                <w:spacing w:val="-72"/>
                <w:sz w:val="18"/>
                <w:szCs w:val="18"/>
              </w:rPr>
              <w:t> </w:t>
            </w:r>
            <w:r>
              <w:rPr>
                <w:rFonts w:ascii="宋体" w:hAnsi="宋体" w:cs="宋体" w:eastAsia="宋体" w:hint="default"/>
                <w:sz w:val="18"/>
                <w:szCs w:val="18"/>
              </w:rPr>
              <w:t>已</w:t>
            </w:r>
          </w:p>
          <w:p>
            <w:pPr>
              <w:pStyle w:val="TableParagraph"/>
              <w:spacing w:line="156" w:lineRule="exact"/>
              <w:ind w:left="-13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4" w:right="0"/>
              <w:jc w:val="left"/>
              <w:rPr>
                <w:rFonts w:ascii="宋体" w:hAnsi="宋体" w:cs="宋体" w:eastAsia="宋体" w:hint="default"/>
                <w:sz w:val="18"/>
                <w:szCs w:val="18"/>
              </w:rPr>
            </w:pPr>
            <w:r>
              <w:rPr>
                <w:rFonts w:ascii="宋体" w:hAnsi="宋体" w:cs="宋体" w:eastAsia="宋体" w:hint="default"/>
                <w:spacing w:val="14"/>
                <w:sz w:val="18"/>
                <w:szCs w:val="18"/>
              </w:rPr>
              <w:t>申请软件著</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作权</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4" w:right="2"/>
              <w:jc w:val="left"/>
              <w:rPr>
                <w:rFonts w:ascii="宋体" w:hAnsi="宋体" w:cs="宋体" w:eastAsia="宋体" w:hint="default"/>
                <w:sz w:val="18"/>
                <w:szCs w:val="18"/>
              </w:rPr>
            </w:pPr>
            <w:r>
              <w:rPr>
                <w:rFonts w:ascii="宋体" w:hAnsi="宋体" w:cs="宋体" w:eastAsia="宋体" w:hint="default"/>
                <w:spacing w:val="10"/>
                <w:sz w:val="18"/>
                <w:szCs w:val="18"/>
              </w:rPr>
              <w:t>提升公司在智能移动支付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领域的竞争力</w:t>
            </w:r>
          </w:p>
        </w:tc>
      </w:tr>
      <w:tr>
        <w:trPr>
          <w:trHeight w:val="970"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31</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180" w:right="89" w:hanging="92"/>
              <w:jc w:val="left"/>
              <w:rPr>
                <w:rFonts w:ascii="宋体" w:hAnsi="宋体" w:cs="宋体" w:eastAsia="宋体" w:hint="default"/>
                <w:sz w:val="18"/>
                <w:szCs w:val="18"/>
              </w:rPr>
            </w:pPr>
            <w:r>
              <w:rPr>
                <w:rFonts w:ascii="宋体" w:hAnsi="宋体" w:cs="宋体" w:eastAsia="宋体" w:hint="default"/>
                <w:sz w:val="18"/>
                <w:szCs w:val="18"/>
              </w:rPr>
              <w:t>第三方综合收 款平台软件</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2" w:right="1"/>
              <w:jc w:val="both"/>
              <w:rPr>
                <w:rFonts w:ascii="宋体" w:hAnsi="宋体" w:cs="宋体" w:eastAsia="宋体" w:hint="default"/>
                <w:sz w:val="18"/>
                <w:szCs w:val="18"/>
              </w:rPr>
            </w:pPr>
            <w:r>
              <w:rPr>
                <w:rFonts w:ascii="宋体" w:hAnsi="宋体" w:cs="宋体" w:eastAsia="宋体" w:hint="default"/>
                <w:spacing w:val="-3"/>
                <w:sz w:val="18"/>
                <w:szCs w:val="18"/>
              </w:rPr>
              <w:t>本软件是一款基于第三方支付平台的高效收银平台，支持银行</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卡闪付、</w:t>
            </w:r>
            <w:r>
              <w:rPr>
                <w:rFonts w:ascii="Times New Roman" w:hAnsi="Times New Roman" w:cs="Times New Roman" w:eastAsia="Times New Roman" w:hint="default"/>
                <w:spacing w:val="-3"/>
                <w:sz w:val="18"/>
                <w:szCs w:val="18"/>
              </w:rPr>
              <w:t>IC</w:t>
            </w:r>
            <w:r>
              <w:rPr>
                <w:rFonts w:ascii="宋体" w:hAnsi="宋体" w:cs="宋体" w:eastAsia="宋体" w:hint="default"/>
                <w:spacing w:val="-3"/>
                <w:sz w:val="18"/>
                <w:szCs w:val="18"/>
              </w:rPr>
              <w:t>插卡、磁条刷卡，微信、支付宝等支付功能，可作</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为商超等零售企业的收银平台</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both"/>
              <w:rPr>
                <w:rFonts w:ascii="宋体" w:hAnsi="宋体" w:cs="宋体" w:eastAsia="宋体" w:hint="default"/>
                <w:sz w:val="18"/>
                <w:szCs w:val="18"/>
              </w:rPr>
            </w:pPr>
            <w:r>
              <w:rPr>
                <w:rFonts w:ascii="宋体" w:hAnsi="宋体" w:cs="宋体" w:eastAsia="宋体" w:hint="default"/>
                <w:spacing w:val="13"/>
                <w:sz w:val="18"/>
                <w:szCs w:val="18"/>
              </w:rPr>
              <w:t>已上线，</w:t>
            </w:r>
            <w:r>
              <w:rPr>
                <w:rFonts w:ascii="宋体" w:hAnsi="宋体" w:cs="宋体" w:eastAsia="宋体" w:hint="default"/>
                <w:spacing w:val="-74"/>
                <w:sz w:val="18"/>
                <w:szCs w:val="18"/>
              </w:rPr>
              <w:t> </w:t>
            </w:r>
            <w:r>
              <w:rPr>
                <w:rFonts w:ascii="宋体" w:hAnsi="宋体" w:cs="宋体" w:eastAsia="宋体" w:hint="default"/>
                <w:sz w:val="18"/>
                <w:szCs w:val="18"/>
              </w:rPr>
              <w:t>已</w:t>
            </w:r>
            <w:r>
              <w:rPr>
                <w:rFonts w:ascii="宋体" w:hAnsi="宋体" w:cs="宋体" w:eastAsia="宋体" w:hint="default"/>
                <w:sz w:val="18"/>
                <w:szCs w:val="18"/>
              </w:rPr>
              <w:t> </w:t>
            </w:r>
            <w:r>
              <w:rPr>
                <w:rFonts w:ascii="宋体" w:hAnsi="宋体" w:cs="宋体" w:eastAsia="宋体" w:hint="default"/>
                <w:spacing w:val="14"/>
                <w:sz w:val="18"/>
                <w:szCs w:val="18"/>
              </w:rPr>
              <w:t>申请软件著</w:t>
            </w:r>
            <w:r>
              <w:rPr>
                <w:rFonts w:ascii="宋体" w:hAnsi="宋体" w:cs="宋体" w:eastAsia="宋体" w:hint="default"/>
                <w:sz w:val="18"/>
                <w:szCs w:val="18"/>
              </w:rPr>
              <w:t> 作权</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4" w:right="2"/>
              <w:jc w:val="left"/>
              <w:rPr>
                <w:rFonts w:ascii="宋体" w:hAnsi="宋体" w:cs="宋体" w:eastAsia="宋体" w:hint="default"/>
                <w:sz w:val="18"/>
                <w:szCs w:val="18"/>
              </w:rPr>
            </w:pPr>
            <w:r>
              <w:rPr>
                <w:rFonts w:ascii="宋体" w:hAnsi="宋体" w:cs="宋体" w:eastAsia="宋体" w:hint="default"/>
                <w:spacing w:val="10"/>
                <w:sz w:val="18"/>
                <w:szCs w:val="18"/>
              </w:rPr>
              <w:t>提升公司在智能移动支付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领域的竞争力</w:t>
            </w:r>
          </w:p>
        </w:tc>
      </w:tr>
      <w:tr>
        <w:trPr>
          <w:trHeight w:val="660"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48" w:right="89" w:hanging="360"/>
              <w:jc w:val="left"/>
              <w:rPr>
                <w:rFonts w:ascii="宋体" w:hAnsi="宋体" w:cs="宋体" w:eastAsia="宋体" w:hint="default"/>
                <w:sz w:val="18"/>
                <w:szCs w:val="18"/>
              </w:rPr>
            </w:pPr>
            <w:r>
              <w:rPr>
                <w:rFonts w:ascii="宋体" w:hAnsi="宋体" w:cs="宋体" w:eastAsia="宋体" w:hint="default"/>
                <w:sz w:val="18"/>
                <w:szCs w:val="18"/>
              </w:rPr>
              <w:t>物流配送收款 软件</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
              <w:jc w:val="left"/>
              <w:rPr>
                <w:rFonts w:ascii="宋体" w:hAnsi="宋体" w:cs="宋体" w:eastAsia="宋体" w:hint="default"/>
                <w:sz w:val="18"/>
                <w:szCs w:val="18"/>
              </w:rPr>
            </w:pPr>
            <w:r>
              <w:rPr>
                <w:rFonts w:ascii="宋体" w:hAnsi="宋体" w:cs="宋体" w:eastAsia="宋体" w:hint="default"/>
                <w:spacing w:val="-3"/>
                <w:sz w:val="18"/>
                <w:szCs w:val="18"/>
              </w:rPr>
              <w:t>本软件是一款面向物流配送业务的收款平台，用户可根据智能</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移动终端下发的物流配送订单进行收款，收款功能支持银行卡</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13"/>
                <w:sz w:val="18"/>
                <w:szCs w:val="18"/>
              </w:rPr>
              <w:t>已上线，</w:t>
            </w:r>
            <w:r>
              <w:rPr>
                <w:rFonts w:ascii="宋体" w:hAnsi="宋体" w:cs="宋体" w:eastAsia="宋体" w:hint="default"/>
                <w:spacing w:val="-74"/>
                <w:sz w:val="18"/>
                <w:szCs w:val="18"/>
              </w:rPr>
              <w:t> </w:t>
            </w:r>
            <w:r>
              <w:rPr>
                <w:rFonts w:ascii="宋体" w:hAnsi="宋体" w:cs="宋体" w:eastAsia="宋体" w:hint="default"/>
                <w:sz w:val="18"/>
                <w:szCs w:val="18"/>
              </w:rPr>
              <w:t>已</w:t>
            </w:r>
            <w:r>
              <w:rPr>
                <w:rFonts w:ascii="宋体" w:hAnsi="宋体" w:cs="宋体" w:eastAsia="宋体" w:hint="default"/>
                <w:sz w:val="18"/>
                <w:szCs w:val="18"/>
              </w:rPr>
              <w:t> </w:t>
            </w:r>
            <w:r>
              <w:rPr>
                <w:rFonts w:ascii="宋体" w:hAnsi="宋体" w:cs="宋体" w:eastAsia="宋体" w:hint="default"/>
                <w:spacing w:val="14"/>
                <w:sz w:val="18"/>
                <w:szCs w:val="18"/>
              </w:rPr>
              <w:t>申请软件著</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10"/>
              <w:jc w:val="left"/>
              <w:rPr>
                <w:rFonts w:ascii="宋体" w:hAnsi="宋体" w:cs="宋体" w:eastAsia="宋体" w:hint="default"/>
                <w:sz w:val="18"/>
                <w:szCs w:val="18"/>
              </w:rPr>
            </w:pPr>
            <w:r>
              <w:rPr>
                <w:rFonts w:ascii="宋体" w:hAnsi="宋体" w:cs="宋体" w:eastAsia="宋体" w:hint="default"/>
                <w:spacing w:val="7"/>
                <w:sz w:val="18"/>
                <w:szCs w:val="18"/>
              </w:rPr>
              <w:t>提升公司在智能物流</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智能 </w:t>
            </w:r>
            <w:r>
              <w:rPr>
                <w:rFonts w:ascii="宋体" w:hAnsi="宋体" w:cs="宋体" w:eastAsia="宋体" w:hint="default"/>
                <w:sz w:val="18"/>
                <w:szCs w:val="18"/>
              </w:rPr>
              <w:t>移动支付领域的竞争力</w:t>
            </w:r>
          </w:p>
        </w:tc>
      </w:tr>
    </w:tbl>
    <w:p>
      <w:pPr>
        <w:spacing w:after="0" w:line="30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3"/>
          <w:szCs w:val="23"/>
        </w:rPr>
      </w:pPr>
    </w:p>
    <w:p>
      <w:pPr>
        <w:pStyle w:val="BodyText"/>
        <w:tabs>
          <w:tab w:pos="767" w:val="left" w:leader="none"/>
        </w:tabs>
        <w:spacing w:line="240" w:lineRule="auto"/>
        <w:ind w:left="277" w:right="-20"/>
        <w:jc w:val="left"/>
      </w:pPr>
      <w:r>
        <w:rPr>
          <w:rFonts w:ascii="Times New Roman" w:hAnsi="Times New Roman" w:cs="Times New Roman" w:eastAsia="Times New Roman" w:hint="default"/>
        </w:rPr>
        <w:t>33</w:t>
        <w:tab/>
      </w:r>
      <w:r>
        <w:rPr/>
        <w:t>云对账平台</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BodyText"/>
        <w:spacing w:line="240" w:lineRule="auto"/>
        <w:ind w:left="676" w:right="-20"/>
        <w:jc w:val="left"/>
      </w:pPr>
      <w:r>
        <w:rPr/>
        <w:t>多媒体智能终</w:t>
      </w:r>
    </w:p>
    <w:p>
      <w:pPr>
        <w:spacing w:line="240" w:lineRule="auto" w:before="5"/>
        <w:rPr>
          <w:rFonts w:ascii="宋体" w:hAnsi="宋体" w:cs="宋体" w:eastAsia="宋体" w:hint="default"/>
          <w:sz w:val="13"/>
          <w:szCs w:val="13"/>
        </w:rPr>
      </w:pPr>
      <w:r>
        <w:rPr/>
        <w:br w:type="column"/>
      </w:r>
      <w:r>
        <w:rPr>
          <w:rFonts w:ascii="宋体"/>
          <w:sz w:val="13"/>
        </w:rPr>
      </w:r>
    </w:p>
    <w:p>
      <w:pPr>
        <w:pStyle w:val="BodyText"/>
        <w:spacing w:line="300" w:lineRule="auto"/>
        <w:ind w:left="67" w:right="-11"/>
        <w:jc w:val="left"/>
      </w:pPr>
      <w:r>
        <w:rPr>
          <w:spacing w:val="-2"/>
        </w:rPr>
        <w:t>闪付、</w:t>
      </w:r>
      <w:r>
        <w:rPr>
          <w:rFonts w:ascii="Times New Roman" w:hAnsi="Times New Roman" w:cs="Times New Roman" w:eastAsia="Times New Roman" w:hint="default"/>
          <w:spacing w:val="-2"/>
        </w:rPr>
        <w:t>IC</w:t>
      </w:r>
      <w:r>
        <w:rPr>
          <w:spacing w:val="-2"/>
        </w:rPr>
        <w:t>插卡、刷卡、银联二维码、微信、支付宝等多种支付作权</w:t>
      </w:r>
      <w:r>
        <w:rPr>
          <w:spacing w:val="-73"/>
        </w:rPr>
        <w:t> </w:t>
      </w:r>
      <w:r>
        <w:rPr>
          <w:spacing w:val="-73"/>
        </w:rPr>
      </w:r>
      <w:r>
        <w:rPr/>
        <w:t>方式，为物流快递业务提供快捷收款解决方案</w:t>
      </w:r>
    </w:p>
    <w:p>
      <w:pPr>
        <w:pStyle w:val="BodyText"/>
        <w:spacing w:line="316" w:lineRule="auto" w:before="67"/>
        <w:ind w:left="67" w:right="-11"/>
        <w:jc w:val="left"/>
      </w:pPr>
      <w:r>
        <w:rPr>
          <w:spacing w:val="-3"/>
        </w:rPr>
        <w:t>本软件利用云服务技术和分布式的技术，实现实时远程的对账</w:t>
      </w:r>
      <w:r>
        <w:rPr>
          <w:spacing w:val="-69"/>
        </w:rPr>
        <w:t> </w:t>
      </w:r>
      <w:r>
        <w:rPr>
          <w:spacing w:val="-69"/>
        </w:rPr>
      </w:r>
      <w:r>
        <w:rPr>
          <w:spacing w:val="-3"/>
        </w:rPr>
        <w:t>服务，给商户提供实时的财务入账和对账信息；结合移动终端</w:t>
      </w:r>
      <w:r>
        <w:rPr>
          <w:spacing w:val="-54"/>
        </w:rPr>
        <w:t> </w:t>
      </w:r>
      <w:r>
        <w:rPr>
          <w:spacing w:val="14"/>
        </w:rPr>
        <w:t>设计验证阶</w:t>
      </w:r>
      <w:r>
        <w:rPr>
          <w:spacing w:val="-86"/>
        </w:rPr>
        <w:t> </w:t>
      </w:r>
      <w:r>
        <w:rPr>
          <w:spacing w:val="-86"/>
        </w:rPr>
      </w:r>
      <w:r>
        <w:rPr/>
        <w:t>上应用程序，及时向商户展现账务状况，有效提升移动</w:t>
      </w:r>
      <w:r>
        <w:rPr>
          <w:rFonts w:ascii="Times New Roman" w:hAnsi="Times New Roman" w:cs="Times New Roman" w:eastAsia="Times New Roman" w:hint="default"/>
        </w:rPr>
        <w:t>POS</w:t>
      </w:r>
      <w:r>
        <w:rPr/>
        <w:t>的段</w:t>
      </w:r>
    </w:p>
    <w:p>
      <w:pPr>
        <w:pStyle w:val="BodyText"/>
        <w:spacing w:line="235" w:lineRule="exact"/>
        <w:ind w:left="67" w:right="-11"/>
        <w:jc w:val="left"/>
      </w:pPr>
      <w:r>
        <w:rPr/>
        <w:t>竞争力</w:t>
      </w:r>
    </w:p>
    <w:p>
      <w:pPr>
        <w:pStyle w:val="BodyText"/>
        <w:spacing w:line="310" w:lineRule="atLeast" w:before="51"/>
        <w:ind w:left="67" w:right="980"/>
        <w:jc w:val="left"/>
      </w:pPr>
      <w:r>
        <w:rPr>
          <w:spacing w:val="-2"/>
        </w:rPr>
        <w:t>本软件采用集成式多媒体智能终端，通过</w:t>
      </w:r>
      <w:r>
        <w:rPr>
          <w:rFonts w:ascii="Times New Roman" w:hAnsi="Times New Roman" w:cs="Times New Roman" w:eastAsia="Times New Roman" w:hint="default"/>
          <w:spacing w:val="-2"/>
        </w:rPr>
        <w:t>NFC</w:t>
      </w:r>
      <w:r>
        <w:rPr>
          <w:spacing w:val="-2"/>
        </w:rPr>
        <w:t>近场支付、移动</w:t>
      </w:r>
      <w:r>
        <w:rPr>
          <w:spacing w:val="-85"/>
        </w:rPr>
        <w:t> </w:t>
      </w:r>
      <w:r>
        <w:rPr>
          <w:spacing w:val="-85"/>
        </w:rPr>
      </w:r>
      <w:r>
        <w:rPr/>
        <w:t>支付、蓝牙通讯技术、</w:t>
      </w:r>
      <w:r>
        <w:rPr>
          <w:rFonts w:ascii="Times New Roman" w:hAnsi="Times New Roman" w:cs="Times New Roman" w:eastAsia="Times New Roman" w:hint="default"/>
        </w:rPr>
        <w:t>SFTP</w:t>
      </w:r>
      <w:r>
        <w:rPr/>
        <w:t>文件传输技术、电子数据交换技</w:t>
      </w:r>
    </w:p>
    <w:p>
      <w:pPr>
        <w:pStyle w:val="BodyText"/>
        <w:spacing w:line="103" w:lineRule="exact"/>
        <w:ind w:left="4890" w:right="-19"/>
        <w:jc w:val="left"/>
      </w:pPr>
      <w:r>
        <w:rPr>
          <w:spacing w:val="13"/>
        </w:rPr>
        <w:t>已上线，</w:t>
      </w:r>
      <w:r>
        <w:rPr>
          <w:spacing w:val="-72"/>
        </w:rPr>
        <w:t> </w:t>
      </w:r>
      <w:r>
        <w:rPr/>
        <w:t>已</w:t>
      </w:r>
    </w:p>
    <w:p>
      <w:pPr>
        <w:pStyle w:val="BodyText"/>
        <w:spacing w:line="172" w:lineRule="exact"/>
        <w:ind w:left="67" w:right="-11"/>
        <w:jc w:val="left"/>
      </w:pPr>
      <w:r>
        <w:rPr>
          <w:spacing w:val="-3"/>
        </w:rPr>
        <w:t>术、卡片识别技术，围绕基于物联网应用的射频识别与系统集</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316" w:lineRule="auto"/>
        <w:ind w:left="-21" w:right="1086"/>
        <w:jc w:val="both"/>
      </w:pPr>
      <w:r>
        <w:rPr/>
        <w:t>配套移动智能终端的应用， </w:t>
      </w:r>
      <w:r>
        <w:rPr>
          <w:spacing w:val="-5"/>
        </w:rPr>
        <w:t>增强公司产品的附加值，提</w:t>
      </w:r>
      <w:r>
        <w:rPr>
          <w:spacing w:val="-86"/>
        </w:rPr>
        <w:t> </w:t>
      </w:r>
      <w:r>
        <w:rPr>
          <w:spacing w:val="-86"/>
        </w:rPr>
      </w:r>
      <w:r>
        <w:rPr/>
        <w:t>升公司产品的竞争力</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12" w:lineRule="exact" w:before="128"/>
        <w:ind w:left="-21" w:right="0"/>
        <w:jc w:val="both"/>
      </w:pPr>
      <w:r>
        <w:rPr>
          <w:spacing w:val="10"/>
        </w:rPr>
        <w:t>提升公司在智能移动支付</w:t>
      </w:r>
    </w:p>
    <w:p>
      <w:pPr>
        <w:spacing w:after="0" w:line="212" w:lineRule="exact"/>
        <w:jc w:val="both"/>
        <w:sectPr>
          <w:type w:val="continuous"/>
          <w:pgSz w:w="11910" w:h="16840"/>
          <w:pgMar w:top="1060" w:bottom="1160" w:left="980" w:right="0"/>
          <w:cols w:num="3" w:equalWidth="0">
            <w:col w:w="1757" w:space="40"/>
            <w:col w:w="5862" w:space="40"/>
            <w:col w:w="3231"/>
          </w:cols>
        </w:sectPr>
      </w:pPr>
    </w:p>
    <w:p>
      <w:pPr>
        <w:pStyle w:val="BodyText"/>
        <w:tabs>
          <w:tab w:pos="676" w:val="left" w:leader="none"/>
        </w:tabs>
        <w:spacing w:line="194" w:lineRule="exact"/>
        <w:ind w:left="277" w:right="-20"/>
        <w:jc w:val="left"/>
      </w:pPr>
      <w:r>
        <w:rPr>
          <w:rFonts w:ascii="Times New Roman" w:hAnsi="Times New Roman" w:cs="Times New Roman" w:eastAsia="Times New Roman" w:hint="default"/>
        </w:rPr>
        <w:t>34</w:t>
        <w:tab/>
      </w:r>
      <w:r>
        <w:rPr/>
        <w:t>端自助售卡应</w:t>
      </w:r>
    </w:p>
    <w:p>
      <w:pPr>
        <w:pStyle w:val="BodyText"/>
        <w:spacing w:line="240" w:lineRule="auto" w:before="63"/>
        <w:ind w:left="947" w:right="-20"/>
        <w:jc w:val="left"/>
      </w:pPr>
      <w:r>
        <w:rPr/>
        <w:t>用软件</w:t>
      </w:r>
    </w:p>
    <w:p>
      <w:pPr>
        <w:pStyle w:val="BodyText"/>
        <w:spacing w:line="309" w:lineRule="auto" w:before="100"/>
        <w:ind w:left="67" w:right="0"/>
        <w:jc w:val="both"/>
      </w:pPr>
      <w:r>
        <w:rPr>
          <w:spacing w:val="-3"/>
        </w:rPr>
        <w:br w:type="column"/>
      </w:r>
      <w:r>
        <w:rPr>
          <w:spacing w:val="-3"/>
        </w:rPr>
        <w:t>成技术，结合卡数据动态监测预警机制和邮件通知技术，以智</w:t>
      </w:r>
      <w:r>
        <w:rPr>
          <w:spacing w:val="-69"/>
        </w:rPr>
        <w:t> </w:t>
      </w:r>
      <w:r>
        <w:rPr>
          <w:spacing w:val="-69"/>
        </w:rPr>
      </w:r>
      <w:r>
        <w:rPr>
          <w:spacing w:val="-2"/>
        </w:rPr>
        <w:t>能移动金融支付终端为载体，构建适用于用户需求的</w:t>
      </w:r>
      <w:r>
        <w:rPr>
          <w:rFonts w:ascii="Times New Roman" w:hAnsi="Times New Roman" w:cs="Times New Roman" w:eastAsia="Times New Roman" w:hint="default"/>
          <w:spacing w:val="-2"/>
        </w:rPr>
        <w:t>O2O</w:t>
      </w:r>
      <w:r>
        <w:rPr>
          <w:spacing w:val="-2"/>
        </w:rPr>
        <w:t>移动</w:t>
      </w:r>
      <w:r>
        <w:rPr>
          <w:spacing w:val="-86"/>
        </w:rPr>
        <w:t> </w:t>
      </w:r>
      <w:r>
        <w:rPr/>
        <w:t>支付等移动支付应用进行交通卡售卡整体解决方案</w:t>
      </w:r>
    </w:p>
    <w:p>
      <w:pPr>
        <w:pStyle w:val="BodyText"/>
        <w:spacing w:line="180" w:lineRule="exact"/>
        <w:ind w:left="-20" w:right="-19"/>
        <w:jc w:val="left"/>
      </w:pPr>
      <w:r>
        <w:rPr>
          <w:spacing w:val="14"/>
        </w:rPr>
        <w:br w:type="column"/>
      </w:r>
      <w:r>
        <w:rPr>
          <w:spacing w:val="14"/>
        </w:rPr>
        <w:t>申请软件著</w:t>
      </w:r>
    </w:p>
    <w:p>
      <w:pPr>
        <w:pStyle w:val="BodyText"/>
        <w:spacing w:line="240" w:lineRule="auto" w:before="76"/>
        <w:ind w:left="-20" w:right="-19"/>
        <w:jc w:val="left"/>
      </w:pPr>
      <w:r>
        <w:rPr/>
        <w:t>作权</w:t>
      </w:r>
    </w:p>
    <w:p>
      <w:pPr>
        <w:pStyle w:val="BodyText"/>
        <w:spacing w:line="240" w:lineRule="auto" w:before="100"/>
        <w:ind w:left="-21" w:right="0"/>
        <w:jc w:val="left"/>
      </w:pPr>
      <w:r>
        <w:rPr/>
        <w:br w:type="column"/>
      </w:r>
      <w:r>
        <w:rPr/>
        <w:t>领域的竞争力</w:t>
      </w:r>
    </w:p>
    <w:p>
      <w:pPr>
        <w:spacing w:after="0" w:line="240" w:lineRule="auto"/>
        <w:jc w:val="left"/>
        <w:sectPr>
          <w:type w:val="continuous"/>
          <w:pgSz w:w="11910" w:h="16840"/>
          <w:pgMar w:top="1060" w:bottom="1160" w:left="980" w:right="0"/>
          <w:cols w:num="4" w:equalWidth="0">
            <w:col w:w="1757" w:space="40"/>
            <w:col w:w="4870" w:space="40"/>
            <w:col w:w="952" w:space="40"/>
            <w:col w:w="3231"/>
          </w:cols>
        </w:sectPr>
      </w:pPr>
    </w:p>
    <w:p>
      <w:pPr>
        <w:pStyle w:val="BodyText"/>
        <w:spacing w:line="312" w:lineRule="exact" w:before="19"/>
        <w:ind w:left="1864" w:right="1133"/>
        <w:jc w:val="left"/>
      </w:pPr>
      <w:r>
        <w:rPr>
          <w:spacing w:val="-1"/>
        </w:rPr>
        <w:t>本软件将采用射频技术（</w:t>
      </w:r>
      <w:r>
        <w:rPr>
          <w:rFonts w:ascii="Times New Roman" w:hAnsi="Times New Roman" w:cs="Times New Roman" w:eastAsia="Times New Roman" w:hint="default"/>
          <w:spacing w:val="-1"/>
        </w:rPr>
        <w:t>RFID</w:t>
      </w:r>
      <w:r>
        <w:rPr>
          <w:spacing w:val="-1"/>
        </w:rPr>
        <w:t>）、</w:t>
      </w:r>
      <w:r>
        <w:rPr>
          <w:rFonts w:ascii="Times New Roman" w:hAnsi="Times New Roman" w:cs="Times New Roman" w:eastAsia="Times New Roman" w:hint="default"/>
          <w:spacing w:val="-1"/>
        </w:rPr>
        <w:t>NFC</w:t>
      </w:r>
      <w:r>
        <w:rPr>
          <w:spacing w:val="-1"/>
        </w:rPr>
        <w:t>近场支付、移动支付、</w:t>
      </w:r>
      <w:r>
        <w:rPr>
          <w:spacing w:val="-74"/>
        </w:rPr>
        <w:t> </w:t>
      </w:r>
      <w:r>
        <w:rPr>
          <w:spacing w:val="-74"/>
        </w:rPr>
      </w:r>
      <w:r>
        <w:rPr/>
        <w:t>全地理信息系统（</w:t>
      </w:r>
      <w:r>
        <w:rPr>
          <w:rFonts w:ascii="Times New Roman" w:hAnsi="Times New Roman" w:cs="Times New Roman" w:eastAsia="Times New Roman" w:hint="default"/>
        </w:rPr>
        <w:t>GIS</w:t>
      </w:r>
      <w:r>
        <w:rPr/>
        <w:t>）、共享</w:t>
      </w:r>
      <w:r>
        <w:rPr>
          <w:rFonts w:ascii="Times New Roman" w:hAnsi="Times New Roman" w:cs="Times New Roman" w:eastAsia="Times New Roman" w:hint="default"/>
        </w:rPr>
        <w:t>WIFI</w:t>
      </w:r>
      <w:r>
        <w:rPr/>
        <w:t>技术、机器对机器通信</w:t>
      </w:r>
    </w:p>
    <w:p>
      <w:pPr>
        <w:spacing w:after="0" w:line="312" w:lineRule="exact"/>
        <w:jc w:val="left"/>
        <w:sectPr>
          <w:type w:val="continuous"/>
          <w:pgSz w:w="11910" w:h="16840"/>
          <w:pgMar w:top="1060" w:bottom="1160" w:left="980" w:right="0"/>
        </w:sectPr>
      </w:pPr>
    </w:p>
    <w:p>
      <w:pPr>
        <w:pStyle w:val="BodyText"/>
        <w:spacing w:line="224" w:lineRule="exact" w:before="39"/>
        <w:ind w:left="606" w:right="-15"/>
        <w:jc w:val="left"/>
      </w:pPr>
      <w:r>
        <w:rPr/>
        <w:t>多媒体终端</w:t>
      </w:r>
      <w:r>
        <w:rPr>
          <w:rFonts w:ascii="Times New Roman" w:hAnsi="Times New Roman" w:cs="Times New Roman" w:eastAsia="Times New Roman" w:hint="default"/>
        </w:rPr>
        <w:t>MIS</w:t>
      </w:r>
      <w:r>
        <w:rPr>
          <w:rFonts w:ascii="Times New Roman" w:hAnsi="Times New Roman" w:cs="Times New Roman" w:eastAsia="Times New Roman" w:hint="default"/>
          <w:spacing w:val="-11"/>
        </w:rPr>
        <w:t> </w:t>
      </w:r>
      <w:r>
        <w:rPr/>
        <w:t>（</w:t>
      </w:r>
      <w:r>
        <w:rPr>
          <w:rFonts w:ascii="Times New Roman" w:hAnsi="Times New Roman" w:cs="Times New Roman" w:eastAsia="Times New Roman" w:hint="default"/>
        </w:rPr>
        <w:t>M2M</w:t>
      </w:r>
      <w:r>
        <w:rPr/>
        <w:t>）技术、大型数据库技术的应用，围绕基于物联网应</w:t>
      </w:r>
    </w:p>
    <w:p>
      <w:pPr>
        <w:pStyle w:val="BodyText"/>
        <w:spacing w:line="144" w:lineRule="exact"/>
        <w:ind w:left="277" w:right="-15"/>
        <w:jc w:val="left"/>
        <w:rPr>
          <w:rFonts w:ascii="Times New Roman" w:hAnsi="Times New Roman" w:cs="Times New Roman" w:eastAsia="Times New Roman" w:hint="default"/>
        </w:rPr>
      </w:pPr>
      <w:r>
        <w:rPr>
          <w:rFonts w:ascii="Times New Roman"/>
        </w:rPr>
        <w:t>35</w:t>
      </w:r>
    </w:p>
    <w:p>
      <w:pPr>
        <w:pStyle w:val="BodyText"/>
        <w:spacing w:line="119" w:lineRule="exact"/>
        <w:ind w:left="51" w:right="-19"/>
        <w:jc w:val="left"/>
      </w:pPr>
      <w:r>
        <w:rPr>
          <w:spacing w:val="13"/>
        </w:rPr>
        <w:br w:type="column"/>
      </w:r>
      <w:r>
        <w:rPr>
          <w:spacing w:val="13"/>
        </w:rPr>
        <w:t>已上线，</w:t>
      </w:r>
      <w:r>
        <w:rPr>
          <w:spacing w:val="-72"/>
        </w:rPr>
        <w:t> </w:t>
      </w:r>
      <w:r>
        <w:rPr/>
        <w:t>已</w:t>
      </w:r>
    </w:p>
    <w:p>
      <w:pPr>
        <w:pStyle w:val="BodyText"/>
        <w:spacing w:line="212" w:lineRule="exact" w:before="76"/>
        <w:ind w:left="51" w:right="-19"/>
        <w:jc w:val="left"/>
      </w:pPr>
      <w:r>
        <w:rPr>
          <w:spacing w:val="14"/>
        </w:rPr>
        <w:t>申请软件著</w:t>
      </w:r>
    </w:p>
    <w:p>
      <w:pPr>
        <w:pStyle w:val="BodyText"/>
        <w:spacing w:line="240" w:lineRule="auto" w:before="39"/>
        <w:ind w:left="-21" w:right="0"/>
        <w:jc w:val="left"/>
      </w:pPr>
      <w:r>
        <w:rPr>
          <w:spacing w:val="10"/>
        </w:rPr>
        <w:br w:type="column"/>
      </w:r>
      <w:r>
        <w:rPr>
          <w:spacing w:val="10"/>
        </w:rPr>
        <w:t>提升公司在智能移动支付</w:t>
      </w:r>
    </w:p>
    <w:p>
      <w:pPr>
        <w:spacing w:after="0" w:line="240" w:lineRule="auto"/>
        <w:jc w:val="left"/>
        <w:sectPr>
          <w:type w:val="continuous"/>
          <w:pgSz w:w="11910" w:h="16840"/>
          <w:pgMar w:top="1060" w:bottom="1160" w:left="980" w:right="0"/>
          <w:cols w:num="3" w:equalWidth="0">
            <w:col w:w="6596" w:space="40"/>
            <w:col w:w="1023" w:space="40"/>
            <w:col w:w="3231"/>
          </w:cols>
        </w:sectPr>
      </w:pPr>
    </w:p>
    <w:p>
      <w:pPr>
        <w:pStyle w:val="BodyText"/>
        <w:spacing w:line="180" w:lineRule="exact"/>
        <w:ind w:left="676" w:right="0"/>
        <w:jc w:val="center"/>
      </w:pPr>
      <w:r>
        <w:rPr/>
        <w:t>应用软件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BodyText"/>
        <w:spacing w:line="217" w:lineRule="exact"/>
        <w:ind w:left="676" w:right="0"/>
        <w:jc w:val="center"/>
      </w:pPr>
      <w:r>
        <w:rPr/>
        <w:t>人脸识别无感</w:t>
      </w:r>
    </w:p>
    <w:p>
      <w:pPr>
        <w:pStyle w:val="BodyText"/>
        <w:spacing w:line="142" w:lineRule="exact"/>
        <w:ind w:left="277" w:right="-20"/>
        <w:jc w:val="left"/>
        <w:rPr>
          <w:rFonts w:ascii="Times New Roman" w:hAnsi="Times New Roman" w:cs="Times New Roman" w:eastAsia="Times New Roman" w:hint="default"/>
        </w:rPr>
      </w:pPr>
      <w:r>
        <w:rPr>
          <w:rFonts w:ascii="Times New Roman"/>
        </w:rPr>
        <w:t>36</w:t>
      </w:r>
    </w:p>
    <w:p>
      <w:pPr>
        <w:pStyle w:val="BodyText"/>
        <w:spacing w:line="189" w:lineRule="exact"/>
        <w:ind w:left="676" w:right="0"/>
        <w:jc w:val="center"/>
      </w:pPr>
      <w:r>
        <w:rPr/>
        <w:t>支付应用软件</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pStyle w:val="BodyText"/>
        <w:spacing w:line="240" w:lineRule="auto"/>
        <w:ind w:left="676" w:right="0"/>
        <w:jc w:val="center"/>
      </w:pPr>
      <w:r>
        <w:rPr/>
        <w:t>银医自助服务</w:t>
      </w:r>
    </w:p>
    <w:p>
      <w:pPr>
        <w:pStyle w:val="BodyText"/>
        <w:spacing w:line="180" w:lineRule="exact"/>
        <w:ind w:left="67" w:right="0"/>
        <w:jc w:val="both"/>
      </w:pPr>
      <w:r>
        <w:rPr>
          <w:spacing w:val="-3"/>
        </w:rPr>
        <w:br w:type="column"/>
      </w:r>
      <w:r>
        <w:rPr>
          <w:spacing w:val="-3"/>
        </w:rPr>
        <w:t>用的射频识别与系统集成技术，以智能移动金融支付终端为载</w:t>
      </w:r>
    </w:p>
    <w:p>
      <w:pPr>
        <w:pStyle w:val="BodyText"/>
        <w:spacing w:line="300" w:lineRule="auto" w:before="76"/>
        <w:ind w:left="67" w:right="1"/>
        <w:jc w:val="both"/>
      </w:pPr>
      <w:r>
        <w:rPr>
          <w:spacing w:val="-2"/>
        </w:rPr>
        <w:t>体，构建适用于用户需求的</w:t>
      </w:r>
      <w:r>
        <w:rPr>
          <w:rFonts w:ascii="Times New Roman" w:hAnsi="Times New Roman" w:cs="Times New Roman" w:eastAsia="Times New Roman" w:hint="default"/>
          <w:spacing w:val="-2"/>
        </w:rPr>
        <w:t>O2O</w:t>
      </w:r>
      <w:r>
        <w:rPr>
          <w:spacing w:val="-2"/>
        </w:rPr>
        <w:t>移动支付等移动支付应用进行</w:t>
      </w:r>
      <w:r>
        <w:rPr>
          <w:spacing w:val="-87"/>
        </w:rPr>
        <w:t> </w:t>
      </w:r>
      <w:r>
        <w:rPr/>
        <w:t>交通卡充值整体解决方案</w:t>
      </w:r>
    </w:p>
    <w:p>
      <w:pPr>
        <w:pStyle w:val="BodyText"/>
        <w:spacing w:line="316" w:lineRule="auto" w:before="67"/>
        <w:ind w:left="67" w:right="0"/>
        <w:jc w:val="both"/>
      </w:pPr>
      <w:r>
        <w:rPr>
          <w:spacing w:val="-3"/>
        </w:rPr>
        <w:t>本软件集成了人工智能、机器识别、机器学习、模型理论、专</w:t>
      </w:r>
      <w:r>
        <w:rPr>
          <w:spacing w:val="-71"/>
        </w:rPr>
        <w:t> </w:t>
      </w:r>
      <w:r>
        <w:rPr>
          <w:spacing w:val="-71"/>
        </w:rPr>
      </w:r>
      <w:r>
        <w:rPr>
          <w:spacing w:val="-3"/>
        </w:rPr>
        <w:t>家系统、视频图像处理等多种专业技术，同时需结合中间值处</w:t>
      </w:r>
      <w:r>
        <w:rPr>
          <w:spacing w:val="-69"/>
        </w:rPr>
        <w:t> </w:t>
      </w:r>
      <w:r>
        <w:rPr>
          <w:spacing w:val="-69"/>
        </w:rPr>
      </w:r>
      <w:r>
        <w:rPr>
          <w:spacing w:val="-3"/>
        </w:rPr>
        <w:t>理的理论与实现，是生物特征识别的最新应用，其核心技术的</w:t>
      </w:r>
      <w:r>
        <w:rPr>
          <w:spacing w:val="-69"/>
        </w:rPr>
        <w:t> </w:t>
      </w:r>
      <w:r>
        <w:rPr>
          <w:spacing w:val="-69"/>
        </w:rPr>
      </w:r>
      <w:r>
        <w:rPr/>
        <w:t>实现，展现了弱人工智能向强人工智能的转化</w:t>
      </w:r>
    </w:p>
    <w:p>
      <w:pPr>
        <w:pStyle w:val="BodyText"/>
        <w:spacing w:line="240" w:lineRule="auto" w:before="52"/>
        <w:ind w:left="67" w:right="0"/>
        <w:jc w:val="both"/>
      </w:pPr>
      <w:r>
        <w:rPr>
          <w:spacing w:val="-3"/>
        </w:rPr>
        <w:t>本软件致力于医院门诊就诊流程再造，有效缩短患者就诊的无</w:t>
      </w:r>
    </w:p>
    <w:p>
      <w:pPr>
        <w:spacing w:before="100"/>
        <w:ind w:left="-2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作权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BodyText"/>
        <w:spacing w:line="240" w:lineRule="auto"/>
        <w:ind w:left="-20" w:right="-20"/>
        <w:jc w:val="left"/>
      </w:pPr>
      <w:r>
        <w:rPr/>
        <w:t>试运行阶段</w:t>
      </w:r>
    </w:p>
    <w:p>
      <w:pPr>
        <w:pStyle w:val="BodyText"/>
        <w:spacing w:line="180" w:lineRule="exact"/>
        <w:ind w:left="51" w:right="1138"/>
        <w:jc w:val="left"/>
      </w:pPr>
      <w:r>
        <w:rPr/>
        <w:br w:type="column"/>
      </w:r>
      <w:r>
        <w:rPr/>
        <w:t>领域的竞争力</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BodyText"/>
        <w:spacing w:line="316" w:lineRule="auto"/>
        <w:ind w:left="51" w:right="1138"/>
        <w:jc w:val="left"/>
      </w:pPr>
      <w:r>
        <w:rPr>
          <w:spacing w:val="10"/>
        </w:rPr>
        <w:t>提升公司在行业智能终端</w:t>
      </w:r>
      <w:r>
        <w:rPr>
          <w:spacing w:val="-85"/>
        </w:rPr>
        <w:t> </w:t>
      </w:r>
      <w:r>
        <w:rPr>
          <w:spacing w:val="-85"/>
        </w:rPr>
      </w:r>
      <w:r>
        <w:rPr/>
        <w:t>应用领域的市场竞争力</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12" w:lineRule="exact"/>
        <w:ind w:left="51" w:right="0"/>
        <w:jc w:val="left"/>
      </w:pPr>
      <w:r>
        <w:rPr>
          <w:spacing w:val="10"/>
        </w:rPr>
        <w:t>提升公司在智能移动支付</w:t>
      </w:r>
    </w:p>
    <w:p>
      <w:pPr>
        <w:spacing w:after="0" w:line="212" w:lineRule="exact"/>
        <w:jc w:val="left"/>
        <w:sectPr>
          <w:type w:val="continuous"/>
          <w:pgSz w:w="11910" w:h="16840"/>
          <w:pgMar w:top="1060" w:bottom="1160" w:left="980" w:right="0"/>
          <w:cols w:num="4" w:equalWidth="0">
            <w:col w:w="1757" w:space="40"/>
            <w:col w:w="4870" w:space="40"/>
            <w:col w:w="881" w:space="40"/>
            <w:col w:w="3302"/>
          </w:cols>
        </w:sectPr>
      </w:pPr>
    </w:p>
    <w:p>
      <w:pPr>
        <w:pStyle w:val="BodyText"/>
        <w:tabs>
          <w:tab w:pos="676" w:val="left" w:leader="none"/>
        </w:tabs>
        <w:spacing w:line="194" w:lineRule="exact"/>
        <w:ind w:left="277" w:right="-20"/>
        <w:jc w:val="left"/>
      </w:pPr>
      <w:r>
        <w:rPr>
          <w:rFonts w:ascii="Times New Roman" w:hAnsi="Times New Roman" w:cs="Times New Roman" w:eastAsia="Times New Roman" w:hint="default"/>
        </w:rPr>
        <w:t>37</w:t>
        <w:tab/>
      </w:r>
      <w:r>
        <w:rPr/>
        <w:t>站终端应用软</w:t>
      </w:r>
    </w:p>
    <w:p>
      <w:pPr>
        <w:pStyle w:val="BodyText"/>
        <w:spacing w:line="240" w:lineRule="auto" w:before="63"/>
        <w:ind w:left="676" w:right="0"/>
        <w:jc w:val="center"/>
      </w:pPr>
      <w:r>
        <w:rPr/>
        <w:t>件</w:t>
      </w:r>
    </w:p>
    <w:p>
      <w:pPr>
        <w:spacing w:line="240" w:lineRule="auto" w:before="7"/>
        <w:rPr>
          <w:rFonts w:ascii="宋体" w:hAnsi="宋体" w:cs="宋体" w:eastAsia="宋体" w:hint="default"/>
          <w:sz w:val="20"/>
          <w:szCs w:val="20"/>
        </w:rPr>
      </w:pPr>
    </w:p>
    <w:p>
      <w:pPr>
        <w:pStyle w:val="BodyText"/>
        <w:spacing w:line="212" w:lineRule="exact"/>
        <w:ind w:left="676" w:right="0"/>
        <w:jc w:val="center"/>
      </w:pPr>
      <w:r>
        <w:rPr/>
        <w:t>商户云对账应</w:t>
      </w:r>
    </w:p>
    <w:p>
      <w:pPr>
        <w:pStyle w:val="BodyText"/>
        <w:spacing w:line="180" w:lineRule="exact"/>
        <w:ind w:left="67" w:right="-11"/>
        <w:jc w:val="left"/>
      </w:pPr>
      <w:r>
        <w:rPr>
          <w:spacing w:val="-3"/>
        </w:rPr>
        <w:br w:type="column"/>
      </w:r>
      <w:r>
        <w:rPr>
          <w:spacing w:val="-3"/>
        </w:rPr>
        <w:t>效等候时间，确保门诊医疗服务的标准化和实效性，提高患者</w:t>
      </w:r>
      <w:r>
        <w:rPr>
          <w:spacing w:val="-49"/>
        </w:rPr>
        <w:t> </w:t>
      </w:r>
      <w:r>
        <w:rPr/>
        <w:t>已上线</w:t>
      </w:r>
    </w:p>
    <w:p>
      <w:pPr>
        <w:pStyle w:val="BodyText"/>
        <w:spacing w:line="355" w:lineRule="auto" w:before="76"/>
        <w:ind w:left="67" w:right="-17"/>
        <w:jc w:val="left"/>
      </w:pPr>
      <w:r>
        <w:rPr/>
        <w:t>对医院的信任度和满意度。 </w:t>
      </w:r>
      <w:r>
        <w:rPr>
          <w:spacing w:val="-3"/>
        </w:rPr>
        <w:t>本软件是防止防范资损风险的主要保障之一，商户只需在微信</w:t>
      </w:r>
      <w:r>
        <w:rPr>
          <w:spacing w:val="-55"/>
        </w:rPr>
        <w:t> </w:t>
      </w:r>
      <w:r>
        <w:rPr>
          <w:spacing w:val="13"/>
        </w:rPr>
        <w:t>已上线，</w:t>
      </w:r>
      <w:r>
        <w:rPr>
          <w:spacing w:val="-65"/>
        </w:rPr>
        <w:t> </w:t>
      </w:r>
      <w:r>
        <w:rPr/>
        <w:t>已</w:t>
      </w:r>
    </w:p>
    <w:p>
      <w:pPr>
        <w:pStyle w:val="BodyText"/>
        <w:spacing w:line="240" w:lineRule="auto" w:before="100"/>
        <w:ind w:left="-21" w:right="0"/>
        <w:jc w:val="left"/>
      </w:pPr>
      <w:r>
        <w:rPr/>
        <w:br w:type="column"/>
      </w:r>
      <w:r>
        <w:rPr/>
        <w:t>领域的竞争力</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BodyText"/>
        <w:spacing w:line="212" w:lineRule="exact"/>
        <w:ind w:left="-21" w:right="0"/>
        <w:jc w:val="left"/>
      </w:pPr>
      <w:r>
        <w:rPr>
          <w:spacing w:val="10"/>
        </w:rPr>
        <w:t>提升公司在互联网支付领</w:t>
      </w:r>
    </w:p>
    <w:p>
      <w:pPr>
        <w:spacing w:after="0" w:line="212" w:lineRule="exact"/>
        <w:jc w:val="left"/>
        <w:sectPr>
          <w:type w:val="continuous"/>
          <w:pgSz w:w="11910" w:h="16840"/>
          <w:pgMar w:top="1060" w:bottom="1160" w:left="980" w:right="0"/>
          <w:cols w:num="3" w:equalWidth="0">
            <w:col w:w="1757" w:space="40"/>
            <w:col w:w="5862" w:space="40"/>
            <w:col w:w="3231"/>
          </w:cols>
        </w:sectPr>
      </w:pPr>
    </w:p>
    <w:p>
      <w:pPr>
        <w:pStyle w:val="BodyText"/>
        <w:spacing w:line="147" w:lineRule="exact"/>
        <w:ind w:left="277" w:right="-20"/>
        <w:jc w:val="left"/>
        <w:rPr>
          <w:rFonts w:ascii="Times New Roman" w:hAnsi="Times New Roman" w:cs="Times New Roman" w:eastAsia="Times New Roman" w:hint="default"/>
        </w:rPr>
      </w:pPr>
      <w:r>
        <w:rPr>
          <w:rFonts w:ascii="Times New Roman"/>
        </w:rPr>
        <w:t>38</w:t>
      </w:r>
    </w:p>
    <w:p>
      <w:pPr>
        <w:pStyle w:val="BodyText"/>
        <w:spacing w:line="189" w:lineRule="exact"/>
        <w:ind w:left="676" w:right="0"/>
        <w:jc w:val="center"/>
      </w:pPr>
      <w:r>
        <w:rPr/>
        <w:t>用软件</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BodyText"/>
        <w:spacing w:line="217" w:lineRule="exact"/>
        <w:ind w:left="676" w:right="0"/>
        <w:jc w:val="center"/>
      </w:pPr>
      <w:r>
        <w:rPr/>
        <w:t>移动应用管理</w:t>
      </w:r>
    </w:p>
    <w:p>
      <w:pPr>
        <w:pStyle w:val="BodyText"/>
        <w:spacing w:line="142" w:lineRule="exact"/>
        <w:ind w:left="277" w:right="-20"/>
        <w:jc w:val="left"/>
        <w:rPr>
          <w:rFonts w:ascii="Times New Roman" w:hAnsi="Times New Roman" w:cs="Times New Roman" w:eastAsia="Times New Roman" w:hint="default"/>
        </w:rPr>
      </w:pPr>
      <w:r>
        <w:rPr>
          <w:rFonts w:ascii="Times New Roman"/>
        </w:rPr>
        <w:t>39</w:t>
      </w:r>
    </w:p>
    <w:p>
      <w:pPr>
        <w:pStyle w:val="BodyText"/>
        <w:spacing w:line="189" w:lineRule="exact"/>
        <w:ind w:left="676" w:right="0"/>
        <w:jc w:val="center"/>
      </w:pPr>
      <w:r>
        <w:rPr/>
        <w:t>系统软件</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BodyText"/>
        <w:spacing w:line="217" w:lineRule="exact"/>
        <w:ind w:left="676" w:right="0"/>
        <w:jc w:val="center"/>
      </w:pPr>
      <w:r>
        <w:rPr/>
        <w:t>智能终端保险</w:t>
      </w:r>
    </w:p>
    <w:p>
      <w:pPr>
        <w:pStyle w:val="BodyText"/>
        <w:spacing w:line="142" w:lineRule="exact"/>
        <w:ind w:left="277" w:right="-20"/>
        <w:jc w:val="left"/>
        <w:rPr>
          <w:rFonts w:ascii="Times New Roman" w:hAnsi="Times New Roman" w:cs="Times New Roman" w:eastAsia="Times New Roman" w:hint="default"/>
        </w:rPr>
      </w:pPr>
      <w:r>
        <w:rPr>
          <w:rFonts w:ascii="Times New Roman"/>
        </w:rPr>
        <w:t>40</w:t>
      </w:r>
    </w:p>
    <w:p>
      <w:pPr>
        <w:pStyle w:val="BodyText"/>
        <w:spacing w:line="189" w:lineRule="exact"/>
        <w:ind w:left="676" w:right="0"/>
        <w:jc w:val="center"/>
      </w:pPr>
      <w:r>
        <w:rPr/>
        <w:t>缴费应用软件</w:t>
      </w:r>
    </w:p>
    <w:p>
      <w:pPr>
        <w:pStyle w:val="BodyText"/>
        <w:spacing w:line="194" w:lineRule="exact"/>
        <w:ind w:left="67" w:right="0"/>
        <w:jc w:val="left"/>
      </w:pPr>
      <w:r>
        <w:rPr/>
        <w:br w:type="column"/>
      </w:r>
      <w:r>
        <w:rPr/>
        <w:t>公众号或者</w:t>
      </w:r>
      <w:r>
        <w:rPr>
          <w:rFonts w:ascii="Times New Roman" w:hAnsi="Times New Roman" w:cs="Times New Roman" w:eastAsia="Times New Roman" w:hint="default"/>
        </w:rPr>
        <w:t>PC</w:t>
      </w:r>
      <w:r>
        <w:rPr/>
        <w:t>端输入商户号或者手机号，进入系统后即可查</w:t>
      </w:r>
    </w:p>
    <w:p>
      <w:pPr>
        <w:pStyle w:val="BodyText"/>
        <w:spacing w:line="336" w:lineRule="auto" w:before="63"/>
        <w:ind w:left="67" w:right="0"/>
        <w:jc w:val="left"/>
      </w:pPr>
      <w:r>
        <w:rPr/>
        <w:t>看交易数据，随时随地、方便快捷 本系统主要是通过平台实现占位型和展示型小程序的注册和 </w:t>
      </w:r>
      <w:r>
        <w:rPr>
          <w:spacing w:val="-3"/>
        </w:rPr>
        <w:t>可视化编辑以及发布，实现小程序的开发和发布闭环，具有快</w:t>
      </w:r>
    </w:p>
    <w:p>
      <w:pPr>
        <w:pStyle w:val="BodyText"/>
        <w:spacing w:line="336" w:lineRule="auto" w:before="4"/>
        <w:ind w:left="67" w:right="0"/>
        <w:jc w:val="left"/>
      </w:pPr>
      <w:r>
        <w:rPr>
          <w:spacing w:val="-3"/>
        </w:rPr>
        <w:t>速开发、统一管理、发布的优势，从而方便快捷的满足商户的</w:t>
      </w:r>
      <w:r>
        <w:rPr>
          <w:spacing w:val="-72"/>
        </w:rPr>
        <w:t> </w:t>
      </w:r>
      <w:r>
        <w:rPr>
          <w:spacing w:val="-72"/>
        </w:rPr>
      </w:r>
      <w:r>
        <w:rPr/>
        <w:t>需求 </w:t>
      </w:r>
      <w:r>
        <w:rPr>
          <w:spacing w:val="-2"/>
        </w:rPr>
        <w:t>本软件基于智能</w:t>
      </w:r>
      <w:r>
        <w:rPr>
          <w:rFonts w:ascii="Times New Roman" w:hAnsi="Times New Roman" w:cs="Times New Roman" w:eastAsia="Times New Roman" w:hint="default"/>
          <w:spacing w:val="-2"/>
        </w:rPr>
        <w:t>POS</w:t>
      </w:r>
      <w:r>
        <w:rPr>
          <w:spacing w:val="-2"/>
        </w:rPr>
        <w:t>终端的保险缴费程序，以提供给被保险人</w:t>
      </w:r>
    </w:p>
    <w:p>
      <w:pPr>
        <w:pStyle w:val="BodyText"/>
        <w:spacing w:line="219" w:lineRule="exact"/>
        <w:ind w:left="67" w:right="0"/>
        <w:jc w:val="left"/>
      </w:pPr>
      <w:r>
        <w:rPr/>
        <w:t>更灵活的保险缴费方式</w:t>
      </w:r>
    </w:p>
    <w:p>
      <w:pPr>
        <w:pStyle w:val="BodyText"/>
        <w:spacing w:line="240" w:lineRule="auto" w:before="113"/>
        <w:ind w:left="67" w:right="0"/>
        <w:jc w:val="left"/>
      </w:pPr>
      <w:r>
        <w:rPr/>
        <w:t>本软件利用在服务器端的</w:t>
      </w:r>
      <w:r>
        <w:rPr>
          <w:rFonts w:ascii="Times New Roman" w:hAnsi="Times New Roman" w:cs="Times New Roman" w:eastAsia="Times New Roman" w:hint="default"/>
        </w:rPr>
        <w:t>CGI</w:t>
      </w:r>
      <w:r>
        <w:rPr/>
        <w:t>脚本程序把数据源源不断地推</w:t>
      </w:r>
    </w:p>
    <w:p>
      <w:pPr>
        <w:pStyle w:val="BodyText"/>
        <w:spacing w:line="180" w:lineRule="exact"/>
        <w:ind w:left="-20" w:right="0"/>
        <w:jc w:val="both"/>
      </w:pPr>
      <w:r>
        <w:rPr>
          <w:spacing w:val="14"/>
        </w:rPr>
        <w:br w:type="column"/>
      </w:r>
      <w:r>
        <w:rPr>
          <w:spacing w:val="14"/>
        </w:rPr>
        <w:t>申请软件著</w:t>
      </w:r>
    </w:p>
    <w:p>
      <w:pPr>
        <w:pStyle w:val="BodyText"/>
        <w:spacing w:line="240" w:lineRule="auto" w:before="76"/>
        <w:ind w:left="-20" w:right="0"/>
        <w:jc w:val="both"/>
      </w:pPr>
      <w:r>
        <w:rPr/>
        <w:t>作权</w:t>
      </w:r>
    </w:p>
    <w:p>
      <w:pPr>
        <w:spacing w:line="240" w:lineRule="auto" w:before="4"/>
        <w:rPr>
          <w:rFonts w:ascii="宋体" w:hAnsi="宋体" w:cs="宋体" w:eastAsia="宋体" w:hint="default"/>
          <w:sz w:val="20"/>
          <w:szCs w:val="20"/>
        </w:rPr>
      </w:pPr>
    </w:p>
    <w:p>
      <w:pPr>
        <w:pStyle w:val="BodyText"/>
        <w:spacing w:line="316" w:lineRule="auto"/>
        <w:ind w:left="-20" w:right="0"/>
        <w:jc w:val="both"/>
      </w:pPr>
      <w:r>
        <w:rPr>
          <w:spacing w:val="13"/>
        </w:rPr>
        <w:t>已上线，</w:t>
      </w:r>
      <w:r>
        <w:rPr>
          <w:spacing w:val="-73"/>
        </w:rPr>
        <w:t> </w:t>
      </w:r>
      <w:r>
        <w:rPr/>
        <w:t>已</w:t>
      </w:r>
      <w:r>
        <w:rPr/>
        <w:t> </w:t>
      </w:r>
      <w:r>
        <w:rPr>
          <w:spacing w:val="14"/>
        </w:rPr>
        <w:t>申请软件著</w:t>
      </w:r>
      <w:r>
        <w:rPr/>
        <w:t> 作权</w:t>
      </w:r>
    </w:p>
    <w:p>
      <w:pPr>
        <w:pStyle w:val="BodyText"/>
        <w:spacing w:line="660" w:lineRule="exact" w:before="49"/>
        <w:ind w:left="-20" w:right="0"/>
        <w:jc w:val="both"/>
      </w:pPr>
      <w:r>
        <w:rPr/>
        <w:t>已上线 </w:t>
      </w:r>
      <w:r>
        <w:rPr>
          <w:spacing w:val="13"/>
        </w:rPr>
        <w:t>已上线，</w:t>
      </w:r>
      <w:r>
        <w:rPr>
          <w:spacing w:val="-72"/>
        </w:rPr>
        <w:t> </w:t>
      </w:r>
      <w:r>
        <w:rPr/>
        <w:t>已</w:t>
      </w:r>
    </w:p>
    <w:p>
      <w:pPr>
        <w:pStyle w:val="BodyText"/>
        <w:spacing w:line="240" w:lineRule="auto" w:before="100"/>
        <w:ind w:left="-21" w:right="0"/>
        <w:jc w:val="left"/>
      </w:pPr>
      <w:r>
        <w:rPr/>
        <w:br w:type="column"/>
      </w:r>
      <w:r>
        <w:rPr/>
        <w:t>域的竞争力。</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BodyText"/>
        <w:spacing w:line="316" w:lineRule="auto"/>
        <w:ind w:left="-21" w:right="1139"/>
        <w:jc w:val="left"/>
      </w:pPr>
      <w:r>
        <w:rPr>
          <w:spacing w:val="10"/>
        </w:rPr>
        <w:t>提升公司在互联网支付领</w:t>
      </w:r>
      <w:r>
        <w:rPr>
          <w:spacing w:val="-85"/>
        </w:rPr>
        <w:t> </w:t>
      </w:r>
      <w:r>
        <w:rPr>
          <w:spacing w:val="-85"/>
        </w:rPr>
      </w:r>
      <w:r>
        <w:rPr/>
        <w:t>域的竞争力</w:t>
      </w:r>
    </w:p>
    <w:p>
      <w:pPr>
        <w:spacing w:line="240" w:lineRule="auto" w:before="0"/>
        <w:rPr>
          <w:rFonts w:ascii="宋体" w:hAnsi="宋体" w:cs="宋体" w:eastAsia="宋体" w:hint="default"/>
          <w:sz w:val="18"/>
          <w:szCs w:val="18"/>
        </w:rPr>
      </w:pPr>
    </w:p>
    <w:p>
      <w:pPr>
        <w:pStyle w:val="BodyText"/>
        <w:spacing w:line="316" w:lineRule="auto" w:before="131"/>
        <w:ind w:left="-21" w:right="1139"/>
        <w:jc w:val="left"/>
      </w:pPr>
      <w:r>
        <w:rPr>
          <w:spacing w:val="10"/>
        </w:rPr>
        <w:t>提升公司在移动智能管理</w:t>
      </w:r>
      <w:r>
        <w:rPr>
          <w:spacing w:val="-85"/>
        </w:rPr>
        <w:t> </w:t>
      </w:r>
      <w:r>
        <w:rPr>
          <w:spacing w:val="-85"/>
        </w:rPr>
      </w:r>
      <w:r>
        <w:rPr/>
        <w:t>领域的市场竞争力</w:t>
      </w:r>
    </w:p>
    <w:p>
      <w:pPr>
        <w:spacing w:after="0" w:line="316" w:lineRule="auto"/>
        <w:jc w:val="left"/>
        <w:sectPr>
          <w:type w:val="continuous"/>
          <w:pgSz w:w="11910" w:h="16840"/>
          <w:pgMar w:top="1060" w:bottom="1160" w:left="980" w:right="0"/>
          <w:cols w:num="4" w:equalWidth="0">
            <w:col w:w="1757" w:space="40"/>
            <w:col w:w="4870" w:space="40"/>
            <w:col w:w="952" w:space="40"/>
            <w:col w:w="3231"/>
          </w:cols>
        </w:sectPr>
      </w:pPr>
    </w:p>
    <w:p>
      <w:pPr>
        <w:pStyle w:val="BodyText"/>
        <w:spacing w:line="31" w:lineRule="exact"/>
        <w:ind w:left="676" w:right="-20"/>
        <w:jc w:val="left"/>
      </w:pPr>
      <w:r>
        <w:rPr/>
        <w:t>出租车消息推</w:t>
      </w:r>
    </w:p>
    <w:p>
      <w:pPr>
        <w:pStyle w:val="BodyText"/>
        <w:spacing w:line="142" w:lineRule="exact"/>
        <w:ind w:left="277" w:right="-20"/>
        <w:jc w:val="left"/>
        <w:rPr>
          <w:rFonts w:ascii="Times New Roman" w:hAnsi="Times New Roman" w:cs="Times New Roman" w:eastAsia="Times New Roman" w:hint="default"/>
        </w:rPr>
      </w:pPr>
      <w:r>
        <w:rPr>
          <w:rFonts w:ascii="Times New Roman"/>
        </w:rPr>
        <w:t>41</w:t>
      </w:r>
    </w:p>
    <w:p>
      <w:pPr>
        <w:pStyle w:val="BodyText"/>
        <w:spacing w:line="189" w:lineRule="exact"/>
        <w:ind w:left="947" w:right="-20"/>
        <w:jc w:val="left"/>
      </w:pPr>
      <w:r>
        <w:rPr/>
        <w:t>送软件</w:t>
      </w:r>
    </w:p>
    <w:p>
      <w:pPr>
        <w:pStyle w:val="BodyText"/>
        <w:spacing w:line="10" w:lineRule="exact"/>
        <w:ind w:left="67" w:right="-11"/>
        <w:jc w:val="left"/>
      </w:pPr>
      <w:r>
        <w:rPr/>
        <w:br w:type="column"/>
      </w:r>
      <w:r>
        <w:rPr/>
        <w:t>向客户机，从而使客户机和服务器之间的交互性能大大提高，</w:t>
      </w:r>
    </w:p>
    <w:p>
      <w:pPr>
        <w:pStyle w:val="BodyText"/>
        <w:spacing w:line="158" w:lineRule="auto" w:before="31"/>
        <w:ind w:left="67" w:right="-18" w:firstLine="4822"/>
        <w:jc w:val="left"/>
      </w:pPr>
      <w:r>
        <w:rPr>
          <w:spacing w:val="14"/>
        </w:rPr>
        <w:t>申请软件著</w:t>
      </w:r>
      <w:r>
        <w:rPr/>
        <w:t> </w:t>
      </w:r>
      <w:r>
        <w:rPr>
          <w:spacing w:val="-6"/>
        </w:rPr>
        <w:t>减少后台资源的消耗，提升系统运行效率，大大提升用户体验，</w:t>
      </w:r>
    </w:p>
    <w:p>
      <w:pPr>
        <w:pStyle w:val="BodyText"/>
        <w:spacing w:line="141" w:lineRule="exact"/>
        <w:ind w:left="0" w:right="609"/>
        <w:jc w:val="right"/>
      </w:pPr>
      <w:r>
        <w:rPr/>
        <w:t>作权</w:t>
      </w:r>
    </w:p>
    <w:p>
      <w:pPr>
        <w:pStyle w:val="BodyText"/>
        <w:spacing w:line="49" w:lineRule="exact"/>
        <w:ind w:left="-21" w:right="0"/>
        <w:jc w:val="left"/>
      </w:pPr>
      <w:r>
        <w:rPr>
          <w:spacing w:val="10"/>
        </w:rPr>
        <w:br w:type="column"/>
      </w:r>
      <w:r>
        <w:rPr>
          <w:spacing w:val="10"/>
        </w:rPr>
        <w:t>提升公司在行业移动智能</w:t>
      </w:r>
    </w:p>
    <w:p>
      <w:pPr>
        <w:pStyle w:val="BodyText"/>
        <w:spacing w:line="240" w:lineRule="auto" w:before="76"/>
        <w:ind w:left="-21" w:right="0"/>
        <w:jc w:val="left"/>
      </w:pPr>
      <w:r>
        <w:rPr/>
        <w:t>应用领域的市场竞争力</w:t>
      </w:r>
    </w:p>
    <w:p>
      <w:pPr>
        <w:spacing w:after="0" w:line="240" w:lineRule="auto"/>
        <w:jc w:val="left"/>
        <w:sectPr>
          <w:type w:val="continuous"/>
          <w:pgSz w:w="11910" w:h="16840"/>
          <w:pgMar w:top="1060" w:bottom="1160" w:left="980" w:right="0"/>
          <w:cols w:num="3" w:equalWidth="0">
            <w:col w:w="1757" w:space="40"/>
            <w:col w:w="5862" w:space="40"/>
            <w:col w:w="3231"/>
          </w:cols>
        </w:sectPr>
      </w:pPr>
    </w:p>
    <w:p>
      <w:pPr>
        <w:spacing w:line="240" w:lineRule="auto" w:before="0"/>
        <w:rPr>
          <w:rFonts w:ascii="宋体" w:hAnsi="宋体" w:cs="宋体" w:eastAsia="宋体" w:hint="default"/>
          <w:sz w:val="18"/>
          <w:szCs w:val="18"/>
        </w:rPr>
      </w:pPr>
      <w:r>
        <w:rPr/>
        <w:pict>
          <v:group style="position:absolute;margin-left:56.279999pt;margin-top:71.639984pt;width:482.75pt;height:691.7pt;mso-position-horizontal-relative:page;mso-position-vertical-relative:page;z-index:-1221352" coordorigin="1126,1433" coordsize="9655,13834">
            <v:group style="position:absolute;left:1140;top:1447;width:414;height:2" coordorigin="1140,1447" coordsize="414,2">
              <v:shape style="position:absolute;left:1140;top:1447;width:414;height:2" coordorigin="1140,1447" coordsize="414,0" path="m1140,1447l1553,1447e" filled="false" stroked="true" strokeweight=".72pt" strokecolor="#000000">
                <v:path arrowok="t"/>
              </v:shape>
            </v:group>
            <v:group style="position:absolute;left:1568;top:1447;width:1260;height:2" coordorigin="1568,1447" coordsize="1260,2">
              <v:shape style="position:absolute;left:1568;top:1447;width:1260;height:2" coordorigin="1568,1447" coordsize="1260,0" path="m1568,1447l2828,1447e" filled="false" stroked="true" strokeweight=".72pt" strokecolor="#000000">
                <v:path arrowok="t"/>
              </v:shape>
            </v:group>
            <v:group style="position:absolute;left:2842;top:1447;width:4806;height:2" coordorigin="2842,1447" coordsize="4806,2">
              <v:shape style="position:absolute;left:2842;top:1447;width:4806;height:2" coordorigin="2842,1447" coordsize="4806,0" path="m2842,1447l7648,1447e" filled="false" stroked="true" strokeweight=".72pt" strokecolor="#000000">
                <v:path arrowok="t"/>
              </v:shape>
            </v:group>
            <v:group style="position:absolute;left:7662;top:1447;width:977;height:2" coordorigin="7662,1447" coordsize="977,2">
              <v:shape style="position:absolute;left:7662;top:1447;width:977;height:2" coordorigin="7662,1447" coordsize="977,0" path="m7662,1447l8639,1447e" filled="false" stroked="true" strokeweight=".72pt" strokecolor="#000000">
                <v:path arrowok="t"/>
              </v:shape>
            </v:group>
            <v:group style="position:absolute;left:8653;top:1447;width:2113;height:2" coordorigin="8653,1447" coordsize="2113,2">
              <v:shape style="position:absolute;left:8653;top:1447;width:2113;height:2" coordorigin="8653,1447" coordsize="2113,0" path="m8653,1447l10766,1447e" filled="false" stroked="true" strokeweight=".72pt" strokecolor="#000000">
                <v:path arrowok="t"/>
              </v:shape>
            </v:group>
            <v:group style="position:absolute;left:1140;top:2108;width:414;height:2" coordorigin="1140,2108" coordsize="414,2">
              <v:shape style="position:absolute;left:1140;top:2108;width:414;height:2" coordorigin="1140,2108" coordsize="414,0" path="m1140,2108l1553,2108e" filled="false" stroked="true" strokeweight=".72pt" strokecolor="#000000">
                <v:path arrowok="t"/>
              </v:shape>
            </v:group>
            <v:group style="position:absolute;left:1568;top:2108;width:1260;height:2" coordorigin="1568,2108" coordsize="1260,2">
              <v:shape style="position:absolute;left:1568;top:2108;width:1260;height:2" coordorigin="1568,2108" coordsize="1260,0" path="m1568,2108l2828,2108e" filled="false" stroked="true" strokeweight=".72pt" strokecolor="#000000">
                <v:path arrowok="t"/>
              </v:shape>
            </v:group>
            <v:group style="position:absolute;left:2842;top:2108;width:4806;height:2" coordorigin="2842,2108" coordsize="4806,2">
              <v:shape style="position:absolute;left:2842;top:2108;width:4806;height:2" coordorigin="2842,2108" coordsize="4806,0" path="m2842,2108l7648,2108e" filled="false" stroked="true" strokeweight=".72pt" strokecolor="#000000">
                <v:path arrowok="t"/>
              </v:shape>
            </v:group>
            <v:group style="position:absolute;left:7662;top:2108;width:977;height:2" coordorigin="7662,2108" coordsize="977,2">
              <v:shape style="position:absolute;left:7662;top:2108;width:977;height:2" coordorigin="7662,2108" coordsize="977,0" path="m7662,2108l8639,2108e" filled="false" stroked="true" strokeweight=".72pt" strokecolor="#000000">
                <v:path arrowok="t"/>
              </v:shape>
            </v:group>
            <v:group style="position:absolute;left:8653;top:2108;width:2113;height:2" coordorigin="8653,2108" coordsize="2113,2">
              <v:shape style="position:absolute;left:8653;top:2108;width:2113;height:2" coordorigin="8653,2108" coordsize="2113,0" path="m8653,2108l10766,2108e" filled="false" stroked="true" strokeweight=".72pt" strokecolor="#000000">
                <v:path arrowok="t"/>
              </v:shape>
            </v:group>
            <v:group style="position:absolute;left:1140;top:3389;width:414;height:2" coordorigin="1140,3389" coordsize="414,2">
              <v:shape style="position:absolute;left:1140;top:3389;width:414;height:2" coordorigin="1140,3389" coordsize="414,0" path="m1140,3389l1553,3389e" filled="false" stroked="true" strokeweight=".72pt" strokecolor="#000000">
                <v:path arrowok="t"/>
              </v:shape>
            </v:group>
            <v:group style="position:absolute;left:1568;top:3389;width:1260;height:2" coordorigin="1568,3389" coordsize="1260,2">
              <v:shape style="position:absolute;left:1568;top:3389;width:1260;height:2" coordorigin="1568,3389" coordsize="1260,0" path="m1568,3389l2828,3389e" filled="false" stroked="true" strokeweight=".72pt" strokecolor="#000000">
                <v:path arrowok="t"/>
              </v:shape>
            </v:group>
            <v:group style="position:absolute;left:2842;top:3389;width:4806;height:2" coordorigin="2842,3389" coordsize="4806,2">
              <v:shape style="position:absolute;left:2842;top:3389;width:4806;height:2" coordorigin="2842,3389" coordsize="4806,0" path="m2842,3389l7648,3389e" filled="false" stroked="true" strokeweight=".72pt" strokecolor="#000000">
                <v:path arrowok="t"/>
              </v:shape>
            </v:group>
            <v:group style="position:absolute;left:7662;top:3389;width:977;height:2" coordorigin="7662,3389" coordsize="977,2">
              <v:shape style="position:absolute;left:7662;top:3389;width:977;height:2" coordorigin="7662,3389" coordsize="977,0" path="m7662,3389l8639,3389e" filled="false" stroked="true" strokeweight=".72pt" strokecolor="#000000">
                <v:path arrowok="t"/>
              </v:shape>
            </v:group>
            <v:group style="position:absolute;left:8653;top:3389;width:2113;height:2" coordorigin="8653,3389" coordsize="2113,2">
              <v:shape style="position:absolute;left:8653;top:3389;width:2113;height:2" coordorigin="8653,3389" coordsize="2113,0" path="m8653,3389l10766,3389e" filled="false" stroked="true" strokeweight=".72pt" strokecolor="#000000">
                <v:path arrowok="t"/>
              </v:shape>
            </v:group>
            <v:group style="position:absolute;left:1140;top:5297;width:414;height:2" coordorigin="1140,5297" coordsize="414,2">
              <v:shape style="position:absolute;left:1140;top:5297;width:414;height:2" coordorigin="1140,5297" coordsize="414,0" path="m1140,5297l1553,5297e" filled="false" stroked="true" strokeweight=".72pt" strokecolor="#000000">
                <v:path arrowok="t"/>
              </v:shape>
            </v:group>
            <v:group style="position:absolute;left:1568;top:5297;width:1260;height:2" coordorigin="1568,5297" coordsize="1260,2">
              <v:shape style="position:absolute;left:1568;top:5297;width:1260;height:2" coordorigin="1568,5297" coordsize="1260,0" path="m1568,5297l2828,5297e" filled="false" stroked="true" strokeweight=".72pt" strokecolor="#000000">
                <v:path arrowok="t"/>
              </v:shape>
            </v:group>
            <v:group style="position:absolute;left:2842;top:5297;width:4806;height:2" coordorigin="2842,5297" coordsize="4806,2">
              <v:shape style="position:absolute;left:2842;top:5297;width:4806;height:2" coordorigin="2842,5297" coordsize="4806,0" path="m2842,5297l7648,5297e" filled="false" stroked="true" strokeweight=".72pt" strokecolor="#000000">
                <v:path arrowok="t"/>
              </v:shape>
            </v:group>
            <v:group style="position:absolute;left:7662;top:5297;width:977;height:2" coordorigin="7662,5297" coordsize="977,2">
              <v:shape style="position:absolute;left:7662;top:5297;width:977;height:2" coordorigin="7662,5297" coordsize="977,0" path="m7662,5297l8639,5297e" filled="false" stroked="true" strokeweight=".72pt" strokecolor="#000000">
                <v:path arrowok="t"/>
              </v:shape>
            </v:group>
            <v:group style="position:absolute;left:8653;top:5297;width:2113;height:2" coordorigin="8653,5297" coordsize="2113,2">
              <v:shape style="position:absolute;left:8653;top:5297;width:2113;height:2" coordorigin="8653,5297" coordsize="2113,0" path="m8653,5297l10766,5297e" filled="false" stroked="true" strokeweight=".72pt" strokecolor="#000000">
                <v:path arrowok="t"/>
              </v:shape>
            </v:group>
            <v:group style="position:absolute;left:1140;top:7203;width:414;height:2" coordorigin="1140,7203" coordsize="414,2">
              <v:shape style="position:absolute;left:1140;top:7203;width:414;height:2" coordorigin="1140,7203" coordsize="414,0" path="m1140,7203l1553,7203e" filled="false" stroked="true" strokeweight=".72pt" strokecolor="#000000">
                <v:path arrowok="t"/>
              </v:shape>
            </v:group>
            <v:group style="position:absolute;left:1568;top:7203;width:1260;height:2" coordorigin="1568,7203" coordsize="1260,2">
              <v:shape style="position:absolute;left:1568;top:7203;width:1260;height:2" coordorigin="1568,7203" coordsize="1260,0" path="m1568,7203l2828,7203e" filled="false" stroked="true" strokeweight=".72pt" strokecolor="#000000">
                <v:path arrowok="t"/>
              </v:shape>
            </v:group>
            <v:group style="position:absolute;left:2842;top:7203;width:4806;height:2" coordorigin="2842,7203" coordsize="4806,2">
              <v:shape style="position:absolute;left:2842;top:7203;width:4806;height:2" coordorigin="2842,7203" coordsize="4806,0" path="m2842,7203l7648,7203e" filled="false" stroked="true" strokeweight=".72pt" strokecolor="#000000">
                <v:path arrowok="t"/>
              </v:shape>
            </v:group>
            <v:group style="position:absolute;left:7662;top:7203;width:977;height:2" coordorigin="7662,7203" coordsize="977,2">
              <v:shape style="position:absolute;left:7662;top:7203;width:977;height:2" coordorigin="7662,7203" coordsize="977,0" path="m7662,7203l8639,7203e" filled="false" stroked="true" strokeweight=".72pt" strokecolor="#000000">
                <v:path arrowok="t"/>
              </v:shape>
            </v:group>
            <v:group style="position:absolute;left:8653;top:7203;width:2113;height:2" coordorigin="8653,7203" coordsize="2113,2">
              <v:shape style="position:absolute;left:8653;top:7203;width:2113;height:2" coordorigin="8653,7203" coordsize="2113,0" path="m8653,7203l10766,7203e" filled="false" stroked="true" strokeweight=".72pt" strokecolor="#000000">
                <v:path arrowok="t"/>
              </v:shape>
            </v:group>
            <v:group style="position:absolute;left:1140;top:8487;width:414;height:2" coordorigin="1140,8487" coordsize="414,2">
              <v:shape style="position:absolute;left:1140;top:8487;width:414;height:2" coordorigin="1140,8487" coordsize="414,0" path="m1140,8487l1553,8487e" filled="false" stroked="true" strokeweight=".72pt" strokecolor="#000000">
                <v:path arrowok="t"/>
              </v:shape>
            </v:group>
            <v:group style="position:absolute;left:1568;top:8487;width:1260;height:2" coordorigin="1568,8487" coordsize="1260,2">
              <v:shape style="position:absolute;left:1568;top:8487;width:1260;height:2" coordorigin="1568,8487" coordsize="1260,0" path="m1568,8487l2828,8487e" filled="false" stroked="true" strokeweight=".72pt" strokecolor="#000000">
                <v:path arrowok="t"/>
              </v:shape>
            </v:group>
            <v:group style="position:absolute;left:2842;top:8487;width:4806;height:2" coordorigin="2842,8487" coordsize="4806,2">
              <v:shape style="position:absolute;left:2842;top:8487;width:4806;height:2" coordorigin="2842,8487" coordsize="4806,0" path="m2842,8487l7648,8487e" filled="false" stroked="true" strokeweight=".72pt" strokecolor="#000000">
                <v:path arrowok="t"/>
              </v:shape>
            </v:group>
            <v:group style="position:absolute;left:7662;top:8487;width:977;height:2" coordorigin="7662,8487" coordsize="977,2">
              <v:shape style="position:absolute;left:7662;top:8487;width:977;height:2" coordorigin="7662,8487" coordsize="977,0" path="m7662,8487l8639,8487e" filled="false" stroked="true" strokeweight=".72pt" strokecolor="#000000">
                <v:path arrowok="t"/>
              </v:shape>
            </v:group>
            <v:group style="position:absolute;left:8653;top:8487;width:2113;height:2" coordorigin="8653,8487" coordsize="2113,2">
              <v:shape style="position:absolute;left:8653;top:8487;width:2113;height:2" coordorigin="8653,8487" coordsize="2113,0" path="m8653,8487l10766,8487e" filled="false" stroked="true" strokeweight=".72pt" strokecolor="#000000">
                <v:path arrowok="t"/>
              </v:shape>
            </v:group>
            <v:group style="position:absolute;left:1140;top:9457;width:414;height:2" coordorigin="1140,9457" coordsize="414,2">
              <v:shape style="position:absolute;left:1140;top:9457;width:414;height:2" coordorigin="1140,9457" coordsize="414,0" path="m1140,9457l1553,9457e" filled="false" stroked="true" strokeweight=".72pt" strokecolor="#000000">
                <v:path arrowok="t"/>
              </v:shape>
            </v:group>
            <v:group style="position:absolute;left:1568;top:9457;width:1260;height:2" coordorigin="1568,9457" coordsize="1260,2">
              <v:shape style="position:absolute;left:1568;top:9457;width:1260;height:2" coordorigin="1568,9457" coordsize="1260,0" path="m1568,9457l2828,9457e" filled="false" stroked="true" strokeweight=".72pt" strokecolor="#000000">
                <v:path arrowok="t"/>
              </v:shape>
            </v:group>
            <v:group style="position:absolute;left:2842;top:9457;width:4806;height:2" coordorigin="2842,9457" coordsize="4806,2">
              <v:shape style="position:absolute;left:2842;top:9457;width:4806;height:2" coordorigin="2842,9457" coordsize="4806,0" path="m2842,9457l7648,9457e" filled="false" stroked="true" strokeweight=".72pt" strokecolor="#000000">
                <v:path arrowok="t"/>
              </v:shape>
            </v:group>
            <v:group style="position:absolute;left:7662;top:9457;width:977;height:2" coordorigin="7662,9457" coordsize="977,2">
              <v:shape style="position:absolute;left:7662;top:9457;width:977;height:2" coordorigin="7662,9457" coordsize="977,0" path="m7662,9457l8639,9457e" filled="false" stroked="true" strokeweight=".72pt" strokecolor="#000000">
                <v:path arrowok="t"/>
              </v:shape>
            </v:group>
            <v:group style="position:absolute;left:8653;top:9457;width:2113;height:2" coordorigin="8653,9457" coordsize="2113,2">
              <v:shape style="position:absolute;left:8653;top:9457;width:2113;height:2" coordorigin="8653,9457" coordsize="2113,0" path="m8653,9457l10766,9457e" filled="false" stroked="true" strokeweight=".72pt" strokecolor="#000000">
                <v:path arrowok="t"/>
              </v:shape>
            </v:group>
            <v:group style="position:absolute;left:1140;top:10429;width:414;height:2" coordorigin="1140,10429" coordsize="414,2">
              <v:shape style="position:absolute;left:1140;top:10429;width:414;height:2" coordorigin="1140,10429" coordsize="414,0" path="m1140,10429l1553,10429e" filled="false" stroked="true" strokeweight=".72003pt" strokecolor="#000000">
                <v:path arrowok="t"/>
              </v:shape>
            </v:group>
            <v:group style="position:absolute;left:1568;top:10429;width:1260;height:2" coordorigin="1568,10429" coordsize="1260,2">
              <v:shape style="position:absolute;left:1568;top:10429;width:1260;height:2" coordorigin="1568,10429" coordsize="1260,0" path="m1568,10429l2828,10429e" filled="false" stroked="true" strokeweight=".72003pt" strokecolor="#000000">
                <v:path arrowok="t"/>
              </v:shape>
            </v:group>
            <v:group style="position:absolute;left:2842;top:10429;width:4806;height:2" coordorigin="2842,10429" coordsize="4806,2">
              <v:shape style="position:absolute;left:2842;top:10429;width:4806;height:2" coordorigin="2842,10429" coordsize="4806,0" path="m2842,10429l7648,10429e" filled="false" stroked="true" strokeweight=".72003pt" strokecolor="#000000">
                <v:path arrowok="t"/>
              </v:shape>
            </v:group>
            <v:group style="position:absolute;left:7662;top:10429;width:977;height:2" coordorigin="7662,10429" coordsize="977,2">
              <v:shape style="position:absolute;left:7662;top:10429;width:977;height:2" coordorigin="7662,10429" coordsize="977,0" path="m7662,10429l8639,10429e" filled="false" stroked="true" strokeweight=".72003pt" strokecolor="#000000">
                <v:path arrowok="t"/>
              </v:shape>
            </v:group>
            <v:group style="position:absolute;left:8653;top:10429;width:2113;height:2" coordorigin="8653,10429" coordsize="2113,2">
              <v:shape style="position:absolute;left:8653;top:10429;width:2113;height:2" coordorigin="8653,10429" coordsize="2113,0" path="m8653,10429l10766,10429e" filled="false" stroked="true" strokeweight=".72003pt" strokecolor="#000000">
                <v:path arrowok="t"/>
              </v:shape>
            </v:group>
            <v:group style="position:absolute;left:1140;top:11713;width:414;height:2" coordorigin="1140,11713" coordsize="414,2">
              <v:shape style="position:absolute;left:1140;top:11713;width:414;height:2" coordorigin="1140,11713" coordsize="414,0" path="m1140,11713l1553,11713e" filled="false" stroked="true" strokeweight=".71997pt" strokecolor="#000000">
                <v:path arrowok="t"/>
              </v:shape>
            </v:group>
            <v:group style="position:absolute;left:1568;top:11713;width:1260;height:2" coordorigin="1568,11713" coordsize="1260,2">
              <v:shape style="position:absolute;left:1568;top:11713;width:1260;height:2" coordorigin="1568,11713" coordsize="1260,0" path="m1568,11713l2828,11713e" filled="false" stroked="true" strokeweight=".71997pt" strokecolor="#000000">
                <v:path arrowok="t"/>
              </v:shape>
            </v:group>
            <v:group style="position:absolute;left:2842;top:11713;width:4806;height:2" coordorigin="2842,11713" coordsize="4806,2">
              <v:shape style="position:absolute;left:2842;top:11713;width:4806;height:2" coordorigin="2842,11713" coordsize="4806,0" path="m2842,11713l7648,11713e" filled="false" stroked="true" strokeweight=".71997pt" strokecolor="#000000">
                <v:path arrowok="t"/>
              </v:shape>
            </v:group>
            <v:group style="position:absolute;left:7662;top:11713;width:977;height:2" coordorigin="7662,11713" coordsize="977,2">
              <v:shape style="position:absolute;left:7662;top:11713;width:977;height:2" coordorigin="7662,11713" coordsize="977,0" path="m7662,11713l8639,11713e" filled="false" stroked="true" strokeweight=".71997pt" strokecolor="#000000">
                <v:path arrowok="t"/>
              </v:shape>
            </v:group>
            <v:group style="position:absolute;left:8653;top:11713;width:2113;height:2" coordorigin="8653,11713" coordsize="2113,2">
              <v:shape style="position:absolute;left:8653;top:11713;width:2113;height:2" coordorigin="8653,11713" coordsize="2113,0" path="m8653,11713l10766,11713e" filled="false" stroked="true" strokeweight=".71997pt" strokecolor="#000000">
                <v:path arrowok="t"/>
              </v:shape>
            </v:group>
            <v:group style="position:absolute;left:1140;top:12371;width:414;height:2" coordorigin="1140,12371" coordsize="414,2">
              <v:shape style="position:absolute;left:1140;top:12371;width:414;height:2" coordorigin="1140,12371" coordsize="414,0" path="m1140,12371l1553,12371e" filled="false" stroked="true" strokeweight=".71997pt" strokecolor="#000000">
                <v:path arrowok="t"/>
              </v:shape>
            </v:group>
            <v:group style="position:absolute;left:1568;top:12371;width:1260;height:2" coordorigin="1568,12371" coordsize="1260,2">
              <v:shape style="position:absolute;left:1568;top:12371;width:1260;height:2" coordorigin="1568,12371" coordsize="1260,0" path="m1568,12371l2828,12371e" filled="false" stroked="true" strokeweight=".71997pt" strokecolor="#000000">
                <v:path arrowok="t"/>
              </v:shape>
            </v:group>
            <v:group style="position:absolute;left:2842;top:12371;width:4806;height:2" coordorigin="2842,12371" coordsize="4806,2">
              <v:shape style="position:absolute;left:2842;top:12371;width:4806;height:2" coordorigin="2842,12371" coordsize="4806,0" path="m2842,12371l7648,12371e" filled="false" stroked="true" strokeweight=".71997pt" strokecolor="#000000">
                <v:path arrowok="t"/>
              </v:shape>
            </v:group>
            <v:group style="position:absolute;left:7662;top:12371;width:977;height:2" coordorigin="7662,12371" coordsize="977,2">
              <v:shape style="position:absolute;left:7662;top:12371;width:977;height:2" coordorigin="7662,12371" coordsize="977,0" path="m7662,12371l8639,12371e" filled="false" stroked="true" strokeweight=".71997pt" strokecolor="#000000">
                <v:path arrowok="t"/>
              </v:shape>
            </v:group>
            <v:group style="position:absolute;left:8653;top:12371;width:2113;height:2" coordorigin="8653,12371" coordsize="2113,2">
              <v:shape style="position:absolute;left:8653;top:12371;width:2113;height:2" coordorigin="8653,12371" coordsize="2113,0" path="m8653,12371l10766,12371e" filled="false" stroked="true" strokeweight=".71997pt" strokecolor="#000000">
                <v:path arrowok="t"/>
              </v:shape>
            </v:group>
            <v:group style="position:absolute;left:1140;top:13656;width:414;height:2" coordorigin="1140,13656" coordsize="414,2">
              <v:shape style="position:absolute;left:1140;top:13656;width:414;height:2" coordorigin="1140,13656" coordsize="414,0" path="m1140,13656l1553,13656e" filled="false" stroked="true" strokeweight=".71997pt" strokecolor="#000000">
                <v:path arrowok="t"/>
              </v:shape>
            </v:group>
            <v:group style="position:absolute;left:1568;top:13656;width:1260;height:2" coordorigin="1568,13656" coordsize="1260,2">
              <v:shape style="position:absolute;left:1568;top:13656;width:1260;height:2" coordorigin="1568,13656" coordsize="1260,0" path="m1568,13656l2828,13656e" filled="false" stroked="true" strokeweight=".71997pt" strokecolor="#000000">
                <v:path arrowok="t"/>
              </v:shape>
            </v:group>
            <v:group style="position:absolute;left:2842;top:13656;width:4806;height:2" coordorigin="2842,13656" coordsize="4806,2">
              <v:shape style="position:absolute;left:2842;top:13656;width:4806;height:2" coordorigin="2842,13656" coordsize="4806,0" path="m2842,13656l7648,13656e" filled="false" stroked="true" strokeweight=".71997pt" strokecolor="#000000">
                <v:path arrowok="t"/>
              </v:shape>
            </v:group>
            <v:group style="position:absolute;left:7662;top:13656;width:977;height:2" coordorigin="7662,13656" coordsize="977,2">
              <v:shape style="position:absolute;left:7662;top:13656;width:977;height:2" coordorigin="7662,13656" coordsize="977,0" path="m7662,13656l8639,13656e" filled="false" stroked="true" strokeweight=".71997pt" strokecolor="#000000">
                <v:path arrowok="t"/>
              </v:shape>
            </v:group>
            <v:group style="position:absolute;left:8653;top:13656;width:2113;height:2" coordorigin="8653,13656" coordsize="2113,2">
              <v:shape style="position:absolute;left:8653;top:13656;width:2113;height:2" coordorigin="8653,13656" coordsize="2113,0" path="m8653,13656l10766,13656e" filled="false" stroked="true" strokeweight=".71997pt" strokecolor="#000000">
                <v:path arrowok="t"/>
              </v:shape>
            </v:group>
            <v:group style="position:absolute;left:1133;top:1440;width:2;height:13819" coordorigin="1133,1440" coordsize="2,13819">
              <v:shape style="position:absolute;left:1133;top:1440;width:2;height:13819" coordorigin="1133,1440" coordsize="0,13819" path="m1133,1440l1133,15259e" filled="false" stroked="true" strokeweight=".72pt" strokecolor="#000000">
                <v:path arrowok="t"/>
              </v:shape>
            </v:group>
            <v:group style="position:absolute;left:1140;top:15252;width:414;height:2" coordorigin="1140,15252" coordsize="414,2">
              <v:shape style="position:absolute;left:1140;top:15252;width:414;height:2" coordorigin="1140,15252" coordsize="414,0" path="m1140,15252l1553,15252e" filled="false" stroked="true" strokeweight=".72003pt" strokecolor="#000000">
                <v:path arrowok="t"/>
              </v:shape>
            </v:group>
            <v:group style="position:absolute;left:1560;top:1440;width:2;height:13819" coordorigin="1560,1440" coordsize="2,13819">
              <v:shape style="position:absolute;left:1560;top:1440;width:2;height:13819" coordorigin="1560,1440" coordsize="0,13819" path="m1560,1440l1560,15259e" filled="false" stroked="true" strokeweight=".72pt" strokecolor="#000000">
                <v:path arrowok="t"/>
              </v:shape>
            </v:group>
            <v:group style="position:absolute;left:1568;top:15252;width:1260;height:2" coordorigin="1568,15252" coordsize="1260,2">
              <v:shape style="position:absolute;left:1568;top:15252;width:1260;height:2" coordorigin="1568,15252" coordsize="1260,0" path="m1568,15252l2828,15252e" filled="false" stroked="true" strokeweight=".72003pt" strokecolor="#000000">
                <v:path arrowok="t"/>
              </v:shape>
            </v:group>
            <v:group style="position:absolute;left:2835;top:1440;width:2;height:13819" coordorigin="2835,1440" coordsize="2,13819">
              <v:shape style="position:absolute;left:2835;top:1440;width:2;height:13819" coordorigin="2835,1440" coordsize="0,13819" path="m2835,1440l2835,15259e" filled="false" stroked="true" strokeweight=".72pt" strokecolor="#000000">
                <v:path arrowok="t"/>
              </v:shape>
            </v:group>
            <v:group style="position:absolute;left:2842;top:15252;width:4806;height:2" coordorigin="2842,15252" coordsize="4806,2">
              <v:shape style="position:absolute;left:2842;top:15252;width:4806;height:2" coordorigin="2842,15252" coordsize="4806,0" path="m2842,15252l7648,15252e" filled="false" stroked="true" strokeweight=".72003pt" strokecolor="#000000">
                <v:path arrowok="t"/>
              </v:shape>
            </v:group>
            <v:group style="position:absolute;left:7655;top:1440;width:2;height:13819" coordorigin="7655,1440" coordsize="2,13819">
              <v:shape style="position:absolute;left:7655;top:1440;width:2;height:13819" coordorigin="7655,1440" coordsize="0,13819" path="m7655,1440l7655,15259e" filled="false" stroked="true" strokeweight=".72pt" strokecolor="#000000">
                <v:path arrowok="t"/>
              </v:shape>
            </v:group>
            <v:group style="position:absolute;left:7662;top:15252;width:977;height:2" coordorigin="7662,15252" coordsize="977,2">
              <v:shape style="position:absolute;left:7662;top:15252;width:977;height:2" coordorigin="7662,15252" coordsize="977,0" path="m7662,15252l8639,15252e" filled="false" stroked="true" strokeweight=".72003pt" strokecolor="#000000">
                <v:path arrowok="t"/>
              </v:shape>
            </v:group>
            <v:group style="position:absolute;left:8646;top:1440;width:2;height:13819" coordorigin="8646,1440" coordsize="2,13819">
              <v:shape style="position:absolute;left:8646;top:1440;width:2;height:13819" coordorigin="8646,1440" coordsize="0,13819" path="m8646,1440l8646,15259e" filled="false" stroked="true" strokeweight=".72pt" strokecolor="#000000">
                <v:path arrowok="t"/>
              </v:shape>
            </v:group>
            <v:group style="position:absolute;left:8653;top:15252;width:2113;height:2" coordorigin="8653,15252" coordsize="2113,2">
              <v:shape style="position:absolute;left:8653;top:15252;width:2113;height:2" coordorigin="8653,15252" coordsize="2113,0" path="m8653,15252l10766,15252e" filled="false" stroked="true" strokeweight=".72003pt" strokecolor="#000000">
                <v:path arrowok="t"/>
              </v:shape>
            </v:group>
            <v:group style="position:absolute;left:10773;top:1440;width:2;height:13819" coordorigin="10773,1440" coordsize="2,13819">
              <v:shape style="position:absolute;left:10773;top:1440;width:2;height:13819" coordorigin="10773,1440" coordsize="0,13819" path="m10773,1440l10773,15259e" filled="false" stroked="true" strokeweight=".71997pt" strokecolor="#000000">
                <v:path arrowok="t"/>
              </v:shape>
            </v:group>
            <w10:wrap type="none"/>
          </v:group>
        </w:pict>
      </w:r>
    </w:p>
    <w:p>
      <w:pPr>
        <w:spacing w:line="240" w:lineRule="auto" w:before="0"/>
        <w:rPr>
          <w:rFonts w:ascii="宋体" w:hAnsi="宋体" w:cs="宋体" w:eastAsia="宋体" w:hint="default"/>
          <w:sz w:val="18"/>
          <w:szCs w:val="18"/>
        </w:rPr>
      </w:pPr>
    </w:p>
    <w:p>
      <w:pPr>
        <w:pStyle w:val="BodyText"/>
        <w:spacing w:line="240" w:lineRule="auto" w:before="131"/>
        <w:ind w:left="676" w:right="0"/>
        <w:jc w:val="center"/>
      </w:pPr>
      <w:r>
        <w:rPr/>
        <w:t>出租车智能调</w:t>
      </w:r>
    </w:p>
    <w:p>
      <w:pPr>
        <w:pStyle w:val="BodyText"/>
        <w:tabs>
          <w:tab w:pos="676" w:val="left" w:leader="none"/>
        </w:tabs>
        <w:spacing w:line="240" w:lineRule="auto" w:before="76"/>
        <w:ind w:left="277" w:right="-20"/>
        <w:jc w:val="left"/>
      </w:pPr>
      <w:r>
        <w:rPr>
          <w:rFonts w:ascii="Times New Roman" w:hAnsi="Times New Roman" w:cs="Times New Roman" w:eastAsia="Times New Roman" w:hint="default"/>
        </w:rPr>
        <w:t>42</w:t>
        <w:tab/>
      </w:r>
      <w:r>
        <w:rPr/>
        <w:t>度监控系统软</w:t>
      </w:r>
    </w:p>
    <w:p>
      <w:pPr>
        <w:pStyle w:val="BodyText"/>
        <w:spacing w:line="240" w:lineRule="auto" w:before="63"/>
        <w:ind w:left="678" w:right="0"/>
        <w:jc w:val="center"/>
      </w:pPr>
      <w:r>
        <w:rPr/>
        <w:t>件</w:t>
      </w:r>
    </w:p>
    <w:p>
      <w:pPr>
        <w:pStyle w:val="BodyText"/>
        <w:spacing w:line="180" w:lineRule="exact"/>
        <w:ind w:left="67" w:right="-12"/>
        <w:jc w:val="left"/>
      </w:pPr>
      <w:r>
        <w:rPr/>
        <w:br w:type="column"/>
      </w:r>
      <w:r>
        <w:rPr/>
        <w:t>增加用户粘度，给客户带来更大的效益</w:t>
      </w:r>
    </w:p>
    <w:p>
      <w:pPr>
        <w:pStyle w:val="BodyText"/>
        <w:spacing w:line="314" w:lineRule="auto" w:before="110"/>
        <w:ind w:left="67" w:right="-12"/>
        <w:jc w:val="left"/>
      </w:pPr>
      <w:r>
        <w:rPr>
          <w:spacing w:val="-3"/>
        </w:rPr>
        <w:t>本软件基于无线网络对各类车辆进行集中管理、监控及高度的</w:t>
      </w:r>
      <w:r>
        <w:rPr>
          <w:spacing w:val="-69"/>
        </w:rPr>
        <w:t> </w:t>
      </w:r>
      <w:r>
        <w:rPr>
          <w:spacing w:val="-69"/>
        </w:rPr>
      </w:r>
      <w:r>
        <w:rPr/>
        <w:t>系统，以高品质、高效率的集中化、分布式网络管理为架构， </w:t>
      </w:r>
      <w:r>
        <w:rPr>
          <w:spacing w:val="-3"/>
        </w:rPr>
        <w:t>以视频、音频、数据等多媒体信息的网络传输为基础，为用户</w:t>
      </w:r>
      <w:r>
        <w:rPr>
          <w:spacing w:val="-54"/>
        </w:rPr>
        <w:t> </w:t>
      </w:r>
      <w:r>
        <w:rPr/>
        <w:t>已上线</w:t>
      </w:r>
      <w:r>
        <w:rPr>
          <w:spacing w:val="-87"/>
        </w:rPr>
        <w:t> </w:t>
      </w:r>
      <w:r>
        <w:rPr>
          <w:spacing w:val="-87"/>
        </w:rPr>
      </w:r>
      <w:r>
        <w:rPr/>
        <w:t>执行实时监视、</w:t>
      </w:r>
      <w:r>
        <w:rPr>
          <w:rFonts w:ascii="Times New Roman" w:hAnsi="Times New Roman" w:cs="Times New Roman" w:eastAsia="Times New Roman" w:hint="default"/>
        </w:rPr>
        <w:t>GPS</w:t>
      </w:r>
      <w:r>
        <w:rPr/>
        <w:t>定位、录像存储、车辆调度及报警预警的 安全防范工作</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pStyle w:val="BodyText"/>
        <w:spacing w:line="316" w:lineRule="auto"/>
        <w:ind w:left="277" w:right="1138"/>
        <w:jc w:val="left"/>
      </w:pPr>
      <w:r>
        <w:rPr>
          <w:spacing w:val="10"/>
        </w:rPr>
        <w:t>提升公司在行业移动智能</w:t>
      </w:r>
      <w:r>
        <w:rPr>
          <w:spacing w:val="-85"/>
        </w:rPr>
        <w:t> </w:t>
      </w:r>
      <w:r>
        <w:rPr>
          <w:spacing w:val="-85"/>
        </w:rPr>
      </w:r>
      <w:r>
        <w:rPr/>
        <w:t>应用领域的市场竞争力</w:t>
      </w:r>
    </w:p>
    <w:p>
      <w:pPr>
        <w:spacing w:after="0" w:line="316" w:lineRule="auto"/>
        <w:jc w:val="left"/>
        <w:sectPr>
          <w:type w:val="continuous"/>
          <w:pgSz w:w="11910" w:h="16840"/>
          <w:pgMar w:top="1060" w:bottom="1160" w:left="980" w:right="0"/>
          <w:cols w:num="3" w:equalWidth="0">
            <w:col w:w="1757" w:space="40"/>
            <w:col w:w="5431" w:space="173"/>
            <w:col w:w="3529"/>
          </w:cols>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428"/>
        <w:gridCol w:w="1274"/>
        <w:gridCol w:w="4820"/>
        <w:gridCol w:w="991"/>
        <w:gridCol w:w="2127"/>
      </w:tblGrid>
      <w:tr>
        <w:trPr>
          <w:trHeight w:val="1596"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68" w:right="89" w:hanging="180"/>
              <w:jc w:val="left"/>
              <w:rPr>
                <w:rFonts w:ascii="宋体" w:hAnsi="宋体" w:cs="宋体" w:eastAsia="宋体" w:hint="default"/>
                <w:sz w:val="18"/>
                <w:szCs w:val="18"/>
              </w:rPr>
            </w:pPr>
            <w:r>
              <w:rPr>
                <w:rFonts w:ascii="宋体" w:hAnsi="宋体" w:cs="宋体" w:eastAsia="宋体" w:hint="default"/>
                <w:sz w:val="18"/>
                <w:szCs w:val="18"/>
              </w:rPr>
              <w:t>电子发票开票 系统软件</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7"/>
              <w:ind w:left="2" w:right="-20"/>
              <w:jc w:val="left"/>
              <w:rPr>
                <w:rFonts w:ascii="宋体" w:hAnsi="宋体" w:cs="宋体" w:eastAsia="宋体" w:hint="default"/>
                <w:sz w:val="18"/>
                <w:szCs w:val="18"/>
              </w:rPr>
            </w:pPr>
            <w:r>
              <w:rPr>
                <w:rFonts w:ascii="宋体" w:hAnsi="宋体" w:cs="宋体" w:eastAsia="宋体" w:hint="default"/>
                <w:sz w:val="18"/>
                <w:szCs w:val="18"/>
              </w:rPr>
              <w:t>本软件将采用射频技术（</w:t>
            </w:r>
            <w:r>
              <w:rPr>
                <w:rFonts w:ascii="Times New Roman" w:hAnsi="Times New Roman" w:cs="Times New Roman" w:eastAsia="Times New Roman" w:hint="default"/>
                <w:sz w:val="18"/>
                <w:szCs w:val="18"/>
              </w:rPr>
              <w:t>RFID</w:t>
            </w:r>
            <w:r>
              <w:rPr>
                <w:rFonts w:ascii="宋体" w:hAnsi="宋体" w:cs="宋体" w:eastAsia="宋体" w:hint="default"/>
                <w:sz w:val="18"/>
                <w:szCs w:val="18"/>
              </w:rPr>
              <w:t>）、</w:t>
            </w:r>
            <w:r>
              <w:rPr>
                <w:rFonts w:ascii="Times New Roman" w:hAnsi="Times New Roman" w:cs="Times New Roman" w:eastAsia="Times New Roman" w:hint="default"/>
                <w:sz w:val="18"/>
                <w:szCs w:val="18"/>
              </w:rPr>
              <w:t>NFC</w:t>
            </w:r>
            <w:r>
              <w:rPr>
                <w:rFonts w:ascii="宋体" w:hAnsi="宋体" w:cs="宋体" w:eastAsia="宋体" w:hint="default"/>
                <w:sz w:val="18"/>
                <w:szCs w:val="18"/>
              </w:rPr>
              <w:t>近场支付、移动支付 </w:t>
            </w:r>
            <w:r>
              <w:rPr>
                <w:rFonts w:ascii="宋体" w:hAnsi="宋体" w:cs="宋体" w:eastAsia="宋体" w:hint="default"/>
                <w:spacing w:val="-2"/>
                <w:sz w:val="18"/>
                <w:szCs w:val="18"/>
              </w:rPr>
              <w:t>二维码编码技术、大型数据库技术、小程序开发技术的应用，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围绕基于物联网应用的射频识别与系统集成技术，以智能移动</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金融支付终端为载体，构建适用于用户需求的聚合支付以及电</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子发票功能应用的整体解决方案</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316" w:lineRule="auto" w:before="77"/>
              <w:ind w:left="4" w:right="0"/>
              <w:jc w:val="both"/>
              <w:rPr>
                <w:rFonts w:ascii="宋体" w:hAnsi="宋体" w:cs="宋体" w:eastAsia="宋体" w:hint="default"/>
                <w:sz w:val="18"/>
                <w:szCs w:val="18"/>
              </w:rPr>
            </w:pPr>
            <w:r>
              <w:rPr>
                <w:rFonts w:ascii="宋体" w:hAnsi="宋体" w:cs="宋体" w:eastAsia="宋体" w:hint="default"/>
                <w:spacing w:val="13"/>
                <w:sz w:val="18"/>
                <w:szCs w:val="18"/>
              </w:rPr>
              <w:t>已上线，</w:t>
            </w:r>
            <w:r>
              <w:rPr>
                <w:rFonts w:ascii="宋体" w:hAnsi="宋体" w:cs="宋体" w:eastAsia="宋体" w:hint="default"/>
                <w:spacing w:val="-74"/>
                <w:sz w:val="18"/>
                <w:szCs w:val="18"/>
              </w:rPr>
              <w:t> </w:t>
            </w:r>
            <w:r>
              <w:rPr>
                <w:rFonts w:ascii="宋体" w:hAnsi="宋体" w:cs="宋体" w:eastAsia="宋体" w:hint="default"/>
                <w:sz w:val="18"/>
                <w:szCs w:val="18"/>
              </w:rPr>
              <w:t>已</w:t>
            </w:r>
            <w:r>
              <w:rPr>
                <w:rFonts w:ascii="宋体" w:hAnsi="宋体" w:cs="宋体" w:eastAsia="宋体" w:hint="default"/>
                <w:sz w:val="18"/>
                <w:szCs w:val="18"/>
              </w:rPr>
              <w:t> </w:t>
            </w:r>
            <w:r>
              <w:rPr>
                <w:rFonts w:ascii="宋体" w:hAnsi="宋体" w:cs="宋体" w:eastAsia="宋体" w:hint="default"/>
                <w:spacing w:val="14"/>
                <w:sz w:val="18"/>
                <w:szCs w:val="18"/>
              </w:rPr>
              <w:t>申请软件著</w:t>
            </w:r>
            <w:r>
              <w:rPr>
                <w:rFonts w:ascii="宋体" w:hAnsi="宋体" w:cs="宋体" w:eastAsia="宋体" w:hint="default"/>
                <w:sz w:val="18"/>
                <w:szCs w:val="18"/>
              </w:rPr>
              <w:t> 作权</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4" w:right="2"/>
              <w:jc w:val="left"/>
              <w:rPr>
                <w:rFonts w:ascii="宋体" w:hAnsi="宋体" w:cs="宋体" w:eastAsia="宋体" w:hint="default"/>
                <w:sz w:val="18"/>
                <w:szCs w:val="18"/>
              </w:rPr>
            </w:pPr>
            <w:r>
              <w:rPr>
                <w:rFonts w:ascii="宋体" w:hAnsi="宋体" w:cs="宋体" w:eastAsia="宋体" w:hint="default"/>
                <w:spacing w:val="10"/>
                <w:sz w:val="18"/>
                <w:szCs w:val="18"/>
              </w:rPr>
              <w:t>提升公司在行业移动智能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应用领域的市场竞争力</w:t>
            </w:r>
          </w:p>
        </w:tc>
      </w:tr>
      <w:tr>
        <w:trPr>
          <w:trHeight w:val="1906"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4" w:right="0"/>
              <w:jc w:val="center"/>
              <w:rPr>
                <w:rFonts w:ascii="Times New Roman" w:hAnsi="Times New Roman" w:cs="Times New Roman" w:eastAsia="Times New Roman" w:hint="default"/>
                <w:sz w:val="18"/>
                <w:szCs w:val="18"/>
              </w:rPr>
            </w:pPr>
            <w:r>
              <w:rPr>
                <w:rFonts w:ascii="Times New Roman"/>
                <w:sz w:val="18"/>
              </w:rPr>
              <w:t>44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60" w:right="89" w:hanging="272"/>
              <w:jc w:val="left"/>
              <w:rPr>
                <w:rFonts w:ascii="宋体" w:hAnsi="宋体" w:cs="宋体" w:eastAsia="宋体" w:hint="default"/>
                <w:sz w:val="18"/>
                <w:szCs w:val="18"/>
              </w:rPr>
            </w:pPr>
            <w:r>
              <w:rPr>
                <w:rFonts w:ascii="宋体" w:hAnsi="宋体" w:cs="宋体" w:eastAsia="宋体" w:hint="default"/>
                <w:sz w:val="18"/>
                <w:szCs w:val="18"/>
              </w:rPr>
              <w:t>智能化终端管 理平台</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终端管理系统开发建设是一项多样性的系统工程，涉及面广 </w:t>
            </w:r>
            <w:r>
              <w:rPr>
                <w:rFonts w:ascii="宋体" w:hAnsi="宋体" w:cs="宋体" w:eastAsia="宋体" w:hint="default"/>
                <w:spacing w:val="-3"/>
                <w:sz w:val="18"/>
                <w:szCs w:val="18"/>
              </w:rPr>
              <w:t>因不同地市的实际营销、维修过程存在不同的差异，工作流程</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多样化、管理信息庞大。另外，系统需要诸多的数据、业务接</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口，所以加强管理，合理地组织采购、存储、销售终端设备 </w:t>
            </w:r>
            <w:r>
              <w:rPr>
                <w:rFonts w:ascii="宋体" w:hAnsi="宋体" w:cs="宋体" w:eastAsia="宋体" w:hint="default"/>
                <w:spacing w:val="-3"/>
                <w:sz w:val="18"/>
                <w:szCs w:val="18"/>
              </w:rPr>
              <w:t>对于促进企业生产发展，提高服务质量，降低维修成本，加强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资金周转，增强企业盈利等都具有十分重要的意义</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3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196" w:lineRule="exact"/>
              <w:ind w:left="4" w:right="0"/>
              <w:jc w:val="left"/>
              <w:rPr>
                <w:rFonts w:ascii="宋体" w:hAnsi="宋体" w:cs="宋体" w:eastAsia="宋体" w:hint="default"/>
                <w:sz w:val="18"/>
                <w:szCs w:val="18"/>
              </w:rPr>
            </w:pPr>
            <w:r>
              <w:rPr>
                <w:rFonts w:ascii="宋体" w:hAnsi="宋体" w:cs="宋体" w:eastAsia="宋体" w:hint="default"/>
                <w:sz w:val="18"/>
                <w:szCs w:val="18"/>
              </w:rPr>
              <w:t>已上线</w:t>
            </w:r>
          </w:p>
          <w:p>
            <w:pPr>
              <w:pStyle w:val="TableParagraph"/>
              <w:spacing w:line="196" w:lineRule="exact"/>
              <w:ind w:left="-138" w:right="0"/>
              <w:jc w:val="left"/>
              <w:rPr>
                <w:rFonts w:ascii="宋体" w:hAnsi="宋体" w:cs="宋体" w:eastAsia="宋体" w:hint="default"/>
                <w:sz w:val="18"/>
                <w:szCs w:val="18"/>
              </w:rPr>
            </w:pPr>
            <w:r>
              <w:rPr>
                <w:rFonts w:ascii="宋体" w:hAnsi="宋体" w:cs="宋体" w:eastAsia="宋体" w:hint="default"/>
                <w:sz w:val="18"/>
                <w:szCs w:val="18"/>
              </w:rPr>
              <w:t>，</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4" w:right="2"/>
              <w:jc w:val="left"/>
              <w:rPr>
                <w:rFonts w:ascii="宋体" w:hAnsi="宋体" w:cs="宋体" w:eastAsia="宋体" w:hint="default"/>
                <w:sz w:val="18"/>
                <w:szCs w:val="18"/>
              </w:rPr>
            </w:pPr>
            <w:r>
              <w:rPr>
                <w:rFonts w:ascii="宋体" w:hAnsi="宋体" w:cs="宋体" w:eastAsia="宋体" w:hint="default"/>
                <w:spacing w:val="10"/>
                <w:sz w:val="18"/>
                <w:szCs w:val="18"/>
              </w:rPr>
              <w:t>提升公司在移动智能管理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领域的市场竞争力</w:t>
            </w:r>
          </w:p>
        </w:tc>
      </w:tr>
    </w:tbl>
    <w:p>
      <w:pPr>
        <w:spacing w:line="240" w:lineRule="auto" w:before="3"/>
        <w:rPr>
          <w:rFonts w:ascii="宋体" w:hAnsi="宋体" w:cs="宋体" w:eastAsia="宋体" w:hint="default"/>
          <w:sz w:val="24"/>
          <w:szCs w:val="24"/>
        </w:rPr>
      </w:pPr>
    </w:p>
    <w:p>
      <w:pPr>
        <w:pStyle w:val="BodyText"/>
        <w:spacing w:line="240" w:lineRule="auto" w:before="44"/>
        <w:ind w:right="1133"/>
        <w:jc w:val="left"/>
      </w:pPr>
      <w:r>
        <w:rPr/>
        <w:t>近三年公司研发投入金额及占营业收入的比例</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48.88%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74,004,866.84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72,231,425.05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55,869,895.81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12.61%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研发投入总额占营业收入的比重较上年发生显著变化的原因</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1,174,745,598.05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951,708,445.37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23.44%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964,762,384.96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978,988,309.49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209,983,213.09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-27,279,864.12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869.74%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396,338,955.57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450,315,398.48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-11.99%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483,222,150.41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499,546,855.77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-86,883,194.84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-49,231,457.29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-76.48%</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224,276,150.78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177,763,477.70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26.17%</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166,437,676.30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43,687,147.53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280.98%</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57,838,474.48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134,076,330.17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-56.86%</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189,406,456.66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58,344,208.51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224.64%</w:t>
            </w:r>
          </w:p>
        </w:tc>
      </w:tr>
    </w:tbl>
    <w:p>
      <w:pPr>
        <w:pStyle w:val="BodyText"/>
        <w:spacing w:line="240" w:lineRule="auto" w:before="49"/>
        <w:ind w:right="1133"/>
        <w:jc w:val="left"/>
      </w:pPr>
      <w:r>
        <w:rPr/>
        <w:t>相关数据同比发生重大变动的主要影响因素说明</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2696"/>
        <w:gridCol w:w="1558"/>
        <w:gridCol w:w="1546"/>
        <w:gridCol w:w="1046"/>
        <w:gridCol w:w="2686"/>
      </w:tblGrid>
      <w:tr>
        <w:trPr>
          <w:trHeight w:val="421" w:hRule="exact"/>
        </w:trPr>
        <w:tc>
          <w:tcPr>
            <w:tcW w:w="26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8"/>
                <w:sz w:val="18"/>
                <w:szCs w:val="18"/>
              </w:rPr>
              <w:t> </w:t>
            </w:r>
            <w:r>
              <w:rPr>
                <w:rFonts w:ascii="宋体" w:hAnsi="宋体" w:cs="宋体" w:eastAsia="宋体" w:hint="default"/>
                <w:sz w:val="18"/>
                <w:szCs w:val="18"/>
              </w:rPr>
              <w:t>目</w:t>
            </w:r>
          </w:p>
        </w:tc>
        <w:tc>
          <w:tcPr>
            <w:tcW w:w="15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3"/>
              <w:ind w:left="41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3"/>
              <w:ind w:left="408"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10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变动比例</w:t>
            </w:r>
          </w:p>
        </w:tc>
        <w:tc>
          <w:tcPr>
            <w:tcW w:w="26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427" w:hRule="exact"/>
        </w:trPr>
        <w:tc>
          <w:tcPr>
            <w:tcW w:w="26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4"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558"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103,487,984.15</w:t>
            </w:r>
          </w:p>
        </w:tc>
        <w:tc>
          <w:tcPr>
            <w:tcW w:w="1546"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64,558,138.99</w:t>
            </w:r>
          </w:p>
        </w:tc>
        <w:tc>
          <w:tcPr>
            <w:tcW w:w="1046"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96"/>
              <w:ind w:right="-4"/>
              <w:jc w:val="right"/>
              <w:rPr>
                <w:rFonts w:ascii="Times New Roman" w:hAnsi="Times New Roman" w:cs="Times New Roman" w:eastAsia="Times New Roman" w:hint="default"/>
                <w:sz w:val="18"/>
                <w:szCs w:val="18"/>
              </w:rPr>
            </w:pPr>
            <w:r>
              <w:rPr>
                <w:rFonts w:ascii="Times New Roman"/>
                <w:sz w:val="18"/>
              </w:rPr>
              <w:t>60.30%</w:t>
            </w:r>
          </w:p>
        </w:tc>
        <w:tc>
          <w:tcPr>
            <w:tcW w:w="2686"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54"/>
              <w:ind w:left="4" w:right="0"/>
              <w:jc w:val="left"/>
              <w:rPr>
                <w:rFonts w:ascii="宋体" w:hAnsi="宋体" w:cs="宋体" w:eastAsia="宋体" w:hint="default"/>
                <w:sz w:val="18"/>
                <w:szCs w:val="18"/>
              </w:rPr>
            </w:pPr>
            <w:r>
              <w:rPr>
                <w:rFonts w:ascii="宋体" w:hAnsi="宋体" w:cs="宋体" w:eastAsia="宋体" w:hint="default"/>
                <w:sz w:val="18"/>
                <w:szCs w:val="18"/>
              </w:rPr>
              <w:t>本报告期销售费用增加</w:t>
            </w:r>
          </w:p>
        </w:tc>
      </w:tr>
      <w:tr>
        <w:trPr>
          <w:trHeight w:val="739" w:hRule="exact"/>
        </w:trPr>
        <w:tc>
          <w:tcPr>
            <w:tcW w:w="26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61"/>
              <w:ind w:left="4" w:right="1"/>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期资产收回的现金净额</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w w:val="95"/>
                <w:sz w:val="18"/>
              </w:rPr>
              <w:t>9,800.00</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z w:val="18"/>
              </w:rPr>
              <w:t>16,200.00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4"/>
              <w:jc w:val="right"/>
              <w:rPr>
                <w:rFonts w:ascii="Times New Roman" w:hAnsi="Times New Roman" w:cs="Times New Roman" w:eastAsia="Times New Roman" w:hint="default"/>
                <w:sz w:val="18"/>
                <w:szCs w:val="18"/>
              </w:rPr>
            </w:pPr>
            <w:r>
              <w:rPr>
                <w:rFonts w:ascii="Times New Roman"/>
                <w:sz w:val="18"/>
              </w:rPr>
              <w:t>-39.51%</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本报告期处置资产减少</w:t>
            </w:r>
          </w:p>
        </w:tc>
      </w:tr>
      <w:tr>
        <w:trPr>
          <w:trHeight w:val="739" w:hRule="exact"/>
        </w:trPr>
        <w:tc>
          <w:tcPr>
            <w:tcW w:w="26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4" w:lineRule="auto" w:before="61"/>
              <w:ind w:left="4" w:right="1"/>
              <w:jc w:val="left"/>
              <w:rPr>
                <w:rFonts w:ascii="宋体" w:hAnsi="宋体" w:cs="宋体" w:eastAsia="宋体" w:hint="default"/>
                <w:sz w:val="18"/>
                <w:szCs w:val="18"/>
              </w:rPr>
            </w:pPr>
            <w:r>
              <w:rPr>
                <w:rFonts w:ascii="宋体" w:hAnsi="宋体" w:cs="宋体" w:eastAsia="宋体" w:hint="default"/>
                <w:spacing w:val="-2"/>
                <w:sz w:val="18"/>
                <w:szCs w:val="18"/>
              </w:rPr>
              <w:t>购建固定资产、无形资产和其他长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期资产支付的现金</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10,197,681.50</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15,420,855.77</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4"/>
              <w:jc w:val="right"/>
              <w:rPr>
                <w:rFonts w:ascii="Times New Roman" w:hAnsi="Times New Roman" w:cs="Times New Roman" w:eastAsia="Times New Roman" w:hint="default"/>
                <w:sz w:val="18"/>
                <w:szCs w:val="18"/>
              </w:rPr>
            </w:pPr>
            <w:r>
              <w:rPr>
                <w:rFonts w:ascii="Times New Roman"/>
                <w:sz w:val="18"/>
              </w:rPr>
              <w:t>-33.87%</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本报告期购建资产减少</w:t>
            </w:r>
          </w:p>
        </w:tc>
      </w:tr>
      <w:tr>
        <w:trPr>
          <w:trHeight w:val="427" w:hRule="exact"/>
        </w:trPr>
        <w:tc>
          <w:tcPr>
            <w:tcW w:w="26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16,000,000.00</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36,626,000.00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4"/>
              <w:jc w:val="right"/>
              <w:rPr>
                <w:rFonts w:ascii="Times New Roman" w:hAnsi="Times New Roman" w:cs="Times New Roman" w:eastAsia="Times New Roman" w:hint="default"/>
                <w:sz w:val="18"/>
                <w:szCs w:val="18"/>
              </w:rPr>
            </w:pPr>
            <w:r>
              <w:rPr>
                <w:rFonts w:ascii="Times New Roman"/>
                <w:sz w:val="18"/>
              </w:rPr>
              <w:t>-56.32%</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本年投资支付减少</w:t>
            </w:r>
          </w:p>
        </w:tc>
      </w:tr>
      <w:tr>
        <w:trPr>
          <w:trHeight w:val="739" w:hRule="exact"/>
        </w:trPr>
        <w:tc>
          <w:tcPr>
            <w:tcW w:w="26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4" w:lineRule="auto" w:before="61"/>
              <w:ind w:left="4" w:right="156"/>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60,145,975.62</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
              <w:jc w:val="right"/>
              <w:rPr>
                <w:rFonts w:ascii="Times New Roman" w:hAnsi="Times New Roman" w:cs="Times New Roman" w:eastAsia="Times New Roman" w:hint="default"/>
                <w:sz w:val="18"/>
                <w:szCs w:val="18"/>
              </w:rPr>
            </w:pPr>
            <w:r>
              <w:rPr>
                <w:rFonts w:ascii="Times New Roman"/>
                <w:sz w:val="18"/>
              </w:rPr>
              <w:t>100%</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本报告期新增子公司</w:t>
            </w:r>
          </w:p>
        </w:tc>
      </w:tr>
      <w:tr>
        <w:trPr>
          <w:trHeight w:val="427" w:hRule="exact"/>
        </w:trPr>
        <w:tc>
          <w:tcPr>
            <w:tcW w:w="26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138,236.84</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3,260,191.70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4"/>
              <w:jc w:val="right"/>
              <w:rPr>
                <w:rFonts w:ascii="Times New Roman" w:hAnsi="Times New Roman" w:cs="Times New Roman" w:eastAsia="Times New Roman" w:hint="default"/>
                <w:sz w:val="18"/>
                <w:szCs w:val="18"/>
              </w:rPr>
            </w:pPr>
            <w:r>
              <w:rPr>
                <w:rFonts w:ascii="Times New Roman"/>
                <w:sz w:val="18"/>
              </w:rPr>
              <w:t>-95.76%</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本报告期其他筹资活动减少</w:t>
            </w:r>
          </w:p>
        </w:tc>
      </w:tr>
      <w:tr>
        <w:trPr>
          <w:trHeight w:val="428" w:hRule="exact"/>
        </w:trPr>
        <w:tc>
          <w:tcPr>
            <w:tcW w:w="26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130,000,000.00</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24,503,286.00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430.54%</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本报告期还款增加</w:t>
            </w:r>
          </w:p>
        </w:tc>
      </w:tr>
      <w:tr>
        <w:trPr>
          <w:trHeight w:val="427" w:hRule="exact"/>
        </w:trPr>
        <w:tc>
          <w:tcPr>
            <w:tcW w:w="26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15,813,910.44</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2,341,431.59</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575.39%</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本报告期支付票据保证金增加</w:t>
            </w:r>
          </w:p>
        </w:tc>
      </w:tr>
    </w:tbl>
    <w:p>
      <w:pPr>
        <w:spacing w:line="240" w:lineRule="auto" w:before="2"/>
        <w:rPr>
          <w:rFonts w:ascii="宋体" w:hAnsi="宋体" w:cs="宋体" w:eastAsia="宋体" w:hint="default"/>
          <w:sz w:val="27"/>
          <w:szCs w:val="27"/>
        </w:rPr>
      </w:pPr>
    </w:p>
    <w:p>
      <w:pPr>
        <w:pStyle w:val="BodyText"/>
        <w:spacing w:line="240" w:lineRule="auto" w:before="44"/>
        <w:ind w:right="1133"/>
        <w:jc w:val="left"/>
      </w:pPr>
      <w:r>
        <w:rPr/>
        <w:t>报告期内公司经营活动产生的现金净流量与本年度净利润存在重大差异的原因说明</w:t>
      </w:r>
    </w:p>
    <w:p>
      <w:pPr>
        <w:pStyle w:val="BodyText"/>
        <w:spacing w:line="340" w:lineRule="auto" w:before="117"/>
        <w:ind w:right="53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重大差异主要是因为本报告期依照准则对投资的子公司计提了减值。</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2"/>
        <w:gridCol w:w="2168"/>
        <w:gridCol w:w="2341"/>
      </w:tblGrid>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5,552,180.99</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8.49%</w:t>
            </w:r>
          </w:p>
        </w:tc>
        <w:tc>
          <w:tcPr>
            <w:tcW w:w="2168"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权益法核算长期股权投资 收益所致</w:t>
            </w:r>
          </w:p>
        </w:tc>
        <w:tc>
          <w:tcPr>
            <w:tcW w:w="234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4"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168" w:type="dxa"/>
            <w:vMerge/>
            <w:tcBorders>
              <w:left w:val="single" w:sz="4" w:space="0" w:color="000000"/>
              <w:right w:val="single" w:sz="4" w:space="0" w:color="000000"/>
            </w:tcBorders>
          </w:tcPr>
          <w:p>
            <w:pPr/>
          </w:p>
        </w:tc>
        <w:tc>
          <w:tcPr>
            <w:tcW w:w="2341"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8" w:type="dxa"/>
            <w:vMerge/>
            <w:tcBorders>
              <w:left w:val="single" w:sz="4" w:space="0" w:color="000000"/>
              <w:bottom w:val="single" w:sz="4" w:space="0" w:color="000000"/>
              <w:right w:val="single" w:sz="4" w:space="0" w:color="000000"/>
            </w:tcBorders>
          </w:tcPr>
          <w:p>
            <w:pPr/>
          </w:p>
        </w:tc>
        <w:tc>
          <w:tcPr>
            <w:tcW w:w="2341" w:type="dxa"/>
            <w:vMerge/>
            <w:tcBorders>
              <w:left w:val="single" w:sz="4" w:space="0" w:color="000000"/>
              <w:bottom w:val="single" w:sz="4" w:space="0" w:color="000000"/>
              <w:right w:val="single" w:sz="4" w:space="0" w:color="000000"/>
            </w:tcBorders>
          </w:tcPr>
          <w:p>
            <w:pPr/>
          </w:p>
        </w:tc>
      </w:tr>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24,266,563.96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37.10%</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子公司业绩补偿所致</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105,726,555.75</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5" w:right="0"/>
              <w:jc w:val="left"/>
              <w:rPr>
                <w:rFonts w:ascii="Times New Roman" w:hAnsi="Times New Roman" w:cs="Times New Roman" w:eastAsia="Times New Roman" w:hint="default"/>
                <w:sz w:val="18"/>
                <w:szCs w:val="18"/>
              </w:rPr>
            </w:pPr>
            <w:r>
              <w:rPr>
                <w:rFonts w:ascii="Times New Roman"/>
                <w:sz w:val="18"/>
              </w:rPr>
              <w:t>161.64%</w:t>
            </w:r>
          </w:p>
        </w:tc>
        <w:tc>
          <w:tcPr>
            <w:tcW w:w="2168"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计提公司资产减值损失及 存货跌价准备所致</w:t>
            </w:r>
          </w:p>
        </w:tc>
        <w:tc>
          <w:tcPr>
            <w:tcW w:w="234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4"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168" w:type="dxa"/>
            <w:vMerge/>
            <w:tcBorders>
              <w:left w:val="single" w:sz="4" w:space="0" w:color="000000"/>
              <w:right w:val="single" w:sz="4" w:space="0" w:color="000000"/>
            </w:tcBorders>
          </w:tcPr>
          <w:p>
            <w:pPr/>
          </w:p>
        </w:tc>
        <w:tc>
          <w:tcPr>
            <w:tcW w:w="2341"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8" w:type="dxa"/>
            <w:vMerge/>
            <w:tcBorders>
              <w:left w:val="single" w:sz="4" w:space="0" w:color="000000"/>
              <w:bottom w:val="single" w:sz="4" w:space="0" w:color="000000"/>
              <w:right w:val="single" w:sz="4" w:space="0" w:color="000000"/>
            </w:tcBorders>
          </w:tcPr>
          <w:p>
            <w:pPr/>
          </w:p>
        </w:tc>
        <w:tc>
          <w:tcPr>
            <w:tcW w:w="2341" w:type="dxa"/>
            <w:vMerge/>
            <w:tcBorders>
              <w:left w:val="single" w:sz="4" w:space="0" w:color="000000"/>
              <w:bottom w:val="single" w:sz="4" w:space="0" w:color="000000"/>
              <w:right w:val="single" w:sz="4" w:space="0" w:color="000000"/>
            </w:tcBorders>
          </w:tcPr>
          <w:p>
            <w:pPr/>
          </w:p>
        </w:tc>
      </w:tr>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47,914.03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无需支付款项清理</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24"/>
        <w:gridCol w:w="1916"/>
        <w:gridCol w:w="1622"/>
        <w:gridCol w:w="2168"/>
        <w:gridCol w:w="2341"/>
      </w:tblGrid>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5,354,375.87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8.19%</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对外捐赠所致</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30,699,151.33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46.93%</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收到软件增值税退税及政 府补助所致</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16"/>
        <w:jc w:val="left"/>
      </w:pPr>
      <w:r>
        <w:rPr/>
        <w:t>公司</w:t>
      </w:r>
      <w:r>
        <w:rPr>
          <w:spacing w:val="-46"/>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103"/>
        <w:ind w:right="-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526" w:space="394"/>
            <w:col w:w="201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28"/>
        <w:gridCol w:w="900"/>
        <w:gridCol w:w="1368"/>
        <w:gridCol w:w="891"/>
        <w:gridCol w:w="797"/>
        <w:gridCol w:w="2919"/>
      </w:tblGrid>
      <w:tr>
        <w:trPr>
          <w:trHeight w:val="38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9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7"/>
              <w:ind w:left="266" w:right="83"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7"/>
              <w:ind w:left="261" w:right="77" w:hanging="181"/>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vMerge/>
            <w:tcBorders>
              <w:left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1"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328" w:type="dxa"/>
            <w:vMerge/>
            <w:tcBorders>
              <w:left w:val="single" w:sz="4" w:space="0" w:color="000000"/>
              <w:bottom w:val="nil" w:sz="6" w:space="0" w:color="auto"/>
              <w:right w:val="single" w:sz="4" w:space="0" w:color="000000"/>
            </w:tcBorders>
            <w:shd w:val="clear" w:color="auto" w:fill="D2D2D2"/>
          </w:tcPr>
          <w:p>
            <w:pPr/>
          </w:p>
        </w:tc>
        <w:tc>
          <w:tcPr>
            <w:tcW w:w="900" w:type="dxa"/>
            <w:vMerge/>
            <w:tcBorders>
              <w:left w:val="single" w:sz="4" w:space="0" w:color="000000"/>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891"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891"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586,730,801.81</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30.87%</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384,805,340.29</w:t>
            </w:r>
          </w:p>
        </w:tc>
        <w:tc>
          <w:tcPr>
            <w:tcW w:w="89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5" w:right="0"/>
              <w:jc w:val="left"/>
              <w:rPr>
                <w:rFonts w:ascii="Times New Roman" w:hAnsi="Times New Roman" w:cs="Times New Roman" w:eastAsia="Times New Roman" w:hint="default"/>
                <w:sz w:val="18"/>
                <w:szCs w:val="18"/>
              </w:rPr>
            </w:pPr>
            <w:r>
              <w:rPr>
                <w:rFonts w:ascii="Times New Roman"/>
                <w:sz w:val="18"/>
              </w:rPr>
              <w:t>32.26%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-1.39%</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因本报告期内加大应收账款的清收 所致</w:t>
            </w:r>
          </w:p>
        </w:tc>
      </w:tr>
      <w:tr>
        <w:trPr>
          <w:trHeight w:val="394"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8" w:type="dxa"/>
            <w:vMerge/>
            <w:tcBorders>
              <w:left w:val="single" w:sz="9" w:space="0" w:color="D2D2D2"/>
              <w:right w:val="single" w:sz="4" w:space="0" w:color="000000"/>
            </w:tcBorders>
          </w:tcPr>
          <w:p>
            <w:pPr/>
          </w:p>
        </w:tc>
        <w:tc>
          <w:tcPr>
            <w:tcW w:w="900"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89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9" w:space="0" w:color="D2D2D2"/>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89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211,416,353.47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274,768,314.95</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-11.92%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282,340,769.95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260,275,770.92</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28" w:type="dxa"/>
            <w:tcBorders>
              <w:top w:val="single" w:sz="4" w:space="0" w:color="000000"/>
              <w:left w:val="single" w:sz="12" w:space="0" w:color="D2D2D2"/>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54,340,646.22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52,168,989.26</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96,423,810.18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37,261,854.92</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因本报告期末并购子公司所致</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8" w:type="dxa"/>
            <w:tcBorders>
              <w:top w:val="single" w:sz="4" w:space="0" w:color="000000"/>
              <w:left w:val="single" w:sz="12" w:space="0" w:color="D2D2D2"/>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220,238,261.64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206,100,347.70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28" w:type="dxa"/>
            <w:tcBorders>
              <w:top w:val="single" w:sz="4" w:space="0" w:color="000000"/>
              <w:left w:val="single" w:sz="12" w:space="0" w:color="D2D2D2"/>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16,289,300.00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34,501,203.27</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因本报告期内客户改变结算方式，减</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少票据结算所致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15,651,690.06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3,774,583.43</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因本报告期末持有应收出口退税额 增加所致</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483,623,713.35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84,663,192.09</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18.34%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因本报告期末并购子公司所致</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33,782,213.93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4,110,324.12</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因本报告期末并购子公司所致</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34,356,550.57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35,341,384.20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108,511,942.47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102,678,836.39</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199,038,409.76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51,146,481.51</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因本报告期末未支付应付的对外投 资款增加所致</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65"/>
        <w:gridCol w:w="1027"/>
        <w:gridCol w:w="1260"/>
        <w:gridCol w:w="991"/>
        <w:gridCol w:w="925"/>
        <w:gridCol w:w="1207"/>
        <w:gridCol w:w="697"/>
        <w:gridCol w:w="1276"/>
        <w:gridCol w:w="1212"/>
      </w:tblGrid>
      <w:tr>
        <w:trPr>
          <w:trHeight w:val="161" w:hRule="exact"/>
        </w:trPr>
        <w:tc>
          <w:tcPr>
            <w:tcW w:w="965" w:type="dxa"/>
            <w:vMerge w:val="restart"/>
            <w:tcBorders>
              <w:top w:val="single" w:sz="4" w:space="0" w:color="000000"/>
              <w:left w:val="single" w:sz="4" w:space="0" w:color="000000"/>
              <w:right w:val="single" w:sz="4" w:space="0" w:color="000000"/>
            </w:tcBorders>
            <w:shd w:val="clear" w:color="auto" w:fill="D2D2D2"/>
          </w:tcPr>
          <w:p>
            <w:pPr/>
          </w:p>
        </w:tc>
        <w:tc>
          <w:tcPr>
            <w:tcW w:w="1027" w:type="dxa"/>
            <w:vMerge w:val="restart"/>
            <w:tcBorders>
              <w:top w:val="single" w:sz="4" w:space="0" w:color="000000"/>
              <w:left w:val="single" w:sz="4" w:space="0" w:color="000000"/>
              <w:right w:val="single" w:sz="4" w:space="0" w:color="000000"/>
            </w:tcBorders>
            <w:shd w:val="clear" w:color="auto" w:fill="D2D2D2"/>
          </w:tcPr>
          <w:p>
            <w:pPr/>
          </w:p>
        </w:tc>
        <w:tc>
          <w:tcPr>
            <w:tcW w:w="126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0" w:right="39"/>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9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6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212"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965" w:type="dxa"/>
            <w:vMerge/>
            <w:tcBorders>
              <w:left w:val="single" w:sz="4" w:space="0" w:color="000000"/>
              <w:bottom w:val="nil" w:sz="6" w:space="0" w:color="auto"/>
              <w:right w:val="single" w:sz="4" w:space="0" w:color="000000"/>
            </w:tcBorders>
            <w:shd w:val="clear" w:color="auto" w:fill="D2D2D2"/>
          </w:tcPr>
          <w:p>
            <w:pPr/>
          </w:p>
        </w:tc>
        <w:tc>
          <w:tcPr>
            <w:tcW w:w="1027" w:type="dxa"/>
            <w:vMerge/>
            <w:tcBorders>
              <w:left w:val="single" w:sz="4" w:space="0" w:color="000000"/>
              <w:bottom w:val="nil" w:sz="6" w:space="0" w:color="auto"/>
              <w:right w:val="single" w:sz="4" w:space="0" w:color="000000"/>
            </w:tcBorders>
            <w:shd w:val="clear" w:color="auto" w:fill="D2D2D2"/>
          </w:tcPr>
          <w:p>
            <w:pPr/>
          </w:p>
        </w:tc>
        <w:tc>
          <w:tcPr>
            <w:tcW w:w="1260"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62" w:right="85"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991" w:type="dxa"/>
            <w:vMerge/>
            <w:tcBorders>
              <w:left w:val="single" w:sz="4" w:space="0" w:color="000000"/>
              <w:right w:val="single" w:sz="4" w:space="0" w:color="000000"/>
            </w:tcBorders>
            <w:shd w:val="clear" w:color="auto" w:fill="D2D2D2"/>
          </w:tcPr>
          <w:p>
            <w:pPr/>
          </w:p>
        </w:tc>
        <w:tc>
          <w:tcPr>
            <w:tcW w:w="92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89" w:right="93" w:hanging="89"/>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207" w:type="dxa"/>
            <w:vMerge/>
            <w:tcBorders>
              <w:left w:val="single" w:sz="4" w:space="0" w:color="000000"/>
              <w:bottom w:val="nil" w:sz="6" w:space="0" w:color="auto"/>
              <w:right w:val="single" w:sz="4" w:space="0" w:color="000000"/>
            </w:tcBorders>
            <w:shd w:val="clear" w:color="auto" w:fill="D2D2D2"/>
          </w:tcPr>
          <w:p>
            <w:pPr/>
          </w:p>
        </w:tc>
        <w:tc>
          <w:tcPr>
            <w:tcW w:w="69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73" w:right="71"/>
              <w:jc w:val="left"/>
              <w:rPr>
                <w:rFonts w:ascii="宋体" w:hAnsi="宋体" w:cs="宋体" w:eastAsia="宋体" w:hint="default"/>
                <w:sz w:val="18"/>
                <w:szCs w:val="18"/>
              </w:rPr>
            </w:pPr>
            <w:r>
              <w:rPr>
                <w:rFonts w:ascii="宋体" w:hAnsi="宋体" w:cs="宋体" w:eastAsia="宋体" w:hint="default"/>
                <w:sz w:val="18"/>
                <w:szCs w:val="18"/>
              </w:rPr>
              <w:t>本期出 售金额</w:t>
            </w:r>
          </w:p>
        </w:tc>
        <w:tc>
          <w:tcPr>
            <w:tcW w:w="1276" w:type="dxa"/>
            <w:vMerge/>
            <w:tcBorders>
              <w:left w:val="single" w:sz="4" w:space="0" w:color="000000"/>
              <w:bottom w:val="nil" w:sz="6" w:space="0" w:color="auto"/>
              <w:right w:val="single" w:sz="4" w:space="0" w:color="000000"/>
            </w:tcBorders>
            <w:shd w:val="clear" w:color="auto" w:fill="D2D2D2"/>
          </w:tcPr>
          <w:p>
            <w:pPr/>
          </w:p>
        </w:tc>
        <w:tc>
          <w:tcPr>
            <w:tcW w:w="1212" w:type="dxa"/>
            <w:vMerge/>
            <w:tcBorders>
              <w:left w:val="single" w:sz="4" w:space="0" w:color="000000"/>
              <w:bottom w:val="nil" w:sz="6" w:space="0" w:color="auto"/>
              <w:right w:val="single" w:sz="4" w:space="0" w:color="000000"/>
            </w:tcBorders>
            <w:shd w:val="clear" w:color="auto" w:fill="D2D2D2"/>
          </w:tcPr>
          <w:p>
            <w:pPr/>
          </w:p>
        </w:tc>
      </w:tr>
      <w:tr>
        <w:trPr>
          <w:trHeight w:val="391" w:hRule="exact"/>
        </w:trPr>
        <w:tc>
          <w:tcPr>
            <w:tcW w:w="9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60"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925" w:type="dxa"/>
            <w:vMerge/>
            <w:tcBorders>
              <w:left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8"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697"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74"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965" w:type="dxa"/>
            <w:vMerge w:val="restart"/>
            <w:tcBorders>
              <w:top w:val="nil" w:sz="6" w:space="0" w:color="auto"/>
              <w:left w:val="single" w:sz="4" w:space="0" w:color="000000"/>
              <w:right w:val="single" w:sz="4" w:space="0" w:color="000000"/>
            </w:tcBorders>
            <w:shd w:val="clear" w:color="auto" w:fill="D2D2D2"/>
          </w:tcPr>
          <w:p>
            <w:pPr/>
          </w:p>
        </w:tc>
        <w:tc>
          <w:tcPr>
            <w:tcW w:w="1027" w:type="dxa"/>
            <w:vMerge w:val="restart"/>
            <w:tcBorders>
              <w:top w:val="nil" w:sz="6" w:space="0" w:color="auto"/>
              <w:left w:val="single" w:sz="4" w:space="0" w:color="000000"/>
              <w:right w:val="single" w:sz="4" w:space="0" w:color="000000"/>
            </w:tcBorders>
            <w:shd w:val="clear" w:color="auto" w:fill="D2D2D2"/>
          </w:tcPr>
          <w:p>
            <w:pPr/>
          </w:p>
        </w:tc>
        <w:tc>
          <w:tcPr>
            <w:tcW w:w="1260"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925"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697"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1212"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965" w:type="dxa"/>
            <w:vMerge/>
            <w:tcBorders>
              <w:left w:val="single" w:sz="4" w:space="0" w:color="000000"/>
              <w:bottom w:val="single" w:sz="4" w:space="0" w:color="000000"/>
              <w:right w:val="single" w:sz="4" w:space="0" w:color="000000"/>
            </w:tcBorders>
            <w:shd w:val="clear" w:color="auto" w:fill="D2D2D2"/>
          </w:tcPr>
          <w:p>
            <w:pPr/>
          </w:p>
        </w:tc>
        <w:tc>
          <w:tcPr>
            <w:tcW w:w="1027" w:type="dxa"/>
            <w:vMerge/>
            <w:tcBorders>
              <w:left w:val="single" w:sz="4" w:space="0" w:color="000000"/>
              <w:bottom w:val="single" w:sz="4" w:space="0" w:color="000000"/>
              <w:right w:val="single" w:sz="4" w:space="0" w:color="000000"/>
            </w:tcBorders>
            <w:shd w:val="clear" w:color="auto" w:fill="D2D2D2"/>
          </w:tcPr>
          <w:p>
            <w:pPr/>
          </w:p>
        </w:tc>
        <w:tc>
          <w:tcPr>
            <w:tcW w:w="126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9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6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5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7" w:hRule="exact"/>
        </w:trPr>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4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 融资产（不 含衍生金融 资产）</w:t>
            </w:r>
          </w:p>
        </w:tc>
        <w:tc>
          <w:tcPr>
            <w:tcW w:w="10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1,664,820.06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18,750,268.25</w:t>
            </w:r>
          </w:p>
        </w:tc>
        <w:tc>
          <w:tcPr>
            <w:tcW w:w="99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20,415,088.31</w:t>
            </w:r>
          </w:p>
        </w:tc>
      </w:tr>
      <w:tr>
        <w:trPr>
          <w:trHeight w:val="403" w:hRule="exact"/>
        </w:trPr>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1,628,397.10</w:t>
            </w:r>
          </w:p>
        </w:tc>
        <w:tc>
          <w:tcPr>
            <w:tcW w:w="126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5" w:right="0"/>
              <w:jc w:val="left"/>
              <w:rPr>
                <w:rFonts w:ascii="Times New Roman" w:hAnsi="Times New Roman" w:cs="Times New Roman" w:eastAsia="Times New Roman" w:hint="default"/>
                <w:sz w:val="18"/>
                <w:szCs w:val="18"/>
              </w:rPr>
            </w:pPr>
            <w:r>
              <w:rPr>
                <w:rFonts w:ascii="Times New Roman"/>
                <w:sz w:val="18"/>
              </w:rPr>
              <w:t>-1,628,397.10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0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3,293,217.16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18,750,268.25</w:t>
            </w:r>
          </w:p>
        </w:tc>
        <w:tc>
          <w:tcPr>
            <w:tcW w:w="99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5" w:right="0"/>
              <w:jc w:val="left"/>
              <w:rPr>
                <w:rFonts w:ascii="Times New Roman" w:hAnsi="Times New Roman" w:cs="Times New Roman" w:eastAsia="Times New Roman" w:hint="default"/>
                <w:sz w:val="18"/>
                <w:szCs w:val="18"/>
              </w:rPr>
            </w:pPr>
            <w:r>
              <w:rPr>
                <w:rFonts w:ascii="Times New Roman"/>
                <w:sz w:val="18"/>
              </w:rPr>
              <w:t>-1,628,397.10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20,415,088.31</w:t>
            </w:r>
          </w:p>
        </w:tc>
      </w:tr>
      <w:tr>
        <w:trPr>
          <w:trHeight w:val="403" w:hRule="exact"/>
        </w:trPr>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255,221.84</w:t>
            </w:r>
          </w:p>
        </w:tc>
        <w:tc>
          <w:tcPr>
            <w:tcW w:w="99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255,221.84</w:t>
            </w:r>
          </w:p>
        </w:tc>
      </w:tr>
    </w:tbl>
    <w:p>
      <w:pPr>
        <w:pStyle w:val="BodyText"/>
        <w:spacing w:line="357" w:lineRule="auto" w:before="49"/>
        <w:ind w:right="6811"/>
        <w:jc w:val="left"/>
      </w:pPr>
      <w:r>
        <w:rPr/>
        <w:t>其他变动的内容 其他变动为货币掉期公允价值变动 报告期内公司主要资产计量属性是否发生重大变化</w:t>
      </w:r>
    </w:p>
    <w:p>
      <w:pPr>
        <w:pStyle w:val="BodyText"/>
        <w:spacing w:line="240" w:lineRule="auto" w:before="26"/>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95" w:right="7601"/>
        <w:jc w:val="center"/>
      </w:pPr>
      <w:r>
        <w:rPr/>
        <w:t>（</w:t>
      </w:r>
      <w:r>
        <w:rPr>
          <w:rFonts w:ascii="Times New Roman" w:hAnsi="Times New Roman" w:cs="Times New Roman" w:eastAsia="Times New Roman" w:hint="default"/>
        </w:rPr>
        <w:t>1</w:t>
      </w:r>
      <w:r>
        <w:rPr/>
        <w:t>）受限制的货币资金明细如下：</w:t>
      </w:r>
    </w:p>
    <w:p>
      <w:pPr>
        <w:spacing w:line="240" w:lineRule="auto" w:before="4"/>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3167"/>
        <w:gridCol w:w="3219"/>
        <w:gridCol w:w="3176"/>
      </w:tblGrid>
      <w:tr>
        <w:trPr>
          <w:trHeight w:val="334" w:hRule="exact"/>
        </w:trPr>
        <w:tc>
          <w:tcPr>
            <w:tcW w:w="31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60" w:hRule="exact"/>
        </w:trPr>
        <w:tc>
          <w:tcPr>
            <w:tcW w:w="3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right"/>
              <w:rPr>
                <w:rFonts w:ascii="Times New Roman" w:hAnsi="Times New Roman" w:cs="Times New Roman" w:eastAsia="Times New Roman" w:hint="default"/>
                <w:sz w:val="18"/>
                <w:szCs w:val="18"/>
              </w:rPr>
            </w:pPr>
            <w:r>
              <w:rPr>
                <w:rFonts w:ascii="Times New Roman"/>
                <w:spacing w:val="-1"/>
                <w:sz w:val="18"/>
              </w:rPr>
              <w:t>15,548,601.68</w:t>
            </w:r>
          </w:p>
        </w:tc>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right"/>
              <w:rPr>
                <w:rFonts w:ascii="Times New Roman" w:hAnsi="Times New Roman" w:cs="Times New Roman" w:eastAsia="Times New Roman" w:hint="default"/>
                <w:sz w:val="18"/>
                <w:szCs w:val="18"/>
              </w:rPr>
            </w:pPr>
            <w:r>
              <w:rPr>
                <w:rFonts w:ascii="Times New Roman"/>
                <w:spacing w:val="-1"/>
                <w:sz w:val="18"/>
              </w:rPr>
              <w:t>291,219.77</w:t>
            </w:r>
          </w:p>
        </w:tc>
      </w:tr>
      <w:tr>
        <w:trPr>
          <w:trHeight w:val="346" w:hRule="exact"/>
        </w:trPr>
        <w:tc>
          <w:tcPr>
            <w:tcW w:w="3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17,190,001.61</w:t>
            </w:r>
          </w:p>
        </w:tc>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17,708,834.44</w:t>
            </w:r>
          </w:p>
        </w:tc>
      </w:tr>
      <w:tr>
        <w:trPr>
          <w:trHeight w:val="348" w:hRule="exact"/>
        </w:trPr>
        <w:tc>
          <w:tcPr>
            <w:tcW w:w="3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共管账户保证金</w:t>
            </w:r>
            <w:r>
              <w:rPr>
                <w:rFonts w:ascii="Times New Roman" w:hAnsi="Times New Roman" w:cs="Times New Roman" w:eastAsia="Times New Roman" w:hint="default"/>
                <w:sz w:val="18"/>
                <w:szCs w:val="18"/>
              </w:rPr>
              <w:t>*</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34,071.77</w:t>
            </w:r>
          </w:p>
        </w:tc>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348" w:hRule="exact"/>
        </w:trPr>
        <w:tc>
          <w:tcPr>
            <w:tcW w:w="3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货币掉期业务保证金</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558,096.00</w:t>
            </w:r>
          </w:p>
        </w:tc>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r>
      <w:tr>
        <w:trPr>
          <w:trHeight w:val="346" w:hRule="exact"/>
        </w:trPr>
        <w:tc>
          <w:tcPr>
            <w:tcW w:w="3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33,330,771.06</w:t>
            </w:r>
          </w:p>
        </w:tc>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23,000,054.21</w:t>
            </w:r>
          </w:p>
        </w:tc>
      </w:tr>
    </w:tbl>
    <w:p>
      <w:pPr>
        <w:pStyle w:val="BodyText"/>
        <w:spacing w:line="307" w:lineRule="auto" w:before="49"/>
        <w:ind w:right="1124"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月，本公司与佳博科技公司股东签署《发行股份及支付现金购买资产协议》，并约定本公司及陈建辉均应自 本次交易获得本公司第三届第四次董事会议通过之日起五个工作日内向以本公司名义开立的浙商银行深圳分行营业部共管 </w:t>
      </w:r>
      <w:r>
        <w:rPr>
          <w:spacing w:val="-1"/>
        </w:rPr>
        <w:t>账户内汇入</w:t>
      </w:r>
      <w:r>
        <w:rPr>
          <w:rFonts w:ascii="Times New Roman" w:hAnsi="Times New Roman" w:cs="Times New Roman" w:eastAsia="Times New Roman" w:hint="default"/>
          <w:spacing w:val="-1"/>
        </w:rPr>
        <w:t>500.00</w:t>
      </w:r>
      <w:r>
        <w:rPr>
          <w:spacing w:val="-1"/>
        </w:rPr>
        <w:t>万元的诚意金。陈建辉于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月汇入</w:t>
      </w:r>
      <w:r>
        <w:rPr>
          <w:rFonts w:ascii="Times New Roman" w:hAnsi="Times New Roman" w:cs="Times New Roman" w:eastAsia="Times New Roman" w:hint="default"/>
          <w:spacing w:val="-1"/>
        </w:rPr>
        <w:t>500.00</w:t>
      </w:r>
      <w:r>
        <w:rPr>
          <w:spacing w:val="-1"/>
        </w:rPr>
        <w:t>万元至共管账户，本公司于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月汇入</w:t>
      </w:r>
      <w:r>
        <w:rPr>
          <w:rFonts w:ascii="Times New Roman" w:hAnsi="Times New Roman" w:cs="Times New Roman" w:eastAsia="Times New Roman" w:hint="default"/>
          <w:spacing w:val="-1"/>
        </w:rPr>
        <w:t>500.00</w:t>
      </w:r>
      <w:r>
        <w:rPr>
          <w:spacing w:val="-1"/>
        </w:rPr>
        <w:t>万元至共</w:t>
      </w:r>
      <w:r>
        <w:rPr>
          <w:spacing w:val="-72"/>
        </w:rPr>
        <w:t> </w:t>
      </w:r>
      <w:r>
        <w:rPr>
          <w:spacing w:val="-72"/>
        </w:rPr>
      </w:r>
      <w:r>
        <w:rPr/>
        <w:t>管账户，</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月本公司收购佳博科技公司</w:t>
      </w:r>
      <w:r>
        <w:rPr>
          <w:rFonts w:ascii="Times New Roman" w:hAnsi="Times New Roman" w:cs="Times New Roman" w:eastAsia="Times New Roman" w:hint="default"/>
        </w:rPr>
        <w:t>100%</w:t>
      </w:r>
      <w:r>
        <w:rPr/>
        <w:t>股权后将款项退回各自账户。</w:t>
      </w:r>
    </w:p>
    <w:p>
      <w:pPr>
        <w:pStyle w:val="BodyText"/>
        <w:spacing w:line="240" w:lineRule="auto" w:before="48"/>
        <w:ind w:left="513" w:right="1133"/>
        <w:jc w:val="left"/>
      </w:pPr>
      <w:r>
        <w:rPr/>
        <w:t>（</w:t>
      </w:r>
      <w:r>
        <w:rPr>
          <w:rFonts w:ascii="Times New Roman" w:hAnsi="Times New Roman" w:cs="Times New Roman" w:eastAsia="Times New Roman" w:hint="default"/>
        </w:rPr>
        <w:t>2</w:t>
      </w:r>
      <w:r>
        <w:rPr/>
        <w:t>）期末公司已质押的应收票据</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4124"/>
        <w:gridCol w:w="5468"/>
      </w:tblGrid>
      <w:tr>
        <w:trPr>
          <w:trHeight w:val="319" w:hRule="exact"/>
        </w:trPr>
        <w:tc>
          <w:tcPr>
            <w:tcW w:w="41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1870"/>
              <w:jc w:val="right"/>
              <w:rPr>
                <w:rFonts w:ascii="宋体" w:hAnsi="宋体" w:cs="宋体" w:eastAsia="宋体" w:hint="default"/>
                <w:sz w:val="18"/>
                <w:szCs w:val="18"/>
              </w:rPr>
            </w:pPr>
            <w:r>
              <w:rPr>
                <w:rFonts w:ascii="宋体" w:hAnsi="宋体" w:cs="宋体" w:eastAsia="宋体" w:hint="default"/>
                <w:sz w:val="18"/>
                <w:szCs w:val="18"/>
              </w:rPr>
              <w:t>项目</w:t>
            </w:r>
          </w:p>
        </w:tc>
        <w:tc>
          <w:tcPr>
            <w:tcW w:w="54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left="2"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365" w:hRule="exact"/>
        </w:trPr>
        <w:tc>
          <w:tcPr>
            <w:tcW w:w="412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9"/>
              <w:ind w:left="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546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pacing w:val="-1"/>
                <w:sz w:val="18"/>
              </w:rPr>
              <w:t>14,365,000.00</w:t>
            </w:r>
          </w:p>
        </w:tc>
      </w:tr>
      <w:tr>
        <w:trPr>
          <w:trHeight w:val="346" w:hRule="exact"/>
        </w:trPr>
        <w:tc>
          <w:tcPr>
            <w:tcW w:w="4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870"/>
              <w:jc w:val="right"/>
              <w:rPr>
                <w:rFonts w:ascii="宋体" w:hAnsi="宋体" w:cs="宋体" w:eastAsia="宋体" w:hint="default"/>
                <w:sz w:val="18"/>
                <w:szCs w:val="18"/>
              </w:rPr>
            </w:pPr>
            <w:r>
              <w:rPr>
                <w:rFonts w:ascii="宋体" w:hAnsi="宋体" w:cs="宋体" w:eastAsia="宋体" w:hint="default"/>
                <w:sz w:val="18"/>
                <w:szCs w:val="18"/>
              </w:rPr>
              <w:t>合计</w:t>
            </w:r>
          </w:p>
        </w:tc>
        <w:tc>
          <w:tcPr>
            <w:tcW w:w="5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14,365,000.00</w:t>
            </w:r>
          </w:p>
        </w:tc>
      </w:tr>
    </w:tbl>
    <w:p>
      <w:pPr>
        <w:pStyle w:val="BodyText"/>
        <w:spacing w:line="300" w:lineRule="auto" w:before="49"/>
        <w:ind w:right="1129"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日，本公司与宁波银行有限公司深圳分行签署了编号为</w:t>
      </w:r>
      <w:r>
        <w:rPr>
          <w:rFonts w:ascii="Times New Roman" w:hAnsi="Times New Roman" w:cs="Times New Roman" w:eastAsia="Times New Roman" w:hint="default"/>
        </w:rPr>
        <w:t>07301PC20188031</w:t>
      </w:r>
      <w:r>
        <w:rPr/>
        <w:t>号的《票据池业务合作及票据质 </w:t>
      </w:r>
      <w:r>
        <w:rPr>
          <w:spacing w:val="-2"/>
        </w:rPr>
        <w:t>押协议》，约定公司自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w:t>
      </w:r>
      <w:r>
        <w:rPr>
          <w:spacing w:val="-2"/>
        </w:rPr>
        <w:t>日签订之日起</w:t>
      </w:r>
      <w:r>
        <w:rPr>
          <w:rFonts w:ascii="Times New Roman" w:hAnsi="Times New Roman" w:cs="Times New Roman" w:eastAsia="Times New Roman" w:hint="default"/>
          <w:spacing w:val="-2"/>
        </w:rPr>
        <w:t>1</w:t>
      </w:r>
      <w:r>
        <w:rPr>
          <w:spacing w:val="-2"/>
        </w:rPr>
        <w:t>年内向宁波银行有限公司深圳分行提交质押票据进行质押申请，质押池融</w:t>
      </w:r>
      <w:r>
        <w:rPr>
          <w:spacing w:val="-59"/>
        </w:rPr>
        <w:t> </w:t>
      </w:r>
      <w:r>
        <w:rPr>
          <w:spacing w:val="-59"/>
        </w:rPr>
      </w:r>
      <w:r>
        <w:rPr/>
        <w:t>资额度根据资产池内质押资产和资产池保证金账户余额的变化而变化，最高额度不超过人民币</w:t>
      </w:r>
      <w:r>
        <w:rPr>
          <w:rFonts w:ascii="Times New Roman" w:hAnsi="Times New Roman" w:cs="Times New Roman" w:eastAsia="Times New Roman" w:hint="default"/>
        </w:rPr>
        <w:t>2</w:t>
      </w:r>
      <w:r>
        <w:rPr/>
        <w:t>亿元。并于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日与</w:t>
      </w:r>
      <w:r>
        <w:rPr>
          <w:spacing w:val="-3"/>
        </w:rPr>
        <w:t> </w:t>
      </w:r>
      <w:r>
        <w:rPr>
          <w:spacing w:val="-1"/>
        </w:rPr>
        <w:t>宁波银行有限公司深圳分行签署了编号为</w:t>
      </w:r>
      <w:r>
        <w:rPr>
          <w:rFonts w:ascii="Times New Roman" w:hAnsi="Times New Roman" w:cs="Times New Roman" w:eastAsia="Times New Roman" w:hint="default"/>
          <w:spacing w:val="-1"/>
        </w:rPr>
        <w:t>07301PC20188031</w:t>
      </w:r>
      <w:r>
        <w:rPr>
          <w:spacing w:val="-1"/>
        </w:rPr>
        <w:t>（补）号的补充协议，约定将原票据池升级为资金池，资金池编</w:t>
      </w:r>
      <w:r>
        <w:rPr>
          <w:spacing w:val="-69"/>
        </w:rPr>
        <w:t> </w:t>
      </w:r>
      <w:r>
        <w:rPr>
          <w:spacing w:val="-69"/>
        </w:rPr>
      </w:r>
      <w:r>
        <w:rPr/>
        <w:t>号为</w:t>
      </w:r>
      <w:r>
        <w:rPr>
          <w:rFonts w:ascii="Times New Roman" w:hAnsi="Times New Roman" w:cs="Times New Roman" w:eastAsia="Times New Roman" w:hint="default"/>
        </w:rPr>
        <w:t>0731100001418</w:t>
      </w:r>
      <w:r>
        <w:rPr/>
        <w:t>，并约定自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日至</w:t>
      </w:r>
      <w:r>
        <w:rPr>
          <w:rFonts w:ascii="Times New Roman" w:hAnsi="Times New Roman" w:cs="Times New Roman" w:eastAsia="Times New Roman" w:hint="default"/>
        </w:rPr>
        <w:t>2029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日内向宁波银行有限公司深圳分行提交质押票据进行质押申请和 入池业务，质押池融资额度根据资产池内质押资产和资产池保证金账户余额的变化而变化，最高额度不超过人民币</w:t>
      </w:r>
      <w:r>
        <w:rPr>
          <w:rFonts w:ascii="Times New Roman" w:hAnsi="Times New Roman" w:cs="Times New Roman" w:eastAsia="Times New Roman" w:hint="default"/>
        </w:rPr>
        <w:t>2</w:t>
      </w:r>
      <w:r>
        <w:rPr/>
        <w:t>亿元。</w:t>
      </w:r>
    </w:p>
    <w:p>
      <w:pPr>
        <w:spacing w:after="0" w:line="300" w:lineRule="auto"/>
        <w:jc w:val="both"/>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五、投资状况分析" w:id="44"/>
      <w:bookmarkEnd w:id="44"/>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36,626,000.00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-56.32%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94"/>
        <w:gridCol w:w="694"/>
        <w:gridCol w:w="662"/>
        <w:gridCol w:w="663"/>
        <w:gridCol w:w="660"/>
        <w:gridCol w:w="662"/>
        <w:gridCol w:w="658"/>
        <w:gridCol w:w="656"/>
        <w:gridCol w:w="660"/>
        <w:gridCol w:w="629"/>
        <w:gridCol w:w="739"/>
        <w:gridCol w:w="733"/>
        <w:gridCol w:w="734"/>
        <w:gridCol w:w="722"/>
      </w:tblGrid>
      <w:tr>
        <w:trPr>
          <w:trHeight w:val="1025"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1" w:right="6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7" w:right="50"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9" w:right="50"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5"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5" w:right="48"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5"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0" w:right="36"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5" w:right="9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1" w:right="89"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2900"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118"/>
              <w:jc w:val="both"/>
              <w:rPr>
                <w:rFonts w:ascii="宋体" w:hAnsi="宋体" w:cs="宋体" w:eastAsia="宋体" w:hint="default"/>
                <w:sz w:val="18"/>
                <w:szCs w:val="18"/>
              </w:rPr>
            </w:pPr>
            <w:r>
              <w:rPr>
                <w:rFonts w:ascii="宋体" w:hAnsi="宋体" w:cs="宋体" w:eastAsia="宋体" w:hint="default"/>
                <w:sz w:val="18"/>
                <w:szCs w:val="18"/>
              </w:rPr>
              <w:t>珠海佳 博科技 有限公 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21"/>
              <w:jc w:val="left"/>
              <w:rPr>
                <w:rFonts w:ascii="宋体" w:hAnsi="宋体" w:cs="宋体" w:eastAsia="宋体" w:hint="default"/>
                <w:sz w:val="18"/>
                <w:szCs w:val="18"/>
              </w:rPr>
            </w:pPr>
            <w:r>
              <w:rPr>
                <w:rFonts w:ascii="宋体" w:hAnsi="宋体" w:cs="宋体" w:eastAsia="宋体" w:hint="default"/>
                <w:sz w:val="18"/>
                <w:szCs w:val="18"/>
              </w:rPr>
              <w:t>专用打 印机的 </w:t>
            </w:r>
            <w:r>
              <w:rPr>
                <w:rFonts w:ascii="宋体" w:hAnsi="宋体" w:cs="宋体" w:eastAsia="宋体" w:hint="default"/>
                <w:spacing w:val="-22"/>
                <w:sz w:val="18"/>
                <w:szCs w:val="18"/>
              </w:rPr>
              <w:t>研发、生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2"/>
                <w:sz w:val="18"/>
                <w:szCs w:val="18"/>
              </w:rPr>
              <w:t>产、销售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和服务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266"/>
              <w:jc w:val="right"/>
              <w:rPr>
                <w:rFonts w:ascii="宋体" w:hAnsi="宋体" w:cs="宋体" w:eastAsia="宋体" w:hint="default"/>
                <w:sz w:val="18"/>
                <w:szCs w:val="18"/>
              </w:rPr>
            </w:pPr>
            <w:r>
              <w:rPr>
                <w:rFonts w:ascii="宋体" w:hAnsi="宋体" w:cs="宋体" w:eastAsia="宋体" w:hint="default"/>
                <w:sz w:val="18"/>
                <w:szCs w:val="18"/>
              </w:rPr>
              <w:t>收购</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815,000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6" w:right="84"/>
              <w:jc w:val="both"/>
              <w:rPr>
                <w:rFonts w:ascii="宋体" w:hAnsi="宋体" w:cs="宋体" w:eastAsia="宋体" w:hint="default"/>
                <w:sz w:val="18"/>
                <w:szCs w:val="18"/>
              </w:rPr>
            </w:pPr>
            <w:r>
              <w:rPr>
                <w:rFonts w:ascii="宋体" w:hAnsi="宋体" w:cs="宋体" w:eastAsia="宋体" w:hint="default"/>
                <w:sz w:val="18"/>
                <w:szCs w:val="18"/>
              </w:rPr>
              <w:t>发行股 份及支 付现金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257"/>
              <w:jc w:val="righ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4"/>
              <w:jc w:val="both"/>
              <w:rPr>
                <w:rFonts w:ascii="宋体" w:hAnsi="宋体" w:cs="宋体" w:eastAsia="宋体" w:hint="default"/>
                <w:sz w:val="18"/>
                <w:szCs w:val="18"/>
              </w:rPr>
            </w:pPr>
            <w:r>
              <w:rPr>
                <w:rFonts w:ascii="宋体" w:hAnsi="宋体" w:cs="宋体" w:eastAsia="宋体" w:hint="default"/>
                <w:sz w:val="18"/>
                <w:szCs w:val="18"/>
              </w:rPr>
              <w:t>标签打 印机、 票据打 印机、 打印机 机芯模 组和智 能打印 终端等</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12" w:lineRule="exact"/>
              <w:ind w:left="24" w:right="-32"/>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w:t>
            </w:r>
            <w:r>
              <w:rPr>
                <w:rFonts w:ascii="宋体" w:hAnsi="宋体" w:cs="宋体" w:eastAsia="宋体" w:hint="default"/>
                <w:spacing w:val="-14"/>
                <w:sz w:val="18"/>
                <w:szCs w:val="18"/>
              </w:rPr>
              <w:t>讯网，公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告编号： </w:t>
            </w:r>
            <w:r>
              <w:rPr>
                <w:rFonts w:ascii="Times New Roman" w:hAnsi="Times New Roman" w:cs="Times New Roman" w:eastAsia="Times New Roman" w:hint="default"/>
                <w:sz w:val="18"/>
                <w:szCs w:val="18"/>
              </w:rPr>
              <w:t>2019-13</w:t>
            </w:r>
          </w:p>
          <w:p>
            <w:pPr>
              <w:pStyle w:val="TableParagraph"/>
              <w:spacing w:line="240" w:lineRule="auto" w:before="81"/>
              <w:ind w:left="24" w:right="0"/>
              <w:jc w:val="left"/>
              <w:rPr>
                <w:rFonts w:ascii="Times New Roman" w:hAnsi="Times New Roman" w:cs="Times New Roman" w:eastAsia="Times New Roman" w:hint="default"/>
                <w:sz w:val="18"/>
                <w:szCs w:val="18"/>
              </w:rPr>
            </w:pPr>
            <w:r>
              <w:rPr>
                <w:rFonts w:ascii="Times New Roman"/>
                <w:sz w:val="18"/>
              </w:rPr>
              <w:t>4</w:t>
            </w:r>
          </w:p>
        </w:tc>
      </w:tr>
      <w:tr>
        <w:trPr>
          <w:trHeight w:val="713"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4"/>
              <w:jc w:val="right"/>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815,000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2"/>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88"/>
        <w:gridCol w:w="1309"/>
        <w:gridCol w:w="1133"/>
        <w:gridCol w:w="991"/>
        <w:gridCol w:w="924"/>
        <w:gridCol w:w="958"/>
        <w:gridCol w:w="670"/>
        <w:gridCol w:w="1241"/>
        <w:gridCol w:w="958"/>
      </w:tblGrid>
      <w:tr>
        <w:trPr>
          <w:trHeight w:val="1025"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9"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1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7"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2" w:right="108"/>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 w:right="38"/>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4"/>
              <w:jc w:val="left"/>
              <w:rPr>
                <w:rFonts w:ascii="宋体" w:hAnsi="宋体" w:cs="宋体" w:eastAsia="宋体" w:hint="default"/>
                <w:sz w:val="18"/>
                <w:szCs w:val="18"/>
              </w:rPr>
            </w:pPr>
            <w:r>
              <w:rPr>
                <w:rFonts w:ascii="宋体" w:hAnsi="宋体" w:cs="宋体" w:eastAsia="宋体" w:hint="default"/>
                <w:sz w:val="18"/>
                <w:szCs w:val="18"/>
              </w:rPr>
              <w:t>报告期内 购入金额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3" w:right="23"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9" w:right="59"/>
              <w:jc w:val="left"/>
              <w:rPr>
                <w:rFonts w:ascii="宋体" w:hAnsi="宋体" w:cs="宋体" w:eastAsia="宋体" w:hint="default"/>
                <w:sz w:val="18"/>
                <w:szCs w:val="18"/>
              </w:rPr>
            </w:pPr>
            <w:r>
              <w:rPr>
                <w:rFonts w:ascii="宋体" w:hAnsi="宋体" w:cs="宋体" w:eastAsia="宋体" w:hint="default"/>
                <w:sz w:val="18"/>
                <w:szCs w:val="18"/>
              </w:rPr>
              <w:t>累计投 资收益</w:t>
            </w:r>
          </w:p>
        </w:tc>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5"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112,200,000.00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20,415,088.31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20,415,088.31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53"/>
              <w:jc w:val="left"/>
              <w:rPr>
                <w:rFonts w:ascii="宋体" w:hAnsi="宋体" w:cs="宋体" w:eastAsia="宋体" w:hint="default"/>
                <w:sz w:val="18"/>
                <w:szCs w:val="18"/>
              </w:rPr>
            </w:pPr>
            <w:r>
              <w:rPr>
                <w:rFonts w:ascii="宋体" w:hAnsi="宋体" w:cs="宋体" w:eastAsia="宋体" w:hint="default"/>
                <w:sz w:val="18"/>
                <w:szCs w:val="18"/>
              </w:rPr>
              <w:t>自有资金</w:t>
            </w:r>
            <w:r>
              <w:rPr>
                <w:rFonts w:ascii="Times New Roman" w:hAnsi="Times New Roman" w:cs="Times New Roman" w:eastAsia="Times New Roman" w:hint="default"/>
                <w:sz w:val="18"/>
                <w:szCs w:val="18"/>
              </w:rPr>
              <w:t>/ </w:t>
            </w:r>
            <w:r>
              <w:rPr>
                <w:rFonts w:ascii="宋体" w:hAnsi="宋体" w:cs="宋体" w:eastAsia="宋体" w:hint="default"/>
                <w:sz w:val="18"/>
                <w:szCs w:val="18"/>
              </w:rPr>
              <w:t>募集资金</w:t>
            </w:r>
          </w:p>
        </w:tc>
      </w:tr>
      <w:tr>
        <w:trPr>
          <w:trHeight w:val="401"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112,200,000.00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20,415,088.31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20,415,088.31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2"/>
        <w:gridCol w:w="869"/>
        <w:gridCol w:w="872"/>
        <w:gridCol w:w="869"/>
        <w:gridCol w:w="871"/>
        <w:gridCol w:w="869"/>
        <w:gridCol w:w="871"/>
        <w:gridCol w:w="869"/>
      </w:tblGrid>
      <w:tr>
        <w:trPr>
          <w:trHeight w:val="1338"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49" w:right="67"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2"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2"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64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113"/>
              <w:jc w:val="left"/>
              <w:rPr>
                <w:rFonts w:ascii="宋体" w:hAnsi="宋体" w:cs="宋体" w:eastAsia="宋体" w:hint="default"/>
                <w:sz w:val="18"/>
                <w:szCs w:val="18"/>
              </w:rPr>
            </w:pPr>
            <w:r>
              <w:rPr>
                <w:rFonts w:ascii="宋体" w:hAnsi="宋体" w:cs="宋体" w:eastAsia="宋体" w:hint="default"/>
                <w:sz w:val="18"/>
                <w:szCs w:val="18"/>
              </w:rPr>
              <w:t>首次公开 发行股票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22,447.12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1,481.03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22,201.73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6,200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27.62%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740.89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5"/>
              <w:jc w:val="both"/>
              <w:rPr>
                <w:rFonts w:ascii="宋体" w:hAnsi="宋体" w:cs="宋体" w:eastAsia="宋体" w:hint="default"/>
                <w:sz w:val="18"/>
                <w:szCs w:val="18"/>
              </w:rPr>
            </w:pPr>
            <w:r>
              <w:rPr>
                <w:rFonts w:ascii="宋体" w:hAnsi="宋体" w:cs="宋体" w:eastAsia="宋体" w:hint="default"/>
                <w:sz w:val="18"/>
                <w:szCs w:val="18"/>
              </w:rPr>
              <w:t>存放于募 集资金专 用账户和 理财专用 账户中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453.19</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85" w:right="0"/>
              <w:jc w:val="center"/>
              <w:rPr>
                <w:rFonts w:ascii="Times New Roman" w:hAnsi="Times New Roman" w:cs="Times New Roman" w:eastAsia="Times New Roman" w:hint="default"/>
                <w:sz w:val="18"/>
                <w:szCs w:val="18"/>
              </w:rPr>
            </w:pPr>
            <w:r>
              <w:rPr>
                <w:rFonts w:ascii="Times New Roman"/>
                <w:sz w:val="18"/>
              </w:rPr>
              <w:t>22,447.12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1,481.03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22,201.73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6,200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27.62%</w:t>
            </w:r>
          </w:p>
        </w:tc>
        <w:tc>
          <w:tcPr>
            <w:tcW w:w="8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740.89</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453.19</w:t>
            </w:r>
          </w:p>
        </w:tc>
      </w:tr>
      <w:tr>
        <w:trPr>
          <w:trHeight w:val="401"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212"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30"/>
              <w:jc w:val="both"/>
              <w:rPr>
                <w:rFonts w:ascii="宋体" w:hAnsi="宋体" w:cs="宋体" w:eastAsia="宋体" w:hint="default"/>
                <w:sz w:val="18"/>
                <w:szCs w:val="18"/>
              </w:rPr>
            </w:pPr>
            <w:r>
              <w:rPr>
                <w:rFonts w:ascii="宋体" w:hAnsi="宋体" w:cs="宋体" w:eastAsia="宋体" w:hint="default"/>
                <w:sz w:val="18"/>
                <w:szCs w:val="18"/>
              </w:rPr>
              <w:t>深圳市优博讯科技股份有限公司（以下简称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优博讯</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）经中国证券监督管理委员会《关于核准深圳市优博讯科技 </w:t>
            </w:r>
            <w:r>
              <w:rPr>
                <w:rFonts w:ascii="宋体" w:hAnsi="宋体" w:cs="宋体" w:eastAsia="宋体" w:hint="default"/>
                <w:spacing w:val="-3"/>
                <w:sz w:val="18"/>
                <w:szCs w:val="18"/>
              </w:rPr>
              <w:t>股份有限公司首次公开发行股票的批复》（证监许可</w:t>
            </w:r>
            <w:r>
              <w:rPr>
                <w:rFonts w:ascii="Times New Roman" w:hAnsi="Times New Roman" w:cs="Times New Roman" w:eastAsia="Times New Roman" w:hint="default"/>
                <w:spacing w:val="-3"/>
                <w:sz w:val="18"/>
                <w:szCs w:val="18"/>
              </w:rPr>
              <w:t>[2016]1637</w:t>
            </w:r>
            <w:r>
              <w:rPr>
                <w:rFonts w:ascii="Times New Roman" w:hAnsi="Times New Roman" w:cs="Times New Roman" w:eastAsia="Times New Roman" w:hint="default"/>
                <w:sz w:val="18"/>
                <w:szCs w:val="18"/>
              </w:rPr>
              <w:t> </w:t>
            </w:r>
            <w:r>
              <w:rPr>
                <w:rFonts w:ascii="宋体" w:hAnsi="宋体" w:cs="宋体" w:eastAsia="宋体" w:hint="default"/>
                <w:spacing w:val="-1"/>
                <w:w w:val="99"/>
                <w:sz w:val="18"/>
                <w:szCs w:val="18"/>
              </w:rPr>
              <w:t>号文）核准，向社会公开发行人民币普通股（</w:t>
            </w:r>
            <w:r>
              <w:rPr>
                <w:rFonts w:ascii="Times New Roman" w:hAnsi="Times New Roman" w:cs="Times New Roman" w:eastAsia="Times New Roman" w:hint="default"/>
                <w:spacing w:val="-1"/>
                <w:w w:val="99"/>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pacing w:val="-17"/>
                <w:sz w:val="18"/>
                <w:szCs w:val="18"/>
              </w:rPr>
            </w:r>
            <w:r>
              <w:rPr>
                <w:rFonts w:ascii="宋体" w:hAnsi="宋体" w:cs="宋体" w:eastAsia="宋体" w:hint="default"/>
                <w:sz w:val="18"/>
                <w:szCs w:val="18"/>
              </w:rPr>
              <w:t>万股，募集资金总额人民币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267,200,000.00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元，扣除发行费用人民币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42,728,800.00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元，实际募集资金净额为人民币</w:t>
            </w:r>
          </w:p>
          <w:p>
            <w:pPr>
              <w:pStyle w:val="TableParagraph"/>
              <w:spacing w:line="240" w:lineRule="auto" w:before="1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224,471,200.00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元。以上募集资金已经大华会计师事务所（特殊普通合伙）审验，并于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日出具了大华验字</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99"/>
                <w:sz w:val="18"/>
                <w:szCs w:val="18"/>
              </w:rPr>
              <w:t>2</w:t>
            </w:r>
            <w:r>
              <w:rPr>
                <w:rFonts w:ascii="Times New Roman" w:hAnsi="Times New Roman" w:cs="Times New Roman" w:eastAsia="Times New Roman" w:hint="default"/>
                <w:spacing w:val="-2"/>
                <w:w w:val="99"/>
                <w:sz w:val="18"/>
                <w:szCs w:val="18"/>
              </w:rPr>
              <w:t>0</w:t>
            </w:r>
            <w:r>
              <w:rPr>
                <w:rFonts w:ascii="Times New Roman" w:hAnsi="Times New Roman" w:cs="Times New Roman" w:eastAsia="Times New Roman" w:hint="default"/>
                <w:spacing w:val="1"/>
                <w:w w:val="99"/>
                <w:sz w:val="18"/>
                <w:szCs w:val="18"/>
              </w:rPr>
              <w:t>1</w:t>
            </w:r>
            <w:r>
              <w:rPr>
                <w:rFonts w:ascii="Times New Roman" w:hAnsi="Times New Roman" w:cs="Times New Roman" w:eastAsia="Times New Roman" w:hint="default"/>
                <w:spacing w:val="-2"/>
                <w:w w:val="99"/>
                <w:sz w:val="18"/>
                <w:szCs w:val="18"/>
              </w:rPr>
              <w:t>6</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99"/>
                <w:sz w:val="18"/>
                <w:szCs w:val="18"/>
              </w:rPr>
              <w:t>0</w:t>
            </w:r>
            <w:r>
              <w:rPr>
                <w:rFonts w:ascii="Times New Roman" w:hAnsi="Times New Roman" w:cs="Times New Roman" w:eastAsia="Times New Roman" w:hint="default"/>
                <w:spacing w:val="-2"/>
                <w:w w:val="99"/>
                <w:sz w:val="18"/>
                <w:szCs w:val="18"/>
              </w:rPr>
              <w:t>0</w:t>
            </w:r>
            <w:r>
              <w:rPr>
                <w:rFonts w:ascii="Times New Roman" w:hAnsi="Times New Roman" w:cs="Times New Roman" w:eastAsia="Times New Roman" w:hint="default"/>
                <w:spacing w:val="1"/>
                <w:w w:val="99"/>
                <w:sz w:val="18"/>
                <w:szCs w:val="18"/>
              </w:rPr>
              <w:t>0</w:t>
            </w:r>
            <w:r>
              <w:rPr>
                <w:rFonts w:ascii="Times New Roman" w:hAnsi="Times New Roman" w:cs="Times New Roman" w:eastAsia="Times New Roman" w:hint="default"/>
                <w:spacing w:val="-2"/>
                <w:w w:val="99"/>
                <w:sz w:val="18"/>
                <w:szCs w:val="18"/>
              </w:rPr>
              <w:t>7</w:t>
            </w:r>
            <w:r>
              <w:rPr>
                <w:rFonts w:ascii="Times New Roman" w:hAnsi="Times New Roman" w:cs="Times New Roman" w:eastAsia="Times New Roman" w:hint="default"/>
                <w:spacing w:val="1"/>
                <w:w w:val="99"/>
                <w:sz w:val="18"/>
                <w:szCs w:val="18"/>
              </w:rPr>
              <w:t>7</w:t>
            </w:r>
            <w:r>
              <w:rPr>
                <w:rFonts w:ascii="Times New Roman" w:hAnsi="Times New Roman" w:cs="Times New Roman" w:eastAsia="Times New Roman" w:hint="default"/>
                <w:w w:val="99"/>
                <w:sz w:val="18"/>
                <w:szCs w:val="18"/>
              </w:rPr>
              <w:t>8</w:t>
            </w:r>
            <w:r>
              <w:rPr>
                <w:rFonts w:ascii="Times New Roman" w:hAnsi="Times New Roman" w:cs="Times New Roman" w:eastAsia="Times New Roman" w:hint="default"/>
                <w:spacing w:val="3"/>
                <w:w w:val="99"/>
                <w:sz w:val="18"/>
                <w:szCs w:val="18"/>
              </w:rPr>
              <w:t> </w:t>
            </w:r>
            <w:r>
              <w:rPr>
                <w:rFonts w:ascii="宋体" w:hAnsi="宋体" w:cs="宋体" w:eastAsia="宋体" w:hint="default"/>
                <w:spacing w:val="-5"/>
                <w:w w:val="99"/>
                <w:sz w:val="18"/>
                <w:szCs w:val="18"/>
              </w:rPr>
              <w:t>号</w:t>
            </w:r>
            <w:r>
              <w:rPr>
                <w:rFonts w:ascii="宋体" w:hAnsi="宋体" w:cs="宋体" w:eastAsia="宋体" w:hint="default"/>
                <w:w w:val="99"/>
                <w:sz w:val="18"/>
                <w:szCs w:val="18"/>
              </w:rPr>
              <w:t>《验资报告</w:t>
            </w:r>
            <w:r>
              <w:rPr>
                <w:rFonts w:ascii="宋体" w:hAnsi="宋体" w:cs="宋体" w:eastAsia="宋体" w:hint="default"/>
                <w:spacing w:val="-92"/>
                <w:w w:val="99"/>
                <w:sz w:val="18"/>
                <w:szCs w:val="18"/>
              </w:rPr>
              <w:t>》</w:t>
            </w:r>
            <w:r>
              <w:rPr>
                <w:rFonts w:ascii="宋体" w:hAnsi="宋体" w:cs="宋体" w:eastAsia="宋体" w:hint="default"/>
                <w:spacing w:val="-5"/>
                <w:w w:val="99"/>
                <w:sz w:val="18"/>
                <w:szCs w:val="18"/>
              </w:rPr>
              <w:t>。</w:t>
            </w:r>
            <w:r>
              <w:rPr>
                <w:rFonts w:ascii="宋体" w:hAnsi="宋体" w:cs="宋体" w:eastAsia="宋体" w:hint="default"/>
                <w:w w:val="99"/>
                <w:sz w:val="18"/>
                <w:szCs w:val="18"/>
              </w:rPr>
              <w:t>截止</w:t>
            </w:r>
            <w:r>
              <w:rPr>
                <w:rFonts w:ascii="宋体" w:hAnsi="宋体" w:cs="宋体" w:eastAsia="宋体" w:hint="default"/>
                <w:spacing w:val="-44"/>
                <w:w w:val="99"/>
                <w:sz w:val="18"/>
                <w:szCs w:val="18"/>
              </w:rPr>
              <w:t> </w:t>
            </w:r>
            <w:r>
              <w:rPr>
                <w:rFonts w:ascii="Times New Roman" w:hAnsi="Times New Roman" w:cs="Times New Roman" w:eastAsia="Times New Roman" w:hint="default"/>
                <w:spacing w:val="1"/>
                <w:w w:val="99"/>
                <w:sz w:val="18"/>
                <w:szCs w:val="18"/>
              </w:rPr>
              <w:t>2</w:t>
            </w:r>
            <w:r>
              <w:rPr>
                <w:rFonts w:ascii="Times New Roman" w:hAnsi="Times New Roman" w:cs="Times New Roman" w:eastAsia="Times New Roman" w:hint="default"/>
                <w:spacing w:val="-2"/>
                <w:w w:val="99"/>
                <w:sz w:val="18"/>
                <w:szCs w:val="18"/>
              </w:rPr>
              <w:t>0</w:t>
            </w:r>
            <w:r>
              <w:rPr>
                <w:rFonts w:ascii="Times New Roman" w:hAnsi="Times New Roman" w:cs="Times New Roman" w:eastAsia="Times New Roman" w:hint="default"/>
                <w:spacing w:val="1"/>
                <w:w w:val="99"/>
                <w:sz w:val="18"/>
                <w:szCs w:val="18"/>
              </w:rPr>
              <w:t>1</w:t>
            </w:r>
            <w:r>
              <w:rPr>
                <w:rFonts w:ascii="Times New Roman" w:hAnsi="Times New Roman" w:cs="Times New Roman" w:eastAsia="Times New Roman" w:hint="default"/>
                <w:w w:val="99"/>
                <w:sz w:val="18"/>
                <w:szCs w:val="18"/>
              </w:rPr>
              <w:t>9</w:t>
            </w:r>
            <w:r>
              <w:rPr>
                <w:rFonts w:ascii="Times New Roman" w:hAnsi="Times New Roman" w:cs="Times New Roman" w:eastAsia="Times New Roman" w:hint="default"/>
                <w:spacing w:val="-1"/>
                <w:w w:val="99"/>
                <w:sz w:val="18"/>
                <w:szCs w:val="18"/>
              </w:rPr>
              <w:t> </w:t>
            </w:r>
            <w:r>
              <w:rPr>
                <w:rFonts w:ascii="宋体" w:hAnsi="宋体" w:cs="宋体" w:eastAsia="宋体" w:hint="default"/>
                <w:w w:val="99"/>
                <w:sz w:val="18"/>
                <w:szCs w:val="18"/>
              </w:rPr>
              <w:t>年</w:t>
            </w:r>
            <w:r>
              <w:rPr>
                <w:rFonts w:ascii="宋体" w:hAnsi="宋体" w:cs="宋体" w:eastAsia="宋体" w:hint="default"/>
                <w:spacing w:val="-45"/>
                <w:w w:val="99"/>
                <w:sz w:val="18"/>
                <w:szCs w:val="18"/>
              </w:rPr>
              <w:t> </w:t>
            </w:r>
            <w:r>
              <w:rPr>
                <w:rFonts w:ascii="Times New Roman" w:hAnsi="Times New Roman" w:cs="Times New Roman" w:eastAsia="Times New Roman" w:hint="default"/>
                <w:spacing w:val="-2"/>
                <w:w w:val="99"/>
                <w:sz w:val="18"/>
                <w:szCs w:val="18"/>
              </w:rPr>
              <w:t>1</w:t>
            </w:r>
            <w:r>
              <w:rPr>
                <w:rFonts w:ascii="Times New Roman" w:hAnsi="Times New Roman" w:cs="Times New Roman" w:eastAsia="Times New Roman" w:hint="default"/>
                <w:w w:val="99"/>
                <w:sz w:val="18"/>
                <w:szCs w:val="18"/>
              </w:rPr>
              <w:t>2</w:t>
            </w:r>
            <w:r>
              <w:rPr>
                <w:rFonts w:ascii="Times New Roman" w:hAnsi="Times New Roman" w:cs="Times New Roman" w:eastAsia="Times New Roman" w:hint="default"/>
                <w:spacing w:val="1"/>
                <w:w w:val="99"/>
                <w:sz w:val="18"/>
                <w:szCs w:val="18"/>
              </w:rPr>
              <w:t> </w:t>
            </w:r>
            <w:r>
              <w:rPr>
                <w:rFonts w:ascii="宋体" w:hAnsi="宋体" w:cs="宋体" w:eastAsia="宋体" w:hint="default"/>
                <w:w w:val="99"/>
                <w:sz w:val="18"/>
                <w:szCs w:val="18"/>
              </w:rPr>
              <w:t>月</w:t>
            </w:r>
            <w:r>
              <w:rPr>
                <w:rFonts w:ascii="宋体" w:hAnsi="宋体" w:cs="宋体" w:eastAsia="宋体" w:hint="default"/>
                <w:spacing w:val="-47"/>
                <w:w w:val="99"/>
                <w:sz w:val="18"/>
                <w:szCs w:val="18"/>
              </w:rPr>
              <w:t> </w:t>
            </w:r>
            <w:r>
              <w:rPr>
                <w:rFonts w:ascii="Times New Roman" w:hAnsi="Times New Roman" w:cs="Times New Roman" w:eastAsia="Times New Roman" w:hint="default"/>
                <w:spacing w:val="1"/>
                <w:w w:val="99"/>
                <w:sz w:val="18"/>
                <w:szCs w:val="18"/>
              </w:rPr>
              <w:t>3</w:t>
            </w:r>
            <w:r>
              <w:rPr>
                <w:rFonts w:ascii="Times New Roman" w:hAnsi="Times New Roman" w:cs="Times New Roman" w:eastAsia="Times New Roman" w:hint="default"/>
                <w:w w:val="99"/>
                <w:sz w:val="18"/>
                <w:szCs w:val="18"/>
              </w:rPr>
              <w:t>1</w:t>
            </w:r>
            <w:r>
              <w:rPr>
                <w:rFonts w:ascii="Times New Roman" w:hAnsi="Times New Roman" w:cs="Times New Roman" w:eastAsia="Times New Roman" w:hint="default"/>
                <w:spacing w:val="1"/>
                <w:w w:val="99"/>
                <w:sz w:val="18"/>
                <w:szCs w:val="18"/>
              </w:rPr>
              <w:t> </w:t>
            </w:r>
            <w:r>
              <w:rPr>
                <w:rFonts w:ascii="宋体" w:hAnsi="宋体" w:cs="宋体" w:eastAsia="宋体" w:hint="default"/>
                <w:spacing w:val="-3"/>
                <w:w w:val="99"/>
                <w:sz w:val="18"/>
                <w:szCs w:val="18"/>
              </w:rPr>
              <w:t>日，</w:t>
            </w:r>
            <w:r>
              <w:rPr>
                <w:rFonts w:ascii="宋体" w:hAnsi="宋体" w:cs="宋体" w:eastAsia="宋体" w:hint="default"/>
                <w:w w:val="99"/>
                <w:sz w:val="18"/>
                <w:szCs w:val="18"/>
              </w:rPr>
              <w:t>公</w:t>
            </w:r>
            <w:r>
              <w:rPr>
                <w:rFonts w:ascii="宋体" w:hAnsi="宋体" w:cs="宋体" w:eastAsia="宋体" w:hint="default"/>
                <w:spacing w:val="-3"/>
                <w:w w:val="99"/>
                <w:sz w:val="18"/>
                <w:szCs w:val="18"/>
              </w:rPr>
              <w:t>司</w:t>
            </w:r>
            <w:r>
              <w:rPr>
                <w:rFonts w:ascii="宋体" w:hAnsi="宋体" w:cs="宋体" w:eastAsia="宋体" w:hint="default"/>
                <w:w w:val="99"/>
                <w:sz w:val="18"/>
                <w:szCs w:val="18"/>
              </w:rPr>
              <w:t>对募集资金项目累计投入</w:t>
            </w:r>
            <w:r>
              <w:rPr>
                <w:rFonts w:ascii="宋体" w:hAnsi="宋体" w:cs="宋体" w:eastAsia="宋体" w:hint="default"/>
                <w:spacing w:val="-45"/>
                <w:w w:val="99"/>
                <w:sz w:val="18"/>
                <w:szCs w:val="18"/>
              </w:rPr>
              <w:t> </w:t>
            </w:r>
            <w:r>
              <w:rPr>
                <w:rFonts w:ascii="Times New Roman" w:hAnsi="Times New Roman" w:cs="Times New Roman" w:eastAsia="Times New Roman" w:hint="default"/>
                <w:spacing w:val="1"/>
                <w:w w:val="99"/>
                <w:sz w:val="18"/>
                <w:szCs w:val="18"/>
              </w:rPr>
              <w:t>2</w:t>
            </w:r>
            <w:r>
              <w:rPr>
                <w:rFonts w:ascii="Times New Roman" w:hAnsi="Times New Roman" w:cs="Times New Roman" w:eastAsia="Times New Roman" w:hint="default"/>
                <w:spacing w:val="-2"/>
                <w:w w:val="99"/>
                <w:sz w:val="18"/>
                <w:szCs w:val="18"/>
              </w:rPr>
              <w:t>2</w:t>
            </w:r>
            <w:r>
              <w:rPr>
                <w:rFonts w:ascii="Times New Roman" w:hAnsi="Times New Roman" w:cs="Times New Roman" w:eastAsia="Times New Roman" w:hint="default"/>
                <w:spacing w:val="1"/>
                <w:w w:val="99"/>
                <w:sz w:val="18"/>
                <w:szCs w:val="18"/>
              </w:rPr>
              <w:t>2</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2"/>
                <w:w w:val="99"/>
                <w:sz w:val="18"/>
                <w:szCs w:val="18"/>
              </w:rPr>
              <w:t>0</w:t>
            </w:r>
            <w:r>
              <w:rPr>
                <w:rFonts w:ascii="Times New Roman" w:hAnsi="Times New Roman" w:cs="Times New Roman" w:eastAsia="Times New Roman" w:hint="default"/>
                <w:spacing w:val="1"/>
                <w:w w:val="99"/>
                <w:sz w:val="18"/>
                <w:szCs w:val="18"/>
              </w:rPr>
              <w:t>17</w:t>
            </w:r>
            <w:r>
              <w:rPr>
                <w:rFonts w:ascii="Times New Roman" w:hAnsi="Times New Roman" w:cs="Times New Roman" w:eastAsia="Times New Roman" w:hint="default"/>
                <w:spacing w:val="-2"/>
                <w:w w:val="99"/>
                <w:sz w:val="18"/>
                <w:szCs w:val="18"/>
              </w:rPr>
              <w:t>,</w:t>
            </w:r>
            <w:r>
              <w:rPr>
                <w:rFonts w:ascii="Times New Roman" w:hAnsi="Times New Roman" w:cs="Times New Roman" w:eastAsia="Times New Roman" w:hint="default"/>
                <w:spacing w:val="1"/>
                <w:w w:val="99"/>
                <w:sz w:val="18"/>
                <w:szCs w:val="18"/>
              </w:rPr>
              <w:t>2</w:t>
            </w:r>
            <w:r>
              <w:rPr>
                <w:rFonts w:ascii="Times New Roman" w:hAnsi="Times New Roman" w:cs="Times New Roman" w:eastAsia="Times New Roman" w:hint="default"/>
                <w:spacing w:val="-2"/>
                <w:w w:val="99"/>
                <w:sz w:val="18"/>
                <w:szCs w:val="18"/>
              </w:rPr>
              <w:t>8</w:t>
            </w:r>
            <w:r>
              <w:rPr>
                <w:rFonts w:ascii="Times New Roman" w:hAnsi="Times New Roman" w:cs="Times New Roman" w:eastAsia="Times New Roman" w:hint="default"/>
                <w:spacing w:val="1"/>
                <w:w w:val="99"/>
                <w:sz w:val="18"/>
                <w:szCs w:val="18"/>
              </w:rPr>
              <w:t>8</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2"/>
                <w:w w:val="99"/>
                <w:sz w:val="18"/>
                <w:szCs w:val="18"/>
              </w:rPr>
              <w:t>9</w:t>
            </w:r>
            <w:r>
              <w:rPr>
                <w:rFonts w:ascii="Times New Roman" w:hAnsi="Times New Roman" w:cs="Times New Roman" w:eastAsia="Times New Roman" w:hint="default"/>
                <w:w w:val="99"/>
                <w:sz w:val="18"/>
                <w:szCs w:val="18"/>
              </w:rPr>
              <w:t>2 </w:t>
            </w:r>
            <w:r>
              <w:rPr>
                <w:rFonts w:ascii="Times New Roman" w:hAnsi="Times New Roman" w:cs="Times New Roman" w:eastAsia="Times New Roman" w:hint="default"/>
                <w:spacing w:val="4"/>
                <w:w w:val="99"/>
                <w:sz w:val="18"/>
                <w:szCs w:val="18"/>
              </w:rPr>
              <w:t> </w:t>
            </w:r>
            <w:r>
              <w:rPr>
                <w:rFonts w:ascii="宋体" w:hAnsi="宋体" w:cs="宋体" w:eastAsia="宋体" w:hint="default"/>
                <w:spacing w:val="-3"/>
                <w:w w:val="99"/>
                <w:sz w:val="18"/>
                <w:szCs w:val="18"/>
              </w:rPr>
              <w:t>元，</w:t>
            </w:r>
            <w:r>
              <w:rPr>
                <w:rFonts w:ascii="宋体" w:hAnsi="宋体" w:cs="宋体" w:eastAsia="宋体" w:hint="default"/>
                <w:w w:val="99"/>
                <w:sz w:val="18"/>
                <w:szCs w:val="18"/>
              </w:rPr>
              <w:t>其中</w:t>
            </w:r>
            <w:r>
              <w:rPr>
                <w:rFonts w:ascii="宋体" w:hAnsi="宋体" w:cs="宋体" w:eastAsia="宋体" w:hint="default"/>
                <w:spacing w:val="-3"/>
                <w:w w:val="99"/>
                <w:sz w:val="18"/>
                <w:szCs w:val="18"/>
              </w:rPr>
              <w:t>：</w:t>
            </w:r>
            <w:r>
              <w:rPr>
                <w:rFonts w:ascii="宋体" w:hAnsi="宋体" w:cs="宋体" w:eastAsia="宋体" w:hint="default"/>
                <w:w w:val="99"/>
                <w:sz w:val="18"/>
                <w:szCs w:val="18"/>
              </w:rPr>
              <w:t>公司使</w:t>
            </w:r>
            <w:r>
              <w:rPr>
                <w:rFonts w:ascii="宋体" w:hAnsi="宋体" w:cs="宋体" w:eastAsia="宋体" w:hint="default"/>
                <w:sz w:val="18"/>
                <w:szCs w:val="18"/>
              </w:rPr>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用募集资金人民币 </w:t>
            </w:r>
            <w:r>
              <w:rPr>
                <w:rFonts w:ascii="Times New Roman" w:hAnsi="Times New Roman" w:cs="Times New Roman" w:eastAsia="Times New Roman" w:hint="default"/>
                <w:sz w:val="18"/>
                <w:szCs w:val="18"/>
              </w:rPr>
              <w:t>161,974,595.48 </w:t>
            </w:r>
            <w:r>
              <w:rPr>
                <w:rFonts w:ascii="宋体" w:hAnsi="宋体" w:cs="宋体" w:eastAsia="宋体" w:hint="default"/>
                <w:sz w:val="18"/>
                <w:szCs w:val="18"/>
              </w:rPr>
              <w:t>元直接投入承诺投资项目；使用募集资金人民币 </w:t>
            </w:r>
            <w:r>
              <w:rPr>
                <w:rFonts w:ascii="Times New Roman" w:hAnsi="Times New Roman" w:cs="Times New Roman" w:eastAsia="Times New Roman" w:hint="default"/>
                <w:sz w:val="18"/>
                <w:szCs w:val="18"/>
              </w:rPr>
              <w:t>60,042,693.44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元补充流动资金。公司</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日起至</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日止会计期间使</w:t>
            </w:r>
            <w:r>
              <w:rPr>
                <w:rFonts w:ascii="宋体" w:hAnsi="宋体" w:cs="宋体" w:eastAsia="宋体" w:hint="default"/>
                <w:spacing w:val="-3"/>
                <w:sz w:val="18"/>
                <w:szCs w:val="18"/>
              </w:rPr>
              <w:t>用</w:t>
            </w:r>
            <w:r>
              <w:rPr>
                <w:rFonts w:ascii="宋体" w:hAnsi="宋体" w:cs="宋体" w:eastAsia="宋体" w:hint="default"/>
                <w:sz w:val="18"/>
                <w:szCs w:val="18"/>
              </w:rPr>
              <w:t>募集资金人民币</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5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于</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9</w:t>
            </w:r>
          </w:p>
          <w:p>
            <w:pPr>
              <w:pStyle w:val="TableParagraph"/>
              <w:spacing w:line="300" w:lineRule="auto" w:before="63"/>
              <w:ind w:left="24" w:right="22"/>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日止会计期间使用募集资金人民币</w:t>
            </w:r>
            <w:r>
              <w:rPr>
                <w:rFonts w:ascii="宋体" w:hAnsi="宋体" w:cs="宋体" w:eastAsia="宋体" w:hint="default"/>
                <w:spacing w:val="-65"/>
                <w:sz w:val="18"/>
                <w:szCs w:val="18"/>
              </w:rPr>
              <w:t> </w:t>
            </w:r>
            <w:r>
              <w:rPr>
                <w:rFonts w:ascii="Times New Roman" w:hAnsi="Times New Roman" w:cs="Times New Roman" w:eastAsia="Times New Roman" w:hint="default"/>
                <w:spacing w:val="-1"/>
                <w:sz w:val="18"/>
                <w:szCs w:val="18"/>
              </w:rPr>
              <w:t>14,810,285.67</w:t>
            </w:r>
            <w:r>
              <w:rPr>
                <w:rFonts w:ascii="Times New Roman" w:hAnsi="Times New Roman" w:cs="Times New Roman" w:eastAsia="Times New Roman" w:hint="default"/>
                <w:spacing w:val="-17"/>
                <w:sz w:val="18"/>
                <w:szCs w:val="18"/>
              </w:rPr>
              <w:t> </w:t>
            </w:r>
            <w:r>
              <w:rPr>
                <w:rFonts w:ascii="宋体" w:hAnsi="宋体" w:cs="宋体" w:eastAsia="宋体" w:hint="default"/>
                <w:spacing w:val="-23"/>
                <w:sz w:val="18"/>
                <w:szCs w:val="18"/>
              </w:rPr>
              <w:t>元。截止</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8"/>
                <w:sz w:val="18"/>
                <w:szCs w:val="18"/>
              </w:rPr>
              <w:t> </w:t>
            </w:r>
            <w:r>
              <w:rPr>
                <w:rFonts w:ascii="宋体" w:hAnsi="宋体" w:cs="宋体" w:eastAsia="宋体" w:hint="default"/>
                <w:spacing w:val="-8"/>
                <w:sz w:val="18"/>
                <w:szCs w:val="18"/>
              </w:rPr>
              <w:t>日，募集资金余额人民币为</w:t>
            </w:r>
            <w:r>
              <w:rPr>
                <w:rFonts w:ascii="宋体" w:hAnsi="宋体" w:cs="宋体" w:eastAsia="宋体" w:hint="default"/>
                <w:spacing w:val="-65"/>
                <w:sz w:val="18"/>
                <w:szCs w:val="18"/>
              </w:rPr>
              <w:t> </w:t>
            </w:r>
            <w:r>
              <w:rPr>
                <w:rFonts w:ascii="Times New Roman" w:hAnsi="Times New Roman" w:cs="Times New Roman" w:eastAsia="Times New Roman" w:hint="default"/>
                <w:spacing w:val="-1"/>
                <w:sz w:val="18"/>
                <w:szCs w:val="18"/>
              </w:rPr>
              <w:t>7,408,893.14</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pacing w:val="-2"/>
                <w:sz w:val="18"/>
                <w:szCs w:val="18"/>
              </w:rPr>
              <w:t>元，其中募集资金存放期间产生利息收入净额为人民币</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1,258,900.85</w:t>
            </w:r>
            <w:r>
              <w:rPr>
                <w:rFonts w:ascii="Times New Roman" w:hAnsi="Times New Roman" w:cs="Times New Roman" w:eastAsia="Times New Roman" w:hint="default"/>
                <w:sz w:val="18"/>
                <w:szCs w:val="18"/>
              </w:rPr>
              <w:t> </w:t>
            </w:r>
            <w:r>
              <w:rPr>
                <w:rFonts w:ascii="宋体" w:hAnsi="宋体" w:cs="宋体" w:eastAsia="宋体" w:hint="default"/>
                <w:spacing w:val="-7"/>
                <w:sz w:val="18"/>
                <w:szCs w:val="18"/>
              </w:rPr>
              <w:t>元（扣除相关的手续费和账户维护费），募集资金保本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理财收益金额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3,679,414.21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2"/>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51"/>
        <w:gridCol w:w="708"/>
        <w:gridCol w:w="785"/>
        <w:gridCol w:w="896"/>
        <w:gridCol w:w="727"/>
        <w:gridCol w:w="898"/>
        <w:gridCol w:w="898"/>
        <w:gridCol w:w="727"/>
        <w:gridCol w:w="727"/>
        <w:gridCol w:w="898"/>
        <w:gridCol w:w="727"/>
        <w:gridCol w:w="727"/>
      </w:tblGrid>
      <w:tr>
        <w:trPr>
          <w:trHeight w:val="1649"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8" w:right="60"/>
              <w:jc w:val="center"/>
              <w:rPr>
                <w:rFonts w:ascii="宋体" w:hAnsi="宋体" w:cs="宋体" w:eastAsia="宋体" w:hint="default"/>
                <w:sz w:val="18"/>
                <w:szCs w:val="18"/>
              </w:rPr>
            </w:pPr>
            <w:r>
              <w:rPr>
                <w:rFonts w:ascii="宋体" w:hAnsi="宋体" w:cs="宋体" w:eastAsia="宋体" w:hint="default"/>
                <w:sz w:val="18"/>
                <w:szCs w:val="18"/>
              </w:rPr>
              <w:t>承诺投资 项目和超 募资金投 向</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50" w:right="47"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6"/>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9" w:right="63"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6"/>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3"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26" w:lineRule="auto"/>
              <w:ind w:left="83" w:right="8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86"/>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6"/>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4" w:right="82"/>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86"/>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3" w:hRule="exact"/>
        </w:trPr>
        <w:tc>
          <w:tcPr>
            <w:tcW w:w="957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7"/>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5" w:footer="980" w:top="1060" w:bottom="1160" w:left="980" w:right="0"/>
        </w:sectPr>
      </w:pPr>
    </w:p>
    <w:p>
      <w:pPr>
        <w:pStyle w:val="BodyText"/>
        <w:spacing w:line="314" w:lineRule="auto" w:before="44"/>
        <w:ind w:left="181" w:right="-18"/>
        <w:jc w:val="left"/>
      </w:pPr>
      <w:r>
        <w:rPr>
          <w:rFonts w:ascii="Times New Roman" w:hAnsi="Times New Roman" w:cs="Times New Roman" w:eastAsia="Times New Roman" w:hint="default"/>
          <w:spacing w:val="-3"/>
        </w:rPr>
        <w:t>1</w:t>
      </w:r>
      <w:r>
        <w:rPr>
          <w:spacing w:val="-3"/>
        </w:rPr>
        <w:t>、智能移</w:t>
      </w:r>
      <w:r>
        <w:rPr/>
        <w:t> 动终端产 品扩产及 技术改造 项目</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21"/>
        <w:ind w:left="0" w:right="43"/>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p>
    <w:p>
      <w:pPr>
        <w:pStyle w:val="BodyText"/>
        <w:tabs>
          <w:tab w:pos="895" w:val="left" w:leader="none"/>
          <w:tab w:pos="1793" w:val="left" w:leader="none"/>
          <w:tab w:pos="2969" w:val="left" w:leader="none"/>
          <w:tab w:pos="3326" w:val="left" w:leader="none"/>
          <w:tab w:pos="4301" w:val="left" w:leader="none"/>
        </w:tabs>
        <w:spacing w:line="240" w:lineRule="auto" w:before="63"/>
        <w:ind w:left="0" w:right="0"/>
        <w:jc w:val="right"/>
        <w:rPr>
          <w:rFonts w:ascii="Times New Roman" w:hAnsi="Times New Roman" w:cs="Times New Roman" w:eastAsia="Times New Roman" w:hint="default"/>
        </w:rPr>
      </w:pPr>
      <w:r>
        <w:rPr/>
        <w:t>是</w:t>
        <w:tab/>
      </w:r>
      <w:r>
        <w:rPr>
          <w:rFonts w:ascii="Times New Roman" w:hAnsi="Times New Roman" w:cs="Times New Roman" w:eastAsia="Times New Roman" w:hint="default"/>
          <w:spacing w:val="-1"/>
        </w:rPr>
        <w:t>7,204.4</w:t>
        <w:tab/>
        <w:t>2,604.4</w:t>
        <w:tab/>
      </w:r>
      <w:r>
        <w:rPr>
          <w:rFonts w:ascii="Times New Roman" w:hAnsi="Times New Roman" w:cs="Times New Roman" w:eastAsia="Times New Roman" w:hint="default"/>
        </w:rPr>
        <w:t>0</w:t>
        <w:tab/>
        <w:t>2,525.66</w:t>
        <w:tab/>
        <w:t>96.98% 03 </w:t>
      </w:r>
      <w:r>
        <w:rPr/>
        <w:t>月</w:t>
      </w:r>
      <w:r>
        <w:rPr>
          <w:spacing w:val="-37"/>
        </w:rPr>
        <w:t> </w:t>
      </w:r>
      <w:r>
        <w:rPr>
          <w:rFonts w:ascii="Times New Roman" w:hAnsi="Times New Roman" w:cs="Times New Roman" w:eastAsia="Times New Roman" w:hint="default"/>
          <w:spacing w:val="1"/>
        </w:rPr>
        <w:t>29</w:t>
      </w:r>
      <w:r>
        <w:rPr>
          <w:rFonts w:ascii="Times New Roman" w:hAnsi="Times New Roman" w:cs="Times New Roman" w:eastAsia="Times New Roman" w:hint="default"/>
        </w:rPr>
      </w:r>
    </w:p>
    <w:p>
      <w:pPr>
        <w:pStyle w:val="BodyText"/>
        <w:spacing w:line="240" w:lineRule="auto" w:before="63"/>
        <w:ind w:left="0" w:right="451"/>
        <w:jc w:val="right"/>
      </w:pP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991" w:val="left" w:leader="none"/>
          <w:tab w:pos="2406" w:val="left" w:leader="none"/>
        </w:tabs>
        <w:spacing w:line="240" w:lineRule="auto"/>
        <w:ind w:left="94" w:right="0"/>
        <w:jc w:val="left"/>
      </w:pPr>
      <w:r>
        <w:rPr>
          <w:rFonts w:ascii="Times New Roman" w:hAnsi="Times New Roman" w:cs="Times New Roman" w:eastAsia="Times New Roman" w:hint="default"/>
        </w:rPr>
        <w:t>3,158.12</w:t>
        <w:tab/>
        <w:t>4,146.43</w:t>
      </w:r>
      <w:r>
        <w:rPr>
          <w:rFonts w:ascii="Times New Roman" w:hAnsi="Times New Roman" w:cs="Times New Roman" w:eastAsia="Times New Roman" w:hint="default"/>
          <w:spacing w:val="9"/>
        </w:rPr>
        <w:t> </w:t>
      </w:r>
      <w:r>
        <w:rPr/>
        <w:t>否</w:t>
        <w:tab/>
        <w:t>是</w:t>
      </w:r>
    </w:p>
    <w:p>
      <w:pPr>
        <w:spacing w:after="0" w:line="240" w:lineRule="auto"/>
        <w:jc w:val="left"/>
        <w:sectPr>
          <w:type w:val="continuous"/>
          <w:pgSz w:w="11910" w:h="16840"/>
          <w:pgMar w:top="1060" w:bottom="1160" w:left="980" w:right="0"/>
          <w:cols w:num="3" w:equalWidth="0">
            <w:col w:w="979" w:space="40"/>
            <w:col w:w="5561" w:space="40"/>
            <w:col w:w="4310"/>
          </w:cols>
        </w:sectPr>
      </w:pPr>
    </w:p>
    <w:p>
      <w:pPr>
        <w:pStyle w:val="BodyText"/>
        <w:spacing w:line="307" w:lineRule="auto" w:before="112"/>
        <w:ind w:left="181" w:right="-18"/>
        <w:jc w:val="left"/>
      </w:pPr>
      <w:r>
        <w:rPr>
          <w:rFonts w:ascii="Times New Roman" w:hAnsi="Times New Roman" w:cs="Times New Roman" w:eastAsia="Times New Roman" w:hint="default"/>
          <w:spacing w:val="-3"/>
        </w:rPr>
        <w:t>2</w:t>
      </w:r>
      <w:r>
        <w:rPr>
          <w:spacing w:val="-3"/>
        </w:rPr>
        <w:t>、研发中</w:t>
      </w:r>
      <w:r>
        <w:rPr/>
        <w:t> 心建设项 目</w:t>
      </w:r>
    </w:p>
    <w:p>
      <w:pPr>
        <w:pStyle w:val="BodyText"/>
        <w:spacing w:line="240" w:lineRule="auto" w:before="112"/>
        <w:ind w:left="0" w:right="43"/>
        <w:jc w:val="right"/>
      </w:pPr>
      <w:r>
        <w:rPr/>
        <w:br w:type="column"/>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p>
    <w:p>
      <w:pPr>
        <w:pStyle w:val="BodyText"/>
        <w:tabs>
          <w:tab w:pos="803" w:val="left" w:leader="none"/>
          <w:tab w:pos="1701" w:val="left" w:leader="none"/>
          <w:tab w:pos="2566" w:val="left" w:leader="none"/>
          <w:tab w:pos="3326" w:val="left" w:leader="none"/>
          <w:tab w:pos="4210" w:val="left" w:leader="none"/>
        </w:tabs>
        <w:spacing w:line="240" w:lineRule="auto" w:before="63"/>
        <w:ind w:left="0" w:right="0"/>
        <w:jc w:val="right"/>
        <w:rPr>
          <w:rFonts w:ascii="Times New Roman" w:hAnsi="Times New Roman" w:cs="Times New Roman" w:eastAsia="Times New Roman" w:hint="default"/>
        </w:rPr>
      </w:pPr>
      <w:r>
        <w:rPr/>
        <w:t>是</w:t>
        <w:tab/>
      </w:r>
      <w:r>
        <w:rPr>
          <w:rFonts w:ascii="Times New Roman" w:hAnsi="Times New Roman" w:cs="Times New Roman" w:eastAsia="Times New Roman" w:hint="default"/>
        </w:rPr>
        <w:t>3,535.88</w:t>
        <w:tab/>
        <w:t>1,935.88</w:t>
        <w:tab/>
      </w:r>
      <w:r>
        <w:rPr>
          <w:rFonts w:ascii="Times New Roman" w:hAnsi="Times New Roman" w:cs="Times New Roman" w:eastAsia="Times New Roman" w:hint="default"/>
          <w:spacing w:val="-1"/>
        </w:rPr>
        <w:t>707.72</w:t>
        <w:tab/>
      </w:r>
      <w:r>
        <w:rPr>
          <w:rFonts w:ascii="Times New Roman" w:hAnsi="Times New Roman" w:cs="Times New Roman" w:eastAsia="Times New Roman" w:hint="default"/>
        </w:rPr>
        <w:t>1,952.04</w:t>
        <w:tab/>
      </w:r>
      <w:r>
        <w:rPr>
          <w:rFonts w:ascii="Times New Roman" w:hAnsi="Times New Roman" w:cs="Times New Roman" w:eastAsia="Times New Roman" w:hint="default"/>
          <w:spacing w:val="-1"/>
        </w:rPr>
        <w:t>100.83%</w:t>
      </w:r>
      <w:r>
        <w:rPr>
          <w:rFonts w:ascii="Times New Roman" w:hAnsi="Times New Roman" w:cs="Times New Roman" w:eastAsia="Times New Roman" w:hint="default"/>
        </w:rPr>
        <w:t> 12 </w:t>
      </w:r>
      <w:r>
        <w:rPr/>
        <w:t>月</w:t>
      </w:r>
      <w:r>
        <w:rPr>
          <w:spacing w:val="-29"/>
        </w:rPr>
        <w:t> </w:t>
      </w:r>
      <w:r>
        <w:rPr>
          <w:rFonts w:ascii="Times New Roman" w:hAnsi="Times New Roman" w:cs="Times New Roman" w:eastAsia="Times New Roman" w:hint="default"/>
          <w:spacing w:val="1"/>
        </w:rPr>
        <w:t>31</w:t>
      </w:r>
      <w:r>
        <w:rPr>
          <w:rFonts w:ascii="Times New Roman" w:hAnsi="Times New Roman" w:cs="Times New Roman" w:eastAsia="Times New Roman" w:hint="default"/>
        </w:rPr>
      </w:r>
    </w:p>
    <w:p>
      <w:pPr>
        <w:pStyle w:val="BodyText"/>
        <w:spacing w:line="240" w:lineRule="auto" w:before="60"/>
        <w:ind w:left="0" w:right="451"/>
        <w:jc w:val="right"/>
      </w:pP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4"/>
          <w:szCs w:val="14"/>
        </w:rPr>
      </w:pPr>
    </w:p>
    <w:p>
      <w:pPr>
        <w:pStyle w:val="BodyText"/>
        <w:spacing w:line="240" w:lineRule="auto"/>
        <w:ind w:left="181" w:right="0"/>
        <w:jc w:val="left"/>
      </w:pPr>
      <w:r>
        <w:rPr/>
        <w:t>不适用 </w:t>
      </w:r>
      <w:r>
        <w:rPr>
          <w:spacing w:val="7"/>
        </w:rPr>
        <w:t> </w:t>
      </w:r>
      <w:r>
        <w:rPr/>
        <w:t>是</w:t>
      </w:r>
    </w:p>
    <w:p>
      <w:pPr>
        <w:spacing w:after="0" w:line="240" w:lineRule="auto"/>
        <w:jc w:val="left"/>
        <w:sectPr>
          <w:type w:val="continuous"/>
          <w:pgSz w:w="11910" w:h="16840"/>
          <w:pgMar w:top="1060" w:bottom="1160" w:left="980" w:right="0"/>
          <w:cols w:num="3" w:equalWidth="0">
            <w:col w:w="979" w:space="40"/>
            <w:col w:w="5561" w:space="1537"/>
            <w:col w:w="2813"/>
          </w:cols>
        </w:sectPr>
      </w:pPr>
    </w:p>
    <w:p>
      <w:pPr>
        <w:pStyle w:val="BodyText"/>
        <w:spacing w:line="309" w:lineRule="auto" w:before="117"/>
        <w:ind w:left="181" w:right="-18"/>
        <w:jc w:val="left"/>
      </w:pPr>
      <w:r>
        <w:rPr>
          <w:rFonts w:ascii="Times New Roman" w:hAnsi="Times New Roman" w:cs="Times New Roman" w:eastAsia="Times New Roman" w:hint="default"/>
          <w:spacing w:val="-3"/>
        </w:rPr>
        <w:t>3</w:t>
      </w:r>
      <w:r>
        <w:rPr>
          <w:spacing w:val="-3"/>
        </w:rPr>
        <w:t>、营销服</w:t>
      </w:r>
      <w:r>
        <w:rPr/>
        <w:t> 务网络项 目</w:t>
      </w:r>
    </w:p>
    <w:p>
      <w:pPr>
        <w:pStyle w:val="BodyText"/>
        <w:spacing w:line="240" w:lineRule="auto" w:before="117"/>
        <w:ind w:left="0" w:right="43"/>
        <w:jc w:val="right"/>
      </w:pPr>
      <w:r>
        <w:rPr/>
        <w:br w:type="column"/>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p>
    <w:p>
      <w:pPr>
        <w:pStyle w:val="BodyText"/>
        <w:tabs>
          <w:tab w:pos="803" w:val="left" w:leader="none"/>
          <w:tab w:pos="1701" w:val="left" w:leader="none"/>
          <w:tab w:pos="2566" w:val="left" w:leader="none"/>
          <w:tab w:pos="3326" w:val="left" w:leader="none"/>
          <w:tab w:pos="4301" w:val="left" w:leader="none"/>
        </w:tabs>
        <w:spacing w:line="240" w:lineRule="auto" w:before="63"/>
        <w:ind w:left="0" w:right="0"/>
        <w:jc w:val="right"/>
        <w:rPr>
          <w:rFonts w:ascii="Times New Roman" w:hAnsi="Times New Roman" w:cs="Times New Roman" w:eastAsia="Times New Roman" w:hint="default"/>
        </w:rPr>
      </w:pPr>
      <w:r>
        <w:rPr/>
        <w:t>否</w:t>
        <w:tab/>
      </w:r>
      <w:r>
        <w:rPr>
          <w:rFonts w:ascii="Times New Roman" w:hAnsi="Times New Roman" w:cs="Times New Roman" w:eastAsia="Times New Roman" w:hint="default"/>
        </w:rPr>
        <w:t>5,706.84</w:t>
        <w:tab/>
        <w:t>5,706.84</w:t>
        <w:tab/>
      </w:r>
      <w:r>
        <w:rPr>
          <w:rFonts w:ascii="Times New Roman" w:hAnsi="Times New Roman" w:cs="Times New Roman" w:eastAsia="Times New Roman" w:hint="default"/>
          <w:spacing w:val="-1"/>
        </w:rPr>
        <w:t>773.31</w:t>
        <w:tab/>
      </w:r>
      <w:r>
        <w:rPr>
          <w:rFonts w:ascii="Times New Roman" w:hAnsi="Times New Roman" w:cs="Times New Roman" w:eastAsia="Times New Roman" w:hint="default"/>
        </w:rPr>
        <w:t>5,519.76</w:t>
        <w:tab/>
        <w:t>96.72% 09 </w:t>
      </w:r>
      <w:r>
        <w:rPr/>
        <w:t>月</w:t>
      </w:r>
      <w:r>
        <w:rPr>
          <w:spacing w:val="-37"/>
        </w:rPr>
        <w:t> </w:t>
      </w:r>
      <w:r>
        <w:rPr>
          <w:rFonts w:ascii="Times New Roman" w:hAnsi="Times New Roman" w:cs="Times New Roman" w:eastAsia="Times New Roman" w:hint="default"/>
          <w:spacing w:val="1"/>
        </w:rPr>
        <w:t>30</w:t>
      </w:r>
      <w:r>
        <w:rPr>
          <w:rFonts w:ascii="Times New Roman" w:hAnsi="Times New Roman" w:cs="Times New Roman" w:eastAsia="Times New Roman" w:hint="default"/>
        </w:rPr>
      </w:r>
    </w:p>
    <w:p>
      <w:pPr>
        <w:pStyle w:val="BodyText"/>
        <w:spacing w:line="240" w:lineRule="auto" w:before="63"/>
        <w:ind w:left="0" w:right="451"/>
        <w:jc w:val="right"/>
      </w:pP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1"/>
        <w:rPr>
          <w:rFonts w:ascii="宋体" w:hAnsi="宋体" w:cs="宋体" w:eastAsia="宋体" w:hint="default"/>
          <w:sz w:val="14"/>
          <w:szCs w:val="14"/>
        </w:rPr>
      </w:pPr>
    </w:p>
    <w:p>
      <w:pPr>
        <w:pStyle w:val="BodyText"/>
        <w:spacing w:line="240" w:lineRule="auto"/>
        <w:ind w:left="181" w:right="0"/>
        <w:jc w:val="left"/>
      </w:pPr>
      <w:r>
        <w:rPr/>
        <w:t>不适用 </w:t>
      </w:r>
      <w:r>
        <w:rPr>
          <w:spacing w:val="7"/>
        </w:rPr>
        <w:t> </w:t>
      </w:r>
      <w:r>
        <w:rPr/>
        <w:t>否</w:t>
      </w:r>
    </w:p>
    <w:p>
      <w:pPr>
        <w:spacing w:after="0" w:line="240" w:lineRule="auto"/>
        <w:jc w:val="left"/>
        <w:sectPr>
          <w:type w:val="continuous"/>
          <w:pgSz w:w="11910" w:h="16840"/>
          <w:pgMar w:top="1060" w:bottom="1160" w:left="980" w:right="0"/>
          <w:cols w:num="3" w:equalWidth="0">
            <w:col w:w="979" w:space="40"/>
            <w:col w:w="5561" w:space="1537"/>
            <w:col w:w="2813"/>
          </w:cols>
        </w:sectPr>
      </w:pPr>
    </w:p>
    <w:p>
      <w:pPr>
        <w:pStyle w:val="BodyText"/>
        <w:spacing w:line="297" w:lineRule="auto" w:before="116"/>
        <w:ind w:left="181" w:right="-18"/>
        <w:jc w:val="left"/>
      </w:pPr>
      <w:r>
        <w:rPr>
          <w:rFonts w:ascii="Times New Roman" w:hAnsi="Times New Roman" w:cs="Times New Roman" w:eastAsia="Times New Roman" w:hint="default"/>
          <w:spacing w:val="-3"/>
        </w:rPr>
        <w:t>4</w:t>
      </w:r>
      <w:r>
        <w:rPr>
          <w:spacing w:val="-3"/>
        </w:rPr>
        <w:t>、补充流</w:t>
      </w:r>
      <w:r>
        <w:rPr/>
        <w:t> 动资金</w:t>
      </w:r>
    </w:p>
    <w:p>
      <w:pPr>
        <w:spacing w:line="240" w:lineRule="auto" w:before="10"/>
        <w:rPr>
          <w:rFonts w:ascii="宋体" w:hAnsi="宋体" w:cs="宋体" w:eastAsia="宋体" w:hint="default"/>
          <w:sz w:val="20"/>
          <w:szCs w:val="20"/>
        </w:rPr>
      </w:pPr>
      <w:r>
        <w:rPr/>
        <w:br w:type="column"/>
      </w:r>
      <w:r>
        <w:rPr>
          <w:rFonts w:ascii="宋体"/>
          <w:sz w:val="20"/>
        </w:rPr>
      </w:r>
    </w:p>
    <w:p>
      <w:pPr>
        <w:pStyle w:val="BodyText"/>
        <w:tabs>
          <w:tab w:pos="1045" w:val="left" w:leader="none"/>
          <w:tab w:pos="1943" w:val="left" w:leader="none"/>
          <w:tab w:pos="2984" w:val="left" w:leader="none"/>
          <w:tab w:pos="3342" w:val="left" w:leader="none"/>
          <w:tab w:pos="4225" w:val="left" w:leader="none"/>
          <w:tab w:pos="7279" w:val="left" w:leader="none"/>
        </w:tabs>
        <w:spacing w:line="240" w:lineRule="auto"/>
        <w:ind w:left="15" w:right="0"/>
        <w:jc w:val="left"/>
      </w:pPr>
      <w:r>
        <w:rPr/>
        <w:t>否</w:t>
        <w:tab/>
      </w:r>
      <w:r>
        <w:rPr>
          <w:rFonts w:ascii="Times New Roman" w:hAnsi="Times New Roman" w:cs="Times New Roman" w:eastAsia="Times New Roman" w:hint="default"/>
        </w:rPr>
        <w:t>6,000</w:t>
        <w:tab/>
        <w:t>6,000</w:t>
        <w:tab/>
        <w:t>0</w:t>
        <w:tab/>
        <w:t>6,004.27</w:t>
        <w:tab/>
      </w:r>
      <w:r>
        <w:rPr>
          <w:rFonts w:ascii="Times New Roman" w:hAnsi="Times New Roman" w:cs="Times New Roman" w:eastAsia="Times New Roman" w:hint="default"/>
          <w:spacing w:val="-1"/>
        </w:rPr>
        <w:t>100.07%</w:t>
        <w:tab/>
      </w:r>
      <w:r>
        <w:rPr/>
        <w:t>不适用 </w:t>
      </w:r>
      <w:r>
        <w:rPr>
          <w:spacing w:val="7"/>
        </w:rPr>
        <w:t> </w:t>
      </w:r>
      <w:r>
        <w:rPr/>
        <w:t>不适用</w:t>
      </w:r>
    </w:p>
    <w:p>
      <w:pPr>
        <w:spacing w:after="0" w:line="240" w:lineRule="auto"/>
        <w:jc w:val="left"/>
        <w:sectPr>
          <w:type w:val="continuous"/>
          <w:pgSz w:w="11910" w:h="16840"/>
          <w:pgMar w:top="1060" w:bottom="1160" w:left="980" w:right="0"/>
          <w:cols w:num="2" w:equalWidth="0">
            <w:col w:w="979" w:space="40"/>
            <w:col w:w="9911"/>
          </w:cols>
        </w:sectPr>
      </w:pPr>
    </w:p>
    <w:p>
      <w:pPr>
        <w:pStyle w:val="BodyText"/>
        <w:spacing w:line="312" w:lineRule="auto" w:before="124"/>
        <w:ind w:left="181" w:right="-18"/>
        <w:jc w:val="left"/>
      </w:pPr>
      <w:r>
        <w:rPr>
          <w:rFonts w:ascii="Times New Roman" w:hAnsi="Times New Roman" w:cs="Times New Roman" w:eastAsia="Times New Roman" w:hint="default"/>
          <w:spacing w:val="-3"/>
        </w:rPr>
        <w:t>5</w:t>
      </w:r>
      <w:r>
        <w:rPr>
          <w:spacing w:val="-3"/>
        </w:rPr>
        <w:t>、收购深</w:t>
      </w:r>
      <w:r>
        <w:rPr/>
        <w:t> 圳市瑞柏 泰电子有 限公司 </w:t>
      </w:r>
      <w:r>
        <w:rPr>
          <w:rFonts w:ascii="Times New Roman" w:hAnsi="Times New Roman" w:cs="Times New Roman" w:eastAsia="Times New Roman" w:hint="default"/>
        </w:rPr>
        <w:t>51%</w:t>
      </w:r>
      <w:r>
        <w:rPr/>
        <w:t>股权 项目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spacing w:line="240" w:lineRule="auto" w:before="121"/>
        <w:ind w:left="0" w:right="43"/>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p>
    <w:p>
      <w:pPr>
        <w:pStyle w:val="BodyText"/>
        <w:tabs>
          <w:tab w:pos="1927" w:val="left" w:leader="none"/>
          <w:tab w:pos="3552" w:val="left" w:leader="none"/>
          <w:tab w:pos="4210" w:val="left" w:leader="none"/>
        </w:tabs>
        <w:spacing w:line="240" w:lineRule="auto" w:before="63"/>
        <w:ind w:left="0" w:right="0"/>
        <w:jc w:val="right"/>
        <w:rPr>
          <w:rFonts w:ascii="Times New Roman" w:hAnsi="Times New Roman" w:cs="Times New Roman" w:eastAsia="Times New Roman" w:hint="default"/>
        </w:rPr>
      </w:pPr>
      <w:r>
        <w:rPr/>
        <w:t>是</w:t>
        <w:tab/>
      </w:r>
      <w:r>
        <w:rPr>
          <w:rFonts w:ascii="Times New Roman" w:hAnsi="Times New Roman" w:cs="Times New Roman" w:eastAsia="Times New Roman" w:hint="default"/>
        </w:rPr>
        <w:t>6,200</w:t>
        <w:tab/>
        <w:t>6,200</w:t>
        <w:tab/>
        <w:t>100.00% 08 </w:t>
      </w:r>
      <w:r>
        <w:rPr/>
        <w:t>月</w:t>
      </w:r>
      <w:r>
        <w:rPr>
          <w:spacing w:val="-34"/>
        </w:rPr>
        <w:t> </w:t>
      </w:r>
      <w:r>
        <w:rPr>
          <w:rFonts w:ascii="Times New Roman" w:hAnsi="Times New Roman" w:cs="Times New Roman" w:eastAsia="Times New Roman" w:hint="default"/>
        </w:rPr>
        <w:t>01</w:t>
      </w:r>
    </w:p>
    <w:p>
      <w:pPr>
        <w:pStyle w:val="BodyText"/>
        <w:spacing w:line="240" w:lineRule="auto" w:before="63"/>
        <w:ind w:left="0" w:right="451"/>
        <w:jc w:val="right"/>
      </w:pP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5"/>
          <w:szCs w:val="15"/>
        </w:rPr>
      </w:pPr>
    </w:p>
    <w:p>
      <w:pPr>
        <w:pStyle w:val="BodyText"/>
        <w:tabs>
          <w:tab w:pos="942" w:val="left" w:leader="none"/>
          <w:tab w:pos="2356" w:val="left" w:leader="none"/>
        </w:tabs>
        <w:spacing w:line="240" w:lineRule="auto"/>
        <w:ind w:left="181" w:right="0"/>
        <w:jc w:val="left"/>
      </w:pPr>
      <w:r>
        <w:rPr>
          <w:rFonts w:ascii="Times New Roman" w:hAnsi="Times New Roman" w:cs="Times New Roman" w:eastAsia="Times New Roman" w:hint="default"/>
          <w:spacing w:val="-1"/>
        </w:rPr>
        <w:t>809.04</w:t>
        <w:tab/>
      </w:r>
      <w:r>
        <w:rPr>
          <w:rFonts w:ascii="Times New Roman" w:hAnsi="Times New Roman" w:cs="Times New Roman" w:eastAsia="Times New Roman" w:hint="default"/>
        </w:rPr>
        <w:t>5,885.89</w:t>
      </w:r>
      <w:r>
        <w:rPr>
          <w:rFonts w:ascii="Times New Roman" w:hAnsi="Times New Roman" w:cs="Times New Roman" w:eastAsia="Times New Roman" w:hint="default"/>
          <w:spacing w:val="10"/>
        </w:rPr>
        <w:t> </w:t>
      </w:r>
      <w:r>
        <w:rPr/>
        <w:t>否</w:t>
        <w:tab/>
        <w:t>不适用</w:t>
      </w:r>
    </w:p>
    <w:p>
      <w:pPr>
        <w:spacing w:after="0" w:line="240" w:lineRule="auto"/>
        <w:jc w:val="left"/>
        <w:sectPr>
          <w:type w:val="continuous"/>
          <w:pgSz w:w="11910" w:h="16840"/>
          <w:pgMar w:top="1060" w:bottom="1160" w:left="980" w:right="0"/>
          <w:cols w:num="3" w:equalWidth="0">
            <w:col w:w="979" w:space="40"/>
            <w:col w:w="5561" w:space="89"/>
            <w:col w:w="4261"/>
          </w:cols>
        </w:sectPr>
      </w:pPr>
    </w:p>
    <w:p>
      <w:pPr>
        <w:pStyle w:val="BodyText"/>
        <w:spacing w:line="314" w:lineRule="auto" w:before="113"/>
        <w:ind w:left="181" w:right="-20"/>
        <w:jc w:val="left"/>
      </w:pPr>
      <w:r>
        <w:rPr/>
        <w:t>承诺投资 项目小计</w:t>
      </w:r>
    </w:p>
    <w:p>
      <w:pPr>
        <w:spacing w:line="240" w:lineRule="auto" w:before="11"/>
        <w:rPr>
          <w:rFonts w:ascii="宋体" w:hAnsi="宋体" w:cs="宋体" w:eastAsia="宋体" w:hint="default"/>
          <w:sz w:val="23"/>
          <w:szCs w:val="23"/>
        </w:rPr>
      </w:pPr>
      <w:r>
        <w:rPr/>
        <w:br w:type="column"/>
      </w:r>
      <w:r>
        <w:rPr>
          <w:rFonts w:ascii="宋体"/>
          <w:sz w:val="23"/>
        </w:rPr>
      </w:r>
    </w:p>
    <w:p>
      <w:pPr>
        <w:pStyle w:val="BodyText"/>
        <w:tabs>
          <w:tab w:pos="630" w:val="left" w:leader="none"/>
          <w:tab w:pos="4288" w:val="left" w:leader="none"/>
          <w:tab w:pos="5102" w:val="left" w:leader="none"/>
          <w:tab w:pos="5594" w:val="left" w:leader="none"/>
          <w:tab w:pos="7455" w:val="left" w:leader="none"/>
          <w:tab w:pos="8182" w:val="left" w:leader="none"/>
        </w:tabs>
        <w:spacing w:line="240" w:lineRule="auto"/>
        <w:ind w:left="181" w:right="0"/>
        <w:jc w:val="left"/>
        <w:rPr>
          <w:rFonts w:ascii="Times New Roman" w:hAnsi="Times New Roman" w:cs="Times New Roman" w:eastAsia="Times New Roman" w:hint="default"/>
        </w:rPr>
      </w:pPr>
      <w:r>
        <w:rPr>
          <w:rFonts w:ascii="Times New Roman"/>
        </w:rPr>
        <w:t>--</w:t>
        <w:tab/>
        <w:t>22,447.12    22,447.12  1,481.03  </w:t>
      </w:r>
      <w:r>
        <w:rPr>
          <w:rFonts w:ascii="Times New Roman"/>
          <w:spacing w:val="38"/>
        </w:rPr>
        <w:t> </w:t>
      </w:r>
      <w:r>
        <w:rPr>
          <w:rFonts w:ascii="Times New Roman"/>
        </w:rPr>
        <w:t>22,201.73</w:t>
        <w:tab/>
        <w:t>--</w:t>
        <w:tab/>
        <w:t>--</w:t>
        <w:tab/>
        <w:t>3,967.16  </w:t>
      </w:r>
      <w:r>
        <w:rPr>
          <w:rFonts w:ascii="Times New Roman"/>
          <w:spacing w:val="39"/>
        </w:rPr>
        <w:t> </w:t>
      </w:r>
      <w:r>
        <w:rPr>
          <w:rFonts w:ascii="Times New Roman"/>
        </w:rPr>
        <w:t>10,032.32</w:t>
        <w:tab/>
        <w:t>--</w:t>
        <w:tab/>
        <w:t>--</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0"/>
          <w:cols w:num="2" w:equalWidth="0">
            <w:col w:w="902" w:space="217"/>
            <w:col w:w="9811"/>
          </w:cols>
        </w:sectPr>
      </w:pPr>
    </w:p>
    <w:p>
      <w:pPr>
        <w:pStyle w:val="BodyText"/>
        <w:spacing w:line="240" w:lineRule="auto" w:before="112"/>
        <w:ind w:left="181" w:right="1133"/>
        <w:jc w:val="left"/>
      </w:pPr>
      <w:r>
        <w:rPr/>
        <w:t>超募资金投向</w:t>
      </w:r>
    </w:p>
    <w:p>
      <w:pPr>
        <w:spacing w:line="240" w:lineRule="auto" w:before="6"/>
        <w:rPr>
          <w:rFonts w:ascii="宋体" w:hAnsi="宋体" w:cs="宋体" w:eastAsia="宋体" w:hint="default"/>
          <w:sz w:val="9"/>
          <w:szCs w:val="9"/>
        </w:rPr>
      </w:pPr>
    </w:p>
    <w:p>
      <w:pPr>
        <w:pStyle w:val="BodyText"/>
        <w:spacing w:line="240" w:lineRule="auto" w:before="44"/>
        <w:ind w:left="181" w:right="1133"/>
        <w:jc w:val="left"/>
      </w:pPr>
      <w:r>
        <w:rPr/>
        <w:t>不适用</w:t>
      </w:r>
    </w:p>
    <w:p>
      <w:pPr>
        <w:spacing w:line="240" w:lineRule="auto" w:before="3"/>
        <w:rPr>
          <w:rFonts w:ascii="宋体" w:hAnsi="宋体" w:cs="宋体" w:eastAsia="宋体" w:hint="default"/>
          <w:sz w:val="9"/>
          <w:szCs w:val="9"/>
        </w:rPr>
      </w:pPr>
    </w:p>
    <w:p>
      <w:pPr>
        <w:pStyle w:val="BodyText"/>
        <w:tabs>
          <w:tab w:pos="1300" w:val="left" w:leader="none"/>
          <w:tab w:pos="1749" w:val="left" w:leader="none"/>
          <w:tab w:pos="5407" w:val="left" w:leader="none"/>
          <w:tab w:pos="6221" w:val="left" w:leader="none"/>
          <w:tab w:pos="6713" w:val="left" w:leader="none"/>
          <w:tab w:pos="8573" w:val="left" w:leader="none"/>
          <w:tab w:pos="9301" w:val="left" w:leader="none"/>
        </w:tabs>
        <w:spacing w:line="240" w:lineRule="auto" w:before="44"/>
        <w:ind w:left="181" w:right="1133"/>
        <w:jc w:val="left"/>
        <w:rPr>
          <w:rFonts w:ascii="Times New Roman" w:hAnsi="Times New Roman" w:cs="Times New Roman" w:eastAsia="Times New Roman" w:hint="default"/>
        </w:rPr>
      </w:pPr>
      <w:r>
        <w:rPr/>
        <w:t>合计</w:t>
        <w:tab/>
      </w:r>
      <w:r>
        <w:rPr>
          <w:rFonts w:ascii="Times New Roman" w:hAnsi="Times New Roman" w:cs="Times New Roman" w:eastAsia="Times New Roman" w:hint="default"/>
        </w:rPr>
        <w:t>--</w:t>
        <w:tab/>
        <w:t>22,447.12    22,447.12  1,481.03  </w:t>
      </w:r>
      <w:r>
        <w:rPr>
          <w:rFonts w:ascii="Times New Roman" w:hAnsi="Times New Roman" w:cs="Times New Roman" w:eastAsia="Times New Roman" w:hint="default"/>
          <w:spacing w:val="39"/>
        </w:rPr>
        <w:t> </w:t>
      </w:r>
      <w:r>
        <w:rPr>
          <w:rFonts w:ascii="Times New Roman" w:hAnsi="Times New Roman" w:cs="Times New Roman" w:eastAsia="Times New Roman" w:hint="default"/>
        </w:rPr>
        <w:t>22,201.73</w:t>
        <w:tab/>
        <w:t>--</w:t>
        <w:tab/>
        <w:t>--</w:t>
        <w:tab/>
        <w:t>3,967.16  </w:t>
      </w:r>
      <w:r>
        <w:rPr>
          <w:rFonts w:ascii="Times New Roman" w:hAnsi="Times New Roman" w:cs="Times New Roman" w:eastAsia="Times New Roman" w:hint="default"/>
          <w:spacing w:val="40"/>
        </w:rPr>
        <w:t> </w:t>
      </w:r>
      <w:r>
        <w:rPr>
          <w:rFonts w:ascii="Times New Roman" w:hAnsi="Times New Roman" w:cs="Times New Roman" w:eastAsia="Times New Roman" w:hint="default"/>
        </w:rPr>
        <w:t>10,032.32</w:t>
        <w:tab/>
        <w:t>--</w:t>
        <w:tab/>
        <w:t>--</w:t>
      </w:r>
    </w:p>
    <w:p>
      <w:pPr>
        <w:spacing w:line="240" w:lineRule="auto" w:before="6"/>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6"/>
          <w:szCs w:val="26"/>
        </w:rPr>
      </w:pPr>
    </w:p>
    <w:p>
      <w:pPr>
        <w:pStyle w:val="BodyText"/>
        <w:spacing w:line="314" w:lineRule="auto"/>
        <w:ind w:left="181" w:right="-20"/>
        <w:jc w:val="left"/>
      </w:pPr>
      <w:r>
        <w:rPr/>
        <w:t>未达到计划进度或 预计收益的情况和</w:t>
      </w:r>
    </w:p>
    <w:p>
      <w:pPr>
        <w:pStyle w:val="BodyText"/>
        <w:spacing w:line="300" w:lineRule="auto" w:before="44"/>
        <w:ind w:left="80" w:right="1224"/>
        <w:jc w:val="both"/>
      </w:pPr>
      <w:r>
        <w:rPr/>
        <w:br w:type="column"/>
      </w:r>
      <w:r>
        <w:rPr/>
        <w:t>智能移动终端产品扩产与技术改造项目在</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日达到预定可使用状态，</w:t>
      </w:r>
      <w:r>
        <w:rPr>
          <w:rFonts w:ascii="Times New Roman" w:hAnsi="Times New Roman" w:cs="Times New Roman" w:eastAsia="Times New Roman" w:hint="default"/>
        </w:rPr>
        <w:t>2018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月至截止 日本项目实际产能利用率达到</w:t>
      </w:r>
      <w:r>
        <w:rPr>
          <w:spacing w:val="-49"/>
        </w:rPr>
        <w:t> </w:t>
      </w:r>
      <w:r>
        <w:rPr>
          <w:rFonts w:ascii="Times New Roman" w:hAnsi="Times New Roman" w:cs="Times New Roman" w:eastAsia="Times New Roman" w:hint="default"/>
        </w:rPr>
        <w:t>100%</w:t>
      </w:r>
      <w:r>
        <w:rPr/>
        <w:t>，实际实现净利润为</w:t>
      </w:r>
      <w:r>
        <w:rPr>
          <w:spacing w:val="-51"/>
        </w:rPr>
        <w:t> </w:t>
      </w:r>
      <w:r>
        <w:rPr>
          <w:rFonts w:ascii="Times New Roman" w:hAnsi="Times New Roman" w:cs="Times New Roman" w:eastAsia="Times New Roman" w:hint="default"/>
        </w:rPr>
        <w:t>3,158.12</w:t>
      </w:r>
      <w:r>
        <w:rPr>
          <w:rFonts w:ascii="Times New Roman" w:hAnsi="Times New Roman" w:cs="Times New Roman" w:eastAsia="Times New Roman" w:hint="default"/>
          <w:spacing w:val="-3"/>
        </w:rPr>
        <w:t> </w:t>
      </w:r>
      <w:r>
        <w:rPr>
          <w:spacing w:val="-4"/>
        </w:rPr>
        <w:t>万元，因承诺效益预计售价较高，本</w:t>
      </w:r>
      <w:r>
        <w:rPr/>
        <w:t> 项目产能利用率达到承诺水平，但实际实现净利润未达到承诺效益。收购深圳市瑞柏泰电子有限公司</w:t>
      </w:r>
    </w:p>
    <w:p>
      <w:pPr>
        <w:pStyle w:val="BodyText"/>
        <w:spacing w:line="212" w:lineRule="exact" w:before="31"/>
        <w:ind w:left="80" w:right="0"/>
        <w:jc w:val="both"/>
      </w:pPr>
      <w:r>
        <w:rPr>
          <w:rFonts w:ascii="Times New Roman" w:hAnsi="Times New Roman" w:cs="Times New Roman" w:eastAsia="Times New Roman" w:hint="default"/>
        </w:rPr>
        <w:t>51%</w:t>
      </w:r>
      <w:r>
        <w:rPr/>
        <w:t>股权项目承诺的</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spacing w:val="-3"/>
        </w:rPr>
        <w:t>年度、</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2"/>
        </w:rPr>
        <w:t> </w:t>
      </w:r>
      <w:r>
        <w:rPr/>
        <w:t>年度及</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年度的净利润分别不低于</w:t>
      </w:r>
      <w:r>
        <w:rPr>
          <w:spacing w:val="-45"/>
        </w:rPr>
        <w:t> </w:t>
      </w:r>
      <w:r>
        <w:rPr>
          <w:rFonts w:ascii="Times New Roman" w:hAnsi="Times New Roman" w:cs="Times New Roman" w:eastAsia="Times New Roman" w:hint="default"/>
        </w:rPr>
        <w:t>2,400</w:t>
      </w:r>
      <w:r>
        <w:rPr>
          <w:rFonts w:ascii="Times New Roman" w:hAnsi="Times New Roman" w:cs="Times New Roman" w:eastAsia="Times New Roman" w:hint="default"/>
          <w:spacing w:val="2"/>
        </w:rPr>
        <w:t> </w:t>
      </w:r>
      <w:r>
        <w:rPr>
          <w:spacing w:val="-3"/>
        </w:rPr>
        <w:t>万元、</w:t>
      </w:r>
      <w:r>
        <w:rPr>
          <w:rFonts w:ascii="Times New Roman" w:hAnsi="Times New Roman" w:cs="Times New Roman" w:eastAsia="Times New Roman" w:hint="default"/>
          <w:spacing w:val="-3"/>
        </w:rPr>
        <w:t>2,800</w:t>
      </w:r>
      <w:r>
        <w:rPr>
          <w:rFonts w:ascii="Times New Roman" w:hAnsi="Times New Roman" w:cs="Times New Roman" w:eastAsia="Times New Roman" w:hint="default"/>
          <w:spacing w:val="2"/>
        </w:rPr>
        <w:t> </w:t>
      </w:r>
      <w:r>
        <w:rPr/>
        <w:t>万元和</w:t>
      </w:r>
    </w:p>
    <w:p>
      <w:pPr>
        <w:spacing w:after="0" w:line="212" w:lineRule="exact"/>
        <w:jc w:val="both"/>
        <w:sectPr>
          <w:type w:val="continuous"/>
          <w:pgSz w:w="11910" w:h="16840"/>
          <w:pgMar w:top="1060" w:bottom="1160" w:left="980" w:right="0"/>
          <w:cols w:num="2" w:equalWidth="0">
            <w:col w:w="1622" w:space="40"/>
            <w:col w:w="9268"/>
          </w:cols>
        </w:sectPr>
      </w:pPr>
    </w:p>
    <w:p>
      <w:pPr>
        <w:pStyle w:val="BodyText"/>
        <w:spacing w:line="140" w:lineRule="exact"/>
        <w:ind w:left="181" w:right="1133"/>
        <w:jc w:val="left"/>
      </w:pPr>
      <w:r>
        <w:rPr>
          <w:spacing w:val="-3"/>
        </w:rPr>
        <w:t>原因（分具体项目）</w:t>
      </w:r>
    </w:p>
    <w:p>
      <w:pPr>
        <w:pStyle w:val="BodyText"/>
        <w:spacing w:line="209" w:lineRule="exact"/>
        <w:ind w:left="1742" w:right="0"/>
        <w:jc w:val="left"/>
      </w:pPr>
      <w:r>
        <w:rPr>
          <w:rFonts w:ascii="Times New Roman" w:hAnsi="Times New Roman" w:cs="Times New Roman" w:eastAsia="Times New Roman" w:hint="default"/>
        </w:rPr>
        <w:t>3,100</w:t>
      </w:r>
      <w:r>
        <w:rPr>
          <w:rFonts w:ascii="Times New Roman" w:hAnsi="Times New Roman" w:cs="Times New Roman" w:eastAsia="Times New Roman" w:hint="default"/>
          <w:spacing w:val="2"/>
        </w:rPr>
        <w:t> </w:t>
      </w:r>
      <w:r>
        <w:rPr>
          <w:spacing w:val="-6"/>
        </w:rPr>
        <w:t>万元，</w:t>
      </w:r>
      <w:r>
        <w:rPr>
          <w:rFonts w:ascii="Times New Roman" w:hAnsi="Times New Roman" w:cs="Times New Roman" w:eastAsia="Times New Roman" w:hint="default"/>
          <w:spacing w:val="-6"/>
        </w:rPr>
        <w:t>2017</w:t>
      </w:r>
      <w:r>
        <w:rPr>
          <w:rFonts w:ascii="Times New Roman" w:hAnsi="Times New Roman" w:cs="Times New Roman" w:eastAsia="Times New Roman" w:hint="default"/>
          <w:spacing w:val="2"/>
        </w:rPr>
        <w:t> </w:t>
      </w:r>
      <w:r>
        <w:rPr>
          <w:spacing w:val="-6"/>
        </w:rPr>
        <w:t>年度、</w:t>
      </w:r>
      <w:r>
        <w:rPr>
          <w:rFonts w:ascii="Times New Roman" w:hAnsi="Times New Roman" w:cs="Times New Roman" w:eastAsia="Times New Roman" w:hint="default"/>
          <w:spacing w:val="-6"/>
        </w:rPr>
        <w:t>2018</w:t>
      </w:r>
      <w:r>
        <w:rPr>
          <w:rFonts w:ascii="Times New Roman" w:hAnsi="Times New Roman" w:cs="Times New Roman" w:eastAsia="Times New Roman" w:hint="default"/>
          <w:spacing w:val="2"/>
        </w:rPr>
        <w:t> </w:t>
      </w:r>
      <w:r>
        <w:rPr/>
        <w:t>年度及</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年度实际实现的净利润分别为</w:t>
      </w:r>
      <w:r>
        <w:rPr>
          <w:spacing w:val="-45"/>
        </w:rPr>
        <w:t> </w:t>
      </w:r>
      <w:r>
        <w:rPr>
          <w:rFonts w:ascii="Times New Roman" w:hAnsi="Times New Roman" w:cs="Times New Roman" w:eastAsia="Times New Roman" w:hint="default"/>
        </w:rPr>
        <w:t>2,420.13</w:t>
      </w:r>
      <w:r>
        <w:rPr>
          <w:rFonts w:ascii="Times New Roman" w:hAnsi="Times New Roman" w:cs="Times New Roman" w:eastAsia="Times New Roman" w:hint="default"/>
          <w:spacing w:val="3"/>
        </w:rPr>
        <w:t> </w:t>
      </w:r>
      <w:r>
        <w:rPr>
          <w:spacing w:val="-4"/>
        </w:rPr>
        <w:t>万元、</w:t>
      </w:r>
      <w:r>
        <w:rPr>
          <w:rFonts w:ascii="Times New Roman" w:hAnsi="Times New Roman" w:cs="Times New Roman" w:eastAsia="Times New Roman" w:hint="default"/>
          <w:spacing w:val="-4"/>
        </w:rPr>
        <w:t>2,656.72</w:t>
      </w:r>
      <w:r>
        <w:rPr>
          <w:rFonts w:ascii="Times New Roman" w:hAnsi="Times New Roman" w:cs="Times New Roman" w:eastAsia="Times New Roman" w:hint="default"/>
          <w:spacing w:val="2"/>
        </w:rPr>
        <w:t> </w:t>
      </w:r>
      <w:r>
        <w:rPr/>
        <w:t>万元、</w:t>
      </w:r>
    </w:p>
    <w:p>
      <w:pPr>
        <w:pStyle w:val="BodyText"/>
        <w:spacing w:line="240" w:lineRule="auto" w:before="63"/>
        <w:ind w:left="1742" w:right="1133"/>
        <w:jc w:val="left"/>
      </w:pPr>
      <w:r>
        <w:rPr>
          <w:rFonts w:ascii="Times New Roman" w:hAnsi="Times New Roman" w:cs="Times New Roman" w:eastAsia="Times New Roman" w:hint="default"/>
        </w:rPr>
        <w:t>809.04 </w:t>
      </w:r>
      <w:r>
        <w:rPr/>
        <w:t>万元，截止日实际承诺业绩完成率达到</w:t>
      </w:r>
      <w:r>
        <w:rPr>
          <w:spacing w:val="-46"/>
        </w:rPr>
        <w:t> </w:t>
      </w:r>
      <w:r>
        <w:rPr>
          <w:rFonts w:ascii="Times New Roman" w:hAnsi="Times New Roman" w:cs="Times New Roman" w:eastAsia="Times New Roman" w:hint="default"/>
        </w:rPr>
        <w:t>70.91%</w:t>
      </w:r>
      <w:r>
        <w:rPr/>
        <w:t>。</w:t>
      </w:r>
    </w:p>
    <w:p>
      <w:pPr>
        <w:spacing w:line="240" w:lineRule="auto" w:before="5"/>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06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pStyle w:val="BodyText"/>
        <w:spacing w:line="316" w:lineRule="auto"/>
        <w:ind w:left="181" w:right="-20"/>
        <w:jc w:val="left"/>
      </w:pPr>
      <w:r>
        <w:rPr/>
        <w:t>项目可行性发生重 大变化的情况说明</w:t>
      </w:r>
    </w:p>
    <w:p>
      <w:pPr>
        <w:pStyle w:val="BodyText"/>
        <w:spacing w:line="240" w:lineRule="auto" w:before="44"/>
        <w:ind w:left="80" w:right="0"/>
        <w:jc w:val="both"/>
      </w:pPr>
      <w:r>
        <w:rPr/>
        <w:br w:type="column"/>
      </w:r>
      <w:r>
        <w:rPr/>
        <w:t>智能移动终端产品扩产及技术改造项目原计划在深圳市南山区购置</w:t>
      </w:r>
      <w:r>
        <w:rPr>
          <w:spacing w:val="-46"/>
        </w:rPr>
        <w:t> </w:t>
      </w:r>
      <w:r>
        <w:rPr>
          <w:rFonts w:ascii="Times New Roman" w:hAnsi="Times New Roman" w:cs="Times New Roman" w:eastAsia="Times New Roman" w:hint="default"/>
        </w:rPr>
        <w:t>900</w:t>
      </w:r>
      <w:r>
        <w:rPr>
          <w:rFonts w:ascii="Times New Roman" w:hAnsi="Times New Roman" w:cs="Times New Roman" w:eastAsia="Times New Roman" w:hint="default"/>
          <w:spacing w:val="-1"/>
        </w:rPr>
        <w:t> </w:t>
      </w:r>
      <w:r>
        <w:rPr/>
        <w:t>平方米写字楼作为综合办公场</w:t>
      </w:r>
    </w:p>
    <w:p>
      <w:pPr>
        <w:pStyle w:val="BodyText"/>
        <w:spacing w:line="312" w:lineRule="auto" w:before="63"/>
        <w:ind w:left="80" w:right="1256"/>
        <w:jc w:val="both"/>
      </w:pPr>
      <w:r>
        <w:rPr/>
        <w:t>所，研发中心建设项目原计划在深圳市南山区购置</w:t>
      </w:r>
      <w:r>
        <w:rPr>
          <w:spacing w:val="-46"/>
        </w:rPr>
        <w:t> </w:t>
      </w:r>
      <w:r>
        <w:rPr>
          <w:rFonts w:ascii="Times New Roman" w:hAnsi="Times New Roman" w:cs="Times New Roman" w:eastAsia="Times New Roman" w:hint="default"/>
        </w:rPr>
        <w:t>400</w:t>
      </w:r>
      <w:r>
        <w:rPr>
          <w:rFonts w:ascii="Times New Roman" w:hAnsi="Times New Roman" w:cs="Times New Roman" w:eastAsia="Times New Roman" w:hint="default"/>
          <w:spacing w:val="-1"/>
        </w:rPr>
        <w:t> </w:t>
      </w:r>
      <w:r>
        <w:rPr/>
        <w:t>平方米写字楼作为研发中心办公场地，由于公 司在南山区附近没有找到可供购买的合适的写字楼，因此，公司将在南山区购置写字楼的计划变更为 在深圳市南山区租赁写字楼作为综合办公场所及研发中心办公场地，上述两项目原计划购置场地的费 用合计减少</w:t>
      </w:r>
      <w:r>
        <w:rPr>
          <w:spacing w:val="-47"/>
        </w:rPr>
        <w:t> </w:t>
      </w:r>
      <w:r>
        <w:rPr>
          <w:rFonts w:ascii="Times New Roman" w:hAnsi="Times New Roman" w:cs="Times New Roman" w:eastAsia="Times New Roman" w:hint="default"/>
        </w:rPr>
        <w:t>5,200 </w:t>
      </w:r>
      <w:r>
        <w:rPr/>
        <w:t>万元。与此同时，鉴于珠三角产业上游设备供应发展迅速，公司将继续沿用原来生 产及组装方式，且近年来公司在扩大生产规模的同时生产管理水平提升，产能利用率大幅提升，无需 大量购置固定资产也可实现项目产能目标。因此，公司将扩产项目原计划购置设备的</w:t>
      </w:r>
      <w:r>
        <w:rPr>
          <w:spacing w:val="-44"/>
        </w:rPr>
        <w:t> </w:t>
      </w:r>
      <w:r>
        <w:rPr>
          <w:rFonts w:ascii="Times New Roman" w:hAnsi="Times New Roman" w:cs="Times New Roman" w:eastAsia="Times New Roman" w:hint="default"/>
        </w:rPr>
        <w:t>1,359.32</w:t>
      </w:r>
      <w:r>
        <w:rPr>
          <w:rFonts w:ascii="Times New Roman" w:hAnsi="Times New Roman" w:cs="Times New Roman" w:eastAsia="Times New Roman" w:hint="default"/>
          <w:spacing w:val="1"/>
        </w:rPr>
        <w:t> </w:t>
      </w:r>
      <w:r>
        <w:rPr/>
        <w:t>万元减</w:t>
      </w:r>
    </w:p>
    <w:p>
      <w:pPr>
        <w:pStyle w:val="BodyText"/>
        <w:spacing w:line="309" w:lineRule="auto" w:before="3"/>
        <w:ind w:left="80" w:right="1261"/>
        <w:jc w:val="both"/>
      </w:pPr>
      <w:r>
        <w:rPr/>
        <w:t>少</w:t>
      </w:r>
      <w:r>
        <w:rPr>
          <w:spacing w:val="-47"/>
        </w:rPr>
        <w:t> </w:t>
      </w:r>
      <w:r>
        <w:rPr>
          <w:rFonts w:ascii="Times New Roman" w:hAnsi="Times New Roman" w:cs="Times New Roman" w:eastAsia="Times New Roman" w:hint="default"/>
        </w:rPr>
        <w:t>1,000 </w:t>
      </w:r>
      <w:r>
        <w:rPr/>
        <w:t>万元。公司本次部分变更募集资金用于股权收购事项是结合项目实施情况、业务发展环境， 综合考虑项目风险与收益等方面之后做出的谨慎决定，符合公司发展战略，有利于提高募集资金使用 效率。</w:t>
      </w:r>
    </w:p>
    <w:p>
      <w:pPr>
        <w:spacing w:after="0" w:line="309" w:lineRule="auto"/>
        <w:jc w:val="both"/>
        <w:sectPr>
          <w:type w:val="continuous"/>
          <w:pgSz w:w="11910" w:h="16840"/>
          <w:pgMar w:top="1060" w:bottom="1160" w:left="980" w:right="0"/>
          <w:cols w:num="2" w:equalWidth="0">
            <w:col w:w="1622" w:space="40"/>
            <w:col w:w="9268"/>
          </w:cols>
        </w:sectPr>
      </w:pPr>
    </w:p>
    <w:p>
      <w:pPr>
        <w:pStyle w:val="BodyText"/>
        <w:spacing w:line="240" w:lineRule="auto" w:before="114"/>
        <w:ind w:left="181" w:right="1133"/>
        <w:jc w:val="left"/>
      </w:pPr>
      <w:r>
        <w:rPr/>
        <w:pict>
          <v:group style="position:absolute;margin-left:56.400002pt;margin-top:71.759979pt;width:479.05pt;height:694.7pt;mso-position-horizontal-relative:page;mso-position-vertical-relative:page;z-index:-1221328" coordorigin="1128,1435" coordsize="9581,13894">
            <v:group style="position:absolute;left:1138;top:1445;width:843;height:2" coordorigin="1138,1445" coordsize="843,2">
              <v:shape style="position:absolute;left:1138;top:1445;width:843;height:2" coordorigin="1138,1445" coordsize="843,0" path="m1138,1445l1980,1445e" filled="false" stroked="true" strokeweight=".48pt" strokecolor="#000000">
                <v:path arrowok="t"/>
              </v:shape>
            </v:group>
            <v:group style="position:absolute;left:1990;top:1445;width:699;height:2" coordorigin="1990,1445" coordsize="699,2">
              <v:shape style="position:absolute;left:1990;top:1445;width:699;height:2" coordorigin="1990,1445" coordsize="699,0" path="m1990,1445l2688,1445e" filled="false" stroked="true" strokeweight=".48pt" strokecolor="#000000">
                <v:path arrowok="t"/>
              </v:shape>
            </v:group>
            <v:group style="position:absolute;left:2698;top:1445;width:776;height:2" coordorigin="2698,1445" coordsize="776,2">
              <v:shape style="position:absolute;left:2698;top:1445;width:776;height:2" coordorigin="2698,1445" coordsize="776,0" path="m2698,1445l3473,1445e" filled="false" stroked="true" strokeweight=".48pt" strokecolor="#000000">
                <v:path arrowok="t"/>
              </v:shape>
            </v:group>
            <v:group style="position:absolute;left:3483;top:1445;width:887;height:2" coordorigin="3483,1445" coordsize="887,2">
              <v:shape style="position:absolute;left:3483;top:1445;width:887;height:2" coordorigin="3483,1445" coordsize="887,0" path="m3483,1445l4369,1445e" filled="false" stroked="true" strokeweight=".48pt" strokecolor="#000000">
                <v:path arrowok="t"/>
              </v:shape>
            </v:group>
            <v:group style="position:absolute;left:4379;top:1445;width:718;height:2" coordorigin="4379,1445" coordsize="718,2">
              <v:shape style="position:absolute;left:4379;top:1445;width:718;height:2" coordorigin="4379,1445" coordsize="718,0" path="m4379,1445l5096,1445e" filled="false" stroked="true" strokeweight=".48pt" strokecolor="#000000">
                <v:path arrowok="t"/>
              </v:shape>
            </v:group>
            <v:group style="position:absolute;left:5106;top:1445;width:888;height:2" coordorigin="5106,1445" coordsize="888,2">
              <v:shape style="position:absolute;left:5106;top:1445;width:888;height:2" coordorigin="5106,1445" coordsize="888,0" path="m5106,1445l5994,1445e" filled="false" stroked="true" strokeweight=".48pt" strokecolor="#000000">
                <v:path arrowok="t"/>
              </v:shape>
            </v:group>
            <v:group style="position:absolute;left:6003;top:1445;width:889;height:2" coordorigin="6003,1445" coordsize="889,2">
              <v:shape style="position:absolute;left:6003;top:1445;width:889;height:2" coordorigin="6003,1445" coordsize="889,0" path="m6003,1445l6892,1445e" filled="false" stroked="true" strokeweight=".48pt" strokecolor="#000000">
                <v:path arrowok="t"/>
              </v:shape>
            </v:group>
            <v:group style="position:absolute;left:6901;top:1445;width:718;height:2" coordorigin="6901,1445" coordsize="718,2">
              <v:shape style="position:absolute;left:6901;top:1445;width:718;height:2" coordorigin="6901,1445" coordsize="718,0" path="m6901,1445l7619,1445e" filled="false" stroked="true" strokeweight=".48pt" strokecolor="#000000">
                <v:path arrowok="t"/>
              </v:shape>
            </v:group>
            <v:group style="position:absolute;left:7629;top:1445;width:718;height:2" coordorigin="7629,1445" coordsize="718,2">
              <v:shape style="position:absolute;left:7629;top:1445;width:718;height:2" coordorigin="7629,1445" coordsize="718,0" path="m7629,1445l8346,1445e" filled="false" stroked="true" strokeweight=".48pt" strokecolor="#000000">
                <v:path arrowok="t"/>
              </v:shape>
            </v:group>
            <v:group style="position:absolute;left:8356;top:1445;width:889;height:2" coordorigin="8356,1445" coordsize="889,2">
              <v:shape style="position:absolute;left:8356;top:1445;width:889;height:2" coordorigin="8356,1445" coordsize="889,0" path="m8356,1445l9244,1445e" filled="false" stroked="true" strokeweight=".48pt" strokecolor="#000000">
                <v:path arrowok="t"/>
              </v:shape>
            </v:group>
            <v:group style="position:absolute;left:9254;top:1445;width:718;height:2" coordorigin="9254,1445" coordsize="718,2">
              <v:shape style="position:absolute;left:9254;top:1445;width:718;height:2" coordorigin="9254,1445" coordsize="718,0" path="m9254,1445l9972,1445e" filled="false" stroked="true" strokeweight=".48pt" strokecolor="#000000">
                <v:path arrowok="t"/>
              </v:shape>
            </v:group>
            <v:group style="position:absolute;left:9981;top:1445;width:718;height:2" coordorigin="9981,1445" coordsize="718,2">
              <v:shape style="position:absolute;left:9981;top:1445;width:718;height:2" coordorigin="9981,1445" coordsize="718,0" path="m9981,1445l10699,1445e" filled="false" stroked="true" strokeweight=".48pt" strokecolor="#000000">
                <v:path arrowok="t"/>
              </v:shape>
            </v:group>
            <v:group style="position:absolute;left:1138;top:3094;width:843;height:2" coordorigin="1138,3094" coordsize="843,2">
              <v:shape style="position:absolute;left:1138;top:3094;width:843;height:2" coordorigin="1138,3094" coordsize="843,0" path="m1138,3094l1980,3094e" filled="false" stroked="true" strokeweight=".48pt" strokecolor="#000000">
                <v:path arrowok="t"/>
              </v:shape>
            </v:group>
            <v:group style="position:absolute;left:1990;top:3094;width:699;height:2" coordorigin="1990,3094" coordsize="699,2">
              <v:shape style="position:absolute;left:1990;top:3094;width:699;height:2" coordorigin="1990,3094" coordsize="699,0" path="m1990,3094l2688,3094e" filled="false" stroked="true" strokeweight=".48pt" strokecolor="#000000">
                <v:path arrowok="t"/>
              </v:shape>
            </v:group>
            <v:group style="position:absolute;left:2698;top:3094;width:776;height:2" coordorigin="2698,3094" coordsize="776,2">
              <v:shape style="position:absolute;left:2698;top:3094;width:776;height:2" coordorigin="2698,3094" coordsize="776,0" path="m2698,3094l3473,3094e" filled="false" stroked="true" strokeweight=".48pt" strokecolor="#000000">
                <v:path arrowok="t"/>
              </v:shape>
            </v:group>
            <v:group style="position:absolute;left:3483;top:3094;width:887;height:2" coordorigin="3483,3094" coordsize="887,2">
              <v:shape style="position:absolute;left:3483;top:3094;width:887;height:2" coordorigin="3483,3094" coordsize="887,0" path="m3483,3094l4369,3094e" filled="false" stroked="true" strokeweight=".48pt" strokecolor="#000000">
                <v:path arrowok="t"/>
              </v:shape>
            </v:group>
            <v:group style="position:absolute;left:4379;top:3094;width:718;height:2" coordorigin="4379,3094" coordsize="718,2">
              <v:shape style="position:absolute;left:4379;top:3094;width:718;height:2" coordorigin="4379,3094" coordsize="718,0" path="m4379,3094l5096,3094e" filled="false" stroked="true" strokeweight=".48pt" strokecolor="#000000">
                <v:path arrowok="t"/>
              </v:shape>
            </v:group>
            <v:group style="position:absolute;left:5106;top:3094;width:888;height:2" coordorigin="5106,3094" coordsize="888,2">
              <v:shape style="position:absolute;left:5106;top:3094;width:888;height:2" coordorigin="5106,3094" coordsize="888,0" path="m5106,3094l5994,3094e" filled="false" stroked="true" strokeweight=".48pt" strokecolor="#000000">
                <v:path arrowok="t"/>
              </v:shape>
            </v:group>
            <v:group style="position:absolute;left:6003;top:3094;width:889;height:2" coordorigin="6003,3094" coordsize="889,2">
              <v:shape style="position:absolute;left:6003;top:3094;width:889;height:2" coordorigin="6003,3094" coordsize="889,0" path="m6003,3094l6892,3094e" filled="false" stroked="true" strokeweight=".48pt" strokecolor="#000000">
                <v:path arrowok="t"/>
              </v:shape>
            </v:group>
            <v:group style="position:absolute;left:6901;top:3094;width:718;height:2" coordorigin="6901,3094" coordsize="718,2">
              <v:shape style="position:absolute;left:6901;top:3094;width:718;height:2" coordorigin="6901,3094" coordsize="718,0" path="m6901,3094l7619,3094e" filled="false" stroked="true" strokeweight=".48pt" strokecolor="#000000">
                <v:path arrowok="t"/>
              </v:shape>
            </v:group>
            <v:group style="position:absolute;left:7629;top:3094;width:718;height:2" coordorigin="7629,3094" coordsize="718,2">
              <v:shape style="position:absolute;left:7629;top:3094;width:718;height:2" coordorigin="7629,3094" coordsize="718,0" path="m7629,3094l8346,3094e" filled="false" stroked="true" strokeweight=".48pt" strokecolor="#000000">
                <v:path arrowok="t"/>
              </v:shape>
            </v:group>
            <v:group style="position:absolute;left:8356;top:3094;width:889;height:2" coordorigin="8356,3094" coordsize="889,2">
              <v:shape style="position:absolute;left:8356;top:3094;width:889;height:2" coordorigin="8356,3094" coordsize="889,0" path="m8356,3094l9244,3094e" filled="false" stroked="true" strokeweight=".48pt" strokecolor="#000000">
                <v:path arrowok="t"/>
              </v:shape>
            </v:group>
            <v:group style="position:absolute;left:9254;top:3094;width:718;height:2" coordorigin="9254,3094" coordsize="718,2">
              <v:shape style="position:absolute;left:9254;top:3094;width:718;height:2" coordorigin="9254,3094" coordsize="718,0" path="m9254,3094l9972,3094e" filled="false" stroked="true" strokeweight=".48pt" strokecolor="#000000">
                <v:path arrowok="t"/>
              </v:shape>
            </v:group>
            <v:group style="position:absolute;left:9981;top:3094;width:718;height:2" coordorigin="9981,3094" coordsize="718,2">
              <v:shape style="position:absolute;left:9981;top:3094;width:718;height:2" coordorigin="9981,3094" coordsize="718,0" path="m9981,3094l10699,3094e" filled="false" stroked="true" strokeweight=".48pt" strokecolor="#000000">
                <v:path arrowok="t"/>
              </v:shape>
            </v:group>
            <v:group style="position:absolute;left:1138;top:4121;width:843;height:2" coordorigin="1138,4121" coordsize="843,2">
              <v:shape style="position:absolute;left:1138;top:4121;width:843;height:2" coordorigin="1138,4121" coordsize="843,0" path="m1138,4121l1980,4121e" filled="false" stroked="true" strokeweight=".48pt" strokecolor="#000000">
                <v:path arrowok="t"/>
              </v:shape>
            </v:group>
            <v:group style="position:absolute;left:1990;top:4121;width:699;height:2" coordorigin="1990,4121" coordsize="699,2">
              <v:shape style="position:absolute;left:1990;top:4121;width:699;height:2" coordorigin="1990,4121" coordsize="699,0" path="m1990,4121l2688,4121e" filled="false" stroked="true" strokeweight=".48pt" strokecolor="#000000">
                <v:path arrowok="t"/>
              </v:shape>
            </v:group>
            <v:group style="position:absolute;left:2698;top:4121;width:776;height:2" coordorigin="2698,4121" coordsize="776,2">
              <v:shape style="position:absolute;left:2698;top:4121;width:776;height:2" coordorigin="2698,4121" coordsize="776,0" path="m2698,4121l3473,4121e" filled="false" stroked="true" strokeweight=".48pt" strokecolor="#000000">
                <v:path arrowok="t"/>
              </v:shape>
            </v:group>
            <v:group style="position:absolute;left:3483;top:4121;width:887;height:2" coordorigin="3483,4121" coordsize="887,2">
              <v:shape style="position:absolute;left:3483;top:4121;width:887;height:2" coordorigin="3483,4121" coordsize="887,0" path="m3483,4121l4369,4121e" filled="false" stroked="true" strokeweight=".48pt" strokecolor="#000000">
                <v:path arrowok="t"/>
              </v:shape>
            </v:group>
            <v:group style="position:absolute;left:4379;top:4121;width:718;height:2" coordorigin="4379,4121" coordsize="718,2">
              <v:shape style="position:absolute;left:4379;top:4121;width:718;height:2" coordorigin="4379,4121" coordsize="718,0" path="m4379,4121l5096,4121e" filled="false" stroked="true" strokeweight=".48pt" strokecolor="#000000">
                <v:path arrowok="t"/>
              </v:shape>
            </v:group>
            <v:group style="position:absolute;left:5106;top:4121;width:888;height:2" coordorigin="5106,4121" coordsize="888,2">
              <v:shape style="position:absolute;left:5106;top:4121;width:888;height:2" coordorigin="5106,4121" coordsize="888,0" path="m5106,4121l5994,4121e" filled="false" stroked="true" strokeweight=".48pt" strokecolor="#000000">
                <v:path arrowok="t"/>
              </v:shape>
            </v:group>
            <v:group style="position:absolute;left:6003;top:4121;width:889;height:2" coordorigin="6003,4121" coordsize="889,2">
              <v:shape style="position:absolute;left:6003;top:4121;width:889;height:2" coordorigin="6003,4121" coordsize="889,0" path="m6003,4121l6892,4121e" filled="false" stroked="true" strokeweight=".48pt" strokecolor="#000000">
                <v:path arrowok="t"/>
              </v:shape>
            </v:group>
            <v:group style="position:absolute;left:6901;top:4121;width:718;height:2" coordorigin="6901,4121" coordsize="718,2">
              <v:shape style="position:absolute;left:6901;top:4121;width:718;height:2" coordorigin="6901,4121" coordsize="718,0" path="m6901,4121l7619,4121e" filled="false" stroked="true" strokeweight=".48pt" strokecolor="#000000">
                <v:path arrowok="t"/>
              </v:shape>
            </v:group>
            <v:group style="position:absolute;left:7629;top:4121;width:718;height:2" coordorigin="7629,4121" coordsize="718,2">
              <v:shape style="position:absolute;left:7629;top:4121;width:718;height:2" coordorigin="7629,4121" coordsize="718,0" path="m7629,4121l8346,4121e" filled="false" stroked="true" strokeweight=".48pt" strokecolor="#000000">
                <v:path arrowok="t"/>
              </v:shape>
            </v:group>
            <v:group style="position:absolute;left:8356;top:4121;width:889;height:2" coordorigin="8356,4121" coordsize="889,2">
              <v:shape style="position:absolute;left:8356;top:4121;width:889;height:2" coordorigin="8356,4121" coordsize="889,0" path="m8356,4121l9244,4121e" filled="false" stroked="true" strokeweight=".48pt" strokecolor="#000000">
                <v:path arrowok="t"/>
              </v:shape>
            </v:group>
            <v:group style="position:absolute;left:9254;top:4121;width:718;height:2" coordorigin="9254,4121" coordsize="718,2">
              <v:shape style="position:absolute;left:9254;top:4121;width:718;height:2" coordorigin="9254,4121" coordsize="718,0" path="m9254,4121l9972,4121e" filled="false" stroked="true" strokeweight=".48pt" strokecolor="#000000">
                <v:path arrowok="t"/>
              </v:shape>
            </v:group>
            <v:group style="position:absolute;left:9981;top:4121;width:718;height:2" coordorigin="9981,4121" coordsize="718,2">
              <v:shape style="position:absolute;left:9981;top:4121;width:718;height:2" coordorigin="9981,4121" coordsize="718,0" path="m9981,4121l10699,4121e" filled="false" stroked="true" strokeweight=".48pt" strokecolor="#000000">
                <v:path arrowok="t"/>
              </v:shape>
            </v:group>
            <v:group style="position:absolute;left:1138;top:5146;width:843;height:2" coordorigin="1138,5146" coordsize="843,2">
              <v:shape style="position:absolute;left:1138;top:5146;width:843;height:2" coordorigin="1138,5146" coordsize="843,0" path="m1138,5146l1980,5146e" filled="false" stroked="true" strokeweight=".48001pt" strokecolor="#000000">
                <v:path arrowok="t"/>
              </v:shape>
            </v:group>
            <v:group style="position:absolute;left:1990;top:5146;width:699;height:2" coordorigin="1990,5146" coordsize="699,2">
              <v:shape style="position:absolute;left:1990;top:5146;width:699;height:2" coordorigin="1990,5146" coordsize="699,0" path="m1990,5146l2688,5146e" filled="false" stroked="true" strokeweight=".48001pt" strokecolor="#000000">
                <v:path arrowok="t"/>
              </v:shape>
            </v:group>
            <v:group style="position:absolute;left:2698;top:5146;width:776;height:2" coordorigin="2698,5146" coordsize="776,2">
              <v:shape style="position:absolute;left:2698;top:5146;width:776;height:2" coordorigin="2698,5146" coordsize="776,0" path="m2698,5146l3473,5146e" filled="false" stroked="true" strokeweight=".48001pt" strokecolor="#000000">
                <v:path arrowok="t"/>
              </v:shape>
            </v:group>
            <v:group style="position:absolute;left:3483;top:5146;width:887;height:2" coordorigin="3483,5146" coordsize="887,2">
              <v:shape style="position:absolute;left:3483;top:5146;width:887;height:2" coordorigin="3483,5146" coordsize="887,0" path="m3483,5146l4369,5146e" filled="false" stroked="true" strokeweight=".48001pt" strokecolor="#000000">
                <v:path arrowok="t"/>
              </v:shape>
            </v:group>
            <v:group style="position:absolute;left:4379;top:5146;width:718;height:2" coordorigin="4379,5146" coordsize="718,2">
              <v:shape style="position:absolute;left:4379;top:5146;width:718;height:2" coordorigin="4379,5146" coordsize="718,0" path="m4379,5146l5096,5146e" filled="false" stroked="true" strokeweight=".48001pt" strokecolor="#000000">
                <v:path arrowok="t"/>
              </v:shape>
            </v:group>
            <v:group style="position:absolute;left:5106;top:5146;width:888;height:2" coordorigin="5106,5146" coordsize="888,2">
              <v:shape style="position:absolute;left:5106;top:5146;width:888;height:2" coordorigin="5106,5146" coordsize="888,0" path="m5106,5146l5994,5146e" filled="false" stroked="true" strokeweight=".48001pt" strokecolor="#000000">
                <v:path arrowok="t"/>
              </v:shape>
            </v:group>
            <v:group style="position:absolute;left:6003;top:5146;width:889;height:2" coordorigin="6003,5146" coordsize="889,2">
              <v:shape style="position:absolute;left:6003;top:5146;width:889;height:2" coordorigin="6003,5146" coordsize="889,0" path="m6003,5146l6892,5146e" filled="false" stroked="true" strokeweight=".48001pt" strokecolor="#000000">
                <v:path arrowok="t"/>
              </v:shape>
            </v:group>
            <v:group style="position:absolute;left:6901;top:5146;width:718;height:2" coordorigin="6901,5146" coordsize="718,2">
              <v:shape style="position:absolute;left:6901;top:5146;width:718;height:2" coordorigin="6901,5146" coordsize="718,0" path="m6901,5146l7619,5146e" filled="false" stroked="true" strokeweight=".48001pt" strokecolor="#000000">
                <v:path arrowok="t"/>
              </v:shape>
            </v:group>
            <v:group style="position:absolute;left:7629;top:5146;width:718;height:2" coordorigin="7629,5146" coordsize="718,2">
              <v:shape style="position:absolute;left:7629;top:5146;width:718;height:2" coordorigin="7629,5146" coordsize="718,0" path="m7629,5146l8346,5146e" filled="false" stroked="true" strokeweight=".48001pt" strokecolor="#000000">
                <v:path arrowok="t"/>
              </v:shape>
            </v:group>
            <v:group style="position:absolute;left:8356;top:5146;width:889;height:2" coordorigin="8356,5146" coordsize="889,2">
              <v:shape style="position:absolute;left:8356;top:5146;width:889;height:2" coordorigin="8356,5146" coordsize="889,0" path="m8356,5146l9244,5146e" filled="false" stroked="true" strokeweight=".48001pt" strokecolor="#000000">
                <v:path arrowok="t"/>
              </v:shape>
            </v:group>
            <v:group style="position:absolute;left:9254;top:5146;width:718;height:2" coordorigin="9254,5146" coordsize="718,2">
              <v:shape style="position:absolute;left:9254;top:5146;width:718;height:2" coordorigin="9254,5146" coordsize="718,0" path="m9254,5146l9972,5146e" filled="false" stroked="true" strokeweight=".48001pt" strokecolor="#000000">
                <v:path arrowok="t"/>
              </v:shape>
            </v:group>
            <v:group style="position:absolute;left:9981;top:5146;width:718;height:2" coordorigin="9981,5146" coordsize="718,2">
              <v:shape style="position:absolute;left:9981;top:5146;width:718;height:2" coordorigin="9981,5146" coordsize="718,0" path="m9981,5146l10699,5146e" filled="false" stroked="true" strokeweight=".48001pt" strokecolor="#000000">
                <v:path arrowok="t"/>
              </v:shape>
            </v:group>
            <v:group style="position:absolute;left:1138;top:5862;width:843;height:2" coordorigin="1138,5862" coordsize="843,2">
              <v:shape style="position:absolute;left:1138;top:5862;width:843;height:2" coordorigin="1138,5862" coordsize="843,0" path="m1138,5862l1980,5862e" filled="false" stroked="true" strokeweight=".48001pt" strokecolor="#000000">
                <v:path arrowok="t"/>
              </v:shape>
            </v:group>
            <v:group style="position:absolute;left:1990;top:5862;width:699;height:2" coordorigin="1990,5862" coordsize="699,2">
              <v:shape style="position:absolute;left:1990;top:5862;width:699;height:2" coordorigin="1990,5862" coordsize="699,0" path="m1990,5862l2688,5862e" filled="false" stroked="true" strokeweight=".48001pt" strokecolor="#000000">
                <v:path arrowok="t"/>
              </v:shape>
            </v:group>
            <v:group style="position:absolute;left:2698;top:5862;width:776;height:2" coordorigin="2698,5862" coordsize="776,2">
              <v:shape style="position:absolute;left:2698;top:5862;width:776;height:2" coordorigin="2698,5862" coordsize="776,0" path="m2698,5862l3473,5862e" filled="false" stroked="true" strokeweight=".48001pt" strokecolor="#000000">
                <v:path arrowok="t"/>
              </v:shape>
            </v:group>
            <v:group style="position:absolute;left:3483;top:5862;width:887;height:2" coordorigin="3483,5862" coordsize="887,2">
              <v:shape style="position:absolute;left:3483;top:5862;width:887;height:2" coordorigin="3483,5862" coordsize="887,0" path="m3483,5862l4369,5862e" filled="false" stroked="true" strokeweight=".48001pt" strokecolor="#000000">
                <v:path arrowok="t"/>
              </v:shape>
            </v:group>
            <v:group style="position:absolute;left:4379;top:5862;width:718;height:2" coordorigin="4379,5862" coordsize="718,2">
              <v:shape style="position:absolute;left:4379;top:5862;width:718;height:2" coordorigin="4379,5862" coordsize="718,0" path="m4379,5862l5096,5862e" filled="false" stroked="true" strokeweight=".48001pt" strokecolor="#000000">
                <v:path arrowok="t"/>
              </v:shape>
            </v:group>
            <v:group style="position:absolute;left:5106;top:5862;width:888;height:2" coordorigin="5106,5862" coordsize="888,2">
              <v:shape style="position:absolute;left:5106;top:5862;width:888;height:2" coordorigin="5106,5862" coordsize="888,0" path="m5106,5862l5994,5862e" filled="false" stroked="true" strokeweight=".48001pt" strokecolor="#000000">
                <v:path arrowok="t"/>
              </v:shape>
            </v:group>
            <v:group style="position:absolute;left:6003;top:5862;width:889;height:2" coordorigin="6003,5862" coordsize="889,2">
              <v:shape style="position:absolute;left:6003;top:5862;width:889;height:2" coordorigin="6003,5862" coordsize="889,0" path="m6003,5862l6892,5862e" filled="false" stroked="true" strokeweight=".48001pt" strokecolor="#000000">
                <v:path arrowok="t"/>
              </v:shape>
            </v:group>
            <v:group style="position:absolute;left:6901;top:5862;width:718;height:2" coordorigin="6901,5862" coordsize="718,2">
              <v:shape style="position:absolute;left:6901;top:5862;width:718;height:2" coordorigin="6901,5862" coordsize="718,0" path="m6901,5862l7619,5862e" filled="false" stroked="true" strokeweight=".48001pt" strokecolor="#000000">
                <v:path arrowok="t"/>
              </v:shape>
            </v:group>
            <v:group style="position:absolute;left:7629;top:5862;width:718;height:2" coordorigin="7629,5862" coordsize="718,2">
              <v:shape style="position:absolute;left:7629;top:5862;width:718;height:2" coordorigin="7629,5862" coordsize="718,0" path="m7629,5862l8346,5862e" filled="false" stroked="true" strokeweight=".48001pt" strokecolor="#000000">
                <v:path arrowok="t"/>
              </v:shape>
            </v:group>
            <v:group style="position:absolute;left:8356;top:5862;width:889;height:2" coordorigin="8356,5862" coordsize="889,2">
              <v:shape style="position:absolute;left:8356;top:5862;width:889;height:2" coordorigin="8356,5862" coordsize="889,0" path="m8356,5862l9244,5862e" filled="false" stroked="true" strokeweight=".48001pt" strokecolor="#000000">
                <v:path arrowok="t"/>
              </v:shape>
            </v:group>
            <v:group style="position:absolute;left:9254;top:5862;width:718;height:2" coordorigin="9254,5862" coordsize="718,2">
              <v:shape style="position:absolute;left:9254;top:5862;width:718;height:2" coordorigin="9254,5862" coordsize="718,0" path="m9254,5862l9972,5862e" filled="false" stroked="true" strokeweight=".48001pt" strokecolor="#000000">
                <v:path arrowok="t"/>
              </v:shape>
            </v:group>
            <v:group style="position:absolute;left:9981;top:5862;width:718;height:2" coordorigin="9981,5862" coordsize="718,2">
              <v:shape style="position:absolute;left:9981;top:5862;width:718;height:2" coordorigin="9981,5862" coordsize="718,0" path="m9981,5862l10699,5862e" filled="false" stroked="true" strokeweight=".48001pt" strokecolor="#000000">
                <v:path arrowok="t"/>
              </v:shape>
            </v:group>
            <v:group style="position:absolute;left:1151;top:7830;width:2;height:704" coordorigin="1151,7830" coordsize="2,704">
              <v:shape style="position:absolute;left:1151;top:7830;width:2;height:704" coordorigin="1151,7830" coordsize="0,704" path="m1151,7830l1151,8533e" filled="false" stroked="true" strokeweight="1.08pt" strokecolor="#d2d2d2">
                <v:path arrowok="t"/>
              </v:shape>
            </v:group>
            <v:group style="position:absolute;left:1968;top:7830;width:2;height:704" coordorigin="1968,7830" coordsize="2,704">
              <v:shape style="position:absolute;left:1968;top:7830;width:2;height:704" coordorigin="1968,7830" coordsize="0,704" path="m1968,7830l1968,8533e" filled="false" stroked="true" strokeweight="1.2pt" strokecolor="#d2d2d2">
                <v:path arrowok="t"/>
              </v:shape>
            </v:group>
            <v:group style="position:absolute;left:1162;top:7830;width:795;height:351" coordorigin="1162,7830" coordsize="795,351">
              <v:shape style="position:absolute;left:1162;top:7830;width:795;height:351" coordorigin="1162,7830" coordsize="795,351" path="m1162,8180l1956,8180,1956,7830,1162,7830,1162,8180xe" filled="true" fillcolor="#d2d2d2" stroked="false">
                <v:path arrowok="t"/>
                <v:fill type="solid"/>
              </v:shape>
            </v:group>
            <v:group style="position:absolute;left:1162;top:8180;width:795;height:353" coordorigin="1162,8180" coordsize="795,353">
              <v:shape style="position:absolute;left:1162;top:8180;width:795;height:353" coordorigin="1162,8180" coordsize="795,353" path="m1162,8533l1956,8533,1956,8180,1162,8180,1162,8533xe" filled="true" fillcolor="#d2d2d2" stroked="false">
                <v:path arrowok="t"/>
                <v:fill type="solid"/>
              </v:shape>
            </v:group>
            <v:group style="position:absolute;left:1990;top:7830;width:699;height:156" coordorigin="1990,7830" coordsize="699,156">
              <v:shape style="position:absolute;left:1990;top:7830;width:699;height:156" coordorigin="1990,7830" coordsize="699,156" path="m1990,7986l2688,7986,2688,7830,1990,7830,1990,7986xe" filled="true" fillcolor="#d2d2d2" stroked="false">
                <v:path arrowok="t"/>
                <v:fill type="solid"/>
              </v:shape>
            </v:group>
            <v:group style="position:absolute;left:2002;top:7986;width:2;height:392" coordorigin="2002,7986" coordsize="2,392">
              <v:shape style="position:absolute;left:2002;top:7986;width:2;height:392" coordorigin="2002,7986" coordsize="0,392" path="m2002,7986l2002,8377e" filled="false" stroked="true" strokeweight="1.2pt" strokecolor="#d2d2d2">
                <v:path arrowok="t"/>
              </v:shape>
            </v:group>
            <v:group style="position:absolute;left:2678;top:7986;width:2;height:392" coordorigin="2678,7986" coordsize="2,392">
              <v:shape style="position:absolute;left:2678;top:7986;width:2;height:392" coordorigin="2678,7986" coordsize="0,392" path="m2678,7986l2678,8377e" filled="false" stroked="true" strokeweight="1.08pt" strokecolor="#d2d2d2">
                <v:path arrowok="t"/>
              </v:shape>
            </v:group>
            <v:group style="position:absolute;left:1990;top:8377;width:699;height:156" coordorigin="1990,8377" coordsize="699,156">
              <v:shape style="position:absolute;left:1990;top:8377;width:699;height:156" coordorigin="1990,8377" coordsize="699,156" path="m1990,8533l2688,8533,2688,8377,1990,8377,1990,8533xe" filled="true" fillcolor="#d2d2d2" stroked="false">
                <v:path arrowok="t"/>
                <v:fill type="solid"/>
              </v:shape>
            </v:group>
            <v:group style="position:absolute;left:2014;top:7986;width:653;height:392" coordorigin="2014,7986" coordsize="653,392">
              <v:shape style="position:absolute;left:2014;top:7986;width:653;height:392" coordorigin="2014,7986" coordsize="653,392" path="m2014,8377l2667,8377,2667,7986,2014,7986,2014,8377xe" filled="true" fillcolor="#d2d2d2" stroked="false">
                <v:path arrowok="t"/>
                <v:fill type="solid"/>
              </v:shape>
            </v:group>
            <v:group style="position:absolute;left:1138;top:7823;width:843;height:2" coordorigin="1138,7823" coordsize="843,2">
              <v:shape style="position:absolute;left:1138;top:7823;width:843;height:2" coordorigin="1138,7823" coordsize="843,0" path="m1138,7823l1980,7823e" filled="false" stroked="true" strokeweight=".48001pt" strokecolor="#000000">
                <v:path arrowok="t"/>
              </v:shape>
            </v:group>
            <v:group style="position:absolute;left:1990;top:7823;width:699;height:2" coordorigin="1990,7823" coordsize="699,2">
              <v:shape style="position:absolute;left:1990;top:7823;width:699;height:2" coordorigin="1990,7823" coordsize="699,0" path="m1990,7823l2688,7823e" filled="false" stroked="true" strokeweight=".48001pt" strokecolor="#000000">
                <v:path arrowok="t"/>
              </v:shape>
            </v:group>
            <v:group style="position:absolute;left:2698;top:7823;width:776;height:2" coordorigin="2698,7823" coordsize="776,2">
              <v:shape style="position:absolute;left:2698;top:7823;width:776;height:2" coordorigin="2698,7823" coordsize="776,0" path="m2698,7823l3473,7823e" filled="false" stroked="true" strokeweight=".48001pt" strokecolor="#000000">
                <v:path arrowok="t"/>
              </v:shape>
            </v:group>
            <v:group style="position:absolute;left:3483;top:7823;width:887;height:2" coordorigin="3483,7823" coordsize="887,2">
              <v:shape style="position:absolute;left:3483;top:7823;width:887;height:2" coordorigin="3483,7823" coordsize="887,0" path="m3483,7823l4369,7823e" filled="false" stroked="true" strokeweight=".48001pt" strokecolor="#000000">
                <v:path arrowok="t"/>
              </v:shape>
            </v:group>
            <v:group style="position:absolute;left:4379;top:7823;width:718;height:2" coordorigin="4379,7823" coordsize="718,2">
              <v:shape style="position:absolute;left:4379;top:7823;width:718;height:2" coordorigin="4379,7823" coordsize="718,0" path="m4379,7823l5096,7823e" filled="false" stroked="true" strokeweight=".48001pt" strokecolor="#000000">
                <v:path arrowok="t"/>
              </v:shape>
            </v:group>
            <v:group style="position:absolute;left:6006;top:7830;width:889;height:156" coordorigin="6006,7830" coordsize="889,156">
              <v:shape style="position:absolute;left:6006;top:7830;width:889;height:156" coordorigin="6006,7830" coordsize="889,156" path="m6006,7986l6894,7986,6894,7830,6006,7830,6006,7986xe" filled="true" fillcolor="#d2d2d2" stroked="false">
                <v:path arrowok="t"/>
                <v:fill type="solid"/>
              </v:shape>
            </v:group>
            <v:group style="position:absolute;left:6017;top:7986;width:2;height:392" coordorigin="6017,7986" coordsize="2,392">
              <v:shape style="position:absolute;left:6017;top:7986;width:2;height:392" coordorigin="6017,7986" coordsize="0,392" path="m6017,7986l6017,8377e" filled="false" stroked="true" strokeweight="1.08pt" strokecolor="#d2d2d2">
                <v:path arrowok="t"/>
              </v:shape>
            </v:group>
            <v:group style="position:absolute;left:6882;top:7986;width:2;height:392" coordorigin="6882,7986" coordsize="2,392">
              <v:shape style="position:absolute;left:6882;top:7986;width:2;height:392" coordorigin="6882,7986" coordsize="0,392" path="m6882,7986l6882,8377e" filled="false" stroked="true" strokeweight="1.2pt" strokecolor="#d2d2d2">
                <v:path arrowok="t"/>
              </v:shape>
            </v:group>
            <v:group style="position:absolute;left:6006;top:8377;width:889;height:156" coordorigin="6006,8377" coordsize="889,156">
              <v:shape style="position:absolute;left:6006;top:8377;width:889;height:156" coordorigin="6006,8377" coordsize="889,156" path="m6006,8533l6894,8533,6894,8377,6006,8377,6006,8533xe" filled="true" fillcolor="#d2d2d2" stroked="false">
                <v:path arrowok="t"/>
                <v:fill type="solid"/>
              </v:shape>
            </v:group>
            <v:group style="position:absolute;left:6027;top:7986;width:843;height:392" coordorigin="6027,7986" coordsize="843,392">
              <v:shape style="position:absolute;left:6027;top:7986;width:843;height:392" coordorigin="6027,7986" coordsize="843,392" path="m6027,8377l6870,8377,6870,7986,6027,7986,6027,8377xe" filled="true" fillcolor="#d2d2d2" stroked="false">
                <v:path arrowok="t"/>
                <v:fill type="solid"/>
              </v:shape>
            </v:group>
            <v:group style="position:absolute;left:6904;top:7830;width:718;height:156" coordorigin="6904,7830" coordsize="718,156">
              <v:shape style="position:absolute;left:6904;top:7830;width:718;height:156" coordorigin="6904,7830" coordsize="718,156" path="m6904,7986l7621,7986,7621,7830,6904,7830,6904,7986xe" filled="true" fillcolor="#d2d2d2" stroked="false">
                <v:path arrowok="t"/>
                <v:fill type="solid"/>
              </v:shape>
            </v:group>
            <v:group style="position:absolute;left:6915;top:7986;width:2;height:392" coordorigin="6915,7986" coordsize="2,392">
              <v:shape style="position:absolute;left:6915;top:7986;width:2;height:392" coordorigin="6915,7986" coordsize="0,392" path="m6915,7986l6915,8377e" filled="false" stroked="true" strokeweight="1.08pt" strokecolor="#d2d2d2">
                <v:path arrowok="t"/>
              </v:shape>
            </v:group>
            <v:group style="position:absolute;left:7609;top:7986;width:2;height:392" coordorigin="7609,7986" coordsize="2,392">
              <v:shape style="position:absolute;left:7609;top:7986;width:2;height:392" coordorigin="7609,7986" coordsize="0,392" path="m7609,7986l7609,8377e" filled="false" stroked="true" strokeweight="1.2pt" strokecolor="#d2d2d2">
                <v:path arrowok="t"/>
              </v:shape>
            </v:group>
            <v:group style="position:absolute;left:6904;top:8377;width:718;height:156" coordorigin="6904,8377" coordsize="718,156">
              <v:shape style="position:absolute;left:6904;top:8377;width:718;height:156" coordorigin="6904,8377" coordsize="718,156" path="m6904,8533l7621,8533,7621,8377,6904,8377,6904,8533xe" filled="true" fillcolor="#d2d2d2" stroked="false">
                <v:path arrowok="t"/>
                <v:fill type="solid"/>
              </v:shape>
            </v:group>
            <v:group style="position:absolute;left:6925;top:7986;width:672;height:392" coordorigin="6925,7986" coordsize="672,392">
              <v:shape style="position:absolute;left:6925;top:7986;width:672;height:392" coordorigin="6925,7986" coordsize="672,392" path="m6925,8377l7597,8377,7597,7986,6925,7986,6925,8377xe" filled="true" fillcolor="#d2d2d2" stroked="false">
                <v:path arrowok="t"/>
                <v:fill type="solid"/>
              </v:shape>
            </v:group>
            <v:group style="position:absolute;left:5106;top:7823;width:888;height:2" coordorigin="5106,7823" coordsize="888,2">
              <v:shape style="position:absolute;left:5106;top:7823;width:888;height:2" coordorigin="5106,7823" coordsize="888,0" path="m5106,7823l5994,7823e" filled="false" stroked="true" strokeweight=".48001pt" strokecolor="#000000">
                <v:path arrowok="t"/>
              </v:shape>
            </v:group>
            <v:group style="position:absolute;left:6003;top:7823;width:889;height:2" coordorigin="6003,7823" coordsize="889,2">
              <v:shape style="position:absolute;left:6003;top:7823;width:889;height:2" coordorigin="6003,7823" coordsize="889,0" path="m6003,7823l6892,7823e" filled="false" stroked="true" strokeweight=".48001pt" strokecolor="#000000">
                <v:path arrowok="t"/>
              </v:shape>
            </v:group>
            <v:group style="position:absolute;left:6901;top:7823;width:718;height:2" coordorigin="6901,7823" coordsize="718,2">
              <v:shape style="position:absolute;left:6901;top:7823;width:718;height:2" coordorigin="6901,7823" coordsize="718,0" path="m6901,7823l7619,7823e" filled="false" stroked="true" strokeweight=".48001pt" strokecolor="#000000">
                <v:path arrowok="t"/>
              </v:shape>
            </v:group>
            <v:group style="position:absolute;left:7629;top:7823;width:718;height:2" coordorigin="7629,7823" coordsize="718,2">
              <v:shape style="position:absolute;left:7629;top:7823;width:718;height:2" coordorigin="7629,7823" coordsize="718,0" path="m7629,7823l8346,7823e" filled="false" stroked="true" strokeweight=".48001pt" strokecolor="#000000">
                <v:path arrowok="t"/>
              </v:shape>
            </v:group>
            <v:group style="position:absolute;left:9256;top:7830;width:718;height:156" coordorigin="9256,7830" coordsize="718,156">
              <v:shape style="position:absolute;left:9256;top:7830;width:718;height:156" coordorigin="9256,7830" coordsize="718,156" path="m9256,7986l9974,7986,9974,7830,9256,7830,9256,7986xe" filled="true" fillcolor="#d2d2d2" stroked="false">
                <v:path arrowok="t"/>
                <v:fill type="solid"/>
              </v:shape>
            </v:group>
            <v:group style="position:absolute;left:9267;top:7986;width:2;height:392" coordorigin="9267,7986" coordsize="2,392">
              <v:shape style="position:absolute;left:9267;top:7986;width:2;height:392" coordorigin="9267,7986" coordsize="0,392" path="m9267,7986l9267,8377e" filled="false" stroked="true" strokeweight="1.08pt" strokecolor="#d2d2d2">
                <v:path arrowok="t"/>
              </v:shape>
            </v:group>
            <v:group style="position:absolute;left:9962;top:7986;width:2;height:392" coordorigin="9962,7986" coordsize="2,392">
              <v:shape style="position:absolute;left:9962;top:7986;width:2;height:392" coordorigin="9962,7986" coordsize="0,392" path="m9962,7986l9962,8377e" filled="false" stroked="true" strokeweight="1.2pt" strokecolor="#d2d2d2">
                <v:path arrowok="t"/>
              </v:shape>
            </v:group>
            <v:group style="position:absolute;left:9256;top:8377;width:718;height:156" coordorigin="9256,8377" coordsize="718,156">
              <v:shape style="position:absolute;left:9256;top:8377;width:718;height:156" coordorigin="9256,8377" coordsize="718,156" path="m9256,8533l9974,8533,9974,8377,9256,8377,9256,8533xe" filled="true" fillcolor="#d2d2d2" stroked="false">
                <v:path arrowok="t"/>
                <v:fill type="solid"/>
              </v:shape>
            </v:group>
            <v:group style="position:absolute;left:9278;top:7986;width:672;height:392" coordorigin="9278,7986" coordsize="672,392">
              <v:shape style="position:absolute;left:9278;top:7986;width:672;height:392" coordorigin="9278,7986" coordsize="672,392" path="m9278,8377l9950,8377,9950,7986,9278,7986,9278,8377xe" filled="true" fillcolor="#d2d2d2" stroked="false">
                <v:path arrowok="t"/>
                <v:fill type="solid"/>
              </v:shape>
            </v:group>
            <v:group style="position:absolute;left:9984;top:7830;width:718;height:156" coordorigin="9984,7830" coordsize="718,156">
              <v:shape style="position:absolute;left:9984;top:7830;width:718;height:156" coordorigin="9984,7830" coordsize="718,156" path="m9984,7986l10701,7986,10701,7830,9984,7830,9984,7986xe" filled="true" fillcolor="#d2d2d2" stroked="false">
                <v:path arrowok="t"/>
                <v:fill type="solid"/>
              </v:shape>
            </v:group>
            <v:group style="position:absolute;left:9994;top:7986;width:2;height:392" coordorigin="9994,7986" coordsize="2,392">
              <v:shape style="position:absolute;left:9994;top:7986;width:2;height:392" coordorigin="9994,7986" coordsize="0,392" path="m9994,7986l9994,8377e" filled="false" stroked="true" strokeweight="1.08pt" strokecolor="#d2d2d2">
                <v:path arrowok="t"/>
              </v:shape>
            </v:group>
            <v:group style="position:absolute;left:10689;top:7986;width:2;height:392" coordorigin="10689,7986" coordsize="2,392">
              <v:shape style="position:absolute;left:10689;top:7986;width:2;height:392" coordorigin="10689,7986" coordsize="0,392" path="m10689,7986l10689,8377e" filled="false" stroked="true" strokeweight="1.2pt" strokecolor="#d2d2d2">
                <v:path arrowok="t"/>
              </v:shape>
            </v:group>
            <v:group style="position:absolute;left:9984;top:8377;width:718;height:156" coordorigin="9984,8377" coordsize="718,156">
              <v:shape style="position:absolute;left:9984;top:8377;width:718;height:156" coordorigin="9984,8377" coordsize="718,156" path="m9984,8533l10701,8533,10701,8377,9984,8377,9984,8533xe" filled="true" fillcolor="#d2d2d2" stroked="false">
                <v:path arrowok="t"/>
                <v:fill type="solid"/>
              </v:shape>
            </v:group>
            <v:group style="position:absolute;left:10005;top:7986;width:672;height:392" coordorigin="10005,7986" coordsize="672,392">
              <v:shape style="position:absolute;left:10005;top:7986;width:672;height:392" coordorigin="10005,7986" coordsize="672,392" path="m10005,8377l10677,8377,10677,7986,10005,7986,10005,8377xe" filled="true" fillcolor="#d2d2d2" stroked="false">
                <v:path arrowok="t"/>
                <v:fill type="solid"/>
              </v:shape>
            </v:group>
            <v:group style="position:absolute;left:8356;top:7823;width:889;height:2" coordorigin="8356,7823" coordsize="889,2">
              <v:shape style="position:absolute;left:8356;top:7823;width:889;height:2" coordorigin="8356,7823" coordsize="889,0" path="m8356,7823l9244,7823e" filled="false" stroked="true" strokeweight=".48001pt" strokecolor="#000000">
                <v:path arrowok="t"/>
              </v:shape>
            </v:group>
            <v:group style="position:absolute;left:9254;top:7823;width:718;height:2" coordorigin="9254,7823" coordsize="718,2">
              <v:shape style="position:absolute;left:9254;top:7823;width:718;height:2" coordorigin="9254,7823" coordsize="718,0" path="m9254,7823l9972,7823e" filled="false" stroked="true" strokeweight=".48001pt" strokecolor="#000000">
                <v:path arrowok="t"/>
              </v:shape>
            </v:group>
            <v:group style="position:absolute;left:9981;top:7823;width:718;height:2" coordorigin="9981,7823" coordsize="718,2">
              <v:shape style="position:absolute;left:9981;top:7823;width:718;height:2" coordorigin="9981,7823" coordsize="718,0" path="m9981,7823l10699,7823e" filled="false" stroked="true" strokeweight=".48001pt" strokecolor="#000000">
                <v:path arrowok="t"/>
              </v:shape>
            </v:group>
            <v:group style="position:absolute;left:1985;top:1440;width:2;height:7103" coordorigin="1985,1440" coordsize="2,7103">
              <v:shape style="position:absolute;left:1985;top:1440;width:2;height:7103" coordorigin="1985,1440" coordsize="0,7103" path="m1985,1440l1985,8543e" filled="false" stroked="true" strokeweight=".48pt" strokecolor="#000000">
                <v:path arrowok="t"/>
              </v:shape>
            </v:group>
            <v:group style="position:absolute;left:2693;top:1440;width:2;height:7103" coordorigin="2693,1440" coordsize="2,7103">
              <v:shape style="position:absolute;left:2693;top:1440;width:2;height:7103" coordorigin="2693,1440" coordsize="0,7103" path="m2693,1440l2693,8543e" filled="false" stroked="true" strokeweight=".48001pt" strokecolor="#000000">
                <v:path arrowok="t"/>
              </v:shape>
            </v:group>
            <v:group style="position:absolute;left:3478;top:1440;width:2;height:7103" coordorigin="3478,1440" coordsize="2,7103">
              <v:shape style="position:absolute;left:3478;top:1440;width:2;height:7103" coordorigin="3478,1440" coordsize="0,7103" path="m3478,1440l3478,8543e" filled="false" stroked="true" strokeweight=".48pt" strokecolor="#000000">
                <v:path arrowok="t"/>
              </v:shape>
            </v:group>
            <v:group style="position:absolute;left:4374;top:1440;width:2;height:7103" coordorigin="4374,1440" coordsize="2,7103">
              <v:shape style="position:absolute;left:4374;top:1440;width:2;height:7103" coordorigin="4374,1440" coordsize="0,7103" path="m4374,1440l4374,8543e" filled="false" stroked="true" strokeweight=".48001pt" strokecolor="#000000">
                <v:path arrowok="t"/>
              </v:shape>
            </v:group>
            <v:group style="position:absolute;left:5101;top:1440;width:2;height:7103" coordorigin="5101,1440" coordsize="2,7103">
              <v:shape style="position:absolute;left:5101;top:1440;width:2;height:7103" coordorigin="5101,1440" coordsize="0,7103" path="m5101,1440l5101,8543e" filled="false" stroked="true" strokeweight=".48001pt" strokecolor="#000000">
                <v:path arrowok="t"/>
              </v:shape>
            </v:group>
            <v:group style="position:absolute;left:5999;top:1440;width:2;height:7103" coordorigin="5999,1440" coordsize="2,7103">
              <v:shape style="position:absolute;left:5999;top:1440;width:2;height:7103" coordorigin="5999,1440" coordsize="0,7103" path="m5999,1440l5999,8543e" filled="false" stroked="true" strokeweight=".48001pt" strokecolor="#000000">
                <v:path arrowok="t"/>
              </v:shape>
            </v:group>
            <v:group style="position:absolute;left:6897;top:1440;width:2;height:7103" coordorigin="6897,1440" coordsize="2,7103">
              <v:shape style="position:absolute;left:6897;top:1440;width:2;height:7103" coordorigin="6897,1440" coordsize="0,7103" path="m6897,1440l6897,8543e" filled="false" stroked="true" strokeweight=".47998pt" strokecolor="#000000">
                <v:path arrowok="t"/>
              </v:shape>
            </v:group>
            <v:group style="position:absolute;left:7624;top:1440;width:2;height:7103" coordorigin="7624,1440" coordsize="2,7103">
              <v:shape style="position:absolute;left:7624;top:1440;width:2;height:7103" coordorigin="7624,1440" coordsize="0,7103" path="m7624,1440l7624,8543e" filled="false" stroked="true" strokeweight=".48001pt" strokecolor="#000000">
                <v:path arrowok="t"/>
              </v:shape>
            </v:group>
            <v:group style="position:absolute;left:8351;top:1440;width:2;height:7103" coordorigin="8351,1440" coordsize="2,7103">
              <v:shape style="position:absolute;left:8351;top:1440;width:2;height:7103" coordorigin="8351,1440" coordsize="0,7103" path="m8351,1440l8351,8543e" filled="false" stroked="true" strokeweight=".47998pt" strokecolor="#000000">
                <v:path arrowok="t"/>
              </v:shape>
            </v:group>
            <v:group style="position:absolute;left:9249;top:1440;width:2;height:7103" coordorigin="9249,1440" coordsize="2,7103">
              <v:shape style="position:absolute;left:9249;top:1440;width:2;height:7103" coordorigin="9249,1440" coordsize="0,7103" path="m9249,1440l9249,8543e" filled="false" stroked="true" strokeweight=".48001pt" strokecolor="#000000">
                <v:path arrowok="t"/>
              </v:shape>
            </v:group>
            <v:group style="position:absolute;left:9976;top:1440;width:2;height:7103" coordorigin="9976,1440" coordsize="2,7103">
              <v:shape style="position:absolute;left:9976;top:1440;width:2;height:7103" coordorigin="9976,1440" coordsize="0,7103" path="m9976,1440l9976,8543e" filled="false" stroked="true" strokeweight=".47998pt" strokecolor="#000000">
                <v:path arrowok="t"/>
              </v:shape>
            </v:group>
            <v:group style="position:absolute;left:1151;top:8543;width:2;height:392" coordorigin="1151,8543" coordsize="2,392">
              <v:shape style="position:absolute;left:1151;top:8543;width:2;height:392" coordorigin="1151,8543" coordsize="0,392" path="m1151,8543l1151,8934e" filled="false" stroked="true" strokeweight="1.08pt" strokecolor="#d2d2d2">
                <v:path arrowok="t"/>
              </v:shape>
            </v:group>
            <v:group style="position:absolute;left:10688;top:8543;width:2;height:392" coordorigin="10688,8543" coordsize="2,392">
              <v:shape style="position:absolute;left:10688;top:8543;width:2;height:392" coordorigin="10688,8543" coordsize="0,392" path="m10688,8543l10688,8934e" filled="false" stroked="true" strokeweight="1.08pt" strokecolor="#d2d2d2">
                <v:path arrowok="t"/>
              </v:shape>
            </v:group>
            <v:group style="position:absolute;left:1162;top:8543;width:9516;height:392" coordorigin="1162,8543" coordsize="9516,392">
              <v:shape style="position:absolute;left:1162;top:8543;width:9516;height:392" coordorigin="1162,8543" coordsize="9516,392" path="m1162,8934l10677,8934,10677,8543,1162,8543,1162,8934xe" filled="true" fillcolor="#d2d2d2" stroked="false">
                <v:path arrowok="t"/>
                <v:fill type="solid"/>
              </v:shape>
            </v:group>
            <v:group style="position:absolute;left:1138;top:8538;width:843;height:2" coordorigin="1138,8538" coordsize="843,2">
              <v:shape style="position:absolute;left:1138;top:8538;width:843;height:2" coordorigin="1138,8538" coordsize="843,0" path="m1138,8538l1980,8538e" filled="false" stroked="true" strokeweight=".47998pt" strokecolor="#000000">
                <v:path arrowok="t"/>
              </v:shape>
            </v:group>
            <v:group style="position:absolute;left:1990;top:8538;width:699;height:2" coordorigin="1990,8538" coordsize="699,2">
              <v:shape style="position:absolute;left:1990;top:8538;width:699;height:2" coordorigin="1990,8538" coordsize="699,0" path="m1990,8538l2688,8538e" filled="false" stroked="true" strokeweight=".47998pt" strokecolor="#000000">
                <v:path arrowok="t"/>
              </v:shape>
            </v:group>
            <v:group style="position:absolute;left:2698;top:8538;width:776;height:2" coordorigin="2698,8538" coordsize="776,2">
              <v:shape style="position:absolute;left:2698;top:8538;width:776;height:2" coordorigin="2698,8538" coordsize="776,0" path="m2698,8538l3473,8538e" filled="false" stroked="true" strokeweight=".47998pt" strokecolor="#000000">
                <v:path arrowok="t"/>
              </v:shape>
            </v:group>
            <v:group style="position:absolute;left:3483;top:8538;width:887;height:2" coordorigin="3483,8538" coordsize="887,2">
              <v:shape style="position:absolute;left:3483;top:8538;width:887;height:2" coordorigin="3483,8538" coordsize="887,0" path="m3483,8538l4369,8538e" filled="false" stroked="true" strokeweight=".47998pt" strokecolor="#000000">
                <v:path arrowok="t"/>
              </v:shape>
            </v:group>
            <v:group style="position:absolute;left:4379;top:8538;width:718;height:2" coordorigin="4379,8538" coordsize="718,2">
              <v:shape style="position:absolute;left:4379;top:8538;width:718;height:2" coordorigin="4379,8538" coordsize="718,0" path="m4379,8538l5096,8538e" filled="false" stroked="true" strokeweight=".47998pt" strokecolor="#000000">
                <v:path arrowok="t"/>
              </v:shape>
            </v:group>
            <v:group style="position:absolute;left:5106;top:8538;width:888;height:2" coordorigin="5106,8538" coordsize="888,2">
              <v:shape style="position:absolute;left:5106;top:8538;width:888;height:2" coordorigin="5106,8538" coordsize="888,0" path="m5106,8538l5994,8538e" filled="false" stroked="true" strokeweight=".47998pt" strokecolor="#000000">
                <v:path arrowok="t"/>
              </v:shape>
            </v:group>
            <v:group style="position:absolute;left:6003;top:8538;width:889;height:2" coordorigin="6003,8538" coordsize="889,2">
              <v:shape style="position:absolute;left:6003;top:8538;width:889;height:2" coordorigin="6003,8538" coordsize="889,0" path="m6003,8538l6892,8538e" filled="false" stroked="true" strokeweight=".47998pt" strokecolor="#000000">
                <v:path arrowok="t"/>
              </v:shape>
            </v:group>
            <v:group style="position:absolute;left:6901;top:8538;width:718;height:2" coordorigin="6901,8538" coordsize="718,2">
              <v:shape style="position:absolute;left:6901;top:8538;width:718;height:2" coordorigin="6901,8538" coordsize="718,0" path="m6901,8538l7619,8538e" filled="false" stroked="true" strokeweight=".47998pt" strokecolor="#000000">
                <v:path arrowok="t"/>
              </v:shape>
            </v:group>
            <v:group style="position:absolute;left:7629;top:8538;width:718;height:2" coordorigin="7629,8538" coordsize="718,2">
              <v:shape style="position:absolute;left:7629;top:8538;width:718;height:2" coordorigin="7629,8538" coordsize="718,0" path="m7629,8538l8346,8538e" filled="false" stroked="true" strokeweight=".47998pt" strokecolor="#000000">
                <v:path arrowok="t"/>
              </v:shape>
            </v:group>
            <v:group style="position:absolute;left:8356;top:8538;width:889;height:2" coordorigin="8356,8538" coordsize="889,2">
              <v:shape style="position:absolute;left:8356;top:8538;width:889;height:2" coordorigin="8356,8538" coordsize="889,0" path="m8356,8538l9244,8538e" filled="false" stroked="true" strokeweight=".47998pt" strokecolor="#000000">
                <v:path arrowok="t"/>
              </v:shape>
            </v:group>
            <v:group style="position:absolute;left:9254;top:8538;width:718;height:2" coordorigin="9254,8538" coordsize="718,2">
              <v:shape style="position:absolute;left:9254;top:8538;width:718;height:2" coordorigin="9254,8538" coordsize="718,0" path="m9254,8538l9972,8538e" filled="false" stroked="true" strokeweight=".47998pt" strokecolor="#000000">
                <v:path arrowok="t"/>
              </v:shape>
            </v:group>
            <v:group style="position:absolute;left:9981;top:8538;width:718;height:2" coordorigin="9981,8538" coordsize="718,2">
              <v:shape style="position:absolute;left:9981;top:8538;width:718;height:2" coordorigin="9981,8538" coordsize="718,0" path="m9981,8538l10699,8538e" filled="false" stroked="true" strokeweight=".47998pt" strokecolor="#000000">
                <v:path arrowok="t"/>
              </v:shape>
            </v:group>
            <v:group style="position:absolute;left:1138;top:8939;width:843;height:2" coordorigin="1138,8939" coordsize="843,2">
              <v:shape style="position:absolute;left:1138;top:8939;width:843;height:2" coordorigin="1138,8939" coordsize="843,0" path="m1138,8939l1980,8939e" filled="false" stroked="true" strokeweight=".48001pt" strokecolor="#000000">
                <v:path arrowok="t"/>
              </v:shape>
            </v:group>
            <v:group style="position:absolute;left:1990;top:8939;width:699;height:2" coordorigin="1990,8939" coordsize="699,2">
              <v:shape style="position:absolute;left:1990;top:8939;width:699;height:2" coordorigin="1990,8939" coordsize="699,0" path="m1990,8939l2688,8939e" filled="false" stroked="true" strokeweight=".48001pt" strokecolor="#000000">
                <v:path arrowok="t"/>
              </v:shape>
            </v:group>
            <v:group style="position:absolute;left:2698;top:8939;width:776;height:2" coordorigin="2698,8939" coordsize="776,2">
              <v:shape style="position:absolute;left:2698;top:8939;width:776;height:2" coordorigin="2698,8939" coordsize="776,0" path="m2698,8939l3473,8939e" filled="false" stroked="true" strokeweight=".48001pt" strokecolor="#000000">
                <v:path arrowok="t"/>
              </v:shape>
            </v:group>
            <v:group style="position:absolute;left:3483;top:8939;width:887;height:2" coordorigin="3483,8939" coordsize="887,2">
              <v:shape style="position:absolute;left:3483;top:8939;width:887;height:2" coordorigin="3483,8939" coordsize="887,0" path="m3483,8939l4369,8939e" filled="false" stroked="true" strokeweight=".48001pt" strokecolor="#000000">
                <v:path arrowok="t"/>
              </v:shape>
            </v:group>
            <v:group style="position:absolute;left:4379;top:8939;width:718;height:2" coordorigin="4379,8939" coordsize="718,2">
              <v:shape style="position:absolute;left:4379;top:8939;width:718;height:2" coordorigin="4379,8939" coordsize="718,0" path="m4379,8939l5096,8939e" filled="false" stroked="true" strokeweight=".48001pt" strokecolor="#000000">
                <v:path arrowok="t"/>
              </v:shape>
            </v:group>
            <v:group style="position:absolute;left:5106;top:8939;width:888;height:2" coordorigin="5106,8939" coordsize="888,2">
              <v:shape style="position:absolute;left:5106;top:8939;width:888;height:2" coordorigin="5106,8939" coordsize="888,0" path="m5106,8939l5994,8939e" filled="false" stroked="true" strokeweight=".48001pt" strokecolor="#000000">
                <v:path arrowok="t"/>
              </v:shape>
            </v:group>
            <v:group style="position:absolute;left:6003;top:8939;width:889;height:2" coordorigin="6003,8939" coordsize="889,2">
              <v:shape style="position:absolute;left:6003;top:8939;width:889;height:2" coordorigin="6003,8939" coordsize="889,0" path="m6003,8939l6892,8939e" filled="false" stroked="true" strokeweight=".48001pt" strokecolor="#000000">
                <v:path arrowok="t"/>
              </v:shape>
            </v:group>
            <v:group style="position:absolute;left:6901;top:8939;width:718;height:2" coordorigin="6901,8939" coordsize="718,2">
              <v:shape style="position:absolute;left:6901;top:8939;width:718;height:2" coordorigin="6901,8939" coordsize="718,0" path="m6901,8939l7619,8939e" filled="false" stroked="true" strokeweight=".48001pt" strokecolor="#000000">
                <v:path arrowok="t"/>
              </v:shape>
            </v:group>
            <v:group style="position:absolute;left:7629;top:8939;width:718;height:2" coordorigin="7629,8939" coordsize="718,2">
              <v:shape style="position:absolute;left:7629;top:8939;width:718;height:2" coordorigin="7629,8939" coordsize="718,0" path="m7629,8939l8346,8939e" filled="false" stroked="true" strokeweight=".48001pt" strokecolor="#000000">
                <v:path arrowok="t"/>
              </v:shape>
            </v:group>
            <v:group style="position:absolute;left:8356;top:8939;width:889;height:2" coordorigin="8356,8939" coordsize="889,2">
              <v:shape style="position:absolute;left:8356;top:8939;width:889;height:2" coordorigin="8356,8939" coordsize="889,0" path="m8356,8939l9244,8939e" filled="false" stroked="true" strokeweight=".48001pt" strokecolor="#000000">
                <v:path arrowok="t"/>
              </v:shape>
            </v:group>
            <v:group style="position:absolute;left:9254;top:8939;width:718;height:2" coordorigin="9254,8939" coordsize="718,2">
              <v:shape style="position:absolute;left:9254;top:8939;width:718;height:2" coordorigin="9254,8939" coordsize="718,0" path="m9254,8939l9972,8939e" filled="false" stroked="true" strokeweight=".48001pt" strokecolor="#000000">
                <v:path arrowok="t"/>
              </v:shape>
            </v:group>
            <v:group style="position:absolute;left:9981;top:8939;width:718;height:2" coordorigin="9981,8939" coordsize="718,2">
              <v:shape style="position:absolute;left:9981;top:8939;width:718;height:2" coordorigin="9981,8939" coordsize="718,0" path="m9981,8939l10699,8939e" filled="false" stroked="true" strokeweight=".48001pt" strokecolor="#000000">
                <v:path arrowok="t"/>
              </v:shape>
            </v:group>
            <v:group style="position:absolute;left:1151;top:9347;width:2;height:392" coordorigin="1151,9347" coordsize="2,392">
              <v:shape style="position:absolute;left:1151;top:9347;width:2;height:392" coordorigin="1151,9347" coordsize="0,392" path="m1151,9347l1151,9738e" filled="false" stroked="true" strokeweight="1.08pt" strokecolor="#d2d2d2">
                <v:path arrowok="t"/>
              </v:shape>
            </v:group>
            <v:group style="position:absolute;left:1968;top:9347;width:2;height:392" coordorigin="1968,9347" coordsize="2,392">
              <v:shape style="position:absolute;left:1968;top:9347;width:2;height:392" coordorigin="1968,9347" coordsize="0,392" path="m1968,9347l1968,9738e" filled="false" stroked="true" strokeweight="1.2pt" strokecolor="#d2d2d2">
                <v:path arrowok="t"/>
              </v:shape>
            </v:group>
            <v:group style="position:absolute;left:1162;top:9347;width:795;height:392" coordorigin="1162,9347" coordsize="795,392">
              <v:shape style="position:absolute;left:1162;top:9347;width:795;height:392" coordorigin="1162,9347" coordsize="795,392" path="m1162,9738l1956,9738,1956,9347,1162,9347,1162,9738xe" filled="true" fillcolor="#d2d2d2" stroked="false">
                <v:path arrowok="t"/>
                <v:fill type="solid"/>
              </v:shape>
            </v:group>
            <v:group style="position:absolute;left:2002;top:9347;width:2;height:392" coordorigin="2002,9347" coordsize="2,392">
              <v:shape style="position:absolute;left:2002;top:9347;width:2;height:392" coordorigin="2002,9347" coordsize="0,392" path="m2002,9347l2002,9738e" filled="false" stroked="true" strokeweight="1.2pt" strokecolor="#d2d2d2">
                <v:path arrowok="t"/>
              </v:shape>
            </v:group>
            <v:group style="position:absolute;left:2678;top:9347;width:2;height:392" coordorigin="2678,9347" coordsize="2,392">
              <v:shape style="position:absolute;left:2678;top:9347;width:2;height:392" coordorigin="2678,9347" coordsize="0,392" path="m2678,9347l2678,9738e" filled="false" stroked="true" strokeweight="1.08pt" strokecolor="#d2d2d2">
                <v:path arrowok="t"/>
              </v:shape>
            </v:group>
            <v:group style="position:absolute;left:2014;top:9347;width:653;height:392" coordorigin="2014,9347" coordsize="653,392">
              <v:shape style="position:absolute;left:2014;top:9347;width:653;height:392" coordorigin="2014,9347" coordsize="653,392" path="m2014,9738l2667,9738,2667,9347,2014,9347,2014,9738xe" filled="true" fillcolor="#d2d2d2" stroked="false">
                <v:path arrowok="t"/>
                <v:fill type="solid"/>
              </v:shape>
            </v:group>
            <v:group style="position:absolute;left:1138;top:9342;width:843;height:2" coordorigin="1138,9342" coordsize="843,2">
              <v:shape style="position:absolute;left:1138;top:9342;width:843;height:2" coordorigin="1138,9342" coordsize="843,0" path="m1138,9342l1980,9342e" filled="false" stroked="true" strokeweight=".47998pt" strokecolor="#000000">
                <v:path arrowok="t"/>
              </v:shape>
            </v:group>
            <v:group style="position:absolute;left:1990;top:9342;width:699;height:2" coordorigin="1990,9342" coordsize="699,2">
              <v:shape style="position:absolute;left:1990;top:9342;width:699;height:2" coordorigin="1990,9342" coordsize="699,0" path="m1990,9342l2688,9342e" filled="false" stroked="true" strokeweight=".47998pt" strokecolor="#000000">
                <v:path arrowok="t"/>
              </v:shape>
            </v:group>
            <v:group style="position:absolute;left:2698;top:9342;width:776;height:2" coordorigin="2698,9342" coordsize="776,2">
              <v:shape style="position:absolute;left:2698;top:9342;width:776;height:2" coordorigin="2698,9342" coordsize="776,0" path="m2698,9342l3473,9342e" filled="false" stroked="true" strokeweight=".47998pt" strokecolor="#000000">
                <v:path arrowok="t"/>
              </v:shape>
            </v:group>
            <v:group style="position:absolute;left:3483;top:9342;width:887;height:2" coordorigin="3483,9342" coordsize="887,2">
              <v:shape style="position:absolute;left:3483;top:9342;width:887;height:2" coordorigin="3483,9342" coordsize="887,0" path="m3483,9342l4369,9342e" filled="false" stroked="true" strokeweight=".47998pt" strokecolor="#000000">
                <v:path arrowok="t"/>
              </v:shape>
            </v:group>
            <v:group style="position:absolute;left:4379;top:9342;width:718;height:2" coordorigin="4379,9342" coordsize="718,2">
              <v:shape style="position:absolute;left:4379;top:9342;width:718;height:2" coordorigin="4379,9342" coordsize="718,0" path="m4379,9342l5096,9342e" filled="false" stroked="true" strokeweight=".47998pt" strokecolor="#000000">
                <v:path arrowok="t"/>
              </v:shape>
            </v:group>
            <v:group style="position:absolute;left:6017;top:9347;width:2;height:392" coordorigin="6017,9347" coordsize="2,392">
              <v:shape style="position:absolute;left:6017;top:9347;width:2;height:392" coordorigin="6017,9347" coordsize="0,392" path="m6017,9347l6017,9738e" filled="false" stroked="true" strokeweight="1.08pt" strokecolor="#d2d2d2">
                <v:path arrowok="t"/>
              </v:shape>
            </v:group>
            <v:group style="position:absolute;left:6882;top:9347;width:2;height:392" coordorigin="6882,9347" coordsize="2,392">
              <v:shape style="position:absolute;left:6882;top:9347;width:2;height:392" coordorigin="6882,9347" coordsize="0,392" path="m6882,9347l6882,9738e" filled="false" stroked="true" strokeweight="1.2pt" strokecolor="#d2d2d2">
                <v:path arrowok="t"/>
              </v:shape>
            </v:group>
            <v:group style="position:absolute;left:6027;top:9347;width:843;height:392" coordorigin="6027,9347" coordsize="843,392">
              <v:shape style="position:absolute;left:6027;top:9347;width:843;height:392" coordorigin="6027,9347" coordsize="843,392" path="m6027,9738l6870,9738,6870,9347,6027,9347,6027,9738xe" filled="true" fillcolor="#d2d2d2" stroked="false">
                <v:path arrowok="t"/>
                <v:fill type="solid"/>
              </v:shape>
            </v:group>
            <v:group style="position:absolute;left:6915;top:9347;width:2;height:392" coordorigin="6915,9347" coordsize="2,392">
              <v:shape style="position:absolute;left:6915;top:9347;width:2;height:392" coordorigin="6915,9347" coordsize="0,392" path="m6915,9347l6915,9738e" filled="false" stroked="true" strokeweight="1.08pt" strokecolor="#d2d2d2">
                <v:path arrowok="t"/>
              </v:shape>
            </v:group>
            <v:group style="position:absolute;left:7609;top:9347;width:2;height:392" coordorigin="7609,9347" coordsize="2,392">
              <v:shape style="position:absolute;left:7609;top:9347;width:2;height:392" coordorigin="7609,9347" coordsize="0,392" path="m7609,9347l7609,9738e" filled="false" stroked="true" strokeweight="1.2pt" strokecolor="#d2d2d2">
                <v:path arrowok="t"/>
              </v:shape>
            </v:group>
            <v:group style="position:absolute;left:6925;top:9347;width:672;height:392" coordorigin="6925,9347" coordsize="672,392">
              <v:shape style="position:absolute;left:6925;top:9347;width:672;height:392" coordorigin="6925,9347" coordsize="672,392" path="m6925,9738l7597,9738,7597,9347,6925,9347,6925,9738xe" filled="true" fillcolor="#d2d2d2" stroked="false">
                <v:path arrowok="t"/>
                <v:fill type="solid"/>
              </v:shape>
            </v:group>
            <v:group style="position:absolute;left:5106;top:9342;width:888;height:2" coordorigin="5106,9342" coordsize="888,2">
              <v:shape style="position:absolute;left:5106;top:9342;width:888;height:2" coordorigin="5106,9342" coordsize="888,0" path="m5106,9342l5994,9342e" filled="false" stroked="true" strokeweight=".47998pt" strokecolor="#000000">
                <v:path arrowok="t"/>
              </v:shape>
            </v:group>
            <v:group style="position:absolute;left:6003;top:9342;width:889;height:2" coordorigin="6003,9342" coordsize="889,2">
              <v:shape style="position:absolute;left:6003;top:9342;width:889;height:2" coordorigin="6003,9342" coordsize="889,0" path="m6003,9342l6892,9342e" filled="false" stroked="true" strokeweight=".47998pt" strokecolor="#000000">
                <v:path arrowok="t"/>
              </v:shape>
            </v:group>
            <v:group style="position:absolute;left:6901;top:9342;width:718;height:2" coordorigin="6901,9342" coordsize="718,2">
              <v:shape style="position:absolute;left:6901;top:9342;width:718;height:2" coordorigin="6901,9342" coordsize="718,0" path="m6901,9342l7619,9342e" filled="false" stroked="true" strokeweight=".47998pt" strokecolor="#000000">
                <v:path arrowok="t"/>
              </v:shape>
            </v:group>
            <v:group style="position:absolute;left:7629;top:9342;width:718;height:2" coordorigin="7629,9342" coordsize="718,2">
              <v:shape style="position:absolute;left:7629;top:9342;width:718;height:2" coordorigin="7629,9342" coordsize="718,0" path="m7629,9342l8346,9342e" filled="false" stroked="true" strokeweight=".47998pt" strokecolor="#000000">
                <v:path arrowok="t"/>
              </v:shape>
            </v:group>
            <v:group style="position:absolute;left:9267;top:9347;width:2;height:392" coordorigin="9267,9347" coordsize="2,392">
              <v:shape style="position:absolute;left:9267;top:9347;width:2;height:392" coordorigin="9267,9347" coordsize="0,392" path="m9267,9347l9267,9738e" filled="false" stroked="true" strokeweight="1.08pt" strokecolor="#d2d2d2">
                <v:path arrowok="t"/>
              </v:shape>
            </v:group>
            <v:group style="position:absolute;left:9962;top:9347;width:2;height:392" coordorigin="9962,9347" coordsize="2,392">
              <v:shape style="position:absolute;left:9962;top:9347;width:2;height:392" coordorigin="9962,9347" coordsize="0,392" path="m9962,9347l9962,9738e" filled="false" stroked="true" strokeweight="1.2pt" strokecolor="#d2d2d2">
                <v:path arrowok="t"/>
              </v:shape>
            </v:group>
            <v:group style="position:absolute;left:9278;top:9347;width:672;height:392" coordorigin="9278,9347" coordsize="672,392">
              <v:shape style="position:absolute;left:9278;top:9347;width:672;height:392" coordorigin="9278,9347" coordsize="672,392" path="m9278,9738l9950,9738,9950,9347,9278,9347,9278,9738xe" filled="true" fillcolor="#d2d2d2" stroked="false">
                <v:path arrowok="t"/>
                <v:fill type="solid"/>
              </v:shape>
            </v:group>
            <v:group style="position:absolute;left:9994;top:9347;width:2;height:392" coordorigin="9994,9347" coordsize="2,392">
              <v:shape style="position:absolute;left:9994;top:9347;width:2;height:392" coordorigin="9994,9347" coordsize="0,392" path="m9994,9347l9994,9738e" filled="false" stroked="true" strokeweight="1.08pt" strokecolor="#d2d2d2">
                <v:path arrowok="t"/>
              </v:shape>
            </v:group>
            <v:group style="position:absolute;left:10689;top:9347;width:2;height:392" coordorigin="10689,9347" coordsize="2,392">
              <v:shape style="position:absolute;left:10689;top:9347;width:2;height:392" coordorigin="10689,9347" coordsize="0,392" path="m10689,9347l10689,9738e" filled="false" stroked="true" strokeweight="1.2pt" strokecolor="#d2d2d2">
                <v:path arrowok="t"/>
              </v:shape>
            </v:group>
            <v:group style="position:absolute;left:10005;top:9347;width:672;height:392" coordorigin="10005,9347" coordsize="672,392">
              <v:shape style="position:absolute;left:10005;top:9347;width:672;height:392" coordorigin="10005,9347" coordsize="672,392" path="m10005,9738l10677,9738,10677,9347,10005,9347,10005,9738xe" filled="true" fillcolor="#d2d2d2" stroked="false">
                <v:path arrowok="t"/>
                <v:fill type="solid"/>
              </v:shape>
            </v:group>
            <v:group style="position:absolute;left:8356;top:9342;width:889;height:2" coordorigin="8356,9342" coordsize="889,2">
              <v:shape style="position:absolute;left:8356;top:9342;width:889;height:2" coordorigin="8356,9342" coordsize="889,0" path="m8356,9342l9244,9342e" filled="false" stroked="true" strokeweight=".47998pt" strokecolor="#000000">
                <v:path arrowok="t"/>
              </v:shape>
            </v:group>
            <v:group style="position:absolute;left:9254;top:9342;width:718;height:2" coordorigin="9254,9342" coordsize="718,2">
              <v:shape style="position:absolute;left:9254;top:9342;width:718;height:2" coordorigin="9254,9342" coordsize="718,0" path="m9254,9342l9972,9342e" filled="false" stroked="true" strokeweight=".47998pt" strokecolor="#000000">
                <v:path arrowok="t"/>
              </v:shape>
            </v:group>
            <v:group style="position:absolute;left:9981;top:9342;width:718;height:2" coordorigin="9981,9342" coordsize="718,2">
              <v:shape style="position:absolute;left:9981;top:9342;width:718;height:2" coordorigin="9981,9342" coordsize="718,0" path="m9981,9342l10699,9342e" filled="false" stroked="true" strokeweight=".47998pt" strokecolor="#000000">
                <v:path arrowok="t"/>
              </v:shape>
            </v:group>
            <v:group style="position:absolute;left:1985;top:8934;width:2;height:814" coordorigin="1985,8934" coordsize="2,814">
              <v:shape style="position:absolute;left:1985;top:8934;width:2;height:814" coordorigin="1985,8934" coordsize="0,814" path="m1985,8934l1985,9748e" filled="false" stroked="true" strokeweight=".48pt" strokecolor="#000000">
                <v:path arrowok="t"/>
              </v:shape>
            </v:group>
            <v:group style="position:absolute;left:3478;top:8934;width:2;height:814" coordorigin="3478,8934" coordsize="2,814">
              <v:shape style="position:absolute;left:3478;top:8934;width:2;height:814" coordorigin="3478,8934" coordsize="0,814" path="m3478,8934l3478,9748e" filled="false" stroked="true" strokeweight=".48pt" strokecolor="#000000">
                <v:path arrowok="t"/>
              </v:shape>
            </v:group>
            <v:group style="position:absolute;left:4374;top:8934;width:2;height:814" coordorigin="4374,8934" coordsize="2,814">
              <v:shape style="position:absolute;left:4374;top:8934;width:2;height:814" coordorigin="4374,8934" coordsize="0,814" path="m4374,8934l4374,9748e" filled="false" stroked="true" strokeweight=".48001pt" strokecolor="#000000">
                <v:path arrowok="t"/>
              </v:shape>
            </v:group>
            <v:group style="position:absolute;left:5101;top:8934;width:2;height:814" coordorigin="5101,8934" coordsize="2,814">
              <v:shape style="position:absolute;left:5101;top:8934;width:2;height:814" coordorigin="5101,8934" coordsize="0,814" path="m5101,8934l5101,9748e" filled="false" stroked="true" strokeweight=".48001pt" strokecolor="#000000">
                <v:path arrowok="t"/>
              </v:shape>
            </v:group>
            <v:group style="position:absolute;left:5999;top:8934;width:2;height:814" coordorigin="5999,8934" coordsize="2,814">
              <v:shape style="position:absolute;left:5999;top:8934;width:2;height:814" coordorigin="5999,8934" coordsize="0,814" path="m5999,8934l5999,9748e" filled="false" stroked="true" strokeweight=".48001pt" strokecolor="#000000">
                <v:path arrowok="t"/>
              </v:shape>
            </v:group>
            <v:group style="position:absolute;left:6897;top:8934;width:2;height:814" coordorigin="6897,8934" coordsize="2,814">
              <v:shape style="position:absolute;left:6897;top:8934;width:2;height:814" coordorigin="6897,8934" coordsize="0,814" path="m6897,8934l6897,9748e" filled="false" stroked="true" strokeweight=".47998pt" strokecolor="#000000">
                <v:path arrowok="t"/>
              </v:shape>
            </v:group>
            <v:group style="position:absolute;left:7624;top:8934;width:2;height:814" coordorigin="7624,8934" coordsize="2,814">
              <v:shape style="position:absolute;left:7624;top:8934;width:2;height:814" coordorigin="7624,8934" coordsize="0,814" path="m7624,8934l7624,9748e" filled="false" stroked="true" strokeweight=".48001pt" strokecolor="#000000">
                <v:path arrowok="t"/>
              </v:shape>
            </v:group>
            <v:group style="position:absolute;left:8351;top:8934;width:2;height:814" coordorigin="8351,8934" coordsize="2,814">
              <v:shape style="position:absolute;left:8351;top:8934;width:2;height:814" coordorigin="8351,8934" coordsize="0,814" path="m8351,8934l8351,9748e" filled="false" stroked="true" strokeweight=".47998pt" strokecolor="#000000">
                <v:path arrowok="t"/>
              </v:shape>
            </v:group>
            <v:group style="position:absolute;left:9249;top:8934;width:2;height:814" coordorigin="9249,8934" coordsize="2,814">
              <v:shape style="position:absolute;left:9249;top:8934;width:2;height:814" coordorigin="9249,8934" coordsize="0,814" path="m9249,8934l9249,9748e" filled="false" stroked="true" strokeweight=".48001pt" strokecolor="#000000">
                <v:path arrowok="t"/>
              </v:shape>
            </v:group>
            <v:group style="position:absolute;left:9976;top:8934;width:2;height:814" coordorigin="9976,8934" coordsize="2,814">
              <v:shape style="position:absolute;left:9976;top:8934;width:2;height:814" coordorigin="9976,8934" coordsize="0,814" path="m9976,8934l9976,9748e" filled="false" stroked="true" strokeweight=".47998pt" strokecolor="#000000">
                <v:path arrowok="t"/>
              </v:shape>
            </v:group>
            <v:group style="position:absolute;left:1140;top:9750;width:1549;height:468" coordorigin="1140,9750" coordsize="1549,468">
              <v:shape style="position:absolute;left:1140;top:9750;width:1549;height:468" coordorigin="1140,9750" coordsize="1549,468" path="m1140,10218l2688,10218,2688,9750,1140,9750,1140,10218xe" filled="true" fillcolor="#d2d2d2" stroked="false">
                <v:path arrowok="t"/>
                <v:fill type="solid"/>
              </v:shape>
            </v:group>
            <v:group style="position:absolute;left:1151;top:10218;width:2;height:1016" coordorigin="1151,10218" coordsize="2,1016">
              <v:shape style="position:absolute;left:1151;top:10218;width:2;height:1016" coordorigin="1151,10218" coordsize="0,1016" path="m1151,10218l1151,11233e" filled="false" stroked="true" strokeweight="1.08pt" strokecolor="#d2d2d2">
                <v:path arrowok="t"/>
              </v:shape>
            </v:group>
            <v:group style="position:absolute;left:2678;top:10218;width:2;height:1016" coordorigin="2678,10218" coordsize="2,1016">
              <v:shape style="position:absolute;left:2678;top:10218;width:2;height:1016" coordorigin="2678,10218" coordsize="0,1016" path="m2678,10218l2678,11233e" filled="false" stroked="true" strokeweight="1.08pt" strokecolor="#d2d2d2">
                <v:path arrowok="t"/>
              </v:shape>
            </v:group>
            <v:group style="position:absolute;left:1140;top:11233;width:1549;height:468" coordorigin="1140,11233" coordsize="1549,468">
              <v:shape style="position:absolute;left:1140;top:11233;width:1549;height:468" coordorigin="1140,11233" coordsize="1549,468" path="m1140,11701l2688,11701,2688,11233,1140,11233,1140,11701xe" filled="true" fillcolor="#d2d2d2" stroked="false">
                <v:path arrowok="t"/>
                <v:fill type="solid"/>
              </v:shape>
            </v:group>
            <v:group style="position:absolute;left:1162;top:10218;width:1506;height:351" coordorigin="1162,10218" coordsize="1506,351">
              <v:shape style="position:absolute;left:1162;top:10218;width:1506;height:351" coordorigin="1162,10218" coordsize="1506,351" path="m1162,10569l2667,10569,2667,10218,1162,10218,1162,10569xe" filled="true" fillcolor="#d2d2d2" stroked="false">
                <v:path arrowok="t"/>
                <v:fill type="solid"/>
              </v:shape>
            </v:group>
            <v:group style="position:absolute;left:1162;top:10569;width:1506;height:312" coordorigin="1162,10569" coordsize="1506,312">
              <v:shape style="position:absolute;left:1162;top:10569;width:1506;height:312" coordorigin="1162,10569" coordsize="1506,312" path="m1162,10881l2667,10881,2667,10569,1162,10569,1162,10881xe" filled="true" fillcolor="#d2d2d2" stroked="false">
                <v:path arrowok="t"/>
                <v:fill type="solid"/>
              </v:shape>
            </v:group>
            <v:group style="position:absolute;left:1162;top:10881;width:1506;height:353" coordorigin="1162,10881" coordsize="1506,353">
              <v:shape style="position:absolute;left:1162;top:10881;width:1506;height:353" coordorigin="1162,10881" coordsize="1506,353" path="m1162,11233l2667,11233,2667,10881,1162,10881,1162,11233xe" filled="true" fillcolor="#d2d2d2" stroked="false">
                <v:path arrowok="t"/>
                <v:fill type="solid"/>
              </v:shape>
            </v:group>
            <v:group style="position:absolute;left:2711;top:9750;width:2;height:1952" coordorigin="2711,9750" coordsize="2,1952">
              <v:shape style="position:absolute;left:2711;top:9750;width:2;height:1952" coordorigin="2711,9750" coordsize="0,1952" path="m2711,9750l2711,11701e" filled="false" stroked="true" strokeweight="1.08pt" strokecolor="#ffffff">
                <v:path arrowok="t"/>
              </v:shape>
            </v:group>
            <v:group style="position:absolute;left:2722;top:10725;width:7955;height:312" coordorigin="2722,10725" coordsize="7955,312">
              <v:shape style="position:absolute;left:2722;top:10725;width:7955;height:312" coordorigin="2722,10725" coordsize="7955,312" path="m2722,11037l10677,11037,10677,10725,2722,10725,2722,11037xe" filled="true" fillcolor="#ffffff" stroked="false">
                <v:path arrowok="t"/>
                <v:fill type="solid"/>
              </v:shape>
            </v:group>
            <v:group style="position:absolute;left:2722;top:11037;width:7955;height:312" coordorigin="2722,11037" coordsize="7955,312">
              <v:shape style="position:absolute;left:2722;top:11037;width:7955;height:312" coordorigin="2722,11037" coordsize="7955,312" path="m2722,11349l10677,11349,10677,11037,2722,11037,2722,11349xe" filled="true" fillcolor="#ffffff" stroked="false">
                <v:path arrowok="t"/>
                <v:fill type="solid"/>
              </v:shape>
            </v:group>
            <v:group style="position:absolute;left:1138;top:9743;width:843;height:2" coordorigin="1138,9743" coordsize="843,2">
              <v:shape style="position:absolute;left:1138;top:9743;width:843;height:2" coordorigin="1138,9743" coordsize="843,0" path="m1138,9743l1980,9743e" filled="false" stroked="true" strokeweight=".47998pt" strokecolor="#000000">
                <v:path arrowok="t"/>
              </v:shape>
            </v:group>
            <v:group style="position:absolute;left:1990;top:9743;width:699;height:2" coordorigin="1990,9743" coordsize="699,2">
              <v:shape style="position:absolute;left:1990;top:9743;width:699;height:2" coordorigin="1990,9743" coordsize="699,0" path="m1990,9743l2688,9743e" filled="false" stroked="true" strokeweight=".47998pt" strokecolor="#000000">
                <v:path arrowok="t"/>
              </v:shape>
            </v:group>
            <v:group style="position:absolute;left:2698;top:9743;width:776;height:2" coordorigin="2698,9743" coordsize="776,2">
              <v:shape style="position:absolute;left:2698;top:9743;width:776;height:2" coordorigin="2698,9743" coordsize="776,0" path="m2698,9743l3473,9743e" filled="false" stroked="true" strokeweight=".47998pt" strokecolor="#000000">
                <v:path arrowok="t"/>
              </v:shape>
            </v:group>
            <v:group style="position:absolute;left:3483;top:9743;width:887;height:2" coordorigin="3483,9743" coordsize="887,2">
              <v:shape style="position:absolute;left:3483;top:9743;width:887;height:2" coordorigin="3483,9743" coordsize="887,0" path="m3483,9743l4369,9743e" filled="false" stroked="true" strokeweight=".47998pt" strokecolor="#000000">
                <v:path arrowok="t"/>
              </v:shape>
            </v:group>
            <v:group style="position:absolute;left:4379;top:9743;width:718;height:2" coordorigin="4379,9743" coordsize="718,2">
              <v:shape style="position:absolute;left:4379;top:9743;width:718;height:2" coordorigin="4379,9743" coordsize="718,0" path="m4379,9743l5096,9743e" filled="false" stroked="true" strokeweight=".47998pt" strokecolor="#000000">
                <v:path arrowok="t"/>
              </v:shape>
            </v:group>
            <v:group style="position:absolute;left:5106;top:9743;width:888;height:2" coordorigin="5106,9743" coordsize="888,2">
              <v:shape style="position:absolute;left:5106;top:9743;width:888;height:2" coordorigin="5106,9743" coordsize="888,0" path="m5106,9743l5994,9743e" filled="false" stroked="true" strokeweight=".47998pt" strokecolor="#000000">
                <v:path arrowok="t"/>
              </v:shape>
            </v:group>
            <v:group style="position:absolute;left:6003;top:9743;width:889;height:2" coordorigin="6003,9743" coordsize="889,2">
              <v:shape style="position:absolute;left:6003;top:9743;width:889;height:2" coordorigin="6003,9743" coordsize="889,0" path="m6003,9743l6892,9743e" filled="false" stroked="true" strokeweight=".47998pt" strokecolor="#000000">
                <v:path arrowok="t"/>
              </v:shape>
            </v:group>
            <v:group style="position:absolute;left:6901;top:9743;width:718;height:2" coordorigin="6901,9743" coordsize="718,2">
              <v:shape style="position:absolute;left:6901;top:9743;width:718;height:2" coordorigin="6901,9743" coordsize="718,0" path="m6901,9743l7619,9743e" filled="false" stroked="true" strokeweight=".47998pt" strokecolor="#000000">
                <v:path arrowok="t"/>
              </v:shape>
            </v:group>
            <v:group style="position:absolute;left:7629;top:9743;width:718;height:2" coordorigin="7629,9743" coordsize="718,2">
              <v:shape style="position:absolute;left:7629;top:9743;width:718;height:2" coordorigin="7629,9743" coordsize="718,0" path="m7629,9743l8346,9743e" filled="false" stroked="true" strokeweight=".47998pt" strokecolor="#000000">
                <v:path arrowok="t"/>
              </v:shape>
            </v:group>
            <v:group style="position:absolute;left:8356;top:9743;width:889;height:2" coordorigin="8356,9743" coordsize="889,2">
              <v:shape style="position:absolute;left:8356;top:9743;width:889;height:2" coordorigin="8356,9743" coordsize="889,0" path="m8356,9743l9244,9743e" filled="false" stroked="true" strokeweight=".47998pt" strokecolor="#000000">
                <v:path arrowok="t"/>
              </v:shape>
            </v:group>
            <v:group style="position:absolute;left:9254;top:9743;width:718;height:2" coordorigin="9254,9743" coordsize="718,2">
              <v:shape style="position:absolute;left:9254;top:9743;width:718;height:2" coordorigin="9254,9743" coordsize="718,0" path="m9254,9743l9972,9743e" filled="false" stroked="true" strokeweight=".47998pt" strokecolor="#000000">
                <v:path arrowok="t"/>
              </v:shape>
            </v:group>
            <v:group style="position:absolute;left:9981;top:9743;width:718;height:2" coordorigin="9981,9743" coordsize="718,2">
              <v:shape style="position:absolute;left:9981;top:9743;width:718;height:2" coordorigin="9981,9743" coordsize="718,0" path="m9981,9743l10699,9743e" filled="false" stroked="true" strokeweight=".47998pt" strokecolor="#000000">
                <v:path arrowok="t"/>
              </v:shape>
            </v:group>
            <v:group style="position:absolute;left:1140;top:11711;width:1549;height:1249" coordorigin="1140,11711" coordsize="1549,1249">
              <v:shape style="position:absolute;left:1140;top:11711;width:1549;height:1249" coordorigin="1140,11711" coordsize="1549,1249" path="m1140,12960l2688,12960,2688,11711,1140,11711,1140,12960xe" filled="true" fillcolor="#d2d2d2" stroked="false">
                <v:path arrowok="t"/>
                <v:fill type="solid"/>
              </v:shape>
            </v:group>
            <v:group style="position:absolute;left:1151;top:12960;width:2;height:704" coordorigin="1151,12960" coordsize="2,704">
              <v:shape style="position:absolute;left:1151;top:12960;width:2;height:704" coordorigin="1151,12960" coordsize="0,704" path="m1151,12960l1151,13663e" filled="false" stroked="true" strokeweight="1.08pt" strokecolor="#d2d2d2">
                <v:path arrowok="t"/>
              </v:shape>
            </v:group>
            <v:group style="position:absolute;left:2678;top:12960;width:2;height:704" coordorigin="2678,12960" coordsize="2,704">
              <v:shape style="position:absolute;left:2678;top:12960;width:2;height:704" coordorigin="2678,12960" coordsize="0,704" path="m2678,12960l2678,13663e" filled="false" stroked="true" strokeweight="1.08pt" strokecolor="#d2d2d2">
                <v:path arrowok="t"/>
              </v:shape>
            </v:group>
            <v:group style="position:absolute;left:1140;top:13663;width:1549;height:1248" coordorigin="1140,13663" coordsize="1549,1248">
              <v:shape style="position:absolute;left:1140;top:13663;width:1549;height:1248" coordorigin="1140,13663" coordsize="1549,1248" path="m1140,14911l2688,14911,2688,13663,1140,13663,1140,14911xe" filled="true" fillcolor="#d2d2d2" stroked="false">
                <v:path arrowok="t"/>
                <v:fill type="solid"/>
              </v:shape>
            </v:group>
            <v:group style="position:absolute;left:1162;top:12960;width:1506;height:353" coordorigin="1162,12960" coordsize="1506,353">
              <v:shape style="position:absolute;left:1162;top:12960;width:1506;height:353" coordorigin="1162,12960" coordsize="1506,353" path="m1162,13312l2667,13312,2667,12960,1162,12960,1162,13312xe" filled="true" fillcolor="#d2d2d2" stroked="false">
                <v:path arrowok="t"/>
                <v:fill type="solid"/>
              </v:shape>
            </v:group>
            <v:group style="position:absolute;left:1162;top:13312;width:1506;height:351" coordorigin="1162,13312" coordsize="1506,351">
              <v:shape style="position:absolute;left:1162;top:13312;width:1506;height:351" coordorigin="1162,13312" coordsize="1506,351" path="m1162,13663l2667,13663,2667,13312,1162,13312,1162,13663xe" filled="true" fillcolor="#d2d2d2" stroked="false">
                <v:path arrowok="t"/>
                <v:fill type="solid"/>
              </v:shape>
            </v:group>
            <v:group style="position:absolute;left:1138;top:11706;width:1551;height:2" coordorigin="1138,11706" coordsize="1551,2">
              <v:shape style="position:absolute;left:1138;top:11706;width:1551;height:2" coordorigin="1138,11706" coordsize="1551,0" path="m1138,11706l2688,11706e" filled="false" stroked="true" strokeweight=".47998pt" strokecolor="#000000">
                <v:path arrowok="t"/>
              </v:shape>
            </v:group>
            <v:group style="position:absolute;left:2698;top:11706;width:8001;height:2" coordorigin="2698,11706" coordsize="8001,2">
              <v:shape style="position:absolute;left:2698;top:11706;width:8001;height:2" coordorigin="2698,11706" coordsize="8001,0" path="m2698,11706l10699,11706e" filled="false" stroked="true" strokeweight=".47998pt" strokecolor="#000000">
                <v:path arrowok="t"/>
              </v:shape>
            </v:group>
            <v:group style="position:absolute;left:1140;top:14932;width:1549;height:2" coordorigin="1140,14932" coordsize="1549,2">
              <v:shape style="position:absolute;left:1140;top:14932;width:1549;height:2" coordorigin="1140,14932" coordsize="1549,0" path="m1140,14932l2688,14932e" filled="false" stroked="true" strokeweight=".96002pt" strokecolor="#d2d2d2">
                <v:path arrowok="t"/>
              </v:shape>
            </v:group>
            <v:group style="position:absolute;left:1151;top:14942;width:2;height:353" coordorigin="1151,14942" coordsize="2,353">
              <v:shape style="position:absolute;left:1151;top:14942;width:2;height:353" coordorigin="1151,14942" coordsize="0,353" path="m1151,14942l1151,15295e" filled="false" stroked="true" strokeweight="1.08pt" strokecolor="#d2d2d2">
                <v:path arrowok="t"/>
              </v:shape>
            </v:group>
            <v:group style="position:absolute;left:2678;top:14942;width:2;height:353" coordorigin="2678,14942" coordsize="2,353">
              <v:shape style="position:absolute;left:2678;top:14942;width:2;height:353" coordorigin="2678,14942" coordsize="0,353" path="m2678,14942l2678,15295e" filled="false" stroked="true" strokeweight="1.08pt" strokecolor="#d2d2d2">
                <v:path arrowok="t"/>
              </v:shape>
            </v:group>
            <v:group style="position:absolute;left:1140;top:15304;width:1549;height:2" coordorigin="1140,15304" coordsize="1549,2">
              <v:shape style="position:absolute;left:1140;top:15304;width:1549;height:2" coordorigin="1140,15304" coordsize="1549,0" path="m1140,15304l2688,15304e" filled="false" stroked="true" strokeweight=".95996pt" strokecolor="#d2d2d2">
                <v:path arrowok="t"/>
              </v:shape>
            </v:group>
            <v:group style="position:absolute;left:1162;top:14942;width:1506;height:353" coordorigin="1162,14942" coordsize="1506,353">
              <v:shape style="position:absolute;left:1162;top:14942;width:1506;height:353" coordorigin="1162,14942" coordsize="1506,353" path="m1162,15295l2667,15295,2667,14942,1162,14942,1162,15295xe" filled="true" fillcolor="#d2d2d2" stroked="false">
                <v:path arrowok="t"/>
                <v:fill type="solid"/>
              </v:shape>
            </v:group>
            <v:group style="position:absolute;left:1138;top:14916;width:1551;height:2" coordorigin="1138,14916" coordsize="1551,2">
              <v:shape style="position:absolute;left:1138;top:14916;width:1551;height:2" coordorigin="1138,14916" coordsize="1551,0" path="m1138,14916l2688,14916e" filled="false" stroked="true" strokeweight=".47998pt" strokecolor="#000000">
                <v:path arrowok="t"/>
              </v:shape>
            </v:group>
            <v:group style="position:absolute;left:2698;top:14916;width:8001;height:2" coordorigin="2698,14916" coordsize="8001,2">
              <v:shape style="position:absolute;left:2698;top:14916;width:8001;height:2" coordorigin="2698,14916" coordsize="8001,0" path="m2698,14916l10699,14916e" filled="false" stroked="true" strokeweight=".47998pt" strokecolor="#000000">
                <v:path arrowok="t"/>
              </v:shape>
            </v:group>
            <v:group style="position:absolute;left:1133;top:1440;width:2;height:13884" coordorigin="1133,1440" coordsize="2,13884">
              <v:shape style="position:absolute;left:1133;top:1440;width:2;height:13884" coordorigin="1133,1440" coordsize="0,13884" path="m1133,1440l1133,15324e" filled="false" stroked="true" strokeweight=".48pt" strokecolor="#000000">
                <v:path arrowok="t"/>
              </v:shape>
            </v:group>
            <v:group style="position:absolute;left:1138;top:15319;width:1551;height:2" coordorigin="1138,15319" coordsize="1551,2">
              <v:shape style="position:absolute;left:1138;top:15319;width:1551;height:2" coordorigin="1138,15319" coordsize="1551,0" path="m1138,15319l2688,15319e" filled="false" stroked="true" strokeweight=".48004pt" strokecolor="#000000">
                <v:path arrowok="t"/>
              </v:shape>
            </v:group>
            <v:group style="position:absolute;left:2693;top:8934;width:2;height:6390" coordorigin="2693,8934" coordsize="2,6390">
              <v:shape style="position:absolute;left:2693;top:8934;width:2;height:6390" coordorigin="2693,8934" coordsize="0,6390" path="m2693,8934l2693,15324e" filled="false" stroked="true" strokeweight=".48001pt" strokecolor="#000000">
                <v:path arrowok="t"/>
              </v:shape>
            </v:group>
            <v:group style="position:absolute;left:2698;top:15319;width:8001;height:2" coordorigin="2698,15319" coordsize="8001,2">
              <v:shape style="position:absolute;left:2698;top:15319;width:8001;height:2" coordorigin="2698,15319" coordsize="8001,0" path="m2698,15319l10699,15319e" filled="false" stroked="true" strokeweight=".48004pt" strokecolor="#000000">
                <v:path arrowok="t"/>
              </v:shape>
            </v:group>
            <v:group style="position:absolute;left:10704;top:1440;width:2;height:13884" coordorigin="10704,1440" coordsize="2,13884">
              <v:shape style="position:absolute;left:10704;top:1440;width:2;height:13884" coordorigin="10704,1440" coordsize="0,13884" path="m10704,1440l10704,15324e" filled="false" stroked="true" strokeweight=".47998pt" strokecolor="#000000">
                <v:path arrowok="t"/>
              </v:shape>
            </v:group>
            <w10:wrap type="none"/>
          </v:group>
        </w:pict>
      </w:r>
      <w:r>
        <w:rPr/>
        <w:t>超募资金的金额、</w:t>
      </w:r>
      <w:r>
        <w:rPr>
          <w:spacing w:val="30"/>
        </w:rPr>
        <w:t> </w:t>
      </w:r>
      <w:r>
        <w:rPr>
          <w:position w:val="2"/>
        </w:rPr>
        <w:t>不适用</w:t>
      </w:r>
      <w:r>
        <w:rPr/>
      </w:r>
    </w:p>
    <w:p>
      <w:pPr>
        <w:spacing w:after="0" w:line="240" w:lineRule="auto"/>
        <w:jc w:val="lef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59"/>
        <w:gridCol w:w="8010"/>
      </w:tblGrid>
      <w:tr>
        <w:trPr>
          <w:trHeight w:val="675"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84"/>
              <w:jc w:val="left"/>
              <w:rPr>
                <w:rFonts w:ascii="宋体" w:hAnsi="宋体" w:cs="宋体" w:eastAsia="宋体" w:hint="default"/>
                <w:sz w:val="18"/>
                <w:szCs w:val="18"/>
              </w:rPr>
            </w:pPr>
            <w:r>
              <w:rPr>
                <w:rFonts w:ascii="宋体" w:hAnsi="宋体" w:cs="宋体" w:eastAsia="宋体" w:hint="default"/>
                <w:sz w:val="18"/>
                <w:szCs w:val="18"/>
              </w:rPr>
              <w:t>用途及使用进展情 况</w:t>
            </w:r>
          </w:p>
        </w:tc>
        <w:tc>
          <w:tcPr>
            <w:tcW w:w="80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316" w:lineRule="auto"/>
              <w:ind w:left="22" w:right="84"/>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559" w:type="dxa"/>
            <w:vMerge/>
            <w:tcBorders>
              <w:left w:val="single" w:sz="4" w:space="0" w:color="000000"/>
              <w:right w:val="single" w:sz="4" w:space="0" w:color="000000"/>
            </w:tcBorders>
            <w:shd w:val="clear" w:color="auto" w:fill="D2D2D2"/>
          </w:tcPr>
          <w:p>
            <w:pP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337" w:hRule="exact"/>
        </w:trPr>
        <w:tc>
          <w:tcPr>
            <w:tcW w:w="1559" w:type="dxa"/>
            <w:vMerge/>
            <w:tcBorders>
              <w:left w:val="single" w:sz="4" w:space="0" w:color="000000"/>
              <w:bottom w:val="single" w:sz="4" w:space="0" w:color="000000"/>
              <w:right w:val="single" w:sz="4" w:space="0" w:color="000000"/>
            </w:tcBorders>
            <w:shd w:val="clear" w:color="auto" w:fill="D2D2D2"/>
          </w:tcPr>
          <w:p>
            <w:pP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54"/>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日召开的第二届第九次董事会、第二届第七次监事会会议审议通过，将</w:t>
            </w:r>
            <w:r>
              <w:rPr>
                <w:rFonts w:ascii="Times New Roman" w:hAnsi="Times New Roman" w:cs="Times New Roman" w:eastAsia="Times New Roman" w:hint="default"/>
                <w:sz w:val="18"/>
                <w:szCs w:val="18"/>
              </w:rPr>
              <w:t>“</w:t>
            </w:r>
            <w:r>
              <w:rPr>
                <w:rFonts w:ascii="宋体" w:hAnsi="宋体" w:cs="宋体" w:eastAsia="宋体" w:hint="default"/>
                <w:sz w:val="18"/>
                <w:szCs w:val="18"/>
              </w:rPr>
              <w:t>智能 移动终端产品扩产及技术改造项目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原定在龙岗区实施部分的地点变更为宝安区西乡街道黄田社区杨 背工业区三期十一栋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楼。并且独立董事发表了明确同意意见，保荐机构同意对此次募投项目实施地 点的变更。</w:t>
            </w:r>
          </w:p>
        </w:tc>
      </w:tr>
      <w:tr>
        <w:trPr>
          <w:trHeight w:val="403" w:hRule="exact"/>
        </w:trPr>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22" w:right="84"/>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559" w:type="dxa"/>
            <w:vMerge/>
            <w:tcBorders>
              <w:left w:val="single" w:sz="4" w:space="0" w:color="000000"/>
              <w:right w:val="single" w:sz="4" w:space="0" w:color="000000"/>
            </w:tcBorders>
            <w:shd w:val="clear" w:color="auto" w:fill="D2D2D2"/>
          </w:tcPr>
          <w:p>
            <w:pPr/>
          </w:p>
        </w:tc>
        <w:tc>
          <w:tcPr>
            <w:tcW w:w="801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59" w:type="dxa"/>
            <w:vMerge/>
            <w:tcBorders>
              <w:left w:val="single" w:sz="4" w:space="0" w:color="000000"/>
              <w:bottom w:val="single" w:sz="4" w:space="0" w:color="000000"/>
              <w:right w:val="single" w:sz="4" w:space="0" w:color="000000"/>
            </w:tcBorders>
            <w:shd w:val="clear" w:color="auto" w:fill="D2D2D2"/>
          </w:tcPr>
          <w:p>
            <w:pPr/>
          </w:p>
        </w:tc>
        <w:tc>
          <w:tcPr>
            <w:tcW w:w="80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84"/>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559" w:type="dxa"/>
            <w:vMerge/>
            <w:tcBorders>
              <w:left w:val="single" w:sz="4" w:space="0" w:color="000000"/>
              <w:bottom w:val="single" w:sz="4" w:space="0" w:color="000000"/>
              <w:right w:val="single" w:sz="4" w:space="0" w:color="000000"/>
            </w:tcBorders>
            <w:shd w:val="clear" w:color="auto" w:fill="D2D2D2"/>
          </w:tcPr>
          <w:p>
            <w:pPr/>
          </w:p>
        </w:tc>
        <w:tc>
          <w:tcPr>
            <w:tcW w:w="80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84"/>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559" w:type="dxa"/>
            <w:vMerge/>
            <w:tcBorders>
              <w:left w:val="single" w:sz="4" w:space="0" w:color="000000"/>
              <w:bottom w:val="single" w:sz="4" w:space="0" w:color="000000"/>
              <w:right w:val="single" w:sz="4" w:space="0" w:color="000000"/>
            </w:tcBorders>
            <w:shd w:val="clear" w:color="auto" w:fill="D2D2D2"/>
          </w:tcPr>
          <w:p>
            <w:pPr/>
          </w:p>
        </w:tc>
        <w:tc>
          <w:tcPr>
            <w:tcW w:w="80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84"/>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24" w:hRule="exact"/>
        </w:trPr>
        <w:tc>
          <w:tcPr>
            <w:tcW w:w="1559" w:type="dxa"/>
            <w:vMerge/>
            <w:tcBorders>
              <w:left w:val="single" w:sz="4" w:space="0" w:color="000000"/>
              <w:bottom w:val="single" w:sz="4" w:space="0" w:color="000000"/>
              <w:right w:val="single" w:sz="4" w:space="0" w:color="000000"/>
            </w:tcBorders>
            <w:shd w:val="clear" w:color="auto" w:fill="D2D2D2"/>
          </w:tcPr>
          <w:p>
            <w:pP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项目还在进行中，相应募集资金处于投入使用中。</w:t>
            </w:r>
          </w:p>
        </w:tc>
      </w:tr>
      <w:tr>
        <w:trPr>
          <w:trHeight w:val="716"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尚未使用的募集资金均存放在公司的募集资金账户。</w:t>
            </w:r>
          </w:p>
        </w:tc>
      </w:tr>
      <w:tr>
        <w:trPr>
          <w:trHeight w:val="1025"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1027"/>
        <w:gridCol w:w="889"/>
        <w:gridCol w:w="958"/>
        <w:gridCol w:w="958"/>
        <w:gridCol w:w="956"/>
        <w:gridCol w:w="958"/>
        <w:gridCol w:w="955"/>
        <w:gridCol w:w="958"/>
        <w:gridCol w:w="958"/>
      </w:tblGrid>
      <w:tr>
        <w:trPr>
          <w:trHeight w:val="1339"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384"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240" w:right="55"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9" w:right="77"/>
              <w:jc w:val="both"/>
              <w:rPr>
                <w:rFonts w:ascii="Times New Roman" w:hAnsi="Times New Roman" w:cs="Times New Roman" w:eastAsia="Times New Roman" w:hint="default"/>
                <w:sz w:val="18"/>
                <w:szCs w:val="18"/>
              </w:rPr>
            </w:pPr>
            <w:r>
              <w:rPr>
                <w:rFonts w:ascii="宋体" w:hAnsi="宋体" w:cs="宋体" w:eastAsia="宋体" w:hint="default"/>
                <w:sz w:val="18"/>
                <w:szCs w:val="18"/>
              </w:rPr>
              <w:t>变更后项 目拟投入 募集资金 总额</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38" w:lineRule="auto"/>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204"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33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智能移动终 端产品扩产 与技术改造 项目</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1"/>
              <w:jc w:val="both"/>
              <w:rPr>
                <w:rFonts w:ascii="宋体" w:hAnsi="宋体" w:cs="宋体" w:eastAsia="宋体" w:hint="default"/>
                <w:sz w:val="18"/>
                <w:szCs w:val="18"/>
              </w:rPr>
            </w:pPr>
            <w:r>
              <w:rPr>
                <w:rFonts w:ascii="宋体" w:hAnsi="宋体" w:cs="宋体" w:eastAsia="宋体" w:hint="default"/>
                <w:sz w:val="18"/>
                <w:szCs w:val="18"/>
              </w:rPr>
              <w:t>智能移动终 端产品扩产 与技术改造 项目</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2,604.4</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2,525.66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96.98%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3,158.12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研发中心建 设项目</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1"/>
              <w:jc w:val="left"/>
              <w:rPr>
                <w:rFonts w:ascii="宋体" w:hAnsi="宋体" w:cs="宋体" w:eastAsia="宋体" w:hint="default"/>
                <w:sz w:val="18"/>
                <w:szCs w:val="18"/>
              </w:rPr>
            </w:pPr>
            <w:r>
              <w:rPr>
                <w:rFonts w:ascii="宋体" w:hAnsi="宋体" w:cs="宋体" w:eastAsia="宋体" w:hint="default"/>
                <w:sz w:val="18"/>
                <w:szCs w:val="18"/>
              </w:rPr>
              <w:t>研发中心建 设项目</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1,935.88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707.72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1,952.04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100.83%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7"/>
        <w:gridCol w:w="1027"/>
        <w:gridCol w:w="889"/>
        <w:gridCol w:w="958"/>
        <w:gridCol w:w="958"/>
        <w:gridCol w:w="956"/>
        <w:gridCol w:w="958"/>
        <w:gridCol w:w="955"/>
        <w:gridCol w:w="958"/>
        <w:gridCol w:w="958"/>
      </w:tblGrid>
      <w:tr>
        <w:trPr>
          <w:trHeight w:val="1961"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2" w:right="22"/>
              <w:jc w:val="left"/>
              <w:rPr>
                <w:rFonts w:ascii="宋体" w:hAnsi="宋体" w:cs="宋体" w:eastAsia="宋体" w:hint="default"/>
                <w:sz w:val="18"/>
                <w:szCs w:val="18"/>
              </w:rPr>
            </w:pPr>
            <w:r>
              <w:rPr>
                <w:rFonts w:ascii="宋体" w:hAnsi="宋体" w:cs="宋体" w:eastAsia="宋体" w:hint="default"/>
                <w:sz w:val="18"/>
                <w:szCs w:val="18"/>
              </w:rPr>
              <w:t>收购深圳市 瑞柏泰电子 有限公司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股权项 目</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1"/>
              <w:jc w:val="both"/>
              <w:rPr>
                <w:rFonts w:ascii="宋体" w:hAnsi="宋体" w:cs="宋体" w:eastAsia="宋体" w:hint="default"/>
                <w:sz w:val="18"/>
                <w:szCs w:val="18"/>
              </w:rPr>
            </w:pPr>
            <w:r>
              <w:rPr>
                <w:rFonts w:ascii="宋体" w:hAnsi="宋体" w:cs="宋体" w:eastAsia="宋体" w:hint="default"/>
                <w:sz w:val="18"/>
                <w:szCs w:val="18"/>
              </w:rPr>
              <w:t>智能移动终 端产品扩产 与技术改造 项目、研发 中心建设项 目</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809.04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10,740.28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1" w:right="0"/>
              <w:jc w:val="left"/>
              <w:rPr>
                <w:rFonts w:ascii="Times New Roman" w:hAnsi="Times New Roman" w:cs="Times New Roman" w:eastAsia="Times New Roman" w:hint="default"/>
                <w:sz w:val="18"/>
                <w:szCs w:val="18"/>
              </w:rPr>
            </w:pPr>
            <w:r>
              <w:rPr>
                <w:rFonts w:ascii="Times New Roman"/>
                <w:sz w:val="18"/>
              </w:rPr>
              <w:t>707.72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10,677.7</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w w:val="95"/>
                <w:sz w:val="18"/>
              </w:rPr>
              <w:t>3,967.16</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6099" w:hRule="exact"/>
        </w:trPr>
        <w:tc>
          <w:tcPr>
            <w:tcW w:w="19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307" w:lineRule="auto"/>
              <w:ind w:left="22" w:right="21"/>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息披露情况说明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 项目</w:t>
            </w:r>
            <w:r>
              <w:rPr>
                <w:rFonts w:ascii="Times New Roman" w:hAnsi="Times New Roman" w:cs="Times New Roman" w:eastAsia="Times New Roman" w:hint="default"/>
                <w:sz w:val="18"/>
                <w:szCs w:val="18"/>
              </w:rPr>
              <w:t>)</w:t>
            </w:r>
          </w:p>
        </w:tc>
        <w:tc>
          <w:tcPr>
            <w:tcW w:w="7588" w:type="dxa"/>
            <w:gridSpan w:val="8"/>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、原募投项目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智能移动终端产品扩产及技术改造项目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原计划拟在深圳市南山区购置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平方 </w:t>
            </w:r>
            <w:r>
              <w:rPr>
                <w:rFonts w:ascii="宋体" w:hAnsi="宋体" w:cs="宋体" w:eastAsia="宋体" w:hint="default"/>
                <w:spacing w:val="-1"/>
                <w:sz w:val="18"/>
                <w:szCs w:val="18"/>
              </w:rPr>
              <w:t>米写字楼作为综合办公场所，由于公司在南山区附近没有找到可供购买的合适的写字楼，公司将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
                <w:sz w:val="18"/>
                <w:szCs w:val="18"/>
              </w:rPr>
              <w:t>购置写字楼的计划变更为在深圳市南山区租赁写字楼作为综合办公场所，因此该项目原计划购置</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场地的费用减少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万元；同时，公司利用现有设备可满足本项目的建设要求，所以该项目原</w:t>
            </w:r>
          </w:p>
          <w:p>
            <w:pPr>
              <w:pStyle w:val="TableParagraph"/>
              <w:spacing w:line="314" w:lineRule="auto" w:before="3"/>
              <w:ind w:left="24" w:right="20"/>
              <w:jc w:val="left"/>
              <w:rPr>
                <w:rFonts w:ascii="宋体" w:hAnsi="宋体" w:cs="宋体" w:eastAsia="宋体" w:hint="default"/>
                <w:sz w:val="18"/>
                <w:szCs w:val="18"/>
              </w:rPr>
            </w:pPr>
            <w:r>
              <w:rPr>
                <w:rFonts w:ascii="宋体" w:hAnsi="宋体" w:cs="宋体" w:eastAsia="宋体" w:hint="default"/>
                <w:sz w:val="18"/>
                <w:szCs w:val="18"/>
              </w:rPr>
              <w:t>计划购置设备的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1,359.32 </w:t>
            </w:r>
            <w:r>
              <w:rPr>
                <w:rFonts w:ascii="宋体" w:hAnsi="宋体" w:cs="宋体" w:eastAsia="宋体" w:hint="default"/>
                <w:sz w:val="18"/>
                <w:szCs w:val="18"/>
              </w:rPr>
              <w:t>万元减少了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万元。上述事项已经公司于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 </w:t>
            </w:r>
            <w:r>
              <w:rPr>
                <w:rFonts w:ascii="宋体" w:hAnsi="宋体" w:cs="宋体" w:eastAsia="宋体" w:hint="default"/>
                <w:spacing w:val="-1"/>
                <w:sz w:val="18"/>
                <w:szCs w:val="18"/>
              </w:rPr>
              <w:t>二届董事会第十次会议、第二届监事会第八次会议审议通过。变更后本项目合计较少募集资金投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万元，全部用于</w:t>
            </w:r>
            <w:r>
              <w:rPr>
                <w:rFonts w:ascii="Times New Roman" w:hAnsi="Times New Roman" w:cs="Times New Roman" w:eastAsia="Times New Roman" w:hint="default"/>
                <w:sz w:val="18"/>
                <w:szCs w:val="18"/>
              </w:rPr>
              <w:t>“</w:t>
            </w:r>
            <w:r>
              <w:rPr>
                <w:rFonts w:ascii="宋体" w:hAnsi="宋体" w:cs="宋体" w:eastAsia="宋体" w:hint="default"/>
                <w:sz w:val="18"/>
                <w:szCs w:val="18"/>
              </w:rPr>
              <w:t>收购深圳市瑞柏泰电子有限公司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股权项目</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、原募投项目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原计划拟在深圳市南山区购置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平方米写字楼作为研发中 </w:t>
            </w:r>
            <w:r>
              <w:rPr>
                <w:rFonts w:ascii="宋体" w:hAnsi="宋体" w:cs="宋体" w:eastAsia="宋体" w:hint="default"/>
                <w:spacing w:val="-1"/>
                <w:sz w:val="18"/>
                <w:szCs w:val="18"/>
              </w:rPr>
              <w:t>心办公场地，鉴于目前公司在南山区附近没有找到可供购买的合适的写字楼，因此，公司终止了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南山区写字楼的购置，变更为在深圳市南山区租赁写字楼作为研发中心办公场地。上述事项已经</w:t>
            </w:r>
          </w:p>
          <w:p>
            <w:pPr>
              <w:pStyle w:val="TableParagraph"/>
              <w:spacing w:line="300" w:lineRule="auto" w:before="20"/>
              <w:ind w:left="24" w:right="20"/>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日召开第二届董事会第十次会议、第二届监事会第八次会议审议通过。该 项目原计划购置场地的费用减少</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1,600</w:t>
            </w:r>
            <w:r>
              <w:rPr>
                <w:rFonts w:ascii="Times New Roman" w:hAnsi="Times New Roman" w:cs="Times New Roman" w:eastAsia="Times New Roman" w:hint="default"/>
                <w:spacing w:val="5"/>
                <w:sz w:val="18"/>
                <w:szCs w:val="18"/>
              </w:rPr>
              <w:t> </w:t>
            </w:r>
            <w:r>
              <w:rPr>
                <w:rFonts w:ascii="宋体" w:hAnsi="宋体" w:cs="宋体" w:eastAsia="宋体" w:hint="default"/>
                <w:spacing w:val="-4"/>
                <w:w w:val="100"/>
                <w:sz w:val="18"/>
                <w:szCs w:val="18"/>
              </w:rPr>
              <w:t>万元，全部用于</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收购深圳市瑞柏泰电子有限公司</w:t>
            </w:r>
            <w:r>
              <w:rPr>
                <w:rFonts w:ascii="宋体" w:hAnsi="宋体" w:cs="宋体" w:eastAsia="宋体" w:hint="default"/>
                <w:spacing w:val="-42"/>
                <w:w w:val="100"/>
                <w:sz w:val="18"/>
                <w:szCs w:val="18"/>
              </w:rPr>
              <w:t> </w:t>
            </w:r>
            <w:r>
              <w:rPr>
                <w:rFonts w:ascii="Times New Roman" w:hAnsi="Times New Roman" w:cs="Times New Roman" w:eastAsia="Times New Roman" w:hint="default"/>
                <w:spacing w:val="-1"/>
                <w:sz w:val="18"/>
                <w:szCs w:val="18"/>
              </w:rPr>
              <w:t>51%</w:t>
            </w:r>
            <w:r>
              <w:rPr>
                <w:rFonts w:ascii="宋体" w:hAnsi="宋体" w:cs="宋体" w:eastAsia="宋体" w:hint="default"/>
                <w:spacing w:val="-1"/>
                <w:sz w:val="18"/>
                <w:szCs w:val="18"/>
              </w:rPr>
              <w:t>股权</w:t>
            </w:r>
            <w:r>
              <w:rPr>
                <w:rFonts w:ascii="宋体" w:hAnsi="宋体" w:cs="宋体" w:eastAsia="宋体" w:hint="default"/>
                <w:sz w:val="18"/>
                <w:szCs w:val="18"/>
              </w:rPr>
              <w:t> 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307" w:lineRule="auto" w:before="53"/>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、新增</w:t>
            </w:r>
            <w:r>
              <w:rPr>
                <w:rFonts w:ascii="Times New Roman" w:hAnsi="Times New Roman" w:cs="Times New Roman" w:eastAsia="Times New Roman" w:hint="default"/>
                <w:sz w:val="18"/>
                <w:szCs w:val="18"/>
              </w:rPr>
              <w:t>“</w:t>
            </w:r>
            <w:r>
              <w:rPr>
                <w:rFonts w:ascii="宋体" w:hAnsi="宋体" w:cs="宋体" w:eastAsia="宋体" w:hint="default"/>
                <w:sz w:val="18"/>
                <w:szCs w:val="18"/>
              </w:rPr>
              <w:t>收购深圳市瑞柏泰电子有限公司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的原因如下：为了应对竞争越来越激烈 </w:t>
            </w:r>
            <w:r>
              <w:rPr>
                <w:rFonts w:ascii="宋体" w:hAnsi="宋体" w:cs="宋体" w:eastAsia="宋体" w:hint="default"/>
                <w:spacing w:val="-1"/>
                <w:sz w:val="18"/>
                <w:szCs w:val="18"/>
              </w:rPr>
              <w:t>的市场环境，公司积极探索与外部优秀资源的合作机会。深圳市瑞柏泰电子有限公司作为国内提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
                <w:sz w:val="18"/>
                <w:szCs w:val="18"/>
              </w:rPr>
              <w:t>供电子支付技术服务解决方案的优秀企业之一，拥有夯实的科研技术，稳定的客户群体，完整的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业务体系，是较为合适的合作企业。因此，公司使用本次变更用途的募集资金总计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6,200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万元作 为股权转让款收购收购深圳市瑞柏泰电子有限公司</w:t>
            </w:r>
            <w:r>
              <w:rPr>
                <w:rFonts w:ascii="宋体" w:hAnsi="宋体" w:cs="宋体" w:eastAsia="宋体" w:hint="default"/>
                <w:spacing w:val="-34"/>
                <w:sz w:val="18"/>
                <w:szCs w:val="18"/>
              </w:rPr>
              <w:t> </w:t>
            </w:r>
            <w:r>
              <w:rPr>
                <w:rFonts w:ascii="Times New Roman" w:hAnsi="Times New Roman" w:cs="Times New Roman" w:eastAsia="Times New Roman" w:hint="default"/>
                <w:spacing w:val="-3"/>
                <w:sz w:val="18"/>
                <w:szCs w:val="18"/>
              </w:rPr>
              <w:t>51%</w:t>
            </w:r>
            <w:r>
              <w:rPr>
                <w:rFonts w:ascii="宋体" w:hAnsi="宋体" w:cs="宋体" w:eastAsia="宋体" w:hint="default"/>
                <w:spacing w:val="-3"/>
                <w:sz w:val="18"/>
                <w:szCs w:val="18"/>
              </w:rPr>
              <w:t>的股权。通过本次收购，有助于公司实现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产业链的延伸，多方面实现优势互补，促进效益的发展，具有重要的战略意义。</w:t>
            </w:r>
          </w:p>
        </w:tc>
      </w:tr>
      <w:tr>
        <w:trPr>
          <w:trHeight w:val="1961" w:hRule="exact"/>
        </w:trPr>
        <w:tc>
          <w:tcPr>
            <w:tcW w:w="19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9" w:lineRule="auto"/>
              <w:ind w:left="22" w:right="89"/>
              <w:jc w:val="both"/>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 收益的情况和原因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 体项目</w:t>
            </w:r>
            <w:r>
              <w:rPr>
                <w:rFonts w:ascii="Times New Roman" w:hAnsi="Times New Roman" w:cs="Times New Roman" w:eastAsia="Times New Roman" w:hint="default"/>
                <w:sz w:val="18"/>
                <w:szCs w:val="18"/>
              </w:rPr>
              <w:t>)</w:t>
            </w:r>
          </w:p>
        </w:tc>
        <w:tc>
          <w:tcPr>
            <w:tcW w:w="7588" w:type="dxa"/>
            <w:gridSpan w:val="8"/>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4" w:right="-25"/>
              <w:jc w:val="left"/>
              <w:rPr>
                <w:rFonts w:ascii="宋体" w:hAnsi="宋体" w:cs="宋体" w:eastAsia="宋体" w:hint="default"/>
                <w:sz w:val="18"/>
                <w:szCs w:val="18"/>
              </w:rPr>
            </w:pPr>
            <w:r>
              <w:rPr>
                <w:rFonts w:ascii="宋体" w:hAnsi="宋体" w:cs="宋体" w:eastAsia="宋体" w:hint="default"/>
                <w:sz w:val="18"/>
                <w:szCs w:val="18"/>
              </w:rPr>
              <w:t>智能移动终端产品扩产与技术改造项目在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日达到预定可使用状态，</w:t>
            </w:r>
            <w:r>
              <w:rPr>
                <w:rFonts w:ascii="Times New Roman" w:hAnsi="Times New Roman" w:cs="Times New Roman" w:eastAsia="Times New Roman" w:hint="default"/>
                <w:spacing w:val="-6"/>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 截止日本项目实际产能利用率达到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，本报告期实际实现净利润为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3,158.12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万元，因承诺效 益预计售价较高，本项目产能利用率达到承诺水平，但实际实现净利润未达到承诺效益。收购深 圳市瑞柏泰电子有限公司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股权项目承诺的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年度及</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年度的净利润分别 不低于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年度、</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年度及</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年度实际实现的净利 润分别为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2,656.72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809.04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万元，截止日实际承诺业绩完成率达到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70.91%</w:t>
            </w:r>
            <w:r>
              <w:rPr>
                <w:rFonts w:ascii="宋体" w:hAnsi="宋体" w:cs="宋体" w:eastAsia="宋体" w:hint="default"/>
                <w:sz w:val="18"/>
                <w:szCs w:val="18"/>
              </w:rPr>
              <w:t>。</w:t>
            </w:r>
          </w:p>
        </w:tc>
      </w:tr>
      <w:tr>
        <w:trPr>
          <w:trHeight w:val="716" w:hRule="exact"/>
        </w:trPr>
        <w:tc>
          <w:tcPr>
            <w:tcW w:w="19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9"/>
              <w:jc w:val="left"/>
              <w:rPr>
                <w:rFonts w:ascii="宋体" w:hAnsi="宋体" w:cs="宋体" w:eastAsia="宋体" w:hint="default"/>
                <w:sz w:val="18"/>
                <w:szCs w:val="18"/>
              </w:rPr>
            </w:pPr>
            <w:r>
              <w:rPr>
                <w:rFonts w:ascii="宋体" w:hAnsi="宋体" w:cs="宋体" w:eastAsia="宋体" w:hint="default"/>
                <w:sz w:val="18"/>
                <w:szCs w:val="18"/>
              </w:rPr>
              <w:t>变更后的项目可行性发 生重大变化的情况说明</w:t>
            </w:r>
          </w:p>
        </w:tc>
        <w:tc>
          <w:tcPr>
            <w:tcW w:w="758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after="0" w:line="3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0" w:top="1060" w:bottom="1160" w:left="980" w:right="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pict>
          <v:group style="position:absolute;margin-left:221.690002pt;margin-top:37.871742pt;width:51.85pt;height:23.4pt;mso-position-horizontal-relative:page;mso-position-vertical-relative:paragraph;z-index:-1221304" coordorigin="4434,757" coordsize="1037,468">
            <v:shape style="position:absolute;left:4434;top:757;width:1037;height:468" coordorigin="4434,757" coordsize="1037,468" path="m4434,1225l5471,1225,5471,757,4434,757,4434,1225xe" filled="true" fillcolor="#ffffff" stroked="false">
              <v:path arrowok="t"/>
              <v:fill type="solid"/>
            </v:shape>
            <w10:wrap type="none"/>
          </v:group>
        </w:pict>
      </w:r>
      <w:r>
        <w:rPr/>
        <w:t>单位：元</w:t>
      </w:r>
    </w:p>
    <w:p>
      <w:pPr>
        <w:spacing w:after="0" w:line="240" w:lineRule="auto"/>
        <w:jc w:val="left"/>
        <w:sectPr>
          <w:type w:val="continuous"/>
          <w:pgSz w:w="11910" w:h="16840"/>
          <w:pgMar w:top="1060" w:bottom="1160" w:left="980" w:right="0"/>
          <w:cols w:num="2" w:equalWidth="0">
            <w:col w:w="4851" w:space="4069"/>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52"/>
        <w:gridCol w:w="850"/>
        <w:gridCol w:w="1594"/>
        <w:gridCol w:w="1044"/>
        <w:gridCol w:w="1047"/>
        <w:gridCol w:w="1046"/>
        <w:gridCol w:w="1044"/>
        <w:gridCol w:w="1045"/>
        <w:gridCol w:w="1046"/>
      </w:tblGrid>
      <w:tr>
        <w:trPr>
          <w:trHeight w:val="40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96"/>
              <w:jc w:val="left"/>
              <w:rPr>
                <w:rFonts w:ascii="宋体" w:hAnsi="宋体" w:cs="宋体" w:eastAsia="宋体" w:hint="default"/>
                <w:sz w:val="18"/>
                <w:szCs w:val="18"/>
              </w:rPr>
            </w:pPr>
            <w:r>
              <w:rPr>
                <w:rFonts w:ascii="宋体" w:hAnsi="宋体" w:cs="宋体" w:eastAsia="宋体" w:hint="default"/>
                <w:sz w:val="18"/>
                <w:szCs w:val="18"/>
              </w:rPr>
              <w:t>优博讯软 件</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94" w:type="dxa"/>
            <w:tcBorders>
              <w:top w:val="single" w:sz="4" w:space="0" w:color="000000"/>
              <w:left w:val="single" w:sz="4" w:space="0" w:color="000000"/>
              <w:bottom w:val="single" w:sz="4" w:space="0" w:color="000000"/>
              <w:right w:val="single" w:sz="13" w:space="0" w:color="FFFFFF"/>
            </w:tcBorders>
          </w:tcPr>
          <w:p>
            <w:pPr>
              <w:pStyle w:val="TableParagraph"/>
              <w:spacing w:line="312"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从事新一代智能移 动终端</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Android</w:t>
            </w:r>
            <w:r>
              <w:rPr>
                <w:rFonts w:ascii="宋体" w:hAnsi="宋体" w:cs="宋体" w:eastAsia="宋体" w:hint="default"/>
                <w:sz w:val="18"/>
                <w:szCs w:val="18"/>
              </w:rPr>
              <w:t>） 系统管理软件的开 发及维护升级</w:t>
            </w:r>
          </w:p>
        </w:tc>
        <w:tc>
          <w:tcPr>
            <w:tcW w:w="104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1,000,000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133,649,782.</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39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127,820,940.</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80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39,455,798.4</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29,272,183.6</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23,758,241.1</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3</w:t>
            </w:r>
          </w:p>
        </w:tc>
      </w:tr>
      <w:tr>
        <w:trPr>
          <w:trHeight w:val="1339"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优金支付</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36"/>
              <w:jc w:val="left"/>
              <w:rPr>
                <w:rFonts w:ascii="宋体" w:hAnsi="宋体" w:cs="宋体" w:eastAsia="宋体" w:hint="default"/>
                <w:sz w:val="18"/>
                <w:szCs w:val="18"/>
              </w:rPr>
            </w:pPr>
            <w:r>
              <w:rPr>
                <w:rFonts w:ascii="宋体" w:hAnsi="宋体" w:cs="宋体" w:eastAsia="宋体" w:hint="default"/>
                <w:sz w:val="18"/>
                <w:szCs w:val="18"/>
              </w:rPr>
              <w:t>从事基于智能移动 支付终端的业务系 统软件及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平台 开发及运营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178,728,152.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177,204,683.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100,538,503.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102,229,834.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94,710,645.8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武汉优软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8"/>
              <w:jc w:val="left"/>
              <w:rPr>
                <w:rFonts w:ascii="宋体" w:hAnsi="宋体" w:cs="宋体" w:eastAsia="宋体" w:hint="default"/>
                <w:sz w:val="18"/>
                <w:szCs w:val="18"/>
              </w:rPr>
            </w:pPr>
            <w:r>
              <w:rPr>
                <w:rFonts w:ascii="宋体" w:hAnsi="宋体" w:cs="宋体" w:eastAsia="宋体" w:hint="default"/>
                <w:sz w:val="18"/>
                <w:szCs w:val="18"/>
              </w:rPr>
              <w:t>行业应用软件的研 发及销售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48,665,140.4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45,621,812.5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15,390,122.4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14,843,137.9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19,761,196.0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1133"/>
        <w:jc w:val="left"/>
      </w:pPr>
      <w:r>
        <w:rPr/>
        <w:t>报告期内取得和处置子公司的情况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844"/>
        <w:gridCol w:w="3687"/>
        <w:gridCol w:w="4040"/>
      </w:tblGrid>
      <w:tr>
        <w:trPr>
          <w:trHeight w:val="40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7"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8"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4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4"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深圳市云栖信息科技 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公司认缴出资人民币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万元，持股比例为</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，在深圳南山区设立。</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4"/>
              <w:jc w:val="left"/>
              <w:rPr>
                <w:rFonts w:ascii="宋体" w:hAnsi="宋体" w:cs="宋体" w:eastAsia="宋体" w:hint="default"/>
                <w:sz w:val="18"/>
                <w:szCs w:val="18"/>
              </w:rPr>
            </w:pPr>
            <w:r>
              <w:rPr>
                <w:rFonts w:ascii="宋体" w:hAnsi="宋体" w:cs="宋体" w:eastAsia="宋体" w:hint="default"/>
                <w:sz w:val="18"/>
                <w:szCs w:val="18"/>
              </w:rPr>
              <w:t>纳入合并报表范围，报告期内，该公司对公司业绩 影响较小。</w:t>
            </w: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珠海佳博科技有限公 司</w:t>
            </w:r>
          </w:p>
        </w:tc>
        <w:tc>
          <w:tcPr>
            <w:tcW w:w="3687" w:type="dxa"/>
            <w:tcBorders>
              <w:top w:val="single" w:sz="4" w:space="0" w:color="000000"/>
              <w:left w:val="single" w:sz="4" w:space="0" w:color="000000"/>
              <w:bottom w:val="single" w:sz="4" w:space="0" w:color="000000"/>
              <w:right w:val="single" w:sz="10" w:space="0" w:color="FFFFFF"/>
            </w:tcBorders>
          </w:tcPr>
          <w:p>
            <w:pPr>
              <w:pStyle w:val="TableParagraph"/>
              <w:spacing w:line="300"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公司向陈建辉等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名股东发行股份购买资产， 公司现持有该公司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4040"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49"/>
              <w:ind w:left="16" w:right="-49"/>
              <w:jc w:val="left"/>
              <w:rPr>
                <w:rFonts w:ascii="宋体" w:hAnsi="宋体" w:cs="宋体" w:eastAsia="宋体" w:hint="default"/>
                <w:sz w:val="18"/>
                <w:szCs w:val="18"/>
              </w:rPr>
            </w:pPr>
            <w:r>
              <w:rPr>
                <w:rFonts w:ascii="宋体" w:hAnsi="宋体" w:cs="宋体" w:eastAsia="宋体" w:hint="default"/>
                <w:sz w:val="18"/>
                <w:szCs w:val="18"/>
              </w:rPr>
              <w:t>纳入合并报表范围，合并日为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对公司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年度整体生产经营和业绩无影响。</w:t>
            </w: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桐庐宏锐软件科技有 限公司</w:t>
            </w:r>
          </w:p>
        </w:tc>
        <w:tc>
          <w:tcPr>
            <w:tcW w:w="3687"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公司的全资子公司正达资讯认缴出资人民币</w:t>
            </w:r>
          </w:p>
          <w:p>
            <w:pPr>
              <w:pStyle w:val="TableParagraph"/>
              <w:spacing w:line="240" w:lineRule="auto" w:before="76"/>
              <w:ind w:left="2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pacing w:val="-8"/>
                <w:sz w:val="18"/>
                <w:szCs w:val="18"/>
              </w:rPr>
              <w:t>万元，持股比例为</w:t>
            </w:r>
            <w:r>
              <w:rPr>
                <w:rFonts w:ascii="宋体" w:hAnsi="宋体" w:cs="宋体" w:eastAsia="宋体" w:hint="default"/>
                <w:spacing w:val="-34"/>
                <w:sz w:val="18"/>
                <w:szCs w:val="18"/>
              </w:rPr>
              <w:t> </w:t>
            </w:r>
            <w:r>
              <w:rPr>
                <w:rFonts w:ascii="Times New Roman" w:hAnsi="Times New Roman" w:cs="Times New Roman" w:eastAsia="Times New Roman" w:hint="default"/>
                <w:spacing w:val="-8"/>
                <w:sz w:val="18"/>
                <w:szCs w:val="18"/>
              </w:rPr>
              <w:t>100%</w:t>
            </w:r>
            <w:r>
              <w:rPr>
                <w:rFonts w:ascii="宋体" w:hAnsi="宋体" w:cs="宋体" w:eastAsia="宋体" w:hint="default"/>
                <w:spacing w:val="-8"/>
                <w:sz w:val="18"/>
                <w:szCs w:val="18"/>
              </w:rPr>
              <w:t>，在浙江桐庐设立。</w:t>
            </w:r>
            <w:r>
              <w:rPr>
                <w:rFonts w:ascii="宋体" w:hAnsi="宋体" w:cs="宋体" w:eastAsia="宋体" w:hint="default"/>
                <w:sz w:val="18"/>
                <w:szCs w:val="18"/>
              </w:rPr>
            </w:r>
          </w:p>
        </w:tc>
        <w:tc>
          <w:tcPr>
            <w:tcW w:w="4040" w:type="dxa"/>
            <w:tcBorders>
              <w:top w:val="single" w:sz="4" w:space="0" w:color="000000"/>
              <w:left w:val="single" w:sz="10" w:space="0" w:color="FFFFFF"/>
              <w:bottom w:val="single" w:sz="4" w:space="0" w:color="000000"/>
              <w:right w:val="single" w:sz="4" w:space="0" w:color="000000"/>
            </w:tcBorders>
          </w:tcPr>
          <w:p>
            <w:pPr>
              <w:pStyle w:val="TableParagraph"/>
              <w:spacing w:line="300" w:lineRule="auto" w:before="49"/>
              <w:ind w:left="16" w:right="17"/>
              <w:jc w:val="left"/>
              <w:rPr>
                <w:rFonts w:ascii="宋体" w:hAnsi="宋体" w:cs="宋体" w:eastAsia="宋体" w:hint="default"/>
                <w:sz w:val="18"/>
                <w:szCs w:val="18"/>
              </w:rPr>
            </w:pPr>
            <w:r>
              <w:rPr>
                <w:rFonts w:ascii="宋体" w:hAnsi="宋体" w:cs="宋体" w:eastAsia="宋体" w:hint="default"/>
                <w:spacing w:val="-4"/>
                <w:sz w:val="18"/>
                <w:szCs w:val="18"/>
              </w:rPr>
              <w:t>纳入合并报表范围，截至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日，公司</w:t>
            </w:r>
            <w:r>
              <w:rPr>
                <w:rFonts w:ascii="宋体" w:hAnsi="宋体" w:cs="宋体" w:eastAsia="宋体" w:hint="default"/>
                <w:sz w:val="18"/>
                <w:szCs w:val="18"/>
              </w:rPr>
              <w:t> 对其暂未出资。</w:t>
            </w:r>
          </w:p>
        </w:tc>
      </w:tr>
    </w:tbl>
    <w:p>
      <w:pPr>
        <w:pStyle w:val="BodyText"/>
        <w:spacing w:line="240" w:lineRule="auto" w:before="49"/>
        <w:ind w:right="1133"/>
        <w:jc w:val="left"/>
      </w:pPr>
      <w:r>
        <w:rPr/>
        <w:pict>
          <v:group style="position:absolute;margin-left:334.630005pt;margin-top:-17.998289pt;width:199.25pt;height:17.55pt;mso-position-horizontal-relative:page;mso-position-vertical-relative:paragraph;z-index:-1221280" coordorigin="6693,-360" coordsize="3985,351">
            <v:shape style="position:absolute;left:6693;top:-360;width:3985;height:351" coordorigin="6693,-360" coordsize="3985,351" path="m6693,-10l10677,-10,10677,-360,6693,-360,6693,-10xe" filled="true" fillcolor="#ffffff" stroked="false">
              <v:path arrowok="t"/>
              <v:fill type="solid"/>
            </v:shape>
            <w10:wrap type="none"/>
          </v:group>
        </w:pict>
      </w:r>
      <w:r>
        <w:rPr/>
        <w:t>主要控股参股公司情况说明</w:t>
      </w:r>
    </w:p>
    <w:p>
      <w:pPr>
        <w:pStyle w:val="BodyText"/>
        <w:spacing w:line="300" w:lineRule="auto" w:before="117"/>
        <w:ind w:right="5534"/>
        <w:jc w:val="left"/>
        <w:rPr>
          <w:rFonts w:ascii="Times New Roman" w:hAnsi="Times New Roman" w:cs="Times New Roman" w:eastAsia="Times New Roman" w:hint="default"/>
        </w:rPr>
      </w:pPr>
      <w:r>
        <w:rPr>
          <w:rFonts w:ascii="Times New Roman" w:hAnsi="Times New Roman" w:cs="Times New Roman" w:eastAsia="Times New Roman" w:hint="default"/>
        </w:rPr>
        <w:t>1</w:t>
      </w:r>
      <w:r>
        <w:rPr/>
        <w:t>、深圳市优博讯软件技术有限公司 统一社会信用代码：</w:t>
      </w:r>
      <w:r>
        <w:rPr>
          <w:rFonts w:ascii="Times New Roman" w:hAnsi="Times New Roman" w:cs="Times New Roman" w:eastAsia="Times New Roman" w:hint="default"/>
        </w:rPr>
        <w:t>914403000711177321 </w:t>
      </w:r>
      <w:r>
        <w:rPr/>
        <w:t>住所：深圳市南山区粤海街道学府路</w:t>
      </w:r>
      <w:r>
        <w:rPr>
          <w:rFonts w:ascii="Times New Roman" w:hAnsi="Times New Roman" w:cs="Times New Roman" w:eastAsia="Times New Roman" w:hint="default"/>
        </w:rPr>
        <w:t>63</w:t>
      </w:r>
      <w:r>
        <w:rPr/>
        <w:t>号高新区联合总部大厦</w:t>
      </w:r>
      <w:r>
        <w:rPr>
          <w:rFonts w:ascii="Times New Roman" w:hAnsi="Times New Roman" w:cs="Times New Roman" w:eastAsia="Times New Roman" w:hint="default"/>
        </w:rPr>
        <w:t>36</w:t>
      </w:r>
      <w:r>
        <w:rPr/>
        <w:t>层 法定代表人：</w:t>
      </w:r>
      <w:r>
        <w:rPr>
          <w:rFonts w:ascii="Times New Roman" w:hAnsi="Times New Roman" w:cs="Times New Roman" w:eastAsia="Times New Roman" w:hint="default"/>
        </w:rPr>
        <w:t>GUO</w:t>
      </w:r>
      <w:r>
        <w:rPr>
          <w:rFonts w:ascii="Times New Roman" w:hAnsi="Times New Roman" w:cs="Times New Roman" w:eastAsia="Times New Roman" w:hint="default"/>
          <w:spacing w:val="-2"/>
        </w:rPr>
        <w:t> </w:t>
      </w:r>
      <w:r>
        <w:rPr>
          <w:rFonts w:ascii="Times New Roman" w:hAnsi="Times New Roman" w:cs="Times New Roman" w:eastAsia="Times New Roman" w:hint="default"/>
        </w:rPr>
        <w:t>SONG</w:t>
      </w:r>
    </w:p>
    <w:p>
      <w:pPr>
        <w:pStyle w:val="BodyText"/>
        <w:spacing w:line="307" w:lineRule="auto" w:before="13"/>
        <w:ind w:right="6974"/>
        <w:jc w:val="left"/>
      </w:pPr>
      <w:r>
        <w:rPr/>
        <w:t>认缴注册资本总额（万元）：</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企业类型：有限责任公司（法人独资） 成立日期：</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 营业期限：自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日起至</w:t>
      </w:r>
      <w:r>
        <w:rPr>
          <w:rFonts w:ascii="Times New Roman" w:hAnsi="Times New Roman" w:cs="Times New Roman" w:eastAsia="Times New Roman" w:hint="default"/>
        </w:rPr>
        <w:t>2023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日止</w:t>
      </w:r>
    </w:p>
    <w:p>
      <w:pPr>
        <w:pStyle w:val="BodyText"/>
        <w:spacing w:line="316" w:lineRule="auto" w:before="7"/>
        <w:ind w:right="1129"/>
        <w:jc w:val="left"/>
      </w:pPr>
      <w:r>
        <w:rPr>
          <w:spacing w:val="-2"/>
        </w:rPr>
        <w:t>经营范围：计算机软件产品的设计、开发与销售；软件技术咨询与服务；计算机系统集成。（以上均不含法律、法规、国务</w:t>
      </w:r>
      <w:r>
        <w:rPr>
          <w:spacing w:val="-65"/>
        </w:rPr>
        <w:t> </w:t>
      </w:r>
      <w:r>
        <w:rPr>
          <w:spacing w:val="-65"/>
        </w:rPr>
      </w:r>
      <w:r>
        <w:rPr/>
        <w:t>院规定审批的项目，审批的项目需取得相关部门的许可后方可经营）</w:t>
      </w:r>
    </w:p>
    <w:p>
      <w:pPr>
        <w:pStyle w:val="BodyText"/>
        <w:spacing w:line="240" w:lineRule="auto" w:before="19"/>
        <w:ind w:right="1133"/>
        <w:jc w:val="left"/>
      </w:pPr>
      <w:r>
        <w:rPr/>
        <w:t>股东情况：</w:t>
      </w:r>
    </w:p>
    <w:p>
      <w:pPr>
        <w:spacing w:after="0" w:line="240" w:lineRule="auto"/>
        <w:jc w:val="lef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4407"/>
        <w:gridCol w:w="2734"/>
        <w:gridCol w:w="2410"/>
      </w:tblGrid>
      <w:tr>
        <w:trPr>
          <w:trHeight w:val="348" w:hRule="exact"/>
        </w:trPr>
        <w:tc>
          <w:tcPr>
            <w:tcW w:w="440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7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出资额</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24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出资比例</w:t>
            </w:r>
            <w:r>
              <w:rPr>
                <w:rFonts w:ascii="Times New Roman" w:hAnsi="Times New Roman" w:cs="Times New Roman" w:eastAsia="Times New Roman" w:hint="default"/>
                <w:sz w:val="18"/>
                <w:szCs w:val="18"/>
              </w:rPr>
              <w:t>(%)</w:t>
            </w:r>
          </w:p>
        </w:tc>
      </w:tr>
      <w:tr>
        <w:trPr>
          <w:trHeight w:val="346" w:hRule="exact"/>
        </w:trPr>
        <w:tc>
          <w:tcPr>
            <w:tcW w:w="440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2"/>
              <w:ind w:left="4" w:right="0"/>
              <w:jc w:val="center"/>
              <w:rPr>
                <w:rFonts w:ascii="宋体" w:hAnsi="宋体" w:cs="宋体" w:eastAsia="宋体" w:hint="default"/>
                <w:sz w:val="18"/>
                <w:szCs w:val="18"/>
              </w:rPr>
            </w:pPr>
            <w:r>
              <w:rPr>
                <w:rFonts w:ascii="宋体" w:hAnsi="宋体" w:cs="宋体" w:eastAsia="宋体" w:hint="default"/>
                <w:sz w:val="18"/>
                <w:szCs w:val="18"/>
              </w:rPr>
              <w:t>深圳市优博讯科技股份有限公司</w:t>
            </w:r>
          </w:p>
        </w:tc>
        <w:tc>
          <w:tcPr>
            <w:tcW w:w="2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100.00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1"/>
        <w:rPr>
          <w:rFonts w:ascii="宋体" w:hAnsi="宋体" w:cs="宋体" w:eastAsia="宋体" w:hint="default"/>
          <w:sz w:val="21"/>
          <w:szCs w:val="21"/>
        </w:rPr>
      </w:pPr>
    </w:p>
    <w:p>
      <w:pPr>
        <w:pStyle w:val="BodyText"/>
        <w:spacing w:line="300" w:lineRule="auto" w:before="44"/>
        <w:ind w:right="5534"/>
        <w:jc w:val="left"/>
        <w:rPr>
          <w:rFonts w:ascii="Times New Roman" w:hAnsi="Times New Roman" w:cs="Times New Roman" w:eastAsia="Times New Roman" w:hint="default"/>
        </w:rPr>
      </w:pPr>
      <w:r>
        <w:rPr>
          <w:rFonts w:ascii="Times New Roman" w:hAnsi="Times New Roman" w:cs="Times New Roman" w:eastAsia="Times New Roman" w:hint="default"/>
        </w:rPr>
        <w:t>2</w:t>
      </w:r>
      <w:r>
        <w:rPr/>
        <w:t>、深圳市优金支付科技有限公司 统一社会信用代码：</w:t>
      </w:r>
      <w:r>
        <w:rPr>
          <w:rFonts w:ascii="Times New Roman" w:hAnsi="Times New Roman" w:cs="Times New Roman" w:eastAsia="Times New Roman" w:hint="default"/>
        </w:rPr>
        <w:t>91440300335151070D</w:t>
      </w:r>
      <w:r>
        <w:rPr>
          <w:rFonts w:ascii="Times New Roman" w:hAnsi="Times New Roman" w:cs="Times New Roman" w:eastAsia="Times New Roman" w:hint="default"/>
          <w:w w:val="99"/>
        </w:rPr>
        <w:t> </w:t>
      </w:r>
      <w:r>
        <w:rPr/>
        <w:t>住所：深圳市南山区粤海街道学府路</w:t>
      </w:r>
      <w:r>
        <w:rPr>
          <w:rFonts w:ascii="Times New Roman" w:hAnsi="Times New Roman" w:cs="Times New Roman" w:eastAsia="Times New Roman" w:hint="default"/>
        </w:rPr>
        <w:t>63</w:t>
      </w:r>
      <w:r>
        <w:rPr/>
        <w:t>号高新区联合总部大厦</w:t>
      </w:r>
      <w:r>
        <w:rPr>
          <w:rFonts w:ascii="Times New Roman" w:hAnsi="Times New Roman" w:cs="Times New Roman" w:eastAsia="Times New Roman" w:hint="default"/>
        </w:rPr>
        <w:t>36</w:t>
      </w:r>
      <w:r>
        <w:rPr/>
        <w:t>层 法定代表人：</w:t>
      </w:r>
      <w:r>
        <w:rPr>
          <w:rFonts w:ascii="Times New Roman" w:hAnsi="Times New Roman" w:cs="Times New Roman" w:eastAsia="Times New Roman" w:hint="default"/>
        </w:rPr>
        <w:t>LIU</w:t>
      </w:r>
      <w:r>
        <w:rPr>
          <w:rFonts w:ascii="Times New Roman" w:hAnsi="Times New Roman" w:cs="Times New Roman" w:eastAsia="Times New Roman" w:hint="default"/>
          <w:spacing w:val="-4"/>
        </w:rPr>
        <w:t> </w:t>
      </w:r>
      <w:r>
        <w:rPr>
          <w:rFonts w:ascii="Times New Roman" w:hAnsi="Times New Roman" w:cs="Times New Roman" w:eastAsia="Times New Roman" w:hint="default"/>
        </w:rPr>
        <w:t>DAN</w:t>
      </w:r>
    </w:p>
    <w:p>
      <w:pPr>
        <w:pStyle w:val="BodyText"/>
        <w:spacing w:line="307" w:lineRule="auto" w:before="13"/>
        <w:ind w:right="6794"/>
        <w:jc w:val="left"/>
      </w:pPr>
      <w:r>
        <w:rPr/>
        <w:t>认缴注册资本总额（万元）：</w:t>
      </w:r>
      <w:r>
        <w:rPr>
          <w:rFonts w:ascii="Times New Roman" w:hAnsi="Times New Roman" w:cs="Times New Roman" w:eastAsia="Times New Roman" w:hint="default"/>
        </w:rPr>
        <w:t>500</w:t>
      </w:r>
      <w:r>
        <w:rPr>
          <w:rFonts w:ascii="Times New Roman" w:hAnsi="Times New Roman" w:cs="Times New Roman" w:eastAsia="Times New Roman" w:hint="default"/>
          <w:spacing w:val="-42"/>
        </w:rPr>
        <w:t> </w:t>
      </w:r>
      <w:r>
        <w:rPr/>
        <w:t>企业类型：有限责任公司（法人独资） 成立日期：</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14</w:t>
      </w:r>
      <w:r>
        <w:rPr/>
        <w:t>日 营业期限：自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14</w:t>
      </w:r>
      <w:r>
        <w:rPr/>
        <w:t>日起至</w:t>
      </w:r>
      <w:r>
        <w:rPr>
          <w:rFonts w:ascii="Times New Roman" w:hAnsi="Times New Roman" w:cs="Times New Roman" w:eastAsia="Times New Roman" w:hint="default"/>
        </w:rPr>
        <w:t>2025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日止</w:t>
      </w:r>
    </w:p>
    <w:p>
      <w:pPr>
        <w:pStyle w:val="BodyText"/>
        <w:spacing w:line="319" w:lineRule="auto" w:before="7"/>
        <w:ind w:right="1129"/>
        <w:jc w:val="left"/>
      </w:pPr>
      <w:r>
        <w:rPr>
          <w:spacing w:val="-2"/>
        </w:rPr>
        <w:t>经营范围：计算机软、硬件产品、电子产品的设计、研发、技术咨询和销售；移动支付技术、电子支付技术的研发、技术咨</w:t>
      </w:r>
      <w:r>
        <w:rPr>
          <w:spacing w:val="-65"/>
        </w:rPr>
        <w:t> </w:t>
      </w:r>
      <w:r>
        <w:rPr>
          <w:spacing w:val="-65"/>
        </w:rPr>
      </w:r>
      <w:r>
        <w:rPr/>
        <w:t>询和销售。</w:t>
      </w:r>
    </w:p>
    <w:p>
      <w:pPr>
        <w:pStyle w:val="BodyText"/>
        <w:spacing w:line="240" w:lineRule="auto" w:before="17"/>
        <w:ind w:right="1133"/>
        <w:jc w:val="left"/>
      </w:pPr>
      <w:r>
        <w:rPr/>
        <w:t>股东情况：</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436"/>
        <w:gridCol w:w="2751"/>
        <w:gridCol w:w="2425"/>
      </w:tblGrid>
      <w:tr>
        <w:trPr>
          <w:trHeight w:val="348" w:hRule="exact"/>
        </w:trPr>
        <w:tc>
          <w:tcPr>
            <w:tcW w:w="44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7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出资额</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24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出资比例</w:t>
            </w:r>
            <w:r>
              <w:rPr>
                <w:rFonts w:ascii="Times New Roman" w:hAnsi="Times New Roman" w:cs="Times New Roman" w:eastAsia="Times New Roman" w:hint="default"/>
                <w:sz w:val="18"/>
                <w:szCs w:val="18"/>
              </w:rPr>
              <w:t>(%)</w:t>
            </w:r>
          </w:p>
        </w:tc>
      </w:tr>
      <w:tr>
        <w:trPr>
          <w:trHeight w:val="348" w:hRule="exact"/>
        </w:trPr>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深圳市优博讯科技股份有限公司</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500.00</w:t>
            </w:r>
          </w:p>
        </w:tc>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1"/>
        <w:rPr>
          <w:rFonts w:ascii="宋体" w:hAnsi="宋体" w:cs="宋体" w:eastAsia="宋体" w:hint="default"/>
          <w:sz w:val="21"/>
          <w:szCs w:val="21"/>
        </w:rPr>
      </w:pPr>
    </w:p>
    <w:p>
      <w:pPr>
        <w:pStyle w:val="BodyText"/>
        <w:spacing w:line="300" w:lineRule="auto" w:before="44"/>
        <w:ind w:right="4599"/>
        <w:jc w:val="left"/>
      </w:pPr>
      <w:r>
        <w:rPr>
          <w:rFonts w:ascii="Times New Roman" w:hAnsi="Times New Roman" w:cs="Times New Roman" w:eastAsia="Times New Roman" w:hint="default"/>
        </w:rPr>
        <w:t>3</w:t>
      </w:r>
      <w:r>
        <w:rPr/>
        <w:t>、武汉市优博讯软件科技有限公司 统一社会信用代码：</w:t>
      </w:r>
      <w:r>
        <w:rPr>
          <w:rFonts w:ascii="Times New Roman" w:hAnsi="Times New Roman" w:cs="Times New Roman" w:eastAsia="Times New Roman" w:hint="default"/>
        </w:rPr>
        <w:t>91420100MA4KNLPR5F</w:t>
      </w:r>
      <w:r>
        <w:rPr>
          <w:rFonts w:ascii="Times New Roman" w:hAnsi="Times New Roman" w:cs="Times New Roman" w:eastAsia="Times New Roman" w:hint="default"/>
          <w:w w:val="99"/>
        </w:rPr>
        <w:t> </w:t>
      </w:r>
      <w:r>
        <w:rPr/>
        <w:t>住所：武汉市东湖新技术开发区花城大道</w:t>
      </w:r>
      <w:r>
        <w:rPr>
          <w:rFonts w:ascii="Times New Roman" w:hAnsi="Times New Roman" w:cs="Times New Roman" w:eastAsia="Times New Roman" w:hint="default"/>
        </w:rPr>
        <w:t>9</w:t>
      </w:r>
      <w:r>
        <w:rPr/>
        <w:t>号武汉软件新城</w:t>
      </w:r>
      <w:r>
        <w:rPr>
          <w:rFonts w:ascii="Times New Roman" w:hAnsi="Times New Roman" w:cs="Times New Roman" w:eastAsia="Times New Roman" w:hint="default"/>
        </w:rPr>
        <w:t>1.1</w:t>
      </w:r>
      <w:r>
        <w:rPr/>
        <w:t>期</w:t>
      </w:r>
      <w:r>
        <w:rPr>
          <w:rFonts w:ascii="Times New Roman" w:hAnsi="Times New Roman" w:cs="Times New Roman" w:eastAsia="Times New Roman" w:hint="default"/>
        </w:rPr>
        <w:t>A</w:t>
      </w:r>
      <w:r>
        <w:rPr/>
        <w:t>区</w:t>
      </w:r>
      <w:r>
        <w:rPr>
          <w:rFonts w:ascii="Times New Roman" w:hAnsi="Times New Roman" w:cs="Times New Roman" w:eastAsia="Times New Roman" w:hint="default"/>
        </w:rPr>
        <w:t>A2</w:t>
      </w:r>
      <w:r>
        <w:rPr/>
        <w:t>栋</w:t>
      </w:r>
      <w:r>
        <w:rPr>
          <w:rFonts w:ascii="Times New Roman" w:hAnsi="Times New Roman" w:cs="Times New Roman" w:eastAsia="Times New Roman" w:hint="default"/>
        </w:rPr>
        <w:t>404</w:t>
      </w:r>
      <w:r>
        <w:rPr/>
        <w:t>室 法定代表人：张雷</w:t>
      </w:r>
    </w:p>
    <w:p>
      <w:pPr>
        <w:pStyle w:val="BodyText"/>
        <w:spacing w:line="307" w:lineRule="auto" w:before="31"/>
        <w:ind w:right="6614"/>
        <w:jc w:val="left"/>
      </w:pPr>
      <w:r>
        <w:rPr/>
        <w:t>认缴注册资本总额（万元）：</w:t>
      </w:r>
      <w:r>
        <w:rPr>
          <w:rFonts w:ascii="Times New Roman" w:hAnsi="Times New Roman" w:cs="Times New Roman" w:eastAsia="Times New Roman" w:hint="default"/>
        </w:rPr>
        <w:t>500</w:t>
      </w:r>
      <w:r>
        <w:rPr>
          <w:rFonts w:ascii="Times New Roman" w:hAnsi="Times New Roman" w:cs="Times New Roman" w:eastAsia="Times New Roman" w:hint="default"/>
          <w:spacing w:val="-42"/>
        </w:rPr>
        <w:t> </w:t>
      </w:r>
      <w:r>
        <w:rPr/>
        <w:t>企业类型：有限责任公司（外商投资企业法人独资） 成立日期：</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 营业期限：自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日起至</w:t>
      </w:r>
      <w:r>
        <w:rPr>
          <w:rFonts w:ascii="Times New Roman" w:hAnsi="Times New Roman" w:cs="Times New Roman" w:eastAsia="Times New Roman" w:hint="default"/>
        </w:rPr>
        <w:t>2026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日止</w:t>
      </w:r>
    </w:p>
    <w:p>
      <w:pPr>
        <w:pStyle w:val="BodyText"/>
        <w:spacing w:line="300" w:lineRule="auto" w:before="7"/>
        <w:ind w:right="1039"/>
        <w:jc w:val="left"/>
      </w:pPr>
      <w:r>
        <w:rPr>
          <w:spacing w:val="-1"/>
        </w:rPr>
        <w:t>经营范围：计算机软硬件的设计、开发、技术咨询、技术服务、批发兼零售</w:t>
      </w:r>
      <w:r>
        <w:rPr>
          <w:rFonts w:ascii="Times New Roman" w:hAnsi="Times New Roman" w:cs="Times New Roman" w:eastAsia="Times New Roman" w:hint="default"/>
          <w:spacing w:val="-1"/>
        </w:rPr>
        <w:t>;</w:t>
      </w:r>
      <w:r>
        <w:rPr>
          <w:spacing w:val="-1"/>
        </w:rPr>
        <w:t>计算机系统集成服务。（依法须经审批的项目，</w:t>
      </w:r>
      <w:r>
        <w:rPr>
          <w:spacing w:val="-79"/>
        </w:rPr>
        <w:t> </w:t>
      </w:r>
      <w:r>
        <w:rPr>
          <w:spacing w:val="-79"/>
        </w:rPr>
      </w:r>
      <w:r>
        <w:rPr/>
        <w:t>经相关部门审批后方可开展经营活动）</w:t>
      </w:r>
    </w:p>
    <w:p>
      <w:pPr>
        <w:pStyle w:val="BodyText"/>
        <w:spacing w:line="240" w:lineRule="auto" w:before="31"/>
        <w:ind w:right="1133"/>
        <w:jc w:val="left"/>
      </w:pPr>
      <w:r>
        <w:rPr/>
        <w:t>股东情况：</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436"/>
        <w:gridCol w:w="2751"/>
        <w:gridCol w:w="2425"/>
      </w:tblGrid>
      <w:tr>
        <w:trPr>
          <w:trHeight w:val="329" w:hRule="exact"/>
        </w:trPr>
        <w:tc>
          <w:tcPr>
            <w:tcW w:w="44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7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出资额</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24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出资比例</w:t>
            </w:r>
            <w:r>
              <w:rPr>
                <w:rFonts w:ascii="Times New Roman" w:hAnsi="Times New Roman" w:cs="Times New Roman" w:eastAsia="Times New Roman" w:hint="default"/>
                <w:sz w:val="18"/>
                <w:szCs w:val="18"/>
              </w:rPr>
              <w:t>(%)</w:t>
            </w:r>
          </w:p>
        </w:tc>
      </w:tr>
      <w:tr>
        <w:trPr>
          <w:trHeight w:val="365" w:hRule="exact"/>
        </w:trPr>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深圳市优博讯科技股份有限公司</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 w:right="0"/>
              <w:jc w:val="center"/>
              <w:rPr>
                <w:rFonts w:ascii="Times New Roman" w:hAnsi="Times New Roman" w:cs="Times New Roman" w:eastAsia="Times New Roman" w:hint="default"/>
                <w:sz w:val="18"/>
                <w:szCs w:val="18"/>
              </w:rPr>
            </w:pPr>
            <w:r>
              <w:rPr>
                <w:rFonts w:ascii="Times New Roman"/>
                <w:sz w:val="18"/>
              </w:rPr>
              <w:t>500.00</w:t>
            </w:r>
          </w:p>
        </w:tc>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7"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2"/>
        <w:rPr>
          <w:rFonts w:ascii="宋体" w:hAnsi="宋体" w:cs="宋体" w:eastAsia="宋体" w:hint="default"/>
          <w:sz w:val="24"/>
          <w:szCs w:val="24"/>
        </w:rPr>
      </w:pPr>
    </w:p>
    <w:p>
      <w:pPr>
        <w:pStyle w:val="BodyText"/>
        <w:spacing w:line="240" w:lineRule="auto" w:before="44"/>
        <w:ind w:right="1133"/>
        <w:jc w:val="left"/>
      </w:pPr>
      <w:r>
        <w:rPr>
          <w:rFonts w:ascii="Times New Roman" w:hAnsi="Times New Roman" w:cs="Times New Roman" w:eastAsia="Times New Roman" w:hint="default"/>
        </w:rPr>
        <w:t>4</w:t>
      </w:r>
      <w:r>
        <w:rPr/>
        <w:t>、上述公司报告期较上一年度主要财务指标变化的原因：</w:t>
      </w:r>
    </w:p>
    <w:p>
      <w:pPr>
        <w:pStyle w:val="Heading4"/>
        <w:spacing w:line="240" w:lineRule="auto" w:before="103"/>
        <w:ind w:left="152" w:right="1133"/>
        <w:jc w:val="left"/>
        <w:rPr>
          <w:b w:val="0"/>
          <w:bCs w:val="0"/>
        </w:rPr>
      </w:pPr>
      <w:r>
        <w:rPr/>
        <w:t>（</w:t>
      </w:r>
      <w:r>
        <w:rPr>
          <w:rFonts w:ascii="Times New Roman" w:hAnsi="Times New Roman" w:cs="Times New Roman" w:eastAsia="Times New Roman" w:hint="default"/>
        </w:rPr>
        <w:t>1</w:t>
      </w:r>
      <w:r>
        <w:rPr/>
        <w:t>）优博讯软件</w:t>
      </w:r>
      <w:r>
        <w:rPr>
          <w:b w:val="0"/>
          <w:bCs w:val="0"/>
        </w:rPr>
      </w:r>
    </w:p>
    <w:p>
      <w:pPr>
        <w:spacing w:line="240" w:lineRule="auto" w:before="1"/>
        <w:rPr>
          <w:rFonts w:ascii="宋体" w:hAnsi="宋体" w:cs="宋体" w:eastAsia="宋体" w:hint="default"/>
          <w:b/>
          <w:bCs/>
          <w:sz w:val="7"/>
          <w:szCs w:val="7"/>
        </w:rPr>
      </w:pPr>
    </w:p>
    <w:tbl>
      <w:tblPr>
        <w:tblW w:w="0" w:type="auto"/>
        <w:jc w:val="left"/>
        <w:tblInd w:w="145" w:type="dxa"/>
        <w:tblLayout w:type="fixed"/>
        <w:tblCellMar>
          <w:top w:w="0" w:type="dxa"/>
          <w:left w:w="0" w:type="dxa"/>
          <w:bottom w:w="0" w:type="dxa"/>
          <w:right w:w="0" w:type="dxa"/>
        </w:tblCellMar>
        <w:tblLook w:val="01E0"/>
      </w:tblPr>
      <w:tblGrid>
        <w:gridCol w:w="2100"/>
        <w:gridCol w:w="1184"/>
        <w:gridCol w:w="1181"/>
        <w:gridCol w:w="920"/>
        <w:gridCol w:w="4263"/>
      </w:tblGrid>
      <w:tr>
        <w:trPr>
          <w:trHeight w:val="348" w:hRule="exact"/>
        </w:trPr>
        <w:tc>
          <w:tcPr>
            <w:tcW w:w="9648" w:type="dxa"/>
            <w:gridSpan w:val="5"/>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资产负债表</w:t>
            </w:r>
          </w:p>
        </w:tc>
      </w:tr>
      <w:tr>
        <w:trPr>
          <w:trHeight w:val="346" w:hRule="exact"/>
        </w:trPr>
        <w:tc>
          <w:tcPr>
            <w:tcW w:w="21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2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9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变动比例</w:t>
            </w:r>
          </w:p>
        </w:tc>
        <w:tc>
          <w:tcPr>
            <w:tcW w:w="42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348" w:hRule="exact"/>
        </w:trPr>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18,748,173.90</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6,279,951.81</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198.54%</w:t>
            </w:r>
          </w:p>
        </w:tc>
        <w:tc>
          <w:tcPr>
            <w:tcW w:w="4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主要系本期应收母公司往来款增加所致</w:t>
            </w:r>
          </w:p>
        </w:tc>
      </w:tr>
      <w:tr>
        <w:trPr>
          <w:trHeight w:val="348" w:hRule="exact"/>
        </w:trPr>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2,258,927.43</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151,304.31</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1392.97%</w:t>
            </w:r>
          </w:p>
        </w:tc>
        <w:tc>
          <w:tcPr>
            <w:tcW w:w="4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主要系本期期末进项税额留抵，预缴企业所得税所致</w:t>
            </w:r>
          </w:p>
        </w:tc>
      </w:tr>
      <w:tr>
        <w:trPr>
          <w:trHeight w:val="346" w:hRule="exact"/>
        </w:trPr>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4,071.29</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13,720.85</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-70.33%</w:t>
            </w:r>
          </w:p>
        </w:tc>
        <w:tc>
          <w:tcPr>
            <w:tcW w:w="4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主要系软件使用费摊销减少所致</w:t>
            </w:r>
          </w:p>
        </w:tc>
      </w:tr>
      <w:tr>
        <w:trPr>
          <w:trHeight w:val="348" w:hRule="exact"/>
        </w:trPr>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23,859.49</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38,010.49</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-37.23%</w:t>
            </w:r>
          </w:p>
        </w:tc>
        <w:tc>
          <w:tcPr>
            <w:tcW w:w="4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主要系服务费摊销减少所致</w:t>
            </w:r>
          </w:p>
        </w:tc>
      </w:tr>
      <w:tr>
        <w:trPr>
          <w:trHeight w:val="658" w:hRule="exact"/>
        </w:trPr>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53,801.31</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35,615.28</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51.06%</w:t>
            </w:r>
          </w:p>
        </w:tc>
        <w:tc>
          <w:tcPr>
            <w:tcW w:w="426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01"/>
              <w:jc w:val="left"/>
              <w:rPr>
                <w:rFonts w:ascii="宋体" w:hAnsi="宋体" w:cs="宋体" w:eastAsia="宋体" w:hint="default"/>
                <w:sz w:val="18"/>
                <w:szCs w:val="18"/>
              </w:rPr>
            </w:pPr>
            <w:r>
              <w:rPr>
                <w:rFonts w:ascii="宋体" w:hAnsi="宋体" w:cs="宋体" w:eastAsia="宋体" w:hint="default"/>
                <w:sz w:val="18"/>
                <w:szCs w:val="18"/>
              </w:rPr>
              <w:t>主要系本期其他应收款坏账准备确认递延所得税资产 所致</w:t>
            </w:r>
          </w:p>
        </w:tc>
      </w:tr>
      <w:tr>
        <w:trPr>
          <w:trHeight w:val="348" w:hRule="exact"/>
        </w:trPr>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457,086.06</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2,882,857.65</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-84.14%</w:t>
            </w:r>
          </w:p>
        </w:tc>
        <w:tc>
          <w:tcPr>
            <w:tcW w:w="4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主要系期末应交增值税及附加税费减少所致</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2100"/>
        <w:gridCol w:w="132"/>
        <w:gridCol w:w="1052"/>
        <w:gridCol w:w="1181"/>
        <w:gridCol w:w="920"/>
        <w:gridCol w:w="4263"/>
      </w:tblGrid>
      <w:tr>
        <w:trPr>
          <w:trHeight w:val="348" w:hRule="exact"/>
        </w:trPr>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20" w:right="0"/>
              <w:jc w:val="left"/>
              <w:rPr>
                <w:rFonts w:ascii="Times New Roman" w:hAnsi="Times New Roman" w:cs="Times New Roman" w:eastAsia="Times New Roman" w:hint="default"/>
                <w:sz w:val="18"/>
                <w:szCs w:val="18"/>
              </w:rPr>
            </w:pPr>
            <w:r>
              <w:rPr>
                <w:rFonts w:ascii="Times New Roman"/>
                <w:sz w:val="18"/>
              </w:rPr>
              <w:t>3,528,886.63</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1,598,120.78</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120.81%</w:t>
            </w:r>
          </w:p>
        </w:tc>
        <w:tc>
          <w:tcPr>
            <w:tcW w:w="4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主要系本期应付内部往来公司款项增加所致</w:t>
            </w:r>
          </w:p>
        </w:tc>
      </w:tr>
      <w:tr>
        <w:trPr>
          <w:trHeight w:val="658" w:hRule="exact"/>
        </w:trPr>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1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55" w:right="0"/>
              <w:jc w:val="left"/>
              <w:rPr>
                <w:rFonts w:ascii="Times New Roman" w:hAnsi="Times New Roman" w:cs="Times New Roman" w:eastAsia="Times New Roman" w:hint="default"/>
                <w:sz w:val="18"/>
                <w:szCs w:val="18"/>
              </w:rPr>
            </w:pPr>
            <w:r>
              <w:rPr>
                <w:rFonts w:ascii="Times New Roman"/>
                <w:sz w:val="18"/>
              </w:rPr>
              <w:t>167,700.00</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115,000.00</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45.83%</w:t>
            </w:r>
          </w:p>
        </w:tc>
        <w:tc>
          <w:tcPr>
            <w:tcW w:w="426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01"/>
              <w:jc w:val="left"/>
              <w:rPr>
                <w:rFonts w:ascii="宋体" w:hAnsi="宋体" w:cs="宋体" w:eastAsia="宋体" w:hint="default"/>
                <w:sz w:val="18"/>
                <w:szCs w:val="18"/>
              </w:rPr>
            </w:pPr>
            <w:r>
              <w:rPr>
                <w:rFonts w:ascii="宋体" w:hAnsi="宋体" w:cs="宋体" w:eastAsia="宋体" w:hint="default"/>
                <w:sz w:val="18"/>
                <w:szCs w:val="18"/>
              </w:rPr>
              <w:t>主要系本期收到的重点企事业单位住房补租补贴增加 所致</w:t>
            </w:r>
          </w:p>
        </w:tc>
      </w:tr>
      <w:tr>
        <w:trPr>
          <w:trHeight w:val="348" w:hRule="exact"/>
        </w:trPr>
        <w:tc>
          <w:tcPr>
            <w:tcW w:w="9648" w:type="dxa"/>
            <w:gridSpan w:val="6"/>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利润表</w:t>
            </w:r>
          </w:p>
        </w:tc>
      </w:tr>
      <w:tr>
        <w:trPr>
          <w:trHeight w:val="346" w:hRule="exact"/>
        </w:trPr>
        <w:tc>
          <w:tcPr>
            <w:tcW w:w="21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84"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2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1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25"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9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变动比例</w:t>
            </w:r>
          </w:p>
        </w:tc>
        <w:tc>
          <w:tcPr>
            <w:tcW w:w="42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348" w:hRule="exact"/>
        </w:trPr>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1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5" w:right="0"/>
              <w:jc w:val="left"/>
              <w:rPr>
                <w:rFonts w:ascii="Times New Roman" w:hAnsi="Times New Roman" w:cs="Times New Roman" w:eastAsia="Times New Roman" w:hint="default"/>
                <w:sz w:val="18"/>
                <w:szCs w:val="18"/>
              </w:rPr>
            </w:pPr>
            <w:r>
              <w:rPr>
                <w:rFonts w:ascii="Times New Roman"/>
                <w:sz w:val="18"/>
              </w:rPr>
              <w:t>504,988.38</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766,482.91</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-34.12%</w:t>
            </w:r>
          </w:p>
        </w:tc>
        <w:tc>
          <w:tcPr>
            <w:tcW w:w="4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主要系组织架构优化导致人员费用总额减少所致</w:t>
            </w:r>
          </w:p>
        </w:tc>
      </w:tr>
      <w:tr>
        <w:trPr>
          <w:trHeight w:val="658" w:hRule="exact"/>
        </w:trPr>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1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55" w:right="0"/>
              <w:jc w:val="left"/>
              <w:rPr>
                <w:rFonts w:ascii="Times New Roman" w:hAnsi="Times New Roman" w:cs="Times New Roman" w:eastAsia="Times New Roman" w:hint="default"/>
                <w:sz w:val="18"/>
                <w:szCs w:val="18"/>
              </w:rPr>
            </w:pPr>
            <w:r>
              <w:rPr>
                <w:rFonts w:ascii="Times New Roman"/>
                <w:sz w:val="18"/>
              </w:rPr>
              <w:t>332,529.73</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123,486.66</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169.28%</w:t>
            </w:r>
          </w:p>
        </w:tc>
        <w:tc>
          <w:tcPr>
            <w:tcW w:w="426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01"/>
              <w:jc w:val="left"/>
              <w:rPr>
                <w:rFonts w:ascii="宋体" w:hAnsi="宋体" w:cs="宋体" w:eastAsia="宋体" w:hint="default"/>
                <w:sz w:val="18"/>
                <w:szCs w:val="18"/>
              </w:rPr>
            </w:pPr>
            <w:r>
              <w:rPr>
                <w:rFonts w:ascii="宋体" w:hAnsi="宋体" w:cs="宋体" w:eastAsia="宋体" w:hint="default"/>
                <w:sz w:val="18"/>
                <w:szCs w:val="18"/>
              </w:rPr>
              <w:t>主要系本期收到母公司开出的信用证进行议付导致手 续费增加</w:t>
            </w:r>
          </w:p>
        </w:tc>
      </w:tr>
      <w:tr>
        <w:trPr>
          <w:trHeight w:val="348" w:hRule="exact"/>
        </w:trPr>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1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-246.47</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4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本报告期未处置相关资产</w:t>
            </w:r>
          </w:p>
        </w:tc>
      </w:tr>
      <w:tr>
        <w:trPr>
          <w:trHeight w:val="660" w:hRule="exact"/>
        </w:trPr>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184" w:type="dxa"/>
            <w:gridSpan w:val="2"/>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102,615.11</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426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1"/>
              <w:jc w:val="left"/>
              <w:rPr>
                <w:rFonts w:ascii="宋体" w:hAnsi="宋体" w:cs="宋体" w:eastAsia="宋体" w:hint="default"/>
                <w:sz w:val="18"/>
                <w:szCs w:val="18"/>
              </w:rPr>
            </w:pPr>
            <w:r>
              <w:rPr>
                <w:rFonts w:ascii="宋体" w:hAnsi="宋体" w:cs="宋体" w:eastAsia="宋体" w:hint="default"/>
                <w:spacing w:val="-4"/>
                <w:sz w:val="18"/>
                <w:szCs w:val="18"/>
              </w:rPr>
              <w:t>本期其他应收款坏账准备计提根据《企业会计准则第</w:t>
            </w:r>
            <w:r>
              <w:rPr>
                <w:rFonts w:ascii="Times New Roman" w:hAnsi="Times New Roman" w:cs="Times New Roman" w:eastAsia="Times New Roman" w:hint="default"/>
                <w:spacing w:val="-4"/>
                <w:sz w:val="18"/>
                <w:szCs w:val="18"/>
              </w:rPr>
              <w:t>22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号》新增至信用减值损失科目核算</w:t>
            </w:r>
          </w:p>
        </w:tc>
      </w:tr>
      <w:tr>
        <w:trPr>
          <w:trHeight w:val="346" w:hRule="exact"/>
        </w:trPr>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1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86" w:right="0"/>
              <w:jc w:val="left"/>
              <w:rPr>
                <w:rFonts w:ascii="Times New Roman" w:hAnsi="Times New Roman" w:cs="Times New Roman" w:eastAsia="Times New Roman" w:hint="default"/>
                <w:sz w:val="18"/>
                <w:szCs w:val="18"/>
              </w:rPr>
            </w:pPr>
            <w:r>
              <w:rPr>
                <w:rFonts w:ascii="Times New Roman"/>
                <w:sz w:val="18"/>
              </w:rPr>
              <w:t>-20,044.13</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4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主要系本期其他应收款坏账准备计提</w:t>
            </w:r>
          </w:p>
        </w:tc>
      </w:tr>
      <w:tr>
        <w:trPr>
          <w:trHeight w:val="348" w:hRule="exact"/>
        </w:trPr>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1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0.03</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3.77</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-99.20%</w:t>
            </w:r>
          </w:p>
        </w:tc>
        <w:tc>
          <w:tcPr>
            <w:tcW w:w="4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主要系本期收到的非日常活动相关款项所致</w:t>
            </w:r>
          </w:p>
        </w:tc>
      </w:tr>
      <w:tr>
        <w:trPr>
          <w:trHeight w:val="346" w:hRule="exact"/>
        </w:trPr>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1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35" w:right="0"/>
              <w:jc w:val="left"/>
              <w:rPr>
                <w:rFonts w:ascii="Times New Roman" w:hAnsi="Times New Roman" w:cs="Times New Roman" w:eastAsia="Times New Roman" w:hint="default"/>
                <w:sz w:val="18"/>
                <w:szCs w:val="18"/>
              </w:rPr>
            </w:pPr>
            <w:r>
              <w:rPr>
                <w:rFonts w:ascii="Times New Roman"/>
                <w:sz w:val="18"/>
              </w:rPr>
              <w:t>2,427.20</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36,925.98</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-93.43%</w:t>
            </w:r>
          </w:p>
        </w:tc>
        <w:tc>
          <w:tcPr>
            <w:tcW w:w="4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主要系本期个税手续费返还减少所致</w:t>
            </w:r>
          </w:p>
        </w:tc>
      </w:tr>
      <w:tr>
        <w:trPr>
          <w:trHeight w:val="348" w:hRule="exact"/>
        </w:trPr>
        <w:tc>
          <w:tcPr>
            <w:tcW w:w="9648" w:type="dxa"/>
            <w:gridSpan w:val="6"/>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现金流量表</w:t>
            </w:r>
          </w:p>
        </w:tc>
      </w:tr>
      <w:tr>
        <w:trPr>
          <w:trHeight w:val="348" w:hRule="exact"/>
        </w:trPr>
        <w:tc>
          <w:tcPr>
            <w:tcW w:w="2232"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6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1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25"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9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变动比例</w:t>
            </w:r>
          </w:p>
        </w:tc>
        <w:tc>
          <w:tcPr>
            <w:tcW w:w="42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658" w:hRule="exact"/>
        </w:trPr>
        <w:tc>
          <w:tcPr>
            <w:tcW w:w="2232" w:type="dxa"/>
            <w:gridSpan w:val="2"/>
            <w:tcBorders>
              <w:top w:val="single" w:sz="10" w:space="0" w:color="000000"/>
              <w:left w:val="single" w:sz="6" w:space="0" w:color="000000"/>
              <w:bottom w:val="single" w:sz="6" w:space="0" w:color="000000"/>
              <w:right w:val="single" w:sz="6" w:space="0" w:color="000000"/>
            </w:tcBorders>
          </w:tcPr>
          <w:p>
            <w:pPr>
              <w:pStyle w:val="TableParagraph"/>
              <w:spacing w:line="316" w:lineRule="auto" w:before="13"/>
              <w:ind w:left="4" w:right="51"/>
              <w:jc w:val="left"/>
              <w:rPr>
                <w:rFonts w:ascii="宋体" w:hAnsi="宋体" w:cs="宋体" w:eastAsia="宋体" w:hint="default"/>
                <w:sz w:val="18"/>
                <w:szCs w:val="18"/>
              </w:rPr>
            </w:pPr>
            <w:r>
              <w:rPr>
                <w:rFonts w:ascii="宋体" w:hAnsi="宋体" w:cs="宋体" w:eastAsia="宋体" w:hint="default"/>
                <w:sz w:val="18"/>
                <w:szCs w:val="18"/>
              </w:rPr>
              <w:t>销售商品、提供劳务收到的 现金</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37,471,594.5</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5</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57,528,534.00</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-34.86%</w:t>
            </w:r>
          </w:p>
        </w:tc>
        <w:tc>
          <w:tcPr>
            <w:tcW w:w="4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本期销售回款减少所致</w:t>
            </w:r>
          </w:p>
        </w:tc>
      </w:tr>
      <w:tr>
        <w:trPr>
          <w:trHeight w:val="660" w:hRule="exact"/>
        </w:trPr>
        <w:tc>
          <w:tcPr>
            <w:tcW w:w="2232"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51"/>
              <w:jc w:val="left"/>
              <w:rPr>
                <w:rFonts w:ascii="宋体" w:hAnsi="宋体" w:cs="宋体" w:eastAsia="宋体" w:hint="default"/>
                <w:sz w:val="18"/>
                <w:szCs w:val="18"/>
              </w:rPr>
            </w:pPr>
            <w:r>
              <w:rPr>
                <w:rFonts w:ascii="宋体" w:hAnsi="宋体" w:cs="宋体" w:eastAsia="宋体" w:hint="default"/>
                <w:sz w:val="18"/>
                <w:szCs w:val="18"/>
              </w:rPr>
              <w:t>支付给职工以及为职工支付 的现金</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7,842,957.75</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2,053,683.15</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281.90%</w:t>
            </w:r>
          </w:p>
        </w:tc>
        <w:tc>
          <w:tcPr>
            <w:tcW w:w="426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
              <w:jc w:val="left"/>
              <w:rPr>
                <w:rFonts w:ascii="宋体" w:hAnsi="宋体" w:cs="宋体" w:eastAsia="宋体" w:hint="default"/>
                <w:sz w:val="18"/>
                <w:szCs w:val="18"/>
              </w:rPr>
            </w:pPr>
            <w:r>
              <w:rPr>
                <w:rFonts w:ascii="宋体" w:hAnsi="宋体" w:cs="宋体" w:eastAsia="宋体" w:hint="default"/>
                <w:spacing w:val="-4"/>
                <w:sz w:val="18"/>
                <w:szCs w:val="18"/>
              </w:rPr>
              <w:t>主要系本期加强专业人才培养，员工激励支付相关费用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增加所致</w:t>
            </w:r>
          </w:p>
        </w:tc>
      </w:tr>
      <w:tr>
        <w:trPr>
          <w:trHeight w:val="658" w:hRule="exact"/>
        </w:trPr>
        <w:tc>
          <w:tcPr>
            <w:tcW w:w="2232"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51"/>
              <w:jc w:val="left"/>
              <w:rPr>
                <w:rFonts w:ascii="宋体" w:hAnsi="宋体" w:cs="宋体" w:eastAsia="宋体" w:hint="default"/>
                <w:sz w:val="18"/>
                <w:szCs w:val="18"/>
              </w:rPr>
            </w:pPr>
            <w:r>
              <w:rPr>
                <w:rFonts w:ascii="宋体" w:hAnsi="宋体" w:cs="宋体" w:eastAsia="宋体" w:hint="default"/>
                <w:sz w:val="18"/>
                <w:szCs w:val="18"/>
              </w:rPr>
              <w:t>支付其他与经营活动有关的 现金</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29,050,449.0</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9</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18,858,195.49</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54.05%</w:t>
            </w:r>
          </w:p>
        </w:tc>
        <w:tc>
          <w:tcPr>
            <w:tcW w:w="4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主要系本期付现费用增加所致</w:t>
            </w:r>
          </w:p>
        </w:tc>
      </w:tr>
      <w:tr>
        <w:trPr>
          <w:trHeight w:val="660" w:hRule="exact"/>
        </w:trPr>
        <w:tc>
          <w:tcPr>
            <w:tcW w:w="2232"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50"/>
              <w:jc w:val="left"/>
              <w:rPr>
                <w:rFonts w:ascii="宋体" w:hAnsi="宋体" w:cs="宋体" w:eastAsia="宋体" w:hint="default"/>
                <w:sz w:val="18"/>
                <w:szCs w:val="18"/>
              </w:rPr>
            </w:pPr>
            <w:r>
              <w:rPr>
                <w:rFonts w:ascii="宋体" w:hAnsi="宋体" w:cs="宋体" w:eastAsia="宋体" w:hint="default"/>
                <w:sz w:val="18"/>
                <w:szCs w:val="18"/>
              </w:rPr>
              <w:t>购建固定资产、无形资产和 其他长期资产支付的现金</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270,595.56</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400,538.00</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-32.44%</w:t>
            </w:r>
          </w:p>
        </w:tc>
        <w:tc>
          <w:tcPr>
            <w:tcW w:w="4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主要系本报告期购建固定资产减少所致</w:t>
            </w:r>
          </w:p>
        </w:tc>
      </w:tr>
      <w:tr>
        <w:trPr>
          <w:trHeight w:val="970" w:hRule="exact"/>
        </w:trPr>
        <w:tc>
          <w:tcPr>
            <w:tcW w:w="2232"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51"/>
              <w:jc w:val="both"/>
              <w:rPr>
                <w:rFonts w:ascii="宋体" w:hAnsi="宋体" w:cs="宋体" w:eastAsia="宋体" w:hint="default"/>
                <w:sz w:val="18"/>
                <w:szCs w:val="18"/>
              </w:rPr>
            </w:pPr>
            <w:r>
              <w:rPr>
                <w:rFonts w:ascii="宋体" w:hAnsi="宋体" w:cs="宋体" w:eastAsia="宋体" w:hint="default"/>
                <w:sz w:val="18"/>
                <w:szCs w:val="18"/>
              </w:rPr>
              <w:t>处置固定资产、无形资产和 其他长期资产收回的现金净 额</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4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主要系本期无相关资产处置所致</w:t>
            </w:r>
          </w:p>
        </w:tc>
      </w:tr>
      <w:tr>
        <w:trPr>
          <w:trHeight w:val="660" w:hRule="exact"/>
        </w:trPr>
        <w:tc>
          <w:tcPr>
            <w:tcW w:w="2232"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51"/>
              <w:jc w:val="left"/>
              <w:rPr>
                <w:rFonts w:ascii="宋体" w:hAnsi="宋体" w:cs="宋体" w:eastAsia="宋体" w:hint="default"/>
                <w:sz w:val="18"/>
                <w:szCs w:val="18"/>
              </w:rPr>
            </w:pPr>
            <w:r>
              <w:rPr>
                <w:rFonts w:ascii="宋体" w:hAnsi="宋体" w:cs="宋体" w:eastAsia="宋体" w:hint="default"/>
                <w:sz w:val="18"/>
                <w:szCs w:val="18"/>
              </w:rPr>
              <w:t>分配股利、利润或偿付利息 支付的现金</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30,000,000.00</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4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本期无相关事项增加</w:t>
            </w:r>
          </w:p>
        </w:tc>
      </w:tr>
    </w:tbl>
    <w:p>
      <w:pPr>
        <w:pStyle w:val="Heading4"/>
        <w:spacing w:line="240" w:lineRule="auto" w:before="49"/>
        <w:ind w:left="152" w:right="1133"/>
        <w:jc w:val="left"/>
        <w:rPr>
          <w:b w:val="0"/>
          <w:bCs w:val="0"/>
        </w:rPr>
      </w:pPr>
      <w:r>
        <w:rPr/>
        <w:t>（</w:t>
      </w:r>
      <w:r>
        <w:rPr>
          <w:rFonts w:ascii="Times New Roman" w:hAnsi="Times New Roman" w:cs="Times New Roman" w:eastAsia="Times New Roman" w:hint="default"/>
        </w:rPr>
        <w:t>2</w:t>
      </w:r>
      <w:r>
        <w:rPr/>
        <w:t>）优金支付</w:t>
      </w:r>
      <w:r>
        <w:rPr>
          <w:b w:val="0"/>
          <w:bCs w:val="0"/>
        </w:rPr>
      </w:r>
    </w:p>
    <w:p>
      <w:pPr>
        <w:spacing w:line="240" w:lineRule="auto" w:before="4"/>
        <w:rPr>
          <w:rFonts w:ascii="宋体" w:hAnsi="宋体" w:cs="宋体" w:eastAsia="宋体" w:hint="default"/>
          <w:b/>
          <w:bCs/>
          <w:sz w:val="7"/>
          <w:szCs w:val="7"/>
        </w:rPr>
      </w:pPr>
    </w:p>
    <w:tbl>
      <w:tblPr>
        <w:tblW w:w="0" w:type="auto"/>
        <w:jc w:val="left"/>
        <w:tblInd w:w="145" w:type="dxa"/>
        <w:tblLayout w:type="fixed"/>
        <w:tblCellMar>
          <w:top w:w="0" w:type="dxa"/>
          <w:left w:w="0" w:type="dxa"/>
          <w:bottom w:w="0" w:type="dxa"/>
          <w:right w:w="0" w:type="dxa"/>
        </w:tblCellMar>
        <w:tblLook w:val="01E0"/>
      </w:tblPr>
      <w:tblGrid>
        <w:gridCol w:w="2105"/>
        <w:gridCol w:w="1184"/>
        <w:gridCol w:w="1183"/>
        <w:gridCol w:w="920"/>
        <w:gridCol w:w="4241"/>
      </w:tblGrid>
      <w:tr>
        <w:trPr>
          <w:trHeight w:val="346" w:hRule="exact"/>
        </w:trPr>
        <w:tc>
          <w:tcPr>
            <w:tcW w:w="9633" w:type="dxa"/>
            <w:gridSpan w:val="5"/>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资产负债表</w:t>
            </w:r>
          </w:p>
        </w:tc>
      </w:tr>
      <w:tr>
        <w:trPr>
          <w:trHeight w:val="331" w:hRule="exact"/>
        </w:trPr>
        <w:tc>
          <w:tcPr>
            <w:tcW w:w="21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2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23"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9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91" w:right="0"/>
              <w:jc w:val="left"/>
              <w:rPr>
                <w:rFonts w:ascii="宋体" w:hAnsi="宋体" w:cs="宋体" w:eastAsia="宋体" w:hint="default"/>
                <w:sz w:val="18"/>
                <w:szCs w:val="18"/>
              </w:rPr>
            </w:pPr>
            <w:r>
              <w:rPr>
                <w:rFonts w:ascii="宋体" w:hAnsi="宋体" w:cs="宋体" w:eastAsia="宋体" w:hint="default"/>
                <w:sz w:val="18"/>
                <w:szCs w:val="18"/>
              </w:rPr>
              <w:t>变动比例</w:t>
            </w:r>
          </w:p>
        </w:tc>
        <w:tc>
          <w:tcPr>
            <w:tcW w:w="42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363"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right"/>
              <w:rPr>
                <w:rFonts w:ascii="Times New Roman" w:hAnsi="Times New Roman" w:cs="Times New Roman" w:eastAsia="Times New Roman" w:hint="default"/>
                <w:sz w:val="18"/>
                <w:szCs w:val="18"/>
              </w:rPr>
            </w:pPr>
            <w:r>
              <w:rPr>
                <w:rFonts w:ascii="Times New Roman"/>
                <w:spacing w:val="-1"/>
                <w:sz w:val="18"/>
              </w:rPr>
              <w:t>1,083,556.60</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right"/>
              <w:rPr>
                <w:rFonts w:ascii="Times New Roman" w:hAnsi="Times New Roman" w:cs="Times New Roman" w:eastAsia="Times New Roman" w:hint="default"/>
                <w:sz w:val="18"/>
                <w:szCs w:val="18"/>
              </w:rPr>
            </w:pPr>
            <w:r>
              <w:rPr>
                <w:rFonts w:ascii="Times New Roman"/>
                <w:spacing w:val="-1"/>
                <w:sz w:val="18"/>
              </w:rPr>
              <w:t>17,354,735.63</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
              <w:jc w:val="right"/>
              <w:rPr>
                <w:rFonts w:ascii="Times New Roman" w:hAnsi="Times New Roman" w:cs="Times New Roman" w:eastAsia="Times New Roman" w:hint="default"/>
                <w:sz w:val="18"/>
                <w:szCs w:val="18"/>
              </w:rPr>
            </w:pPr>
            <w:r>
              <w:rPr>
                <w:rFonts w:ascii="Times New Roman"/>
                <w:sz w:val="18"/>
              </w:rPr>
              <w:t>-93.76%</w:t>
            </w:r>
          </w:p>
        </w:tc>
        <w:tc>
          <w:tcPr>
            <w:tcW w:w="4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8"/>
                <w:szCs w:val="18"/>
              </w:rPr>
            </w:pPr>
            <w:r>
              <w:rPr>
                <w:rFonts w:ascii="宋体" w:hAnsi="宋体" w:cs="宋体" w:eastAsia="宋体" w:hint="default"/>
                <w:sz w:val="18"/>
                <w:szCs w:val="18"/>
              </w:rPr>
              <w:t>主要系本期销售回款减少所致</w:t>
            </w:r>
          </w:p>
        </w:tc>
      </w:tr>
      <w:tr>
        <w:trPr>
          <w:trHeight w:val="348"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34,305,909.40</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76,022,996.62</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-54.87%</w:t>
            </w:r>
          </w:p>
        </w:tc>
        <w:tc>
          <w:tcPr>
            <w:tcW w:w="4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主要系本期销售规模减少所致</w:t>
            </w:r>
          </w:p>
        </w:tc>
      </w:tr>
      <w:tr>
        <w:trPr>
          <w:trHeight w:val="348"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140,649,384.88</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21,651,799.97</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549.60%</w:t>
            </w:r>
          </w:p>
        </w:tc>
        <w:tc>
          <w:tcPr>
            <w:tcW w:w="4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主要系本期内部关联公司往来款增加所致</w:t>
            </w:r>
          </w:p>
        </w:tc>
      </w:tr>
      <w:tr>
        <w:trPr>
          <w:trHeight w:val="346"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102,083.31</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218,737.50</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-53.33%</w:t>
            </w:r>
          </w:p>
        </w:tc>
        <w:tc>
          <w:tcPr>
            <w:tcW w:w="4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本年对外采购货款减少所致</w:t>
            </w:r>
          </w:p>
        </w:tc>
      </w:tr>
      <w:tr>
        <w:trPr>
          <w:trHeight w:val="348"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2,312,372.87</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6,531.51</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6" w:right="0"/>
              <w:jc w:val="left"/>
              <w:rPr>
                <w:rFonts w:ascii="Times New Roman" w:hAnsi="Times New Roman" w:cs="Times New Roman" w:eastAsia="Times New Roman" w:hint="default"/>
                <w:sz w:val="18"/>
                <w:szCs w:val="18"/>
              </w:rPr>
            </w:pPr>
            <w:r>
              <w:rPr>
                <w:rFonts w:ascii="Times New Roman"/>
                <w:sz w:val="18"/>
              </w:rPr>
              <w:t>35303.34%</w:t>
            </w:r>
          </w:p>
        </w:tc>
        <w:tc>
          <w:tcPr>
            <w:tcW w:w="4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主要系本期期末进项税额留抵，预缴企业所得税所致</w:t>
            </w:r>
          </w:p>
        </w:tc>
      </w:tr>
      <w:tr>
        <w:trPr>
          <w:trHeight w:val="346"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70,072.88</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104,027.79</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-32.64%</w:t>
            </w:r>
          </w:p>
        </w:tc>
        <w:tc>
          <w:tcPr>
            <w:tcW w:w="4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主要系本报告期购建固定资产减少所致</w:t>
            </w:r>
          </w:p>
        </w:tc>
      </w:tr>
      <w:tr>
        <w:trPr>
          <w:trHeight w:val="348"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11,653.52</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7,231.91</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61.14%</w:t>
            </w:r>
          </w:p>
        </w:tc>
        <w:tc>
          <w:tcPr>
            <w:tcW w:w="4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本年其他应收坏账准备的金额增加所致</w:t>
            </w:r>
          </w:p>
        </w:tc>
      </w:tr>
      <w:tr>
        <w:trPr>
          <w:trHeight w:val="660"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594,366.52</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2,259,948.29</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-73.70%</w:t>
            </w:r>
          </w:p>
        </w:tc>
        <w:tc>
          <w:tcPr>
            <w:tcW w:w="42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82"/>
              <w:jc w:val="left"/>
              <w:rPr>
                <w:rFonts w:ascii="宋体" w:hAnsi="宋体" w:cs="宋体" w:eastAsia="宋体" w:hint="default"/>
                <w:sz w:val="18"/>
                <w:szCs w:val="18"/>
              </w:rPr>
            </w:pPr>
            <w:r>
              <w:rPr>
                <w:rFonts w:ascii="宋体" w:hAnsi="宋体" w:cs="宋体" w:eastAsia="宋体" w:hint="default"/>
                <w:sz w:val="18"/>
                <w:szCs w:val="18"/>
              </w:rPr>
              <w:t>主要系期末应交企业所得税与增值税及附加税费减少 所致</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2105"/>
        <w:gridCol w:w="1184"/>
        <w:gridCol w:w="1183"/>
        <w:gridCol w:w="920"/>
        <w:gridCol w:w="4241"/>
      </w:tblGrid>
      <w:tr>
        <w:trPr>
          <w:trHeight w:val="348"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29,880.63</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239,307.90</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-87.51%</w:t>
            </w:r>
          </w:p>
        </w:tc>
        <w:tc>
          <w:tcPr>
            <w:tcW w:w="4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主要系本期应付内部往来款减少所致</w:t>
            </w:r>
          </w:p>
        </w:tc>
      </w:tr>
      <w:tr>
        <w:trPr>
          <w:trHeight w:val="658"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93,000.00</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57,500.00</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61.74%</w:t>
            </w:r>
          </w:p>
        </w:tc>
        <w:tc>
          <w:tcPr>
            <w:tcW w:w="42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82"/>
              <w:jc w:val="left"/>
              <w:rPr>
                <w:rFonts w:ascii="宋体" w:hAnsi="宋体" w:cs="宋体" w:eastAsia="宋体" w:hint="default"/>
                <w:sz w:val="18"/>
                <w:szCs w:val="18"/>
              </w:rPr>
            </w:pPr>
            <w:r>
              <w:rPr>
                <w:rFonts w:ascii="宋体" w:hAnsi="宋体" w:cs="宋体" w:eastAsia="宋体" w:hint="default"/>
                <w:sz w:val="18"/>
                <w:szCs w:val="18"/>
              </w:rPr>
              <w:t>主要系本期收到的重点企事业单位住房补租补贴增加 所致</w:t>
            </w:r>
          </w:p>
        </w:tc>
      </w:tr>
      <w:tr>
        <w:trPr>
          <w:trHeight w:val="348"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20,000,000.00</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50.00%</w:t>
            </w:r>
          </w:p>
        </w:tc>
        <w:tc>
          <w:tcPr>
            <w:tcW w:w="4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主要系本期分配股利较上期增加所致</w:t>
            </w:r>
          </w:p>
        </w:tc>
      </w:tr>
      <w:tr>
        <w:trPr>
          <w:trHeight w:val="360"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175,254,683.20</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110,544,037.40</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58.54%</w:t>
            </w:r>
          </w:p>
        </w:tc>
        <w:tc>
          <w:tcPr>
            <w:tcW w:w="4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本期销售增加导致本期净利润增加</w:t>
            </w:r>
          </w:p>
        </w:tc>
      </w:tr>
      <w:tr>
        <w:trPr>
          <w:trHeight w:val="329" w:hRule="exact"/>
        </w:trPr>
        <w:tc>
          <w:tcPr>
            <w:tcW w:w="9633" w:type="dxa"/>
            <w:gridSpan w:val="5"/>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利润表</w:t>
            </w:r>
          </w:p>
        </w:tc>
      </w:tr>
      <w:tr>
        <w:trPr>
          <w:trHeight w:val="350" w:hRule="exact"/>
        </w:trPr>
        <w:tc>
          <w:tcPr>
            <w:tcW w:w="21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2"/>
              <w:ind w:right="863"/>
              <w:jc w:val="right"/>
              <w:rPr>
                <w:rFonts w:ascii="宋体" w:hAnsi="宋体" w:cs="宋体" w:eastAsia="宋体" w:hint="default"/>
                <w:sz w:val="18"/>
                <w:szCs w:val="18"/>
              </w:rPr>
            </w:pPr>
            <w:r>
              <w:rPr>
                <w:rFonts w:ascii="宋体" w:hAnsi="宋体" w:cs="宋体" w:eastAsia="宋体" w:hint="default"/>
                <w:sz w:val="18"/>
                <w:szCs w:val="18"/>
              </w:rPr>
              <w:t>项目</w:t>
            </w:r>
          </w:p>
        </w:tc>
        <w:tc>
          <w:tcPr>
            <w:tcW w:w="1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2"/>
              <w:ind w:left="223"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1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2"/>
              <w:ind w:left="223"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9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2"/>
              <w:ind w:left="91" w:right="0"/>
              <w:jc w:val="left"/>
              <w:rPr>
                <w:rFonts w:ascii="宋体" w:hAnsi="宋体" w:cs="宋体" w:eastAsia="宋体" w:hint="default"/>
                <w:sz w:val="18"/>
                <w:szCs w:val="18"/>
              </w:rPr>
            </w:pPr>
            <w:r>
              <w:rPr>
                <w:rFonts w:ascii="宋体" w:hAnsi="宋体" w:cs="宋体" w:eastAsia="宋体" w:hint="default"/>
                <w:sz w:val="18"/>
                <w:szCs w:val="18"/>
              </w:rPr>
              <w:t>变动比例</w:t>
            </w:r>
          </w:p>
        </w:tc>
        <w:tc>
          <w:tcPr>
            <w:tcW w:w="42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348"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100,538,503.43</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73,399,920.00</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36.97%</w:t>
            </w:r>
          </w:p>
        </w:tc>
        <w:tc>
          <w:tcPr>
            <w:tcW w:w="4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本期销售规模增加所致</w:t>
            </w:r>
          </w:p>
        </w:tc>
      </w:tr>
      <w:tr>
        <w:trPr>
          <w:trHeight w:val="348"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104,613.10</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281,877.07</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-62.89%</w:t>
            </w:r>
          </w:p>
        </w:tc>
        <w:tc>
          <w:tcPr>
            <w:tcW w:w="4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主要系营销组织架构优化导致人员费用总额减少所致</w:t>
            </w:r>
          </w:p>
        </w:tc>
      </w:tr>
      <w:tr>
        <w:trPr>
          <w:trHeight w:val="346"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7,059,056.55</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5,127,979.10</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37.66%</w:t>
            </w:r>
          </w:p>
        </w:tc>
        <w:tc>
          <w:tcPr>
            <w:tcW w:w="4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主要系研发人员费用增加所致</w:t>
            </w:r>
          </w:p>
        </w:tc>
      </w:tr>
      <w:tr>
        <w:trPr>
          <w:trHeight w:val="661"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979,237.68</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234,143.54</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318.22%</w:t>
            </w:r>
          </w:p>
        </w:tc>
        <w:tc>
          <w:tcPr>
            <w:tcW w:w="424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2" w:right="82"/>
              <w:jc w:val="left"/>
              <w:rPr>
                <w:rFonts w:ascii="宋体" w:hAnsi="宋体" w:cs="宋体" w:eastAsia="宋体" w:hint="default"/>
                <w:sz w:val="18"/>
                <w:szCs w:val="18"/>
              </w:rPr>
            </w:pPr>
            <w:r>
              <w:rPr>
                <w:rFonts w:ascii="宋体" w:hAnsi="宋体" w:cs="宋体" w:eastAsia="宋体" w:hint="default"/>
                <w:sz w:val="18"/>
                <w:szCs w:val="18"/>
              </w:rPr>
              <w:t>主要系本期收到母公司开出的信用证进行议付导致手 续费增加</w:t>
            </w:r>
          </w:p>
        </w:tc>
      </w:tr>
      <w:tr>
        <w:trPr>
          <w:trHeight w:val="658"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-2,391.58</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4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本期其他应收款坏账准备计提根据《企业会计准则第</w:t>
            </w:r>
          </w:p>
          <w:p>
            <w:pPr>
              <w:pStyle w:val="TableParagraph"/>
              <w:spacing w:line="240" w:lineRule="auto" w:before="7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宋体" w:hAnsi="宋体" w:cs="宋体" w:eastAsia="宋体" w:hint="default"/>
                <w:sz w:val="18"/>
                <w:szCs w:val="18"/>
              </w:rPr>
              <w:t>号》新增至信用减值损失科目核算</w:t>
            </w:r>
          </w:p>
        </w:tc>
      </w:tr>
      <w:tr>
        <w:trPr>
          <w:trHeight w:val="348"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127.11</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4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主要系本期其他应收款坏账准备计提</w:t>
            </w:r>
          </w:p>
        </w:tc>
      </w:tr>
      <w:tr>
        <w:trPr>
          <w:trHeight w:val="348" w:hRule="exact"/>
        </w:trPr>
        <w:tc>
          <w:tcPr>
            <w:tcW w:w="9633" w:type="dxa"/>
            <w:gridSpan w:val="5"/>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现金流量表</w:t>
            </w:r>
          </w:p>
        </w:tc>
      </w:tr>
      <w:tr>
        <w:trPr>
          <w:trHeight w:val="329" w:hRule="exact"/>
        </w:trPr>
        <w:tc>
          <w:tcPr>
            <w:tcW w:w="21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863"/>
              <w:jc w:val="right"/>
              <w:rPr>
                <w:rFonts w:ascii="宋体" w:hAnsi="宋体" w:cs="宋体" w:eastAsia="宋体" w:hint="default"/>
                <w:sz w:val="18"/>
                <w:szCs w:val="18"/>
              </w:rPr>
            </w:pPr>
            <w:r>
              <w:rPr>
                <w:rFonts w:ascii="宋体" w:hAnsi="宋体" w:cs="宋体" w:eastAsia="宋体" w:hint="default"/>
                <w:sz w:val="18"/>
                <w:szCs w:val="18"/>
              </w:rPr>
              <w:t>项目</w:t>
            </w:r>
          </w:p>
        </w:tc>
        <w:tc>
          <w:tcPr>
            <w:tcW w:w="1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23"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1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23"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9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91" w:right="0"/>
              <w:jc w:val="left"/>
              <w:rPr>
                <w:rFonts w:ascii="宋体" w:hAnsi="宋体" w:cs="宋体" w:eastAsia="宋体" w:hint="default"/>
                <w:sz w:val="18"/>
                <w:szCs w:val="18"/>
              </w:rPr>
            </w:pPr>
            <w:r>
              <w:rPr>
                <w:rFonts w:ascii="宋体" w:hAnsi="宋体" w:cs="宋体" w:eastAsia="宋体" w:hint="default"/>
                <w:sz w:val="18"/>
                <w:szCs w:val="18"/>
              </w:rPr>
              <w:t>变动比例</w:t>
            </w:r>
          </w:p>
        </w:tc>
        <w:tc>
          <w:tcPr>
            <w:tcW w:w="42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677"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37"/>
              <w:ind w:left="4" w:right="0"/>
              <w:jc w:val="left"/>
              <w:rPr>
                <w:rFonts w:ascii="宋体" w:hAnsi="宋体" w:cs="宋体" w:eastAsia="宋体" w:hint="default"/>
                <w:sz w:val="18"/>
                <w:szCs w:val="18"/>
              </w:rPr>
            </w:pPr>
            <w:r>
              <w:rPr>
                <w:rFonts w:ascii="宋体" w:hAnsi="宋体" w:cs="宋体" w:eastAsia="宋体" w:hint="default"/>
                <w:spacing w:val="-7"/>
                <w:sz w:val="18"/>
                <w:szCs w:val="18"/>
              </w:rPr>
              <w:t>销售商品、提供劳务收到的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现金</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1"/>
              <w:jc w:val="right"/>
              <w:rPr>
                <w:rFonts w:ascii="Times New Roman" w:hAnsi="Times New Roman" w:cs="Times New Roman" w:eastAsia="Times New Roman" w:hint="default"/>
                <w:sz w:val="18"/>
                <w:szCs w:val="18"/>
              </w:rPr>
            </w:pPr>
            <w:r>
              <w:rPr>
                <w:rFonts w:ascii="Times New Roman"/>
                <w:spacing w:val="-1"/>
                <w:sz w:val="18"/>
              </w:rPr>
              <w:t>155,406,690.36</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right"/>
              <w:rPr>
                <w:rFonts w:ascii="Times New Roman" w:hAnsi="Times New Roman" w:cs="Times New Roman" w:eastAsia="Times New Roman" w:hint="default"/>
                <w:sz w:val="18"/>
                <w:szCs w:val="18"/>
              </w:rPr>
            </w:pPr>
            <w:r>
              <w:rPr>
                <w:rFonts w:ascii="Times New Roman"/>
                <w:spacing w:val="-1"/>
                <w:sz w:val="18"/>
              </w:rPr>
              <w:t>66,538,659.38</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right"/>
              <w:rPr>
                <w:rFonts w:ascii="Times New Roman" w:hAnsi="Times New Roman" w:cs="Times New Roman" w:eastAsia="Times New Roman" w:hint="default"/>
                <w:sz w:val="18"/>
                <w:szCs w:val="18"/>
              </w:rPr>
            </w:pPr>
            <w:r>
              <w:rPr>
                <w:rFonts w:ascii="Times New Roman"/>
                <w:spacing w:val="-1"/>
                <w:sz w:val="18"/>
              </w:rPr>
              <w:t>133.56%</w:t>
            </w:r>
          </w:p>
        </w:tc>
        <w:tc>
          <w:tcPr>
            <w:tcW w:w="4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8"/>
                <w:szCs w:val="18"/>
              </w:rPr>
            </w:pPr>
            <w:r>
              <w:rPr>
                <w:rFonts w:ascii="宋体" w:hAnsi="宋体" w:cs="宋体" w:eastAsia="宋体" w:hint="default"/>
                <w:sz w:val="18"/>
                <w:szCs w:val="18"/>
              </w:rPr>
              <w:t>本期销售规模增加所致</w:t>
            </w:r>
          </w:p>
        </w:tc>
      </w:tr>
      <w:tr>
        <w:trPr>
          <w:trHeight w:val="658"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05"/>
              <w:jc w:val="left"/>
              <w:rPr>
                <w:rFonts w:ascii="宋体" w:hAnsi="宋体" w:cs="宋体" w:eastAsia="宋体" w:hint="default"/>
                <w:sz w:val="18"/>
                <w:szCs w:val="18"/>
              </w:rPr>
            </w:pPr>
            <w:r>
              <w:rPr>
                <w:rFonts w:ascii="宋体" w:hAnsi="宋体" w:cs="宋体" w:eastAsia="宋体" w:hint="default"/>
                <w:sz w:val="18"/>
                <w:szCs w:val="18"/>
              </w:rPr>
              <w:t>收到其他与经营活动有关 的现金</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8,643,273.75</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12,926,414.58</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-33.13%</w:t>
            </w:r>
          </w:p>
        </w:tc>
        <w:tc>
          <w:tcPr>
            <w:tcW w:w="4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本年收到内部往来款减少所致</w:t>
            </w:r>
          </w:p>
        </w:tc>
      </w:tr>
      <w:tr>
        <w:trPr>
          <w:trHeight w:val="660"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0"/>
              <w:jc w:val="left"/>
              <w:rPr>
                <w:rFonts w:ascii="宋体" w:hAnsi="宋体" w:cs="宋体" w:eastAsia="宋体" w:hint="default"/>
                <w:sz w:val="18"/>
                <w:szCs w:val="18"/>
              </w:rPr>
            </w:pPr>
            <w:r>
              <w:rPr>
                <w:rFonts w:ascii="宋体" w:hAnsi="宋体" w:cs="宋体" w:eastAsia="宋体" w:hint="default"/>
                <w:spacing w:val="-7"/>
                <w:sz w:val="18"/>
                <w:szCs w:val="18"/>
              </w:rPr>
              <w:t>购买商品、接受劳务支付的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现金</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3,425.00</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192,511.00</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-98.22%</w:t>
            </w:r>
          </w:p>
        </w:tc>
        <w:tc>
          <w:tcPr>
            <w:tcW w:w="4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本期对外采购存货减少所致</w:t>
            </w:r>
          </w:p>
        </w:tc>
      </w:tr>
      <w:tr>
        <w:trPr>
          <w:trHeight w:val="658"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03"/>
              <w:jc w:val="left"/>
              <w:rPr>
                <w:rFonts w:ascii="宋体" w:hAnsi="宋体" w:cs="宋体" w:eastAsia="宋体" w:hint="default"/>
                <w:sz w:val="18"/>
                <w:szCs w:val="18"/>
              </w:rPr>
            </w:pPr>
            <w:r>
              <w:rPr>
                <w:rFonts w:ascii="宋体" w:hAnsi="宋体" w:cs="宋体" w:eastAsia="宋体" w:hint="default"/>
                <w:sz w:val="18"/>
                <w:szCs w:val="18"/>
              </w:rPr>
              <w:t>支付其他与经营活动有关 的现金</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130,105,765.02</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33,384,589.99</w:t>
            </w:r>
            <w:r>
              <w:rPr>
                <w:rFonts w:ascii="Times New Roman"/>
                <w:sz w:val="18"/>
              </w:rPr>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289.72%</w:t>
            </w:r>
          </w:p>
        </w:tc>
        <w:tc>
          <w:tcPr>
            <w:tcW w:w="4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本年支付内部往来款增加所致</w:t>
            </w:r>
          </w:p>
        </w:tc>
      </w:tr>
      <w:tr>
        <w:trPr>
          <w:trHeight w:val="660"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7"/>
                <w:sz w:val="18"/>
                <w:szCs w:val="18"/>
              </w:rPr>
              <w:t>分配股利、利润或偿付利息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所支付的现金</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20,000,000.00</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50.00%</w:t>
            </w:r>
          </w:p>
        </w:tc>
        <w:tc>
          <w:tcPr>
            <w:tcW w:w="4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主要系本期分配股利较上期增加所致</w:t>
            </w:r>
          </w:p>
        </w:tc>
      </w:tr>
    </w:tbl>
    <w:p>
      <w:pPr>
        <w:pStyle w:val="Heading4"/>
        <w:spacing w:line="240" w:lineRule="auto" w:before="49"/>
        <w:ind w:left="152" w:right="1133"/>
        <w:jc w:val="left"/>
        <w:rPr>
          <w:b w:val="0"/>
          <w:bCs w:val="0"/>
        </w:rPr>
      </w:pPr>
      <w:r>
        <w:rPr/>
        <w:t>（</w:t>
      </w:r>
      <w:r>
        <w:rPr>
          <w:rFonts w:ascii="Times New Roman" w:hAnsi="Times New Roman" w:cs="Times New Roman" w:eastAsia="Times New Roman" w:hint="default"/>
        </w:rPr>
        <w:t>3</w:t>
      </w:r>
      <w:r>
        <w:rPr/>
        <w:t>）武汉优软</w:t>
      </w:r>
      <w:r>
        <w:rPr>
          <w:b w:val="0"/>
          <w:bCs w:val="0"/>
        </w:rPr>
      </w:r>
    </w:p>
    <w:p>
      <w:pPr>
        <w:spacing w:line="240" w:lineRule="auto" w:before="4"/>
        <w:rPr>
          <w:rFonts w:ascii="宋体" w:hAnsi="宋体" w:cs="宋体" w:eastAsia="宋体" w:hint="default"/>
          <w:b/>
          <w:bCs/>
          <w:sz w:val="7"/>
          <w:szCs w:val="7"/>
        </w:rPr>
      </w:pPr>
    </w:p>
    <w:tbl>
      <w:tblPr>
        <w:tblW w:w="0" w:type="auto"/>
        <w:jc w:val="left"/>
        <w:tblInd w:w="145" w:type="dxa"/>
        <w:tblLayout w:type="fixed"/>
        <w:tblCellMar>
          <w:top w:w="0" w:type="dxa"/>
          <w:left w:w="0" w:type="dxa"/>
          <w:bottom w:w="0" w:type="dxa"/>
          <w:right w:w="0" w:type="dxa"/>
        </w:tblCellMar>
        <w:tblLook w:val="01E0"/>
      </w:tblPr>
      <w:tblGrid>
        <w:gridCol w:w="2081"/>
        <w:gridCol w:w="1172"/>
        <w:gridCol w:w="1171"/>
        <w:gridCol w:w="910"/>
        <w:gridCol w:w="4222"/>
      </w:tblGrid>
      <w:tr>
        <w:trPr>
          <w:trHeight w:val="346" w:hRule="exact"/>
        </w:trPr>
        <w:tc>
          <w:tcPr>
            <w:tcW w:w="9556" w:type="dxa"/>
            <w:gridSpan w:val="5"/>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资产负债表</w:t>
            </w:r>
          </w:p>
        </w:tc>
      </w:tr>
      <w:tr>
        <w:trPr>
          <w:trHeight w:val="331" w:hRule="exact"/>
        </w:trPr>
        <w:tc>
          <w:tcPr>
            <w:tcW w:w="20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2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7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20"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9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88" w:right="0"/>
              <w:jc w:val="left"/>
              <w:rPr>
                <w:rFonts w:ascii="宋体" w:hAnsi="宋体" w:cs="宋体" w:eastAsia="宋体" w:hint="default"/>
                <w:sz w:val="18"/>
                <w:szCs w:val="18"/>
              </w:rPr>
            </w:pPr>
            <w:r>
              <w:rPr>
                <w:rFonts w:ascii="宋体" w:hAnsi="宋体" w:cs="宋体" w:eastAsia="宋体" w:hint="default"/>
                <w:sz w:val="18"/>
                <w:szCs w:val="18"/>
              </w:rPr>
              <w:t>变动比例</w:t>
            </w:r>
          </w:p>
        </w:tc>
        <w:tc>
          <w:tcPr>
            <w:tcW w:w="42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362" w:hRule="exact"/>
        </w:trPr>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right"/>
              <w:rPr>
                <w:rFonts w:ascii="Times New Roman" w:hAnsi="Times New Roman" w:cs="Times New Roman" w:eastAsia="Times New Roman" w:hint="default"/>
                <w:sz w:val="18"/>
                <w:szCs w:val="18"/>
              </w:rPr>
            </w:pPr>
            <w:r>
              <w:rPr>
                <w:rFonts w:ascii="Times New Roman"/>
                <w:spacing w:val="-1"/>
                <w:sz w:val="18"/>
              </w:rPr>
              <w:t>7,384,162.28</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right"/>
              <w:rPr>
                <w:rFonts w:ascii="Times New Roman" w:hAnsi="Times New Roman" w:cs="Times New Roman" w:eastAsia="Times New Roman" w:hint="default"/>
                <w:sz w:val="18"/>
                <w:szCs w:val="18"/>
              </w:rPr>
            </w:pPr>
            <w:r>
              <w:rPr>
                <w:rFonts w:ascii="Times New Roman"/>
                <w:spacing w:val="-1"/>
                <w:sz w:val="18"/>
              </w:rPr>
              <w:t>1,238,513.85</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
              <w:jc w:val="right"/>
              <w:rPr>
                <w:rFonts w:ascii="Times New Roman" w:hAnsi="Times New Roman" w:cs="Times New Roman" w:eastAsia="Times New Roman" w:hint="default"/>
                <w:sz w:val="18"/>
                <w:szCs w:val="18"/>
              </w:rPr>
            </w:pPr>
            <w:r>
              <w:rPr>
                <w:rFonts w:ascii="Times New Roman"/>
                <w:spacing w:val="-1"/>
                <w:sz w:val="18"/>
              </w:rPr>
              <w:t>496.21%</w:t>
            </w:r>
          </w:p>
        </w:tc>
        <w:tc>
          <w:tcPr>
            <w:tcW w:w="4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4" w:right="0"/>
              <w:jc w:val="left"/>
              <w:rPr>
                <w:rFonts w:ascii="宋体" w:hAnsi="宋体" w:cs="宋体" w:eastAsia="宋体" w:hint="default"/>
                <w:sz w:val="18"/>
                <w:szCs w:val="18"/>
              </w:rPr>
            </w:pPr>
            <w:r>
              <w:rPr>
                <w:rFonts w:ascii="宋体" w:hAnsi="宋体" w:cs="宋体" w:eastAsia="宋体" w:hint="default"/>
                <w:sz w:val="18"/>
                <w:szCs w:val="18"/>
              </w:rPr>
              <w:t>主要系本期收到的增值税与所得税税款所致</w:t>
            </w:r>
          </w:p>
        </w:tc>
      </w:tr>
      <w:tr>
        <w:trPr>
          <w:trHeight w:val="348" w:hRule="exact"/>
        </w:trPr>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41,034,436.94</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27,756,055.40</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47.84%</w:t>
            </w:r>
          </w:p>
        </w:tc>
        <w:tc>
          <w:tcPr>
            <w:tcW w:w="4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主要系本期应收的销售款增加所致</w:t>
            </w:r>
          </w:p>
        </w:tc>
      </w:tr>
      <w:tr>
        <w:trPr>
          <w:trHeight w:val="349" w:hRule="exact"/>
        </w:trPr>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591,302.87</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4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本期期末无进项税额留抵与多缴企业所得税税款</w:t>
            </w:r>
          </w:p>
        </w:tc>
      </w:tr>
      <w:tr>
        <w:trPr>
          <w:trHeight w:val="346" w:hRule="exact"/>
        </w:trPr>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72,906.15</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108,236.77</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-32.64%</w:t>
            </w:r>
          </w:p>
        </w:tc>
        <w:tc>
          <w:tcPr>
            <w:tcW w:w="4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主要系本报告期购建固定资产减少所致</w:t>
            </w:r>
          </w:p>
        </w:tc>
      </w:tr>
      <w:tr>
        <w:trPr>
          <w:trHeight w:val="348" w:hRule="exact"/>
        </w:trPr>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1,610.00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2,450.00</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-34.29%</w:t>
            </w:r>
          </w:p>
        </w:tc>
        <w:tc>
          <w:tcPr>
            <w:tcW w:w="4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主要监控系统摊销减少所致</w:t>
            </w:r>
          </w:p>
        </w:tc>
      </w:tr>
      <w:tr>
        <w:trPr>
          <w:trHeight w:val="346" w:hRule="exact"/>
        </w:trPr>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44,000.00</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4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本期无新增长摊费用</w:t>
            </w:r>
          </w:p>
        </w:tc>
      </w:tr>
      <w:tr>
        <w:trPr>
          <w:trHeight w:val="348" w:hRule="exact"/>
        </w:trPr>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193,584.90</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4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本期无预收技术开发服务费款项</w:t>
            </w:r>
          </w:p>
        </w:tc>
      </w:tr>
      <w:tr>
        <w:trPr>
          <w:trHeight w:val="346" w:hRule="exact"/>
        </w:trPr>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312,450.00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73,750.28</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323.66%</w:t>
            </w:r>
          </w:p>
        </w:tc>
        <w:tc>
          <w:tcPr>
            <w:tcW w:w="4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主要系期末应交增值税及附加税费增加所致</w:t>
            </w:r>
          </w:p>
        </w:tc>
      </w:tr>
      <w:tr>
        <w:trPr>
          <w:trHeight w:val="348" w:hRule="exact"/>
        </w:trPr>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2,031,882.73</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2,888,891.33</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-29.67%</w:t>
            </w:r>
          </w:p>
        </w:tc>
        <w:tc>
          <w:tcPr>
            <w:tcW w:w="4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主要系本期应付内部往来款减少所致</w:t>
            </w:r>
          </w:p>
        </w:tc>
      </w:tr>
      <w:tr>
        <w:trPr>
          <w:trHeight w:val="348" w:hRule="exact"/>
        </w:trPr>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38,121,812.58</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18,774,554.90</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103.05%</w:t>
            </w:r>
          </w:p>
        </w:tc>
        <w:tc>
          <w:tcPr>
            <w:tcW w:w="4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主要系本期收到的软件退税与所得税退税导致</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2081"/>
        <w:gridCol w:w="1172"/>
        <w:gridCol w:w="1171"/>
        <w:gridCol w:w="910"/>
        <w:gridCol w:w="4222"/>
      </w:tblGrid>
      <w:tr>
        <w:trPr>
          <w:trHeight w:val="348" w:hRule="exact"/>
        </w:trPr>
        <w:tc>
          <w:tcPr>
            <w:tcW w:w="9556" w:type="dxa"/>
            <w:gridSpan w:val="5"/>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利润表</w:t>
            </w:r>
          </w:p>
        </w:tc>
      </w:tr>
      <w:tr>
        <w:trPr>
          <w:trHeight w:val="346" w:hRule="exact"/>
        </w:trPr>
        <w:tc>
          <w:tcPr>
            <w:tcW w:w="20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2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17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20"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9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88" w:right="0"/>
              <w:jc w:val="left"/>
              <w:rPr>
                <w:rFonts w:ascii="宋体" w:hAnsi="宋体" w:cs="宋体" w:eastAsia="宋体" w:hint="default"/>
                <w:sz w:val="18"/>
                <w:szCs w:val="18"/>
              </w:rPr>
            </w:pPr>
            <w:r>
              <w:rPr>
                <w:rFonts w:ascii="宋体" w:hAnsi="宋体" w:cs="宋体" w:eastAsia="宋体" w:hint="default"/>
                <w:sz w:val="18"/>
                <w:szCs w:val="18"/>
              </w:rPr>
              <w:t>变动比例</w:t>
            </w:r>
          </w:p>
        </w:tc>
        <w:tc>
          <w:tcPr>
            <w:tcW w:w="42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348" w:hRule="exact"/>
        </w:trPr>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15,390,122.44</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32,866,331.33</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-53.17%</w:t>
            </w:r>
          </w:p>
        </w:tc>
        <w:tc>
          <w:tcPr>
            <w:tcW w:w="4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本期销售规模减少所致</w:t>
            </w:r>
          </w:p>
        </w:tc>
      </w:tr>
      <w:tr>
        <w:trPr>
          <w:trHeight w:val="346" w:hRule="exact"/>
        </w:trPr>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232,700.41</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609,451.53</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-61.82%</w:t>
            </w:r>
          </w:p>
        </w:tc>
        <w:tc>
          <w:tcPr>
            <w:tcW w:w="4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本期销售规模减少导致应交增值税减少</w:t>
            </w:r>
          </w:p>
        </w:tc>
      </w:tr>
      <w:tr>
        <w:trPr>
          <w:trHeight w:val="348" w:hRule="exact"/>
        </w:trPr>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79,701.22</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4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本期销售结构优化销售人员归口母公司管理</w:t>
            </w:r>
          </w:p>
        </w:tc>
      </w:tr>
      <w:tr>
        <w:trPr>
          <w:trHeight w:val="346" w:hRule="exact"/>
        </w:trPr>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-7,431.55</w:t>
            </w:r>
            <w:r>
              <w:rPr>
                <w:rFonts w:ascii="Times New Roman"/>
                <w:sz w:val="18"/>
              </w:rPr>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-4,524.68</w:t>
            </w:r>
            <w:r>
              <w:rPr>
                <w:rFonts w:ascii="Times New Roman"/>
                <w:sz w:val="18"/>
              </w:rPr>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-64.24%</w:t>
            </w:r>
          </w:p>
        </w:tc>
        <w:tc>
          <w:tcPr>
            <w:tcW w:w="4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主要系货币资金产生的利息增加所致</w:t>
            </w:r>
          </w:p>
        </w:tc>
      </w:tr>
      <w:tr>
        <w:trPr>
          <w:trHeight w:val="348" w:hRule="exact"/>
        </w:trPr>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4,777,676.81</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1,478,220.03</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223.20%</w:t>
            </w:r>
          </w:p>
        </w:tc>
        <w:tc>
          <w:tcPr>
            <w:tcW w:w="4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本期收到的上年度以及本年度软件产品退税增加所致</w:t>
            </w:r>
          </w:p>
        </w:tc>
      </w:tr>
      <w:tr>
        <w:trPr>
          <w:trHeight w:val="660" w:hRule="exact"/>
        </w:trPr>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-8,774.07</w:t>
            </w:r>
            <w:r>
              <w:rPr>
                <w:rFonts w:ascii="Times New Roman"/>
                <w:sz w:val="18"/>
              </w:rPr>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4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本期其他应收款坏账准备计提根据《企业会计准则第</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宋体" w:hAnsi="宋体" w:cs="宋体" w:eastAsia="宋体" w:hint="default"/>
                <w:sz w:val="18"/>
                <w:szCs w:val="18"/>
              </w:rPr>
              <w:t>号》新增至信用减值损失科目核算</w:t>
            </w:r>
          </w:p>
        </w:tc>
      </w:tr>
      <w:tr>
        <w:trPr>
          <w:trHeight w:val="346" w:hRule="exact"/>
        </w:trPr>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-23,836.28</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4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主要系本期其他应收款坏账准备计提</w:t>
            </w:r>
          </w:p>
        </w:tc>
      </w:tr>
      <w:tr>
        <w:trPr>
          <w:trHeight w:val="661" w:hRule="exact"/>
        </w:trPr>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-4,918,095.46</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4,913,154.68</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-200.10%</w:t>
            </w:r>
          </w:p>
        </w:tc>
        <w:tc>
          <w:tcPr>
            <w:tcW w:w="422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80"/>
              <w:jc w:val="left"/>
              <w:rPr>
                <w:rFonts w:ascii="宋体" w:hAnsi="宋体" w:cs="宋体" w:eastAsia="宋体" w:hint="default"/>
                <w:sz w:val="18"/>
                <w:szCs w:val="18"/>
              </w:rPr>
            </w:pPr>
            <w:r>
              <w:rPr>
                <w:rFonts w:ascii="宋体" w:hAnsi="宋体" w:cs="宋体" w:eastAsia="宋体" w:hint="default"/>
                <w:sz w:val="18"/>
                <w:szCs w:val="18"/>
              </w:rPr>
              <w:t>主要系公司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两免三减半</w:t>
            </w:r>
            <w:r>
              <w:rPr>
                <w:rFonts w:ascii="Times New Roman" w:hAnsi="Times New Roman" w:cs="Times New Roman" w:eastAsia="Times New Roman" w:hint="default"/>
                <w:sz w:val="18"/>
                <w:szCs w:val="18"/>
              </w:rPr>
              <w:t>”</w:t>
            </w:r>
            <w:r>
              <w:rPr>
                <w:rFonts w:ascii="宋体" w:hAnsi="宋体" w:cs="宋体" w:eastAsia="宋体" w:hint="default"/>
                <w:sz w:val="18"/>
                <w:szCs w:val="18"/>
              </w:rPr>
              <w:t>的所得税优惠税率，上年度 全额退税所致</w:t>
            </w:r>
          </w:p>
        </w:tc>
      </w:tr>
      <w:tr>
        <w:trPr>
          <w:trHeight w:val="346" w:hRule="exact"/>
        </w:trPr>
        <w:tc>
          <w:tcPr>
            <w:tcW w:w="9556" w:type="dxa"/>
            <w:gridSpan w:val="5"/>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现金流量表</w:t>
            </w:r>
          </w:p>
        </w:tc>
      </w:tr>
      <w:tr>
        <w:trPr>
          <w:trHeight w:val="331" w:hRule="exact"/>
        </w:trPr>
        <w:tc>
          <w:tcPr>
            <w:tcW w:w="20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2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17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20"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9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88" w:right="0"/>
              <w:jc w:val="left"/>
              <w:rPr>
                <w:rFonts w:ascii="宋体" w:hAnsi="宋体" w:cs="宋体" w:eastAsia="宋体" w:hint="default"/>
                <w:sz w:val="18"/>
                <w:szCs w:val="18"/>
              </w:rPr>
            </w:pPr>
            <w:r>
              <w:rPr>
                <w:rFonts w:ascii="宋体" w:hAnsi="宋体" w:cs="宋体" w:eastAsia="宋体" w:hint="default"/>
                <w:sz w:val="18"/>
                <w:szCs w:val="18"/>
              </w:rPr>
              <w:t>变动比例</w:t>
            </w:r>
          </w:p>
        </w:tc>
        <w:tc>
          <w:tcPr>
            <w:tcW w:w="42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677" w:hRule="exact"/>
        </w:trPr>
        <w:tc>
          <w:tcPr>
            <w:tcW w:w="2081" w:type="dxa"/>
            <w:tcBorders>
              <w:top w:val="single" w:sz="10" w:space="0" w:color="000000"/>
              <w:left w:val="single" w:sz="6" w:space="0" w:color="000000"/>
              <w:bottom w:val="single" w:sz="6" w:space="0" w:color="000000"/>
              <w:right w:val="single" w:sz="6" w:space="0" w:color="000000"/>
            </w:tcBorders>
          </w:tcPr>
          <w:p>
            <w:pPr>
              <w:pStyle w:val="TableParagraph"/>
              <w:spacing w:line="316" w:lineRule="auto" w:before="29"/>
              <w:ind w:left="4" w:right="81"/>
              <w:jc w:val="left"/>
              <w:rPr>
                <w:rFonts w:ascii="宋体" w:hAnsi="宋体" w:cs="宋体" w:eastAsia="宋体" w:hint="default"/>
                <w:sz w:val="18"/>
                <w:szCs w:val="18"/>
              </w:rPr>
            </w:pPr>
            <w:r>
              <w:rPr>
                <w:rFonts w:ascii="宋体" w:hAnsi="宋体" w:cs="宋体" w:eastAsia="宋体" w:hint="default"/>
                <w:sz w:val="18"/>
                <w:szCs w:val="18"/>
              </w:rPr>
              <w:t>销售商品、提供劳务收到 的现金</w:t>
            </w:r>
          </w:p>
        </w:tc>
        <w:tc>
          <w:tcPr>
            <w:tcW w:w="117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pacing w:val="-1"/>
                <w:sz w:val="18"/>
              </w:rPr>
              <w:t>3,924,349.86</w:t>
            </w:r>
          </w:p>
        </w:tc>
        <w:tc>
          <w:tcPr>
            <w:tcW w:w="117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pacing w:val="-1"/>
                <w:sz w:val="18"/>
              </w:rPr>
              <w:t>12,048,437.00</w:t>
            </w:r>
          </w:p>
        </w:tc>
        <w:tc>
          <w:tcPr>
            <w:tcW w:w="91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2"/>
              <w:ind w:right="-3"/>
              <w:jc w:val="right"/>
              <w:rPr>
                <w:rFonts w:ascii="Times New Roman" w:hAnsi="Times New Roman" w:cs="Times New Roman" w:eastAsia="Times New Roman" w:hint="default"/>
                <w:sz w:val="18"/>
                <w:szCs w:val="18"/>
              </w:rPr>
            </w:pPr>
            <w:r>
              <w:rPr>
                <w:rFonts w:ascii="Times New Roman"/>
                <w:sz w:val="18"/>
              </w:rPr>
              <w:t>-67.43%</w:t>
            </w:r>
          </w:p>
        </w:tc>
        <w:tc>
          <w:tcPr>
            <w:tcW w:w="422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9"/>
              <w:ind w:left="4" w:right="0"/>
              <w:jc w:val="left"/>
              <w:rPr>
                <w:rFonts w:ascii="宋体" w:hAnsi="宋体" w:cs="宋体" w:eastAsia="宋体" w:hint="default"/>
                <w:sz w:val="18"/>
                <w:szCs w:val="18"/>
              </w:rPr>
            </w:pPr>
            <w:r>
              <w:rPr>
                <w:rFonts w:ascii="宋体" w:hAnsi="宋体" w:cs="宋体" w:eastAsia="宋体" w:hint="default"/>
                <w:sz w:val="18"/>
                <w:szCs w:val="18"/>
              </w:rPr>
              <w:t>本期销售规模减少所致</w:t>
            </w:r>
          </w:p>
        </w:tc>
      </w:tr>
      <w:tr>
        <w:trPr>
          <w:trHeight w:val="346" w:hRule="exact"/>
        </w:trPr>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4,195,676.81</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1,267,267.85</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231.08%</w:t>
            </w:r>
          </w:p>
        </w:tc>
        <w:tc>
          <w:tcPr>
            <w:tcW w:w="4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本期收到的上年度以及本年度软件产品退税增加所致</w:t>
            </w:r>
          </w:p>
        </w:tc>
      </w:tr>
      <w:tr>
        <w:trPr>
          <w:trHeight w:val="660" w:hRule="exact"/>
        </w:trPr>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81"/>
              <w:jc w:val="left"/>
              <w:rPr>
                <w:rFonts w:ascii="宋体" w:hAnsi="宋体" w:cs="宋体" w:eastAsia="宋体" w:hint="default"/>
                <w:sz w:val="18"/>
                <w:szCs w:val="18"/>
              </w:rPr>
            </w:pPr>
            <w:r>
              <w:rPr>
                <w:rFonts w:ascii="宋体" w:hAnsi="宋体" w:cs="宋体" w:eastAsia="宋体" w:hint="default"/>
                <w:sz w:val="18"/>
                <w:szCs w:val="18"/>
              </w:rPr>
              <w:t>收到其他与经营活动有关 的现金</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790,210.16</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2,966,004.61</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-73.36%</w:t>
            </w:r>
          </w:p>
        </w:tc>
        <w:tc>
          <w:tcPr>
            <w:tcW w:w="4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本期收到内部往来款减少所致</w:t>
            </w:r>
          </w:p>
        </w:tc>
      </w:tr>
      <w:tr>
        <w:trPr>
          <w:trHeight w:val="346" w:hRule="exact"/>
        </w:trPr>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-3,876,236.15</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11,385,881.47</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-134.04%</w:t>
            </w:r>
          </w:p>
        </w:tc>
        <w:tc>
          <w:tcPr>
            <w:tcW w:w="4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本期因享受</w:t>
            </w:r>
            <w:r>
              <w:rPr>
                <w:rFonts w:ascii="Times New Roman" w:hAnsi="Times New Roman" w:cs="Times New Roman" w:eastAsia="Times New Roman" w:hint="default"/>
                <w:sz w:val="18"/>
                <w:szCs w:val="18"/>
              </w:rPr>
              <w:t>“</w:t>
            </w:r>
            <w:r>
              <w:rPr>
                <w:rFonts w:ascii="宋体" w:hAnsi="宋体" w:cs="宋体" w:eastAsia="宋体" w:hint="default"/>
                <w:sz w:val="18"/>
                <w:szCs w:val="18"/>
              </w:rPr>
              <w:t>两免三减半</w:t>
            </w:r>
            <w:r>
              <w:rPr>
                <w:rFonts w:ascii="Times New Roman" w:hAnsi="Times New Roman" w:cs="Times New Roman" w:eastAsia="Times New Roman" w:hint="default"/>
                <w:sz w:val="18"/>
                <w:szCs w:val="18"/>
              </w:rPr>
              <w:t>”</w:t>
            </w:r>
            <w:r>
              <w:rPr>
                <w:rFonts w:ascii="宋体" w:hAnsi="宋体" w:cs="宋体" w:eastAsia="宋体" w:hint="default"/>
                <w:sz w:val="18"/>
                <w:szCs w:val="18"/>
              </w:rPr>
              <w:t>退还的所得税税款所致</w:t>
            </w:r>
          </w:p>
        </w:tc>
      </w:tr>
      <w:tr>
        <w:trPr>
          <w:trHeight w:val="660" w:hRule="exact"/>
        </w:trPr>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81"/>
              <w:jc w:val="left"/>
              <w:rPr>
                <w:rFonts w:ascii="宋体" w:hAnsi="宋体" w:cs="宋体" w:eastAsia="宋体" w:hint="default"/>
                <w:sz w:val="18"/>
                <w:szCs w:val="18"/>
              </w:rPr>
            </w:pPr>
            <w:r>
              <w:rPr>
                <w:rFonts w:ascii="宋体" w:hAnsi="宋体" w:cs="宋体" w:eastAsia="宋体" w:hint="default"/>
                <w:sz w:val="18"/>
                <w:szCs w:val="18"/>
              </w:rPr>
              <w:t>支付其他与经营活动有关 的现金</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2,211,840.49</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1,083,599.71</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104.12%</w:t>
            </w:r>
          </w:p>
        </w:tc>
        <w:tc>
          <w:tcPr>
            <w:tcW w:w="4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本期付现费用增加所致</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p>
      <w:pPr>
        <w:pStyle w:val="Heading2"/>
        <w:spacing w:line="240" w:lineRule="auto" w:before="26"/>
        <w:ind w:right="1133"/>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513" w:right="1129"/>
        <w:jc w:val="left"/>
      </w:pPr>
      <w:r>
        <w:rPr>
          <w:rFonts w:ascii="宋体" w:hAnsi="宋体" w:cs="宋体" w:eastAsia="宋体" w:hint="default"/>
          <w:b/>
          <w:bCs/>
        </w:rPr>
        <w:t>（一）行业格局和发展趋势</w:t>
      </w:r>
      <w:r>
        <w:rPr>
          <w:rFonts w:ascii="宋体" w:hAnsi="宋体" w:cs="宋体" w:eastAsia="宋体" w:hint="default"/>
          <w:b/>
          <w:bCs/>
          <w:w w:val="99"/>
        </w:rPr>
        <w:t> </w:t>
      </w:r>
      <w:r>
        <w:rPr>
          <w:spacing w:val="-2"/>
        </w:rPr>
        <w:t>公司是行业智能移动应用软硬件一体化解决方案提供商，智能移动信息化应用解决方案是企业信息化系统的核心组成部</w:t>
      </w:r>
    </w:p>
    <w:p>
      <w:pPr>
        <w:pStyle w:val="BodyText"/>
        <w:spacing w:line="222" w:lineRule="exact"/>
        <w:ind w:right="0"/>
        <w:jc w:val="left"/>
      </w:pPr>
      <w:r>
        <w:rPr/>
        <w:t>分之一。移动信息化应用以物联网技术为基础，融合了信息识别、数据采集、云计算、大数据等技术，物联网、云计算、大</w:t>
      </w:r>
    </w:p>
    <w:p>
      <w:pPr>
        <w:pStyle w:val="BodyText"/>
        <w:spacing w:line="309" w:lineRule="auto" w:before="77"/>
        <w:ind w:right="0"/>
        <w:jc w:val="left"/>
      </w:pPr>
      <w:r>
        <w:rPr>
          <w:spacing w:val="-4"/>
        </w:rPr>
        <w:t>数据三者又共同构成人工智能的基础。随着这三大技术的发展，行业智能移动应用解决方案在具体行业内的应用也由浅入深，</w:t>
      </w:r>
      <w:r>
        <w:rPr>
          <w:spacing w:val="-44"/>
        </w:rPr>
        <w:t> </w:t>
      </w:r>
      <w:r>
        <w:rPr>
          <w:spacing w:val="-44"/>
        </w:rPr>
      </w:r>
      <w:r>
        <w:rPr/>
        <w:t>从基础的数据采集和数据分析进一步向智能化的方向发展。随着</w:t>
      </w:r>
      <w:r>
        <w:rPr>
          <w:rFonts w:ascii="Times New Roman" w:hAnsi="Times New Roman" w:cs="Times New Roman" w:eastAsia="Times New Roman" w:hint="default"/>
        </w:rPr>
        <w:t>5G</w:t>
      </w:r>
      <w:r>
        <w:rPr/>
        <w:t>网络逐步部署到位，物联网相关产业进入快速发展新阶</w:t>
      </w:r>
      <w:r>
        <w:rPr>
          <w:spacing w:val="-39"/>
        </w:rPr>
        <w:t> </w:t>
      </w:r>
      <w:r>
        <w:rPr>
          <w:spacing w:val="-39"/>
        </w:rPr>
      </w:r>
      <w:r>
        <w:rPr/>
        <w:t>段，应用领域更为广阔，物联网价值快速释放。</w:t>
      </w:r>
    </w:p>
    <w:p>
      <w:pPr>
        <w:pStyle w:val="BodyText"/>
        <w:spacing w:line="316" w:lineRule="auto" w:before="24"/>
        <w:ind w:right="1129" w:firstLine="360"/>
        <w:jc w:val="left"/>
      </w:pPr>
      <w:r>
        <w:rPr>
          <w:spacing w:val="-2"/>
        </w:rPr>
        <w:t>智能移动应用的行业场景极为丰富，包括物流快递、电子商务、零售和服务、生产制造、产品溯源、公共交通和行政执</w:t>
      </w:r>
      <w:r>
        <w:rPr/>
        <w:t> 法等。智能移动信息化产品在主要应用行业的发展趋势如下：</w:t>
      </w:r>
    </w:p>
    <w:p>
      <w:pPr>
        <w:spacing w:line="300" w:lineRule="auto" w:before="19"/>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、物流快递和电商行业继续保持快速发展，信息技术建设投入持续加大</w:t>
      </w:r>
      <w:r>
        <w:rPr>
          <w:rFonts w:ascii="宋体" w:hAnsi="宋体" w:cs="宋体" w:eastAsia="宋体" w:hint="default"/>
          <w:b/>
          <w:bCs/>
          <w:w w:val="99"/>
          <w:sz w:val="18"/>
          <w:szCs w:val="18"/>
        </w:rPr>
        <w:t> </w:t>
      </w:r>
      <w:r>
        <w:rPr>
          <w:rFonts w:ascii="宋体" w:hAnsi="宋体" w:cs="宋体" w:eastAsia="宋体" w:hint="default"/>
          <w:spacing w:val="-2"/>
          <w:sz w:val="18"/>
          <w:szCs w:val="18"/>
        </w:rPr>
        <w:t>物流移动信息化应用解决方案以智能移动终端为载体，围绕物资的生产、采购、运输、存储、保管、分发、服务等物流</w:t>
      </w:r>
    </w:p>
    <w:p>
      <w:pPr>
        <w:pStyle w:val="BodyText"/>
        <w:spacing w:line="316" w:lineRule="auto" w:before="31"/>
        <w:ind w:right="0"/>
        <w:jc w:val="left"/>
      </w:pPr>
      <w:r>
        <w:rPr>
          <w:spacing w:val="-4"/>
        </w:rPr>
        <w:t>全过程进行信息的采集、交互、传输和管理，实现物资的供应方、需求方、存储方等的有效协调和无缝连接，构建高效快捷、</w:t>
      </w:r>
      <w:r>
        <w:rPr>
          <w:spacing w:val="-44"/>
        </w:rPr>
        <w:t> </w:t>
      </w:r>
      <w:r>
        <w:rPr>
          <w:spacing w:val="-44"/>
        </w:rPr>
      </w:r>
      <w:r>
        <w:rPr/>
        <w:t>精准可控的物流供应链全流程信息管理系统。</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0"/>
        <w:jc w:val="left"/>
      </w:pPr>
      <w:r>
        <w:rPr>
          <w:rFonts w:ascii="Times New Roman" w:hAnsi="Times New Roman" w:cs="Times New Roman" w:eastAsia="Times New Roman" w:hint="default"/>
        </w:rPr>
        <w:t>2010</w:t>
      </w:r>
      <w:r>
        <w:rPr/>
        <w:t>年起，中国快递行业在电商蓬勃发展的大背景下开始高速发展，</w:t>
      </w:r>
      <w:r>
        <w:rPr>
          <w:rFonts w:ascii="Times New Roman" w:hAnsi="Times New Roman" w:cs="Times New Roman" w:eastAsia="Times New Roman" w:hint="default"/>
        </w:rPr>
        <w:t>2010 </w:t>
      </w:r>
      <w:r>
        <w:rPr>
          <w:rFonts w:ascii="Times New Roman" w:hAnsi="Times New Roman" w:cs="Times New Roman" w:eastAsia="Times New Roman" w:hint="default"/>
          <w:spacing w:val="4"/>
        </w:rPr>
        <w:t> </w:t>
      </w:r>
      <w:r>
        <w:rPr/>
        <w:t>年以来我国快递业务量年均复合增长率达到</w:t>
      </w:r>
    </w:p>
    <w:p>
      <w:pPr>
        <w:pStyle w:val="BodyText"/>
        <w:spacing w:line="240" w:lineRule="auto" w:before="63"/>
        <w:ind w:right="1133"/>
        <w:jc w:val="left"/>
      </w:pPr>
      <w:r>
        <w:rPr>
          <w:rFonts w:ascii="Times New Roman" w:hAnsi="Times New Roman" w:cs="Times New Roman" w:eastAsia="Times New Roman" w:hint="default"/>
        </w:rPr>
        <w:t>50.05%</w:t>
      </w:r>
      <w:r>
        <w:rPr/>
        <w:t>。随着基数的不断积累，近两年业务量及收入增速有所下滑，但整体来看快递行业仍呈现出高位运行的发展态势。</w:t>
      </w:r>
    </w:p>
    <w:p>
      <w:pPr>
        <w:pStyle w:val="BodyText"/>
        <w:spacing w:line="307" w:lineRule="auto" w:before="63"/>
        <w:ind w:right="1034"/>
        <w:jc w:val="left"/>
      </w:pPr>
      <w:r>
        <w:rPr>
          <w:rFonts w:ascii="Times New Roman" w:hAnsi="Times New Roman" w:cs="Times New Roman" w:eastAsia="Times New Roman" w:hint="default"/>
          <w:spacing w:val="-4"/>
        </w:rPr>
        <w:t>2019</w:t>
      </w:r>
      <w:r>
        <w:rPr>
          <w:spacing w:val="-4"/>
        </w:rPr>
        <w:t>年，全国快递服务企业业务量累计完成</w:t>
      </w:r>
      <w:r>
        <w:rPr>
          <w:rFonts w:ascii="Times New Roman" w:hAnsi="Times New Roman" w:cs="Times New Roman" w:eastAsia="Times New Roman" w:hint="default"/>
          <w:spacing w:val="-4"/>
        </w:rPr>
        <w:t>635.2</w:t>
      </w:r>
      <w:r>
        <w:rPr>
          <w:spacing w:val="-4"/>
        </w:rPr>
        <w:t>亿件，同比增长</w:t>
      </w:r>
      <w:r>
        <w:rPr>
          <w:rFonts w:ascii="Times New Roman" w:hAnsi="Times New Roman" w:cs="Times New Roman" w:eastAsia="Times New Roman" w:hint="default"/>
          <w:spacing w:val="-4"/>
        </w:rPr>
        <w:t>25.3%</w:t>
      </w:r>
      <w:r>
        <w:rPr>
          <w:spacing w:val="-4"/>
        </w:rPr>
        <w:t>；业务收入累计完成</w:t>
      </w:r>
      <w:r>
        <w:rPr>
          <w:rFonts w:ascii="Times New Roman" w:hAnsi="Times New Roman" w:cs="Times New Roman" w:eastAsia="Times New Roman" w:hint="default"/>
          <w:spacing w:val="-4"/>
        </w:rPr>
        <w:t>7,497.8</w:t>
      </w:r>
      <w:r>
        <w:rPr>
          <w:spacing w:val="-4"/>
        </w:rPr>
        <w:t>亿元，同比增长</w:t>
      </w:r>
      <w:r>
        <w:rPr>
          <w:rFonts w:ascii="Times New Roman" w:hAnsi="Times New Roman" w:cs="Times New Roman" w:eastAsia="Times New Roman" w:hint="default"/>
          <w:spacing w:val="-4"/>
        </w:rPr>
        <w:t>24.2%</w:t>
      </w:r>
      <w:r>
        <w:rPr>
          <w:spacing w:val="-4"/>
        </w:rPr>
        <w:t>。</w:t>
      </w:r>
      <w:r>
        <w:rPr>
          <w:rFonts w:ascii="Times New Roman" w:hAnsi="Times New Roman" w:cs="Times New Roman" w:eastAsia="Times New Roman" w:hint="default"/>
          <w:spacing w:val="-4"/>
        </w:rPr>
        <w:t>“</w:t>
      </w:r>
      <w:r>
        <w:rPr>
          <w:spacing w:val="-4"/>
        </w:rPr>
        <w:t>物</w:t>
      </w:r>
      <w:r>
        <w:rPr>
          <w:spacing w:val="-65"/>
        </w:rPr>
        <w:t> </w:t>
      </w:r>
      <w:r>
        <w:rPr>
          <w:spacing w:val="-2"/>
        </w:rPr>
        <w:t>联网</w:t>
      </w:r>
      <w:r>
        <w:rPr>
          <w:rFonts w:ascii="Times New Roman" w:hAnsi="Times New Roman" w:cs="Times New Roman" w:eastAsia="Times New Roman" w:hint="default"/>
          <w:spacing w:val="-2"/>
        </w:rPr>
        <w:t>+</w:t>
      </w:r>
      <w:r>
        <w:rPr>
          <w:spacing w:val="-2"/>
        </w:rPr>
        <w:t>大数据</w:t>
      </w:r>
      <w:r>
        <w:rPr>
          <w:rFonts w:ascii="Times New Roman" w:hAnsi="Times New Roman" w:cs="Times New Roman" w:eastAsia="Times New Roman" w:hint="default"/>
          <w:spacing w:val="-2"/>
        </w:rPr>
        <w:t>”</w:t>
      </w:r>
      <w:r>
        <w:rPr>
          <w:spacing w:val="-2"/>
        </w:rPr>
        <w:t>将实现物流供应链提速，目前各大电商和快递巨头已开始从智能数据终端、仓储无人车、自动分拣机等硬件设</w:t>
      </w:r>
      <w:r>
        <w:rPr>
          <w:spacing w:val="-68"/>
        </w:rPr>
        <w:t> </w:t>
      </w:r>
      <w:r>
        <w:rPr>
          <w:spacing w:val="-68"/>
        </w:rPr>
      </w:r>
      <w:r>
        <w:rPr/>
        <w:t>备和大数据系统入手，实现物流体系的改造升级，压缩配送时间、提高货品管理效率，物联网可谓是高效物流的关键一环。 因此，国内物流快递和电商企业将在未来几年内继续保持较大的信息技术建设投入。</w:t>
      </w:r>
    </w:p>
    <w:p>
      <w:pPr>
        <w:spacing w:line="300" w:lineRule="auto" w:before="26"/>
        <w:ind w:left="513" w:right="1203"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、传统零售和服务行业向</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新零售</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转型，智能识别、移动支付技术应用更为深入</w:t>
      </w:r>
      <w:r>
        <w:rPr>
          <w:rFonts w:ascii="宋体" w:hAnsi="宋体" w:cs="宋体" w:eastAsia="宋体" w:hint="default"/>
          <w:b/>
          <w:bCs/>
          <w:w w:val="99"/>
          <w:sz w:val="18"/>
          <w:szCs w:val="18"/>
        </w:rPr>
        <w:t> </w:t>
      </w:r>
      <w:r>
        <w:rPr>
          <w:rFonts w:ascii="宋体" w:hAnsi="宋体" w:cs="宋体" w:eastAsia="宋体" w:hint="default"/>
          <w:sz w:val="18"/>
          <w:szCs w:val="18"/>
        </w:rPr>
        <w:t>云（云计算、大数据）、网（互联网、物联网）、端（</w:t>
      </w: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终端、移动终端、智能穿戴、传感器等）构建起</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p>
    <w:p>
      <w:pPr>
        <w:pStyle w:val="BodyText"/>
        <w:spacing w:line="312" w:lineRule="auto" w:before="13"/>
        <w:ind w:right="1129"/>
        <w:jc w:val="both"/>
      </w:pPr>
      <w:r>
        <w:rPr>
          <w:spacing w:val="-2"/>
        </w:rPr>
        <w:t>下的新社会基础设施，为新零售准备了必要的条件。我国居民消费购买力日益攀升，消费主体个性化需求特征明显，对商品</w:t>
      </w:r>
      <w:r>
        <w:rPr>
          <w:spacing w:val="-65"/>
        </w:rPr>
        <w:t> </w:t>
      </w:r>
      <w:r>
        <w:rPr>
          <w:spacing w:val="-65"/>
        </w:rPr>
      </w:r>
      <w:r>
        <w:rPr>
          <w:spacing w:val="-2"/>
        </w:rPr>
        <w:t>与消费的适配度提出了更高的要求，消费升级也对零售升级产生了巨大的牵引力。在技术升级与消费升级驱动下，新零售应</w:t>
      </w:r>
      <w:r>
        <w:rPr>
          <w:spacing w:val="-63"/>
        </w:rPr>
        <w:t> </w:t>
      </w:r>
      <w:r>
        <w:rPr>
          <w:spacing w:val="-63"/>
        </w:rPr>
      </w:r>
      <w:r>
        <w:rPr>
          <w:spacing w:val="-1"/>
        </w:rPr>
        <w:t>运而生并快速发展。传统零售商在增速持续放缓的背景下，只有积极拥抱新技术，对</w:t>
      </w:r>
      <w:r>
        <w:rPr>
          <w:rFonts w:ascii="Times New Roman" w:hAnsi="Times New Roman" w:cs="Times New Roman" w:eastAsia="Times New Roman" w:hint="default"/>
          <w:spacing w:val="-1"/>
        </w:rPr>
        <w:t>“</w:t>
      </w:r>
      <w:r>
        <w:rPr>
          <w:spacing w:val="-1"/>
        </w:rPr>
        <w:t>人货场</w:t>
      </w:r>
      <w:r>
        <w:rPr>
          <w:rFonts w:ascii="Times New Roman" w:hAnsi="Times New Roman" w:cs="Times New Roman" w:eastAsia="Times New Roman" w:hint="default"/>
          <w:spacing w:val="-1"/>
        </w:rPr>
        <w:t>”</w:t>
      </w:r>
      <w:r>
        <w:rPr>
          <w:spacing w:val="-1"/>
        </w:rPr>
        <w:t>进行重构（包括</w:t>
      </w:r>
      <w:r>
        <w:rPr>
          <w:rFonts w:ascii="Times New Roman" w:hAnsi="Times New Roman" w:cs="Times New Roman" w:eastAsia="Times New Roman" w:hint="default"/>
          <w:spacing w:val="-1"/>
        </w:rPr>
        <w:t>“</w:t>
      </w:r>
      <w:r>
        <w:rPr>
          <w:spacing w:val="-1"/>
        </w:rPr>
        <w:t>人</w:t>
      </w:r>
      <w:r>
        <w:rPr>
          <w:rFonts w:ascii="Times New Roman" w:hAnsi="Times New Roman" w:cs="Times New Roman" w:eastAsia="Times New Roman" w:hint="default"/>
          <w:spacing w:val="-1"/>
        </w:rPr>
        <w:t>”</w:t>
      </w:r>
      <w:r>
        <w:rPr>
          <w:spacing w:val="-1"/>
        </w:rPr>
        <w:t>的重新定</w:t>
      </w:r>
      <w:r>
        <w:rPr>
          <w:spacing w:val="-75"/>
        </w:rPr>
        <w:t> </w:t>
      </w:r>
      <w:r>
        <w:rPr>
          <w:spacing w:val="-75"/>
        </w:rPr>
      </w:r>
      <w:r>
        <w:rPr/>
        <w:t>位，</w:t>
      </w:r>
      <w:r>
        <w:rPr>
          <w:rFonts w:ascii="Times New Roman" w:hAnsi="Times New Roman" w:cs="Times New Roman" w:eastAsia="Times New Roman" w:hint="default"/>
        </w:rPr>
        <w:t>“</w:t>
      </w:r>
      <w:r>
        <w:rPr/>
        <w:t>货</w:t>
      </w:r>
      <w:r>
        <w:rPr>
          <w:rFonts w:ascii="Times New Roman" w:hAnsi="Times New Roman" w:cs="Times New Roman" w:eastAsia="Times New Roman" w:hint="default"/>
        </w:rPr>
        <w:t>”</w:t>
      </w:r>
      <w:r>
        <w:rPr/>
        <w:t>的数字化，</w:t>
      </w:r>
      <w:r>
        <w:rPr>
          <w:rFonts w:ascii="Times New Roman" w:hAnsi="Times New Roman" w:cs="Times New Roman" w:eastAsia="Times New Roman" w:hint="default"/>
        </w:rPr>
        <w:t>“</w:t>
      </w:r>
      <w:r>
        <w:rPr/>
        <w:t>场</w:t>
      </w:r>
      <w:r>
        <w:rPr>
          <w:rFonts w:ascii="Times New Roman" w:hAnsi="Times New Roman" w:cs="Times New Roman" w:eastAsia="Times New Roman" w:hint="default"/>
        </w:rPr>
        <w:t>”</w:t>
      </w:r>
      <w:r>
        <w:rPr/>
        <w:t>的模式重构），为消费者提供更快、更近、更多、更符合需求的服务，才是保持竞争力的根本。</w:t>
      </w:r>
    </w:p>
    <w:p>
      <w:pPr>
        <w:pStyle w:val="BodyText"/>
        <w:spacing w:line="316" w:lineRule="auto" w:before="3"/>
        <w:ind w:right="1132" w:firstLine="360"/>
        <w:jc w:val="both"/>
      </w:pPr>
      <w:r>
        <w:rPr>
          <w:spacing w:val="-2"/>
        </w:rPr>
        <w:t>人脸识别技术帮助商家快速识别消费者的身份信息。人脸信息具有高个性化的特点且获取便捷，通过人脸识别技术可以</w:t>
      </w:r>
      <w:r>
        <w:rPr/>
        <w:t> </w:t>
      </w:r>
      <w:r>
        <w:rPr>
          <w:spacing w:val="-2"/>
        </w:rPr>
        <w:t>快速获取消费者的个性化身体特征以识别消费者身份，可实现数据采集、会员管理、无感支付，从而实现消费者画像、大数</w:t>
      </w:r>
      <w:r>
        <w:rPr>
          <w:spacing w:val="-67"/>
        </w:rPr>
        <w:t> </w:t>
      </w:r>
      <w:r>
        <w:rPr>
          <w:spacing w:val="-67"/>
        </w:rPr>
      </w:r>
      <w:r>
        <w:rPr/>
        <w:t>据分析、精准营销等目的。</w:t>
      </w:r>
    </w:p>
    <w:p>
      <w:pPr>
        <w:pStyle w:val="BodyText"/>
        <w:spacing w:line="300" w:lineRule="auto" w:before="19"/>
        <w:ind w:right="1114" w:firstLine="360"/>
        <w:jc w:val="left"/>
      </w:pPr>
      <w:r>
        <w:rPr>
          <w:rFonts w:ascii="Times New Roman" w:hAnsi="Times New Roman" w:cs="Times New Roman" w:eastAsia="Times New Roman" w:hint="default"/>
        </w:rPr>
        <w:t>RFID</w:t>
      </w:r>
      <w:r>
        <w:rPr/>
        <w:t>技术可以快速批量识别商品信息。远距离</w:t>
      </w:r>
      <w:r>
        <w:rPr>
          <w:rFonts w:ascii="Times New Roman" w:hAnsi="Times New Roman" w:cs="Times New Roman" w:eastAsia="Times New Roman" w:hint="default"/>
        </w:rPr>
        <w:t>RFID</w:t>
      </w:r>
      <w:r>
        <w:rPr/>
        <w:t>技术，具有一次性读取多个标签、穿透性强、可多次读写、数据的 记忆容量大、阅读距离较远（可达十米）、性能稳定等优点，技术较为成熟，成为商品识别管理方面的主流技术。</w:t>
      </w:r>
    </w:p>
    <w:p>
      <w:pPr>
        <w:pStyle w:val="BodyText"/>
        <w:spacing w:line="314" w:lineRule="auto" w:before="31"/>
        <w:ind w:right="0" w:firstLine="360"/>
        <w:jc w:val="left"/>
      </w:pPr>
      <w:r>
        <w:rPr>
          <w:spacing w:val="-2"/>
        </w:rPr>
        <w:t>移动支付技术解决快捷支付和信息闭环的问题。移动支付技术在线下的高度渗透大大提升了支付便利性。单纯的信息闭</w:t>
      </w:r>
      <w:r>
        <w:rPr/>
        <w:t> </w:t>
      </w:r>
      <w:r>
        <w:rPr>
          <w:spacing w:val="-4"/>
        </w:rPr>
        <w:t>环并不能完整的反映出交易情况，只有涉及交易支付的闭环才能真正沉淀用户的数据，这些数据可以用来作为消费行为跟踪、</w:t>
      </w:r>
      <w:r>
        <w:rPr>
          <w:spacing w:val="-44"/>
        </w:rPr>
        <w:t> </w:t>
      </w:r>
      <w:r>
        <w:rPr>
          <w:spacing w:val="-44"/>
        </w:rPr>
      </w:r>
      <w:r>
        <w:rPr/>
        <w:t>消费信息记录、联系方式收集、消费习惯掌握，使商家可以进行</w:t>
      </w:r>
      <w:r>
        <w:rPr>
          <w:rFonts w:ascii="Times New Roman" w:hAnsi="Times New Roman" w:cs="Times New Roman" w:eastAsia="Times New Roman" w:hint="default"/>
        </w:rPr>
        <w:t>CRM</w:t>
      </w:r>
      <w:r>
        <w:rPr/>
        <w:t>客户管理、广告推荐系统等大数据方面的应用；收单 </w:t>
      </w:r>
      <w:r>
        <w:rPr>
          <w:spacing w:val="-4"/>
        </w:rPr>
        <w:t>机构也能通过挖掘商户经营和交易数据，更好的为商户提供多样化的商业信息及金融服务，收单机构将以商户的需求为导向，</w:t>
      </w:r>
      <w:r>
        <w:rPr>
          <w:spacing w:val="-44"/>
        </w:rPr>
        <w:t> </w:t>
      </w:r>
      <w:r>
        <w:rPr>
          <w:spacing w:val="-44"/>
        </w:rPr>
      </w:r>
      <w:r>
        <w:rPr/>
        <w:t>整合线上线下资源，不断创新智能</w:t>
      </w:r>
      <w:r>
        <w:rPr>
          <w:rFonts w:ascii="Times New Roman" w:hAnsi="Times New Roman" w:cs="Times New Roman" w:eastAsia="Times New Roman" w:hint="default"/>
        </w:rPr>
        <w:t>POS</w:t>
      </w:r>
      <w:r>
        <w:rPr/>
        <w:t>的商业模式、丰富智能</w:t>
      </w:r>
      <w:r>
        <w:rPr>
          <w:rFonts w:ascii="Times New Roman" w:hAnsi="Times New Roman" w:cs="Times New Roman" w:eastAsia="Times New Roman" w:hint="default"/>
        </w:rPr>
        <w:t>POS</w:t>
      </w:r>
      <w:r>
        <w:rPr/>
        <w:t>的附加功能。</w:t>
      </w:r>
    </w:p>
    <w:p>
      <w:pPr>
        <w:spacing w:line="300" w:lineRule="auto" w:before="1"/>
        <w:ind w:left="513" w:right="103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、新技术的应用，将进一步拓宽智能移动应用解决方案在智能仓储、智能制造、产品溯源领域的应用范围</w:t>
      </w:r>
      <w:r>
        <w:rPr>
          <w:rFonts w:ascii="宋体" w:hAnsi="宋体" w:cs="宋体" w:eastAsia="宋体" w:hint="default"/>
          <w:b/>
          <w:bCs/>
          <w:w w:val="99"/>
          <w:sz w:val="18"/>
          <w:szCs w:val="18"/>
        </w:rPr>
        <w:t> </w:t>
      </w:r>
      <w:r>
        <w:rPr>
          <w:rFonts w:ascii="宋体" w:hAnsi="宋体" w:cs="宋体" w:eastAsia="宋体" w:hint="default"/>
          <w:sz w:val="18"/>
          <w:szCs w:val="18"/>
        </w:rPr>
        <w:t>机器视觉是指利用相机、摄像机等传感器，配合机器视觉算法赋予智能设备人眼的功能，从而进行物体的识别、检测、</w:t>
      </w:r>
    </w:p>
    <w:p>
      <w:pPr>
        <w:pStyle w:val="BodyText"/>
        <w:spacing w:line="312" w:lineRule="auto" w:before="32"/>
        <w:ind w:right="1035"/>
        <w:jc w:val="left"/>
      </w:pPr>
      <w:r>
        <w:rPr>
          <w:spacing w:val="-2"/>
        </w:rPr>
        <w:t>测量等功能。三维机器视觉实现了对物体的三维识别和检测，是机器视觉的发展方向和热门研究领域。智能移动终端的信息</w:t>
      </w:r>
      <w:r>
        <w:rPr>
          <w:spacing w:val="-63"/>
        </w:rPr>
        <w:t> </w:t>
      </w:r>
      <w:r>
        <w:rPr>
          <w:spacing w:val="-63"/>
        </w:rPr>
      </w:r>
      <w:r>
        <w:rPr>
          <w:spacing w:val="-4"/>
        </w:rPr>
        <w:t>识别技术，也由现阶段的二维图像的分析和识别向三维识别发展，实现对物体的三维识别和检测。机器视觉技术在物流仓储、</w:t>
      </w:r>
      <w:r>
        <w:rPr>
          <w:spacing w:val="-44"/>
        </w:rPr>
        <w:t> </w:t>
      </w:r>
      <w:r>
        <w:rPr>
          <w:spacing w:val="-44"/>
        </w:rPr>
      </w:r>
      <w:r>
        <w:rPr/>
        <w:t>智能制造等行业有广泛的应用需求，公司为物流电商领域量身打造的具备体积测量功能的智能</w:t>
      </w:r>
      <w:r>
        <w:rPr>
          <w:rFonts w:ascii="Times New Roman" w:hAnsi="Times New Roman" w:cs="Times New Roman" w:eastAsia="Times New Roman" w:hint="default"/>
        </w:rPr>
        <w:t>3D</w:t>
      </w:r>
      <w:r>
        <w:rPr/>
        <w:t>测量仪正是该类技术应用 的创新成果。</w:t>
      </w:r>
    </w:p>
    <w:p>
      <w:pPr>
        <w:pStyle w:val="BodyText"/>
        <w:spacing w:line="316" w:lineRule="auto" w:before="22"/>
        <w:ind w:right="0" w:firstLine="360"/>
        <w:jc w:val="left"/>
      </w:pPr>
      <w:r>
        <w:rPr>
          <w:spacing w:val="-2"/>
        </w:rPr>
        <w:t>移动信息化应用与工业的融合将带来全新的增长机遇。近年来，我国政府通过工业化与信息化融合战略正在大力推进物</w:t>
      </w:r>
      <w:r>
        <w:rPr/>
        <w:t> </w:t>
      </w:r>
      <w:r>
        <w:rPr>
          <w:spacing w:val="-2"/>
        </w:rPr>
        <w:t>联网技术向传统行业中的深度渗透。在工业生产过程、供应链管理、节能减排等环节深度应用以物联网为基础的移动信息化</w:t>
      </w:r>
      <w:r>
        <w:rPr>
          <w:spacing w:val="-66"/>
        </w:rPr>
        <w:t> </w:t>
      </w:r>
      <w:r>
        <w:rPr>
          <w:spacing w:val="-66"/>
        </w:rPr>
      </w:r>
      <w:r>
        <w:rPr>
          <w:spacing w:val="-4"/>
        </w:rPr>
        <w:t>应用解决方案将成为制造业企业的标配。同时，工业云平台、工业大数据等配套服务模式将逐步完善，进一步整合服务资源，</w:t>
      </w:r>
      <w:r>
        <w:rPr>
          <w:spacing w:val="-46"/>
        </w:rPr>
        <w:t> </w:t>
      </w:r>
      <w:r>
        <w:rPr>
          <w:spacing w:val="-46"/>
        </w:rPr>
      </w:r>
      <w:r>
        <w:rPr/>
        <w:t>从而带动我国传统产业的全面转型升级。</w:t>
      </w:r>
    </w:p>
    <w:p>
      <w:pPr>
        <w:pStyle w:val="BodyText"/>
        <w:spacing w:line="319" w:lineRule="auto" w:before="19"/>
        <w:ind w:right="1034" w:firstLine="360"/>
        <w:jc w:val="left"/>
      </w:pPr>
      <w:r>
        <w:rPr>
          <w:spacing w:val="-2"/>
        </w:rPr>
        <w:t>区块链技术近几年在国内外发展非常迅速，产业化应用的进程在各行各业开始展开。在产品溯源领域，由于该领域业务</w:t>
      </w:r>
      <w:r>
        <w:rPr/>
        <w:t> 需要跨部门监管和跨行业合作，对数据传输过程中的安全性有较高要求。区块链的本质是一种不可篡改、分布式的数据库， </w:t>
      </w:r>
      <w:r>
        <w:rPr>
          <w:spacing w:val="-2"/>
        </w:rPr>
        <w:t>凭借其去中心化、交易不可更改和数据共享的特性，可以有效地解决第三方机构对监管数据的垄断、数据的防伪防篡改、系</w:t>
      </w:r>
      <w:r>
        <w:rPr>
          <w:spacing w:val="-64"/>
        </w:rPr>
        <w:t> </w:t>
      </w:r>
      <w:r>
        <w:rPr>
          <w:spacing w:val="-64"/>
        </w:rPr>
      </w:r>
      <w:r>
        <w:rPr>
          <w:spacing w:val="-2"/>
        </w:rPr>
        <w:t>统的公开透明、多方的共识信任以及追踪溯源等问题。公司凭借前期在食品、药品溯源领域的信息化经验，与外部机构合作</w:t>
      </w:r>
      <w:r>
        <w:rPr>
          <w:spacing w:val="-65"/>
        </w:rPr>
        <w:t> </w:t>
      </w:r>
      <w:r>
        <w:rPr>
          <w:spacing w:val="-65"/>
        </w:rPr>
      </w:r>
      <w:r>
        <w:rPr/>
        <w:t>研发基于区块链技术的食品溯源平台软件，这一尝试的目的是拓展智能移动应用解决方案在溯源领域的应用广度和深度。</w:t>
      </w:r>
    </w:p>
    <w:p>
      <w:pPr>
        <w:pStyle w:val="Heading4"/>
        <w:spacing w:line="240" w:lineRule="auto" w:before="17"/>
        <w:ind w:right="1133"/>
        <w:jc w:val="left"/>
        <w:rPr>
          <w:b w:val="0"/>
          <w:bCs w:val="0"/>
        </w:rPr>
      </w:pPr>
      <w:r>
        <w:rPr>
          <w:rFonts w:ascii="Times New Roman" w:hAnsi="Times New Roman" w:cs="Times New Roman" w:eastAsia="Times New Roman" w:hint="default"/>
        </w:rPr>
        <w:t>4</w:t>
      </w:r>
      <w:r>
        <w:rPr/>
        <w:t>、智慧城市建设的推进，带动公共交通和行政执法等领域的智能信息化需求上升</w:t>
      </w:r>
      <w:r>
        <w:rPr>
          <w:b w:val="0"/>
          <w:bCs w:val="0"/>
        </w:rPr>
      </w:r>
    </w:p>
    <w:p>
      <w:pPr>
        <w:pStyle w:val="BodyText"/>
        <w:spacing w:line="312" w:lineRule="auto" w:before="63"/>
        <w:ind w:right="1034" w:firstLine="360"/>
        <w:jc w:val="left"/>
      </w:pPr>
      <w:r>
        <w:rPr>
          <w:rFonts w:ascii="Times New Roman" w:hAnsi="Times New Roman" w:cs="Times New Roman" w:eastAsia="Times New Roman" w:hint="default"/>
        </w:rPr>
        <w:t>“</w:t>
      </w:r>
      <w:r>
        <w:rPr/>
        <w:t>智慧城市</w:t>
      </w:r>
      <w:r>
        <w:rPr>
          <w:rFonts w:ascii="Times New Roman" w:hAnsi="Times New Roman" w:cs="Times New Roman" w:eastAsia="Times New Roman" w:hint="default"/>
        </w:rPr>
        <w:t>”</w:t>
      </w:r>
      <w:r>
        <w:rPr/>
        <w:t>是以物联网为基础，基于数字城市</w:t>
      </w:r>
      <w:r>
        <w:rPr>
          <w:rFonts w:ascii="Times New Roman" w:hAnsi="Times New Roman" w:cs="Times New Roman" w:eastAsia="Times New Roman" w:hint="default"/>
        </w:rPr>
        <w:t>(</w:t>
      </w:r>
      <w:r>
        <w:rPr/>
        <w:t>网络城市</w:t>
      </w:r>
      <w:r>
        <w:rPr>
          <w:rFonts w:ascii="Times New Roman" w:hAnsi="Times New Roman" w:cs="Times New Roman" w:eastAsia="Times New Roman" w:hint="default"/>
        </w:rPr>
        <w:t>)</w:t>
      </w:r>
      <w:r>
        <w:rPr/>
        <w:t>之上，利用和融合更为先进的技术，通过物联化、互联化、智 能化的方式，使物与物、物与人、人与人互联互通，形成技术集成、综合应用、高端发展的现代化、网络化、信息化城市， </w:t>
      </w:r>
      <w:r>
        <w:rPr>
          <w:spacing w:val="-2"/>
        </w:rPr>
        <w:t>提高城市的智慧化程度。本质是通过更加透彻的感知、更加广泛的联接、更加集中和更加有深度的集数字化、网络化、智能</w:t>
      </w:r>
      <w:r>
        <w:rPr>
          <w:spacing w:val="-67"/>
        </w:rPr>
        <w:t> </w:t>
      </w:r>
      <w:r>
        <w:rPr>
          <w:spacing w:val="-67"/>
        </w:rPr>
      </w:r>
      <w:r>
        <w:rPr/>
        <w:t>化于一体的生态智慧城市。</w:t>
      </w:r>
      <w:r>
        <w:rPr>
          <w:rFonts w:ascii="Times New Roman" w:hAnsi="Times New Roman" w:cs="Times New Roman" w:eastAsia="Times New Roman" w:hint="default"/>
        </w:rPr>
        <w:t>2012</w:t>
      </w:r>
      <w:r>
        <w:rPr/>
        <w:t>年底，</w:t>
      </w:r>
      <w:r>
        <w:rPr>
          <w:rFonts w:ascii="Times New Roman" w:hAnsi="Times New Roman" w:cs="Times New Roman" w:eastAsia="Times New Roman" w:hint="default"/>
        </w:rPr>
        <w:t>“</w:t>
      </w:r>
      <w:r>
        <w:rPr/>
        <w:t>十八大</w:t>
      </w:r>
      <w:r>
        <w:rPr>
          <w:rFonts w:ascii="Times New Roman" w:hAnsi="Times New Roman" w:cs="Times New Roman" w:eastAsia="Times New Roman" w:hint="default"/>
        </w:rPr>
        <w:t>”</w:t>
      </w:r>
      <w:r>
        <w:rPr/>
        <w:t>关于建设中国特色社会主义的部署，使智慧城市建设跨入了新的发展阶段。 </w:t>
      </w:r>
      <w:r>
        <w:rPr>
          <w:spacing w:val="-2"/>
        </w:rPr>
        <w:t>发展智慧城市主要是利用物联网、云计算、人工智能、数据挖掘、知识管理等技术，在电子政务、两化深度融合、社会信息</w:t>
      </w:r>
      <w:r>
        <w:rPr>
          <w:spacing w:val="-73"/>
        </w:rPr>
        <w:t> </w:t>
      </w:r>
      <w:r>
        <w:rPr>
          <w:spacing w:val="-73"/>
        </w:rPr>
      </w:r>
      <w:r>
        <w:rPr>
          <w:spacing w:val="-2"/>
        </w:rPr>
        <w:t>化三大领域开展创新应用。公共交通、行政执法等领域的智能信息化建设作为智慧城市的重要组成部分，相关技术和产品的</w:t>
      </w:r>
    </w:p>
    <w:p>
      <w:pPr>
        <w:spacing w:after="0" w:line="312"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应用需求将持续上升。</w:t>
      </w:r>
    </w:p>
    <w:p>
      <w:pPr>
        <w:spacing w:line="300" w:lineRule="auto" w:before="77"/>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、全球移动支付市场蓬勃发展，为智能</w:t>
      </w:r>
      <w:r>
        <w:rPr>
          <w:rFonts w:ascii="Times New Roman" w:hAnsi="Times New Roman" w:cs="Times New Roman" w:eastAsia="Times New Roman" w:hint="default"/>
          <w:b/>
          <w:bCs/>
          <w:sz w:val="18"/>
          <w:szCs w:val="18"/>
        </w:rPr>
        <w:t>POS</w:t>
      </w:r>
      <w:r>
        <w:rPr>
          <w:rFonts w:ascii="宋体" w:hAnsi="宋体" w:cs="宋体" w:eastAsia="宋体" w:hint="default"/>
          <w:b/>
          <w:bCs/>
          <w:sz w:val="18"/>
          <w:szCs w:val="18"/>
        </w:rPr>
        <w:t>终端厂商带来新机遇</w:t>
      </w:r>
      <w:r>
        <w:rPr>
          <w:rFonts w:ascii="宋体" w:hAnsi="宋体" w:cs="宋体" w:eastAsia="宋体" w:hint="default"/>
          <w:b/>
          <w:bCs/>
          <w:w w:val="99"/>
          <w:sz w:val="18"/>
          <w:szCs w:val="18"/>
        </w:rPr>
        <w:t> </w:t>
      </w:r>
      <w:r>
        <w:rPr>
          <w:rFonts w:ascii="宋体" w:hAnsi="宋体" w:cs="宋体" w:eastAsia="宋体" w:hint="default"/>
          <w:spacing w:val="-3"/>
          <w:sz w:val="18"/>
          <w:szCs w:val="18"/>
        </w:rPr>
        <w:t>随着移动支付在全球范围内的火速升温，智能</w:t>
      </w:r>
      <w:r>
        <w:rPr>
          <w:rFonts w:ascii="Times New Roman" w:hAnsi="Times New Roman" w:cs="Times New Roman" w:eastAsia="Times New Roman" w:hint="default"/>
          <w:spacing w:val="-3"/>
          <w:sz w:val="18"/>
          <w:szCs w:val="18"/>
        </w:rPr>
        <w:t>POS</w:t>
      </w:r>
      <w:r>
        <w:rPr>
          <w:rFonts w:ascii="宋体" w:hAnsi="宋体" w:cs="宋体" w:eastAsia="宋体" w:hint="default"/>
          <w:spacing w:val="-3"/>
          <w:sz w:val="18"/>
          <w:szCs w:val="18"/>
        </w:rPr>
        <w:t>作为新型商业模式的承载平台纷纷落地实体零售，尤其是印度、巴西、</w:t>
      </w:r>
    </w:p>
    <w:p>
      <w:pPr>
        <w:pStyle w:val="BodyText"/>
        <w:spacing w:line="300" w:lineRule="auto" w:before="13"/>
        <w:ind w:right="1127"/>
        <w:jc w:val="both"/>
      </w:pPr>
      <w:r>
        <w:rPr>
          <w:spacing w:val="-2"/>
        </w:rPr>
        <w:t>东南亚、南美洲等发展中国家和地区对智能</w:t>
      </w:r>
      <w:r>
        <w:rPr>
          <w:rFonts w:ascii="Times New Roman" w:hAnsi="Times New Roman" w:cs="Times New Roman" w:eastAsia="Times New Roman" w:hint="default"/>
          <w:spacing w:val="-2"/>
        </w:rPr>
        <w:t>POS</w:t>
      </w:r>
      <w:r>
        <w:rPr>
          <w:spacing w:val="-2"/>
        </w:rPr>
        <w:t>的需求更为旺盛。印度移动支付人均交易次数从</w:t>
      </w:r>
      <w:r>
        <w:rPr>
          <w:rFonts w:ascii="Times New Roman" w:hAnsi="Times New Roman" w:cs="Times New Roman" w:eastAsia="Times New Roman" w:hint="default"/>
          <w:spacing w:val="-2"/>
        </w:rPr>
        <w:t>2014</w:t>
      </w:r>
      <w:r>
        <w:rPr>
          <w:spacing w:val="-2"/>
        </w:rPr>
        <w:t>年的</w:t>
      </w:r>
      <w:r>
        <w:rPr>
          <w:rFonts w:ascii="Times New Roman" w:hAnsi="Times New Roman" w:cs="Times New Roman" w:eastAsia="Times New Roman" w:hint="default"/>
          <w:spacing w:val="-2"/>
        </w:rPr>
        <w:t>2.4</w:t>
      </w:r>
      <w:r>
        <w:rPr>
          <w:spacing w:val="-2"/>
        </w:rPr>
        <w:t>人次上升至</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t>年的</w:t>
      </w:r>
      <w:r>
        <w:rPr>
          <w:rFonts w:ascii="Times New Roman" w:hAnsi="Times New Roman" w:cs="Times New Roman" w:eastAsia="Times New Roman" w:hint="default"/>
        </w:rPr>
        <w:t>22.42</w:t>
      </w:r>
      <w:r>
        <w:rPr/>
        <w:t>人次，移动支付交易额占</w:t>
      </w:r>
      <w:r>
        <w:rPr>
          <w:rFonts w:ascii="Times New Roman" w:hAnsi="Times New Roman" w:cs="Times New Roman" w:eastAsia="Times New Roman" w:hint="default"/>
        </w:rPr>
        <w:t>GDP</w:t>
      </w:r>
      <w:r>
        <w:rPr/>
        <w:t>比重从</w:t>
      </w:r>
      <w:r>
        <w:rPr>
          <w:rFonts w:ascii="Times New Roman" w:hAnsi="Times New Roman" w:cs="Times New Roman" w:eastAsia="Times New Roman" w:hint="default"/>
        </w:rPr>
        <w:t>2016</w:t>
      </w:r>
      <w:r>
        <w:rPr/>
        <w:t>年的</w:t>
      </w:r>
      <w:r>
        <w:rPr>
          <w:rFonts w:ascii="Times New Roman" w:hAnsi="Times New Roman" w:cs="Times New Roman" w:eastAsia="Times New Roman" w:hint="default"/>
        </w:rPr>
        <w:t>7.14%</w:t>
      </w:r>
      <w:r>
        <w:rPr/>
        <w:t>上升到</w:t>
      </w:r>
      <w:r>
        <w:rPr>
          <w:rFonts w:ascii="Times New Roman" w:hAnsi="Times New Roman" w:cs="Times New Roman" w:eastAsia="Times New Roman" w:hint="default"/>
        </w:rPr>
        <w:t>2018</w:t>
      </w:r>
      <w:r>
        <w:rPr/>
        <w:t>年的</w:t>
      </w:r>
      <w:r>
        <w:rPr>
          <w:rFonts w:ascii="Times New Roman" w:hAnsi="Times New Roman" w:cs="Times New Roman" w:eastAsia="Times New Roman" w:hint="default"/>
        </w:rPr>
        <w:t>8.42%</w:t>
      </w:r>
      <w:r>
        <w:rPr/>
        <w:t>。瑞士信贷发表报告称</w:t>
      </w:r>
      <w:r>
        <w:rPr>
          <w:rFonts w:ascii="Times New Roman" w:hAnsi="Times New Roman" w:cs="Times New Roman" w:eastAsia="Times New Roman" w:hint="default"/>
        </w:rPr>
        <w:t>2023</w:t>
      </w:r>
      <w:r>
        <w:rPr/>
        <w:t>年印度移动</w:t>
      </w:r>
      <w:r>
        <w:rPr>
          <w:spacing w:val="-78"/>
        </w:rPr>
        <w:t> </w:t>
      </w:r>
      <w:r>
        <w:rPr/>
        <w:t>支付市场将成长到</w:t>
      </w:r>
      <w:r>
        <w:rPr>
          <w:rFonts w:ascii="Times New Roman" w:hAnsi="Times New Roman" w:cs="Times New Roman" w:eastAsia="Times New Roman" w:hint="default"/>
        </w:rPr>
        <w:t>1</w:t>
      </w:r>
      <w:r>
        <w:rPr/>
        <w:t>兆美元。随着移动支付全球化发展的不断加快，移动支付在海外拥有不可限量的发展潜力。根据咨询机</w:t>
      </w:r>
      <w:r>
        <w:rPr>
          <w:spacing w:val="-84"/>
        </w:rPr>
        <w:t> </w:t>
      </w:r>
      <w:r>
        <w:rPr>
          <w:spacing w:val="-84"/>
        </w:rPr>
      </w:r>
      <w:r>
        <w:rPr/>
        <w:t>构毕马威的数据，到</w:t>
      </w:r>
      <w:r>
        <w:rPr>
          <w:rFonts w:ascii="Times New Roman" w:hAnsi="Times New Roman" w:cs="Times New Roman" w:eastAsia="Times New Roman" w:hint="default"/>
        </w:rPr>
        <w:t>2024</w:t>
      </w:r>
      <w:r>
        <w:rPr/>
        <w:t>年，全球发展中国家的移动支付预计将每年增长约</w:t>
      </w:r>
      <w:r>
        <w:rPr>
          <w:rFonts w:ascii="Times New Roman" w:hAnsi="Times New Roman" w:cs="Times New Roman" w:eastAsia="Times New Roman" w:hint="default"/>
        </w:rPr>
        <w:t>29%</w:t>
      </w:r>
      <w:r>
        <w:rPr/>
        <w:t>。</w:t>
      </w:r>
    </w:p>
    <w:p>
      <w:pPr>
        <w:pStyle w:val="BodyText"/>
        <w:spacing w:line="304" w:lineRule="auto" w:before="53"/>
        <w:ind w:right="1129" w:firstLine="360"/>
        <w:jc w:val="left"/>
      </w:pPr>
      <w:r>
        <w:rPr>
          <w:spacing w:val="-2"/>
        </w:rPr>
        <w:t>根据尼尔森与支付宝联合发布了《</w:t>
      </w:r>
      <w:r>
        <w:rPr>
          <w:rFonts w:ascii="Times New Roman" w:hAnsi="Times New Roman" w:cs="Times New Roman" w:eastAsia="Times New Roman" w:hint="default"/>
          <w:spacing w:val="-2"/>
        </w:rPr>
        <w:t>2018</w:t>
      </w:r>
      <w:r>
        <w:rPr>
          <w:spacing w:val="-2"/>
        </w:rPr>
        <w:t>年中国移动支付境外旅游市场发展与趋势白皮书》显示，中国游客的移动支付习</w:t>
      </w:r>
      <w:r>
        <w:rPr/>
        <w:t> </w:t>
      </w:r>
      <w:r>
        <w:rPr>
          <w:spacing w:val="-2"/>
        </w:rPr>
        <w:t>惯带动了移动支付在国外的快速发展，境外商户对接入中国移动支付系统的意愿呈现上升趋势，尤其是出境游人数最多的东</w:t>
      </w:r>
      <w:r>
        <w:rPr>
          <w:spacing w:val="-64"/>
        </w:rPr>
        <w:t> </w:t>
      </w:r>
      <w:r>
        <w:rPr>
          <w:spacing w:val="-64"/>
        </w:rPr>
      </w:r>
      <w:r>
        <w:rPr>
          <w:spacing w:val="-2"/>
        </w:rPr>
        <w:t>南亚地区。报告中指出：新加坡，马来西亚和泰国地区的商家中已有</w:t>
      </w:r>
      <w:r>
        <w:rPr>
          <w:rFonts w:ascii="Times New Roman" w:hAnsi="Times New Roman" w:cs="Times New Roman" w:eastAsia="Times New Roman" w:hint="default"/>
          <w:spacing w:val="-2"/>
        </w:rPr>
        <w:t>58</w:t>
      </w:r>
      <w:r>
        <w:rPr>
          <w:spacing w:val="-2"/>
        </w:rPr>
        <w:t>％接受移动支付，其中</w:t>
      </w:r>
      <w:r>
        <w:rPr>
          <w:rFonts w:ascii="Times New Roman" w:hAnsi="Times New Roman" w:cs="Times New Roman" w:eastAsia="Times New Roman" w:hint="default"/>
          <w:spacing w:val="-2"/>
        </w:rPr>
        <w:t>70</w:t>
      </w:r>
      <w:r>
        <w:rPr>
          <w:spacing w:val="-2"/>
        </w:rPr>
        <w:t>％接受中国移动支付，而在</w:t>
      </w:r>
      <w:r>
        <w:rPr>
          <w:spacing w:val="-64"/>
        </w:rPr>
        <w:t> </w:t>
      </w:r>
      <w:r>
        <w:rPr>
          <w:spacing w:val="-64"/>
        </w:rPr>
      </w:r>
      <w:r>
        <w:rPr/>
        <w:t>这些国家当地亦有四分之三的超市和便利店已经接受中国的移动支付，大约</w:t>
      </w:r>
      <w:r>
        <w:rPr>
          <w:rFonts w:ascii="Times New Roman" w:hAnsi="Times New Roman" w:cs="Times New Roman" w:eastAsia="Times New Roman" w:hint="default"/>
        </w:rPr>
        <w:t>71%</w:t>
      </w:r>
      <w:r>
        <w:rPr/>
        <w:t>的免税商店和奢侈品商店也采用了移动支 付。</w:t>
      </w:r>
    </w:p>
    <w:p>
      <w:pPr>
        <w:pStyle w:val="BodyText"/>
        <w:spacing w:line="300" w:lineRule="auto" w:before="67"/>
        <w:ind w:right="1244" w:firstLine="360"/>
        <w:jc w:val="left"/>
      </w:pPr>
      <w:r>
        <w:rPr/>
        <w:t>因此，我们预测未来几年海外移动支付市场，尤其是东南亚、印度、南美等地区将会快速增长，这将为国内智能</w:t>
      </w:r>
      <w:r>
        <w:rPr>
          <w:rFonts w:ascii="Times New Roman" w:hAnsi="Times New Roman" w:cs="Times New Roman" w:eastAsia="Times New Roman" w:hint="default"/>
        </w:rPr>
        <w:t>POS</w:t>
      </w:r>
      <w:r>
        <w:rPr>
          <w:rFonts w:ascii="Times New Roman" w:hAnsi="Times New Roman" w:cs="Times New Roman" w:eastAsia="Times New Roman" w:hint="default"/>
          <w:w w:val="99"/>
        </w:rPr>
        <w:t> </w:t>
      </w:r>
      <w:r>
        <w:rPr/>
        <w:t>终端厂商带来巨大的商机。</w:t>
      </w:r>
    </w:p>
    <w:p>
      <w:pPr>
        <w:pStyle w:val="Heading4"/>
        <w:spacing w:line="240" w:lineRule="auto" w:before="72"/>
        <w:ind w:right="1133"/>
        <w:jc w:val="left"/>
        <w:rPr>
          <w:b w:val="0"/>
          <w:bCs w:val="0"/>
        </w:rPr>
      </w:pPr>
      <w:r>
        <w:rPr/>
        <w:t>（二）公司发展战略</w:t>
      </w:r>
      <w:r>
        <w:rPr>
          <w:b w:val="0"/>
          <w:bCs w:val="0"/>
        </w:rPr>
      </w:r>
    </w:p>
    <w:p>
      <w:pPr>
        <w:spacing w:line="300" w:lineRule="auto" w:before="117"/>
        <w:ind w:left="513" w:right="112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、坚持创新驱动发展战略，掌握智能移动信息化领域核心技术</w:t>
      </w:r>
      <w:r>
        <w:rPr>
          <w:rFonts w:ascii="宋体" w:hAnsi="宋体" w:cs="宋体" w:eastAsia="宋体" w:hint="default"/>
          <w:b/>
          <w:bCs/>
          <w:w w:val="99"/>
          <w:sz w:val="18"/>
          <w:szCs w:val="18"/>
        </w:rPr>
        <w:t> </w:t>
      </w:r>
      <w:r>
        <w:rPr>
          <w:rFonts w:ascii="宋体" w:hAnsi="宋体" w:cs="宋体" w:eastAsia="宋体" w:hint="default"/>
          <w:spacing w:val="-2"/>
          <w:sz w:val="18"/>
          <w:szCs w:val="18"/>
        </w:rPr>
        <w:t>创新是公司发展的核心，是公司发展的加速器。要深入实施创新驱动发展战略，大力推进技术创新、业务模式创新和管</w:t>
      </w:r>
    </w:p>
    <w:p>
      <w:pPr>
        <w:pStyle w:val="BodyText"/>
        <w:spacing w:line="316" w:lineRule="auto" w:before="31"/>
        <w:ind w:right="0"/>
        <w:jc w:val="left"/>
      </w:pPr>
      <w:r>
        <w:rPr>
          <w:spacing w:val="-2"/>
        </w:rPr>
        <w:t>理创新。聚焦突破核心关键技术，进一步提高自主创新能力，全面提升产品和服务的附加价值和市场竞争力。勇于开拓创新</w:t>
      </w:r>
      <w:r>
        <w:rPr>
          <w:spacing w:val="-64"/>
        </w:rPr>
        <w:t> </w:t>
      </w:r>
      <w:r>
        <w:rPr>
          <w:spacing w:val="-64"/>
        </w:rPr>
      </w:r>
      <w:r>
        <w:rPr/>
        <w:t>业务模式，运用互联网思维，推进智能移动信息化应用业务几何级数增长。</w:t>
      </w:r>
    </w:p>
    <w:p>
      <w:pPr>
        <w:spacing w:line="300" w:lineRule="auto" w:before="19"/>
        <w:ind w:left="513" w:right="112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、保持主营业务持续增长，继续深化智能移动信息化方案在各行业的应用</w:t>
      </w:r>
      <w:r>
        <w:rPr>
          <w:rFonts w:ascii="宋体" w:hAnsi="宋体" w:cs="宋体" w:eastAsia="宋体" w:hint="default"/>
          <w:b/>
          <w:bCs/>
          <w:w w:val="99"/>
          <w:sz w:val="18"/>
          <w:szCs w:val="18"/>
        </w:rPr>
        <w:t> </w:t>
      </w:r>
      <w:r>
        <w:rPr>
          <w:rFonts w:ascii="宋体" w:hAnsi="宋体" w:cs="宋体" w:eastAsia="宋体" w:hint="default"/>
          <w:spacing w:val="-2"/>
          <w:sz w:val="18"/>
          <w:szCs w:val="18"/>
        </w:rPr>
        <w:t>公司的目标是成为国际领先的行业级智能移动信息化应用解决方案提供商。以现有产品及技术平台为基础，公司努力提</w:t>
      </w:r>
    </w:p>
    <w:p>
      <w:pPr>
        <w:pStyle w:val="BodyText"/>
        <w:spacing w:line="316" w:lineRule="auto" w:before="31"/>
        <w:ind w:right="1133"/>
        <w:jc w:val="left"/>
      </w:pPr>
      <w:r>
        <w:rPr>
          <w:spacing w:val="-2"/>
        </w:rPr>
        <w:t>升核心竞争优势，进一步发掘智能移动信息化应用在物流、电子商务、零售、制造、金融等行业的深度；公司通过行业应用</w:t>
      </w:r>
      <w:r>
        <w:rPr>
          <w:spacing w:val="-70"/>
        </w:rPr>
        <w:t> </w:t>
      </w:r>
      <w:r>
        <w:rPr>
          <w:spacing w:val="-70"/>
        </w:rPr>
      </w:r>
      <w:r>
        <w:rPr/>
        <w:t>推广及树立标杆案例等方式，在医疗、电子政务、交通、电力等众多新兴领域进行市场拓展。</w:t>
      </w:r>
    </w:p>
    <w:p>
      <w:pPr>
        <w:spacing w:line="300" w:lineRule="auto" w:before="19"/>
        <w:ind w:left="513" w:right="112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、拓宽国内外销售渠道，逐步深入国际市场</w:t>
      </w:r>
      <w:r>
        <w:rPr>
          <w:rFonts w:ascii="宋体" w:hAnsi="宋体" w:cs="宋体" w:eastAsia="宋体" w:hint="default"/>
          <w:b/>
          <w:bCs/>
          <w:spacing w:val="2"/>
          <w:w w:val="99"/>
          <w:sz w:val="18"/>
          <w:szCs w:val="18"/>
        </w:rPr>
        <w:t> </w:t>
      </w:r>
      <w:r>
        <w:rPr>
          <w:rFonts w:ascii="宋体" w:hAnsi="宋体" w:cs="宋体" w:eastAsia="宋体" w:hint="default"/>
          <w:spacing w:val="-2"/>
          <w:sz w:val="18"/>
          <w:szCs w:val="18"/>
        </w:rPr>
        <w:t>公司将大力发展海外市场，通过加大海外市场营销力度并开展多种合作方式迅速提高海外市场份额，以确保公司未来收</w:t>
      </w:r>
    </w:p>
    <w:p>
      <w:pPr>
        <w:pStyle w:val="BodyText"/>
        <w:spacing w:line="240" w:lineRule="auto" w:before="31"/>
        <w:ind w:right="1133"/>
        <w:jc w:val="left"/>
      </w:pPr>
      <w:r>
        <w:rPr/>
        <w:t>入的稳定可持续增长。</w:t>
      </w:r>
    </w:p>
    <w:p>
      <w:pPr>
        <w:spacing w:line="340" w:lineRule="auto" w:before="76"/>
        <w:ind w:left="513" w:right="112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、整合行业及供应链资源，利用资本市场做大做强</w:t>
      </w:r>
      <w:r>
        <w:rPr>
          <w:rFonts w:ascii="宋体" w:hAnsi="宋体" w:cs="宋体" w:eastAsia="宋体" w:hint="default"/>
          <w:b/>
          <w:bCs/>
          <w:w w:val="99"/>
          <w:sz w:val="18"/>
          <w:szCs w:val="18"/>
        </w:rPr>
        <w:t> </w:t>
      </w:r>
      <w:r>
        <w:rPr>
          <w:rFonts w:ascii="宋体" w:hAnsi="宋体" w:cs="宋体" w:eastAsia="宋体" w:hint="default"/>
          <w:spacing w:val="-2"/>
          <w:sz w:val="18"/>
          <w:szCs w:val="18"/>
        </w:rPr>
        <w:t>随着业务的进一步发展和规模的逐步壮大，公司将根据需要选择适当的时机和合理的方式利用资本平台整合行业内及产</w:t>
      </w:r>
    </w:p>
    <w:p>
      <w:pPr>
        <w:pStyle w:val="BodyText"/>
        <w:spacing w:line="234" w:lineRule="exact"/>
        <w:ind w:right="1133"/>
        <w:jc w:val="left"/>
      </w:pPr>
      <w:r>
        <w:rPr/>
        <w:t>业链上下游的优秀资源，加快进行主营业务范围内的延展，进一步做大做强主业。</w:t>
      </w:r>
    </w:p>
    <w:p>
      <w:pPr>
        <w:pStyle w:val="Heading4"/>
        <w:spacing w:line="240" w:lineRule="auto" w:before="117"/>
        <w:ind w:right="1133"/>
        <w:jc w:val="left"/>
        <w:rPr>
          <w:b w:val="0"/>
          <w:bCs w:val="0"/>
        </w:rPr>
      </w:pPr>
      <w:r>
        <w:rPr/>
        <w:t>（三）</w:t>
      </w:r>
      <w:r>
        <w:rPr>
          <w:rFonts w:ascii="Times New Roman" w:hAnsi="Times New Roman" w:cs="Times New Roman" w:eastAsia="Times New Roman" w:hint="default"/>
        </w:rPr>
        <w:t>2020</w:t>
      </w:r>
      <w:r>
        <w:rPr/>
        <w:t>年度经营计划</w:t>
      </w:r>
      <w:r>
        <w:rPr>
          <w:b w:val="0"/>
          <w:bCs w:val="0"/>
        </w:rPr>
      </w:r>
    </w:p>
    <w:p>
      <w:pPr>
        <w:pStyle w:val="BodyText"/>
        <w:spacing w:line="338" w:lineRule="auto" w:before="103"/>
        <w:ind w:left="513" w:right="1129"/>
        <w:jc w:val="left"/>
      </w:pPr>
      <w:r>
        <w:rPr>
          <w:rFonts w:ascii="Times New Roman" w:hAnsi="Times New Roman" w:cs="Times New Roman" w:eastAsia="Times New Roman" w:hint="default"/>
          <w:b/>
          <w:bCs/>
        </w:rPr>
        <w:t>1</w:t>
      </w:r>
      <w:r>
        <w:rPr>
          <w:rFonts w:ascii="宋体" w:hAnsi="宋体" w:cs="宋体" w:eastAsia="宋体" w:hint="default"/>
          <w:b/>
          <w:bCs/>
        </w:rPr>
        <w:t>、研发计划</w:t>
      </w:r>
      <w:r>
        <w:rPr>
          <w:rFonts w:ascii="宋体" w:hAnsi="宋体" w:cs="宋体" w:eastAsia="宋体" w:hint="default"/>
          <w:b/>
          <w:bCs/>
          <w:w w:val="99"/>
        </w:rPr>
        <w:t> </w:t>
      </w:r>
      <w:r>
        <w:rPr>
          <w:spacing w:val="-2"/>
        </w:rPr>
        <w:t>公司将坚持自主创新和科研投入，不断提升智能移动应用领域软硬件核心技术及产品优势，积极探索软件服务、数据运</w:t>
      </w:r>
    </w:p>
    <w:p>
      <w:pPr>
        <w:pStyle w:val="BodyText"/>
        <w:spacing w:line="360" w:lineRule="auto" w:before="2"/>
        <w:ind w:left="513" w:right="1129" w:hanging="361"/>
        <w:jc w:val="left"/>
      </w:pPr>
      <w:r>
        <w:rPr/>
        <w:t>营等未来转型方向。 </w:t>
      </w:r>
      <w:r>
        <w:rPr>
          <w:spacing w:val="-2"/>
        </w:rPr>
        <w:t>公司将以现有产品和技术开发平台为基础，深化行业智能应用的纵向深度，围绕产品的功能升级及架构优化，不断加大</w:t>
      </w:r>
    </w:p>
    <w:p>
      <w:pPr>
        <w:pStyle w:val="BodyText"/>
        <w:spacing w:line="223" w:lineRule="exact"/>
        <w:ind w:right="0"/>
        <w:jc w:val="left"/>
      </w:pPr>
      <w:r>
        <w:rPr/>
        <w:t>对产品的升级开发力度，持续优化产品性能。同时，公司将进一步深入研究各行业客户需求，结合已有的行业经验，不断拓</w:t>
      </w:r>
    </w:p>
    <w:p>
      <w:pPr>
        <w:pStyle w:val="BodyText"/>
        <w:spacing w:line="300" w:lineRule="auto" w:before="76"/>
        <w:ind w:right="1040"/>
        <w:jc w:val="left"/>
      </w:pPr>
      <w:r>
        <w:rPr>
          <w:spacing w:val="-1"/>
        </w:rPr>
        <w:t>展行业智能应用的横向维度，重点聚焦研究智能支付、智慧物流、</w:t>
      </w:r>
      <w:r>
        <w:rPr>
          <w:rFonts w:ascii="Times New Roman" w:hAnsi="Times New Roman" w:cs="Times New Roman" w:eastAsia="Times New Roman" w:hint="default"/>
          <w:spacing w:val="-1"/>
        </w:rPr>
        <w:t>RFID</w:t>
      </w:r>
      <w:r>
        <w:rPr>
          <w:spacing w:val="-1"/>
        </w:rPr>
        <w:t>、生物识别、人工智能、数字认证等方面前沿技术，</w:t>
      </w:r>
      <w:r>
        <w:rPr>
          <w:spacing w:val="-81"/>
        </w:rPr>
        <w:t> </w:t>
      </w:r>
      <w:r>
        <w:rPr>
          <w:spacing w:val="-81"/>
        </w:rPr>
      </w:r>
      <w:r>
        <w:rPr/>
        <w:t>探索上述技术与行业应用的结合，推进先进技术在公司产品上的应用，促进公司产品技术升级。</w:t>
      </w:r>
    </w:p>
    <w:p>
      <w:pPr>
        <w:pStyle w:val="BodyText"/>
        <w:spacing w:line="338" w:lineRule="auto" w:before="72"/>
        <w:ind w:left="513" w:right="1133"/>
        <w:jc w:val="left"/>
      </w:pPr>
      <w:r>
        <w:rPr>
          <w:rFonts w:ascii="Times New Roman" w:hAnsi="Times New Roman" w:cs="Times New Roman" w:eastAsia="Times New Roman" w:hint="default"/>
          <w:b/>
          <w:bCs/>
        </w:rPr>
        <w:t>2</w:t>
      </w:r>
      <w:r>
        <w:rPr>
          <w:rFonts w:ascii="宋体" w:hAnsi="宋体" w:cs="宋体" w:eastAsia="宋体" w:hint="default"/>
          <w:b/>
          <w:bCs/>
        </w:rPr>
        <w:t>、业务拓展计划</w:t>
      </w:r>
      <w:r>
        <w:rPr>
          <w:rFonts w:ascii="宋体" w:hAnsi="宋体" w:cs="宋体" w:eastAsia="宋体" w:hint="default"/>
          <w:b/>
          <w:bCs/>
          <w:w w:val="99"/>
        </w:rPr>
        <w:t> </w:t>
      </w:r>
      <w:r>
        <w:rPr>
          <w:spacing w:val="-2"/>
        </w:rPr>
        <w:t>公司将重点拓展物流电商、新零售、智能支付、智能制造、医疗卫生、公共交通等行业领域的客户，在全国范围内建立</w:t>
      </w:r>
    </w:p>
    <w:p>
      <w:pPr>
        <w:pStyle w:val="BodyText"/>
        <w:spacing w:line="316" w:lineRule="auto" w:before="2"/>
        <w:ind w:right="1034"/>
        <w:jc w:val="left"/>
      </w:pPr>
      <w:r>
        <w:rPr>
          <w:spacing w:val="-2"/>
        </w:rPr>
        <w:t>完善市场、销售和售后服务综合支持体系，扩大公司营销服务网络在国内市场的覆盖范围，着力加强电商销售渠道建设。通</w:t>
      </w:r>
      <w:r>
        <w:rPr>
          <w:spacing w:val="-64"/>
        </w:rPr>
        <w:t> </w:t>
      </w:r>
      <w:r>
        <w:rPr>
          <w:spacing w:val="-64"/>
        </w:rPr>
      </w:r>
      <w:r>
        <w:rPr/>
        <w:t>过产品宣传及在行业内树立具有广泛影响的标杆应用案例等方式，进一步提升公司产品及服务在各行业的认知度和满意度。</w:t>
      </w:r>
    </w:p>
    <w:p>
      <w:pPr>
        <w:pStyle w:val="BodyText"/>
        <w:spacing w:line="300" w:lineRule="auto" w:before="59"/>
        <w:ind w:right="1129" w:firstLine="360"/>
        <w:jc w:val="left"/>
      </w:pPr>
      <w:r>
        <w:rPr>
          <w:rFonts w:ascii="Times New Roman" w:hAnsi="Times New Roman" w:cs="Times New Roman" w:eastAsia="Times New Roman" w:hint="default"/>
          <w:spacing w:val="-2"/>
        </w:rPr>
        <w:t>2020</w:t>
      </w:r>
      <w:r>
        <w:rPr>
          <w:spacing w:val="-2"/>
        </w:rPr>
        <w:t>年，公司经营重点之一是继续深入开拓海外市场，公司将在海外产品技术支持及维护、海外市场新产品研发、海外</w:t>
      </w:r>
      <w:r>
        <w:rPr/>
        <w:t> </w:t>
      </w:r>
      <w:r>
        <w:rPr>
          <w:spacing w:val="-2"/>
        </w:rPr>
        <w:t>产品国际测试认证、准入和海外市场拓展这几个方面继续增加投入，同时加强海外市场售后服务体系建设投入，加大力度巩</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48" w:lineRule="auto" w:before="44"/>
        <w:ind w:left="513" w:right="1129" w:hanging="361"/>
        <w:jc w:val="left"/>
      </w:pPr>
      <w:r>
        <w:rPr/>
        <w:t>固已覆盖区域市场并开拓新区域市场业务，加快布局海外销售渠道，加大品牌宣传力度，塑造公司品牌的国际化形象。 </w:t>
      </w:r>
      <w:r>
        <w:rPr>
          <w:rFonts w:ascii="Times New Roman" w:hAnsi="Times New Roman" w:cs="Times New Roman" w:eastAsia="Times New Roman" w:hint="default"/>
          <w:b/>
          <w:bCs/>
        </w:rPr>
        <w:t>3</w:t>
      </w:r>
      <w:r>
        <w:rPr>
          <w:rFonts w:ascii="宋体" w:hAnsi="宋体" w:cs="宋体" w:eastAsia="宋体" w:hint="default"/>
          <w:b/>
          <w:bCs/>
        </w:rPr>
        <w:t>、公司治理计划</w:t>
      </w:r>
      <w:r>
        <w:rPr>
          <w:rFonts w:ascii="宋体" w:hAnsi="宋体" w:cs="宋体" w:eastAsia="宋体" w:hint="default"/>
          <w:b/>
          <w:bCs/>
          <w:w w:val="99"/>
        </w:rPr>
        <w:t> </w:t>
      </w:r>
      <w:r>
        <w:rPr>
          <w:spacing w:val="-2"/>
        </w:rPr>
        <w:t>公司将继续严格按照《公司法》、《证券法》等有关法律法规和规范性文件的规定，不断完善公司治理结构，确保股东</w:t>
      </w:r>
    </w:p>
    <w:p>
      <w:pPr>
        <w:pStyle w:val="BodyText"/>
        <w:spacing w:line="316" w:lineRule="auto"/>
        <w:ind w:right="1133"/>
        <w:jc w:val="both"/>
      </w:pPr>
      <w:r>
        <w:rPr>
          <w:spacing w:val="-2"/>
        </w:rPr>
        <w:t>能够充分行使权利，确保董事会能够按照法律、法规和《公司章程》的规定行使职权，确保独立董事能够认真履行职责，维</w:t>
      </w:r>
      <w:r>
        <w:rPr>
          <w:spacing w:val="-68"/>
        </w:rPr>
        <w:t> </w:t>
      </w:r>
      <w:r>
        <w:rPr>
          <w:spacing w:val="-68"/>
        </w:rPr>
      </w:r>
      <w:r>
        <w:rPr>
          <w:spacing w:val="-2"/>
        </w:rPr>
        <w:t>护公司利益及中小股东的合法权益，确保监事会能够独立有效地行使对董事、经理和其他高级管理人员及公司财务的监督权</w:t>
      </w:r>
      <w:r>
        <w:rPr>
          <w:spacing w:val="-64"/>
        </w:rPr>
        <w:t> </w:t>
      </w:r>
      <w:r>
        <w:rPr>
          <w:spacing w:val="-64"/>
        </w:rPr>
      </w:r>
      <w:r>
        <w:rPr/>
        <w:t>和检查权，为公司发展提供制度保障。</w:t>
      </w:r>
    </w:p>
    <w:p>
      <w:pPr>
        <w:spacing w:line="340" w:lineRule="auto" w:before="59"/>
        <w:ind w:left="513" w:right="112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、管理提升和人力资源计划</w:t>
      </w:r>
      <w:r>
        <w:rPr>
          <w:rFonts w:ascii="宋体" w:hAnsi="宋体" w:cs="宋体" w:eastAsia="宋体" w:hint="default"/>
          <w:b/>
          <w:bCs/>
          <w:w w:val="99"/>
          <w:sz w:val="18"/>
          <w:szCs w:val="18"/>
        </w:rPr>
        <w:t> </w:t>
      </w:r>
      <w:r>
        <w:rPr>
          <w:rFonts w:ascii="宋体" w:hAnsi="宋体" w:cs="宋体" w:eastAsia="宋体" w:hint="default"/>
          <w:spacing w:val="-2"/>
          <w:sz w:val="18"/>
          <w:szCs w:val="18"/>
        </w:rPr>
        <w:t>公司将进一步推进精细化管理，通过降低管理成本和提高工作效率达到提升整体效益的目标：完善参股公司和控股子公</w:t>
      </w:r>
    </w:p>
    <w:p>
      <w:pPr>
        <w:pStyle w:val="BodyText"/>
        <w:spacing w:line="316" w:lineRule="auto" w:before="1"/>
        <w:ind w:right="1133"/>
        <w:jc w:val="left"/>
      </w:pPr>
      <w:r>
        <w:rPr>
          <w:spacing w:val="-2"/>
        </w:rPr>
        <w:t>司的系统性、制度化管理；进一步提升公司信息化管理水平；进一步完善供应链体系建设，强化物料选型和研发协同，培育</w:t>
      </w:r>
      <w:r>
        <w:rPr>
          <w:spacing w:val="-67"/>
        </w:rPr>
        <w:t> </w:t>
      </w:r>
      <w:r>
        <w:rPr>
          <w:spacing w:val="-67"/>
        </w:rPr>
      </w:r>
      <w:r>
        <w:rPr/>
        <w:t>一批具有研发能力的协同厂商形成战略合作伙伴，建立客户和供应商信用风险管理体系。</w:t>
      </w:r>
    </w:p>
    <w:p>
      <w:pPr>
        <w:pStyle w:val="BodyText"/>
        <w:spacing w:line="319" w:lineRule="auto" w:before="57"/>
        <w:ind w:right="1034" w:firstLine="360"/>
        <w:jc w:val="left"/>
      </w:pPr>
      <w:r>
        <w:rPr>
          <w:spacing w:val="-2"/>
        </w:rPr>
        <w:t>为满足公司业务规模扩大需求，公司将通过面向社会公开招聘、从同行引进、与国内科研院校合作以及聘请专家顾问等</w:t>
      </w:r>
      <w:r>
        <w:rPr/>
        <w:t> 方式，不断引进经营管理人才、高级技术人才、市场营销人才和一线生产工人。同时，公司将继续完善员工职业培训体系， 完善岗位职责、绩效评价、薪酬分配等人力资源管理体系，持续提高员工的能力和素质。</w:t>
      </w:r>
    </w:p>
    <w:p>
      <w:pPr>
        <w:spacing w:line="340" w:lineRule="auto" w:before="58"/>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、资本运作及投后管理计划</w:t>
      </w:r>
      <w:r>
        <w:rPr>
          <w:rFonts w:ascii="宋体" w:hAnsi="宋体" w:cs="宋体" w:eastAsia="宋体" w:hint="default"/>
          <w:b/>
          <w:bCs/>
          <w:w w:val="99"/>
          <w:sz w:val="18"/>
          <w:szCs w:val="18"/>
        </w:rPr>
        <w:t> </w:t>
      </w:r>
      <w:r>
        <w:rPr>
          <w:rFonts w:ascii="宋体" w:hAnsi="宋体" w:cs="宋体" w:eastAsia="宋体" w:hint="default"/>
          <w:spacing w:val="-2"/>
          <w:sz w:val="18"/>
          <w:szCs w:val="18"/>
        </w:rPr>
        <w:t>公司将加强与佳博科技、瑞柏泰、天眼智通、上海芝柯、中世顺的资源整合和业务协同。同时，根据发展战略，围绕自</w:t>
      </w:r>
    </w:p>
    <w:p>
      <w:pPr>
        <w:pStyle w:val="BodyText"/>
        <w:spacing w:line="316" w:lineRule="auto" w:before="1"/>
        <w:ind w:right="1129"/>
        <w:jc w:val="left"/>
      </w:pPr>
      <w:r>
        <w:rPr>
          <w:spacing w:val="-2"/>
        </w:rPr>
        <w:t>身核心业务，以增强公司中长期战略竞争能力为目的，继续寻找外延式并购机会，完善公司产品和业务体系、提升公司的规</w:t>
      </w:r>
      <w:r>
        <w:rPr>
          <w:spacing w:val="-65"/>
        </w:rPr>
        <w:t> </w:t>
      </w:r>
      <w:r>
        <w:rPr>
          <w:spacing w:val="-65"/>
        </w:rPr>
      </w:r>
      <w:r>
        <w:rPr/>
        <w:t>模和综合竞争力。</w:t>
      </w:r>
    </w:p>
    <w:p>
      <w:pPr>
        <w:pStyle w:val="BodyText"/>
        <w:spacing w:line="300" w:lineRule="auto" w:before="57"/>
        <w:ind w:right="0" w:firstLine="360"/>
        <w:jc w:val="left"/>
      </w:pPr>
      <w:r>
        <w:rPr>
          <w:spacing w:val="-4"/>
        </w:rPr>
        <w:t>上述经营计划、经营目标不代表公司对</w:t>
      </w:r>
      <w:r>
        <w:rPr>
          <w:rFonts w:ascii="Times New Roman" w:hAnsi="Times New Roman" w:cs="Times New Roman" w:eastAsia="Times New Roman" w:hint="default"/>
          <w:spacing w:val="-4"/>
        </w:rPr>
        <w:t>2020</w:t>
      </w:r>
      <w:r>
        <w:rPr>
          <w:spacing w:val="-4"/>
        </w:rPr>
        <w:t>年度的盈利预测，能否实现取决于市场状况变化、相关政策变化等多种因素，</w:t>
      </w:r>
      <w:r>
        <w:rPr/>
        <w:t> 存在很大的不确定性，请投资者特别注意。</w:t>
      </w:r>
    </w:p>
    <w:p>
      <w:pPr>
        <w:pStyle w:val="Heading4"/>
        <w:spacing w:line="240" w:lineRule="auto" w:before="72"/>
        <w:ind w:right="1133"/>
        <w:jc w:val="left"/>
        <w:rPr>
          <w:b w:val="0"/>
          <w:bCs w:val="0"/>
        </w:rPr>
      </w:pPr>
      <w:r>
        <w:rPr/>
        <w:t>（四）可能面对的风险</w:t>
      </w:r>
      <w:r>
        <w:rPr>
          <w:b w:val="0"/>
          <w:bCs w:val="0"/>
        </w:rPr>
      </w:r>
    </w:p>
    <w:p>
      <w:pPr>
        <w:pStyle w:val="BodyText"/>
        <w:spacing w:line="300" w:lineRule="auto" w:before="117"/>
        <w:ind w:left="513" w:right="1129"/>
        <w:jc w:val="left"/>
      </w:pPr>
      <w:r>
        <w:rPr>
          <w:rFonts w:ascii="Times New Roman" w:hAnsi="Times New Roman" w:cs="Times New Roman" w:eastAsia="Times New Roman" w:hint="default"/>
          <w:b/>
          <w:bCs/>
        </w:rPr>
        <w:t>1</w:t>
      </w:r>
      <w:r>
        <w:rPr>
          <w:rFonts w:ascii="宋体" w:hAnsi="宋体" w:cs="宋体" w:eastAsia="宋体" w:hint="default"/>
          <w:b/>
          <w:bCs/>
        </w:rPr>
        <w:t>、国内外市场风险及对策</w:t>
      </w:r>
      <w:r>
        <w:rPr>
          <w:rFonts w:ascii="宋体" w:hAnsi="宋体" w:cs="宋体" w:eastAsia="宋体" w:hint="default"/>
          <w:b/>
          <w:bCs/>
          <w:w w:val="99"/>
        </w:rPr>
        <w:t> </w:t>
      </w:r>
      <w:r>
        <w:rPr>
          <w:spacing w:val="-2"/>
        </w:rPr>
        <w:t>近几年国内行业智能移动应用市场发展迅速，部分企业在特定的应用领域拥有一定的优势。公司目前保持快速发展的势</w:t>
      </w:r>
    </w:p>
    <w:p>
      <w:pPr>
        <w:pStyle w:val="BodyText"/>
        <w:spacing w:line="316" w:lineRule="auto" w:before="32"/>
        <w:ind w:right="0"/>
        <w:jc w:val="left"/>
      </w:pPr>
      <w:r>
        <w:rPr>
          <w:spacing w:val="-2"/>
        </w:rPr>
        <w:t>头，在国内处于市场领先地位，但市场需求变化快速，且市场竞争越来越激烈，如果公司未来在新产品或技术的开发、销售</w:t>
      </w:r>
      <w:r>
        <w:rPr>
          <w:spacing w:val="-67"/>
        </w:rPr>
        <w:t> </w:t>
      </w:r>
      <w:r>
        <w:rPr>
          <w:spacing w:val="-67"/>
        </w:rPr>
      </w:r>
      <w:r>
        <w:rPr>
          <w:spacing w:val="-2"/>
        </w:rPr>
        <w:t>网络构建等方面不能有效适应市场的变化，公司将在市场竞争中处于不利地位。同时随着物联网、云计算、大数据、人工智</w:t>
      </w:r>
      <w:r>
        <w:rPr>
          <w:spacing w:val="-65"/>
        </w:rPr>
        <w:t> </w:t>
      </w:r>
      <w:r>
        <w:rPr>
          <w:spacing w:val="-65"/>
        </w:rPr>
      </w:r>
      <w:r>
        <w:rPr>
          <w:spacing w:val="-2"/>
        </w:rPr>
        <w:t>能等技术的快速发展，催生出大量新技术、新应用和新商业模式，给市场带来了诸多不确定因素。对此，公司将持续加大在</w:t>
      </w:r>
      <w:r>
        <w:rPr>
          <w:spacing w:val="-67"/>
        </w:rPr>
        <w:t> </w:t>
      </w:r>
      <w:r>
        <w:rPr>
          <w:spacing w:val="-67"/>
        </w:rPr>
      </w:r>
      <w:r>
        <w:rPr>
          <w:spacing w:val="-4"/>
        </w:rPr>
        <w:t>研发方面的投入力度，确保关键技术行业领先和产品的核心竞争能力；在巩固原有销售区域的同时，适时适度扩大销售区域，</w:t>
      </w:r>
      <w:r>
        <w:rPr>
          <w:spacing w:val="-44"/>
        </w:rPr>
        <w:t> </w:t>
      </w:r>
      <w:r>
        <w:rPr>
          <w:spacing w:val="-44"/>
        </w:rPr>
      </w:r>
      <w:r>
        <w:rPr>
          <w:spacing w:val="-2"/>
        </w:rPr>
        <w:t>确保公司产品在全国范围内及海外市场与优质客户建立合作关系；加快提升精益生产管理水平，提高产品质量和售后服务水</w:t>
      </w:r>
      <w:r>
        <w:rPr>
          <w:spacing w:val="-64"/>
        </w:rPr>
        <w:t> </w:t>
      </w:r>
      <w:r>
        <w:rPr>
          <w:spacing w:val="-64"/>
        </w:rPr>
      </w:r>
      <w:r>
        <w:rPr/>
        <w:t>平，从而提升市场竞争力。</w:t>
      </w:r>
    </w:p>
    <w:p>
      <w:pPr>
        <w:pStyle w:val="BodyText"/>
        <w:spacing w:line="316" w:lineRule="auto" w:before="19"/>
        <w:ind w:right="1132" w:firstLine="360"/>
        <w:jc w:val="both"/>
      </w:pPr>
      <w:r>
        <w:rPr>
          <w:spacing w:val="-2"/>
        </w:rPr>
        <w:t>拓展海外市场是公司的一项战略性经营计划，公司正在逐步建立完善相关营销和服务体系。但拓展海外市场可能面临当</w:t>
      </w:r>
      <w:r>
        <w:rPr/>
        <w:t> </w:t>
      </w:r>
      <w:r>
        <w:rPr>
          <w:spacing w:val="-2"/>
        </w:rPr>
        <w:t>地政治经济局势、法律体系、市场环境和监管制度发生重大变化等无法预期的风险。对此，公司将密切关注相关动态，通过</w:t>
      </w:r>
      <w:r>
        <w:rPr>
          <w:spacing w:val="-67"/>
        </w:rPr>
        <w:t> </w:t>
      </w:r>
      <w:r>
        <w:rPr>
          <w:spacing w:val="-67"/>
        </w:rPr>
      </w:r>
      <w:r>
        <w:rPr/>
        <w:t>充分做好事前审查、购买相关保险等手段来降低海外市场拓展带来的风险。</w:t>
      </w:r>
    </w:p>
    <w:p>
      <w:pPr>
        <w:spacing w:line="300" w:lineRule="auto" w:before="19"/>
        <w:ind w:left="513" w:right="112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、智能移动终端产品价格和毛利率下降风险及对策</w:t>
      </w:r>
      <w:r>
        <w:rPr>
          <w:rFonts w:ascii="宋体" w:hAnsi="宋体" w:cs="宋体" w:eastAsia="宋体" w:hint="default"/>
          <w:b/>
          <w:bCs/>
          <w:w w:val="99"/>
          <w:sz w:val="18"/>
          <w:szCs w:val="18"/>
        </w:rPr>
        <w:t> </w:t>
      </w:r>
      <w:r>
        <w:rPr>
          <w:rFonts w:ascii="宋体" w:hAnsi="宋体" w:cs="宋体" w:eastAsia="宋体" w:hint="default"/>
          <w:spacing w:val="-2"/>
          <w:sz w:val="18"/>
          <w:szCs w:val="18"/>
        </w:rPr>
        <w:t>随着市场竞争日益激烈，公司利用行业先发、技术创新、产品设计和成本控制等方面的优势，在确保合理利润空间的前</w:t>
      </w:r>
    </w:p>
    <w:p>
      <w:pPr>
        <w:pStyle w:val="BodyText"/>
        <w:spacing w:line="319" w:lineRule="auto" w:before="31"/>
        <w:ind w:right="1034"/>
        <w:jc w:val="left"/>
      </w:pPr>
      <w:r>
        <w:rPr/>
        <w:t>提下，主动通过调整价格和产品结构的手段，在稳定物流等传统优势行业业务规模的基础上，积极拓展其他新兴行业市场， </w:t>
      </w:r>
      <w:r>
        <w:rPr>
          <w:spacing w:val="-2"/>
        </w:rPr>
        <w:t>扩大了公司业务规模和市场影响力。近几年，智能移动终端产品价格和毛利率呈下降趋势，如果未来竞争进一步加剧，产品</w:t>
      </w:r>
      <w:r>
        <w:rPr>
          <w:spacing w:val="-66"/>
        </w:rPr>
        <w:t> </w:t>
      </w:r>
      <w:r>
        <w:rPr>
          <w:spacing w:val="-66"/>
        </w:rPr>
      </w:r>
      <w:r>
        <w:rPr>
          <w:spacing w:val="-2"/>
        </w:rPr>
        <w:t>价格和毛利率有继续下降的可能，对公司未来的盈利能力将产生较大的影响。对此，公司要继续加大核心技术和产品的研发</w:t>
      </w:r>
      <w:r>
        <w:rPr>
          <w:spacing w:val="-66"/>
        </w:rPr>
        <w:t> </w:t>
      </w:r>
      <w:r>
        <w:rPr>
          <w:spacing w:val="-66"/>
        </w:rPr>
      </w:r>
      <w:r>
        <w:rPr/>
        <w:t>投入，不断坚持技术、产品、经营模式和管理创新，持续推出新产品，以保持公司产品的综合毛利率的稳定。</w:t>
      </w:r>
    </w:p>
    <w:p>
      <w:pPr>
        <w:pStyle w:val="BodyText"/>
        <w:spacing w:line="300" w:lineRule="auto" w:before="17"/>
        <w:ind w:left="513" w:right="1129"/>
        <w:jc w:val="left"/>
      </w:pPr>
      <w:r>
        <w:rPr>
          <w:rFonts w:ascii="Times New Roman" w:hAnsi="Times New Roman" w:cs="Times New Roman" w:eastAsia="Times New Roman" w:hint="default"/>
          <w:b/>
          <w:bCs/>
        </w:rPr>
        <w:t>3</w:t>
      </w:r>
      <w:r>
        <w:rPr>
          <w:rFonts w:ascii="宋体" w:hAnsi="宋体" w:cs="宋体" w:eastAsia="宋体" w:hint="default"/>
          <w:b/>
          <w:bCs/>
        </w:rPr>
        <w:t>、政策风险及对策</w:t>
      </w:r>
      <w:r>
        <w:rPr>
          <w:rFonts w:ascii="宋体" w:hAnsi="宋体" w:cs="宋体" w:eastAsia="宋体" w:hint="default"/>
          <w:b/>
          <w:bCs/>
          <w:w w:val="99"/>
        </w:rPr>
        <w:t> </w:t>
      </w:r>
      <w:r>
        <w:rPr>
          <w:spacing w:val="-2"/>
        </w:rPr>
        <w:t>以物联网为基础的智能移动信息化应用属于新兴技术产业，是我国中长期战略规划中政策重点扶持产业，但某些技术创</w:t>
      </w:r>
    </w:p>
    <w:p>
      <w:pPr>
        <w:pStyle w:val="BodyText"/>
        <w:spacing w:line="316" w:lineRule="auto" w:before="31"/>
        <w:ind w:right="1131"/>
        <w:jc w:val="both"/>
      </w:pPr>
      <w:r>
        <w:rPr>
          <w:spacing w:val="-2"/>
        </w:rPr>
        <w:t>新、商业模式创新涉及的业务尚缺乏相关的行业标准和有关制度，甚至有些是跨多行业、涉及多主管部门的业务，新生市场</w:t>
      </w:r>
      <w:r>
        <w:rPr>
          <w:spacing w:val="-64"/>
        </w:rPr>
        <w:t> </w:t>
      </w:r>
      <w:r>
        <w:rPr>
          <w:spacing w:val="-64"/>
        </w:rPr>
      </w:r>
      <w:r>
        <w:rPr>
          <w:spacing w:val="-2"/>
        </w:rPr>
        <w:t>缺乏相关的政府政策，新兴业务需要相关政策支持。针对该风险，公司将加强对当前政策的研判，把握行业政策，研究行业</w:t>
      </w:r>
      <w:r>
        <w:rPr>
          <w:spacing w:val="-67"/>
        </w:rPr>
        <w:t> </w:t>
      </w:r>
      <w:r>
        <w:rPr>
          <w:spacing w:val="-67"/>
        </w:rPr>
      </w:r>
      <w:r>
        <w:rPr/>
        <w:t>发展趋势，加强公司相关业务的流程控制，积极应对行业监管政策变化给行业发展带来的新变化、新机遇和新挑战。</w:t>
      </w:r>
    </w:p>
    <w:p>
      <w:pPr>
        <w:pStyle w:val="Heading4"/>
        <w:spacing w:line="240" w:lineRule="auto"/>
        <w:ind w:right="1133"/>
        <w:jc w:val="left"/>
        <w:rPr>
          <w:b w:val="0"/>
          <w:bCs w:val="0"/>
        </w:rPr>
      </w:pPr>
      <w:r>
        <w:rPr>
          <w:rFonts w:ascii="Times New Roman" w:hAnsi="Times New Roman" w:cs="Times New Roman" w:eastAsia="Times New Roman" w:hint="default"/>
        </w:rPr>
        <w:t>4</w:t>
      </w:r>
      <w:r>
        <w:rPr/>
        <w:t>、技术人员流失风险及对策</w:t>
      </w:r>
      <w:r>
        <w:rPr>
          <w:b w:val="0"/>
          <w:bCs w:val="0"/>
        </w:rPr>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b/>
          <w:bCs/>
          <w:sz w:val="25"/>
          <w:szCs w:val="25"/>
        </w:rPr>
      </w:pPr>
    </w:p>
    <w:p>
      <w:pPr>
        <w:pStyle w:val="BodyText"/>
        <w:spacing w:line="312" w:lineRule="auto" w:before="44"/>
        <w:ind w:right="1128" w:firstLine="360"/>
        <w:jc w:val="both"/>
      </w:pPr>
      <w:r>
        <w:rPr>
          <w:spacing w:val="-2"/>
        </w:rPr>
        <w:t>人才资源是企业生存和发展必备的核心资源，特别是随着知识经济的到来，人才对企业发展的推动作用日益明显，人才</w:t>
      </w:r>
      <w:r>
        <w:rPr/>
        <w:t> </w:t>
      </w:r>
      <w:r>
        <w:rPr>
          <w:spacing w:val="-2"/>
        </w:rPr>
        <w:t>资源对企业的重要性更加突出。近年来，国内物价水平持续上涨，公司员工工资及福利也呈上涨趋势，在人力成本上给公司</w:t>
      </w:r>
      <w:r>
        <w:rPr>
          <w:spacing w:val="-64"/>
        </w:rPr>
        <w:t> </w:t>
      </w:r>
      <w:r>
        <w:rPr>
          <w:spacing w:val="-64"/>
        </w:rPr>
      </w:r>
      <w:r>
        <w:rPr>
          <w:spacing w:val="-2"/>
        </w:rPr>
        <w:t>造成一些压力，另外</w:t>
      </w:r>
      <w:r>
        <w:rPr>
          <w:rFonts w:ascii="Times New Roman" w:hAnsi="Times New Roman" w:cs="Times New Roman" w:eastAsia="Times New Roman" w:hint="default"/>
          <w:spacing w:val="-2"/>
        </w:rPr>
        <w:t>IT</w:t>
      </w:r>
      <w:r>
        <w:rPr>
          <w:spacing w:val="-2"/>
        </w:rPr>
        <w:t>行业内激烈的人才竞争，给公司人才带来一定的流失风险。公司将通过提高员工福利待遇，为员工创</w:t>
      </w:r>
      <w:r>
        <w:rPr>
          <w:spacing w:val="-50"/>
        </w:rPr>
        <w:t> </w:t>
      </w:r>
      <w:r>
        <w:rPr>
          <w:spacing w:val="-50"/>
        </w:rPr>
      </w:r>
      <w:r>
        <w:rPr/>
        <w:t>造学习和锻炼的机会，在恰当的时机实施股权激励计划等方式吸引人才、留住人才。</w:t>
      </w:r>
    </w:p>
    <w:p>
      <w:pPr>
        <w:spacing w:line="300" w:lineRule="auto" w:before="22"/>
        <w:ind w:left="513" w:right="112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、税收优惠政策对公司业绩影响的风险及对策</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报告期内，公司及部分子公司依法享受了国家高新技术企业和软件企业的所得税优惠、软件产品的增值税优惠政策。根</w:t>
      </w:r>
    </w:p>
    <w:p>
      <w:pPr>
        <w:pStyle w:val="BodyText"/>
        <w:spacing w:line="240" w:lineRule="auto" w:before="31"/>
        <w:ind w:right="1133"/>
        <w:jc w:val="left"/>
      </w:pPr>
      <w:r>
        <w:rPr/>
        <w:t>据合并报表口径，公司及部分子公司报告期内享受的税收优惠对经营成果的影响如下表：</w:t>
      </w:r>
    </w:p>
    <w:p>
      <w:pPr>
        <w:pStyle w:val="BodyText"/>
        <w:spacing w:line="240" w:lineRule="auto" w:before="76"/>
        <w:ind w:left="0" w:right="1131"/>
        <w:jc w:val="right"/>
      </w:pPr>
      <w:r>
        <w:rPr/>
        <w:t>单位：元</w:t>
      </w:r>
    </w:p>
    <w:p>
      <w:pPr>
        <w:spacing w:line="240" w:lineRule="auto" w:before="7"/>
        <w:rPr>
          <w:rFonts w:ascii="宋体" w:hAnsi="宋体" w:cs="宋体" w:eastAsia="宋体" w:hint="default"/>
          <w:sz w:val="6"/>
          <w:szCs w:val="6"/>
        </w:rPr>
      </w:pPr>
    </w:p>
    <w:tbl>
      <w:tblPr>
        <w:tblW w:w="0" w:type="auto"/>
        <w:jc w:val="left"/>
        <w:tblInd w:w="150" w:type="dxa"/>
        <w:tblLayout w:type="fixed"/>
        <w:tblCellMar>
          <w:top w:w="0" w:type="dxa"/>
          <w:left w:w="0" w:type="dxa"/>
          <w:bottom w:w="0" w:type="dxa"/>
          <w:right w:w="0" w:type="dxa"/>
        </w:tblCellMar>
        <w:tblLook w:val="01E0"/>
      </w:tblPr>
      <w:tblGrid>
        <w:gridCol w:w="5545"/>
        <w:gridCol w:w="4112"/>
      </w:tblGrid>
      <w:tr>
        <w:trPr>
          <w:trHeight w:val="331" w:hRule="exact"/>
        </w:trPr>
        <w:tc>
          <w:tcPr>
            <w:tcW w:w="55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r>
      <w:tr>
        <w:trPr>
          <w:trHeight w:val="346" w:hRule="exact"/>
        </w:trPr>
        <w:tc>
          <w:tcPr>
            <w:tcW w:w="554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3"/>
              <w:ind w:left="4" w:right="0"/>
              <w:jc w:val="left"/>
              <w:rPr>
                <w:rFonts w:ascii="Times New Roman" w:hAnsi="Times New Roman" w:cs="Times New Roman" w:eastAsia="Times New Roman" w:hint="default"/>
                <w:sz w:val="12"/>
                <w:szCs w:val="12"/>
              </w:rPr>
            </w:pPr>
            <w:r>
              <w:rPr>
                <w:rFonts w:ascii="宋体" w:hAnsi="宋体" w:cs="宋体" w:eastAsia="宋体" w:hint="default"/>
                <w:sz w:val="18"/>
                <w:szCs w:val="18"/>
              </w:rPr>
              <w:t>所得税优惠合计</w:t>
            </w:r>
            <w:r>
              <w:rPr>
                <w:rFonts w:ascii="Times New Roman" w:hAnsi="Times New Roman" w:cs="Times New Roman" w:eastAsia="Times New Roman" w:hint="default"/>
                <w:position w:val="8"/>
                <w:sz w:val="12"/>
                <w:szCs w:val="12"/>
              </w:rPr>
              <w:t>01</w:t>
            </w:r>
            <w:r>
              <w:rPr>
                <w:rFonts w:ascii="Times New Roman" w:hAnsi="Times New Roman" w:cs="Times New Roman" w:eastAsia="Times New Roman" w:hint="default"/>
                <w:sz w:val="12"/>
                <w:szCs w:val="12"/>
              </w:rPr>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17,289,023.17</w:t>
            </w:r>
          </w:p>
        </w:tc>
      </w:tr>
      <w:tr>
        <w:trPr>
          <w:trHeight w:val="348" w:hRule="exact"/>
        </w:trPr>
        <w:tc>
          <w:tcPr>
            <w:tcW w:w="5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21,348,079.07</w:t>
            </w:r>
          </w:p>
        </w:tc>
      </w:tr>
      <w:tr>
        <w:trPr>
          <w:trHeight w:val="346" w:hRule="exact"/>
        </w:trPr>
        <w:tc>
          <w:tcPr>
            <w:tcW w:w="5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税收优惠合计</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3"/>
              <w:jc w:val="right"/>
              <w:rPr>
                <w:rFonts w:ascii="Times New Roman" w:hAnsi="Times New Roman" w:cs="Times New Roman" w:eastAsia="Times New Roman" w:hint="default"/>
                <w:sz w:val="18"/>
                <w:szCs w:val="18"/>
              </w:rPr>
            </w:pPr>
            <w:r>
              <w:rPr>
                <w:rFonts w:ascii="Times New Roman"/>
                <w:spacing w:val="-1"/>
                <w:sz w:val="18"/>
              </w:rPr>
              <w:t>38,637,102.24</w:t>
            </w:r>
          </w:p>
        </w:tc>
      </w:tr>
      <w:tr>
        <w:trPr>
          <w:trHeight w:val="349" w:hRule="exact"/>
        </w:trPr>
        <w:tc>
          <w:tcPr>
            <w:tcW w:w="5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税收优惠占利润总额的比例（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
              <w:jc w:val="right"/>
              <w:rPr>
                <w:rFonts w:ascii="Times New Roman" w:hAnsi="Times New Roman" w:cs="Times New Roman" w:eastAsia="Times New Roman" w:hint="default"/>
                <w:sz w:val="18"/>
                <w:szCs w:val="18"/>
              </w:rPr>
            </w:pPr>
            <w:r>
              <w:rPr>
                <w:rFonts w:ascii="Times New Roman"/>
                <w:sz w:val="18"/>
              </w:rPr>
              <w:t>59.07%</w:t>
            </w:r>
          </w:p>
        </w:tc>
      </w:tr>
    </w:tbl>
    <w:p>
      <w:pPr>
        <w:pStyle w:val="BodyText"/>
        <w:spacing w:line="300" w:lineRule="auto" w:before="8"/>
        <w:ind w:left="513" w:right="1033" w:hanging="361"/>
        <w:jc w:val="left"/>
      </w:pPr>
      <w:r>
        <w:rPr/>
        <w:t>注</w:t>
      </w:r>
      <w:r>
        <w:rPr>
          <w:rFonts w:ascii="Times New Roman" w:hAnsi="Times New Roman" w:cs="Times New Roman" w:eastAsia="Times New Roman" w:hint="default"/>
        </w:rPr>
        <w:t>01</w:t>
      </w:r>
      <w:r>
        <w:rPr/>
        <w:t>：公司实际适用的企业所得税税率与</w:t>
      </w:r>
      <w:r>
        <w:rPr>
          <w:rFonts w:ascii="Times New Roman" w:hAnsi="Times New Roman" w:cs="Times New Roman" w:eastAsia="Times New Roman" w:hint="default"/>
        </w:rPr>
        <w:t>25%</w:t>
      </w:r>
      <w:r>
        <w:rPr/>
        <w:t>的税率相比较。 如果国家调整相关税收支持政策，或公司由于无法继续保持国家高新技术企业身份等原因无法继续享受相关优惠政策，</w:t>
      </w:r>
    </w:p>
    <w:p>
      <w:pPr>
        <w:pStyle w:val="BodyText"/>
        <w:spacing w:line="316" w:lineRule="auto" w:before="31"/>
        <w:ind w:right="1129"/>
        <w:jc w:val="left"/>
      </w:pPr>
      <w:r>
        <w:rPr>
          <w:spacing w:val="-2"/>
        </w:rPr>
        <w:t>则有可能提高公司的税负，从而给公司业绩带来不利影响。公司将不断发展主营业务，提高经营业绩，逐步降低对税收优惠</w:t>
      </w:r>
      <w:r>
        <w:rPr>
          <w:spacing w:val="-63"/>
        </w:rPr>
        <w:t> </w:t>
      </w:r>
      <w:r>
        <w:rPr>
          <w:spacing w:val="-63"/>
        </w:rPr>
      </w:r>
      <w:r>
        <w:rPr/>
        <w:t>政策的依赖。</w:t>
      </w:r>
    </w:p>
    <w:p>
      <w:pPr>
        <w:pStyle w:val="BodyText"/>
        <w:spacing w:line="340" w:lineRule="auto" w:before="19"/>
        <w:ind w:left="513" w:right="1129"/>
        <w:jc w:val="left"/>
      </w:pPr>
      <w:r>
        <w:rPr>
          <w:rFonts w:ascii="Times New Roman" w:hAnsi="Times New Roman" w:cs="Times New Roman" w:eastAsia="Times New Roman" w:hint="default"/>
          <w:b/>
          <w:bCs/>
        </w:rPr>
        <w:t>6</w:t>
      </w:r>
      <w:r>
        <w:rPr>
          <w:rFonts w:ascii="宋体" w:hAnsi="宋体" w:cs="宋体" w:eastAsia="宋体" w:hint="default"/>
          <w:b/>
          <w:bCs/>
        </w:rPr>
        <w:t>、商誉减值风险及对策</w:t>
      </w:r>
      <w:r>
        <w:rPr>
          <w:rFonts w:ascii="宋体" w:hAnsi="宋体" w:cs="宋体" w:eastAsia="宋体" w:hint="default"/>
          <w:b/>
          <w:bCs/>
          <w:w w:val="99"/>
        </w:rPr>
        <w:t> </w:t>
      </w:r>
      <w:r>
        <w:rPr>
          <w:spacing w:val="-2"/>
        </w:rPr>
        <w:t>由于公司的对外投资并购，在合并资产负债表中形成一定金额的商誉，如未来通过并购吸收的有关子公司业绩达不到预</w:t>
      </w:r>
    </w:p>
    <w:p>
      <w:pPr>
        <w:pStyle w:val="BodyText"/>
        <w:spacing w:line="316" w:lineRule="auto" w:before="1"/>
        <w:ind w:right="1034"/>
        <w:jc w:val="left"/>
      </w:pPr>
      <w:r>
        <w:rPr/>
        <w:t>期，可能出现计提商誉减值的风险。针对此风险，公司将加强子公司管理，在业务方面整体筹划，和被并购企业协同发展； </w:t>
      </w:r>
      <w:r>
        <w:rPr>
          <w:spacing w:val="-2"/>
        </w:rPr>
        <w:t>加强被并购企业管理，输出品牌、技术、资金等资源，强化战略规划、预算、目标、绩效等管理手段，加强与被并购企业之</w:t>
      </w:r>
      <w:r>
        <w:rPr>
          <w:spacing w:val="-68"/>
        </w:rPr>
        <w:t> </w:t>
      </w:r>
      <w:r>
        <w:rPr>
          <w:spacing w:val="-68"/>
        </w:rPr>
      </w:r>
      <w:r>
        <w:rPr>
          <w:spacing w:val="-2"/>
        </w:rPr>
        <w:t>间的人员交流和知识共享；财务方面，协助被并购企业搭建符合上市公司标准的财务管理体系；并在技术、业务、市场等方</w:t>
      </w:r>
      <w:r>
        <w:rPr>
          <w:spacing w:val="-65"/>
        </w:rPr>
        <w:t> </w:t>
      </w:r>
      <w:r>
        <w:rPr>
          <w:spacing w:val="-65"/>
        </w:rPr>
      </w:r>
      <w:r>
        <w:rPr/>
        <w:t>面进行资源整合，提高被并购企业的盈利水平，保障其稳健发展。</w:t>
      </w:r>
    </w:p>
    <w:p>
      <w:pPr>
        <w:spacing w:line="340" w:lineRule="auto" w:before="57"/>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、应收账款回收风险及对策</w:t>
      </w:r>
      <w:r>
        <w:rPr>
          <w:rFonts w:ascii="宋体" w:hAnsi="宋体" w:cs="宋体" w:eastAsia="宋体" w:hint="default"/>
          <w:b/>
          <w:bCs/>
          <w:w w:val="99"/>
          <w:sz w:val="18"/>
          <w:szCs w:val="18"/>
        </w:rPr>
        <w:t> </w:t>
      </w:r>
      <w:r>
        <w:rPr>
          <w:rFonts w:ascii="宋体" w:hAnsi="宋体" w:cs="宋体" w:eastAsia="宋体" w:hint="default"/>
          <w:spacing w:val="-4"/>
          <w:sz w:val="18"/>
          <w:szCs w:val="18"/>
        </w:rPr>
        <w:t>随着公司业务规模的扩大特别是海外业务的增长，公司应收账款余额逐步增加，尽管公司下游客户多为银行及大型快递、</w:t>
      </w:r>
    </w:p>
    <w:p>
      <w:pPr>
        <w:pStyle w:val="BodyText"/>
        <w:spacing w:line="316" w:lineRule="auto" w:before="1"/>
        <w:ind w:right="1130"/>
        <w:jc w:val="both"/>
      </w:pPr>
      <w:r>
        <w:rPr>
          <w:spacing w:val="-2"/>
        </w:rPr>
        <w:t>电商、零售企业，资金实力雄厚，信用状况良好，应收账款可回收性较强，但如果未来市场环境发生剧烈变动，下游客户的</w:t>
      </w:r>
      <w:r>
        <w:rPr>
          <w:spacing w:val="-68"/>
        </w:rPr>
        <w:t> </w:t>
      </w:r>
      <w:r>
        <w:rPr>
          <w:spacing w:val="-68"/>
        </w:rPr>
      </w:r>
      <w:r>
        <w:rPr>
          <w:spacing w:val="-2"/>
        </w:rPr>
        <w:t>经营状况可能发生重大不利变化，可能出现现金流紧张而支付困难的情形，则会导致公司存在一定的应收账款回收风险。针</w:t>
      </w:r>
      <w:r>
        <w:rPr>
          <w:spacing w:val="-63"/>
        </w:rPr>
        <w:t> </w:t>
      </w:r>
      <w:r>
        <w:rPr>
          <w:spacing w:val="-63"/>
        </w:rPr>
      </w:r>
      <w:r>
        <w:rPr>
          <w:spacing w:val="-2"/>
        </w:rPr>
        <w:t>对此风险，公司对应收账款的坏账风险进行充分预估，对客户按信用等级进行管理，提前采取有针对性的预防措施，控制风</w:t>
      </w:r>
      <w:r>
        <w:rPr>
          <w:spacing w:val="-65"/>
        </w:rPr>
        <w:t> </w:t>
      </w:r>
      <w:r>
        <w:rPr>
          <w:spacing w:val="-65"/>
        </w:rPr>
      </w:r>
      <w:r>
        <w:rPr>
          <w:spacing w:val="-2"/>
        </w:rPr>
        <w:t>险；合理制订回款计划并进行横向及纵向分解，将回款、应收账款上限作为各销售团队的关键业绩指标进行周期考核；对超</w:t>
      </w:r>
      <w:r>
        <w:rPr>
          <w:spacing w:val="-63"/>
        </w:rPr>
        <w:t> </w:t>
      </w:r>
      <w:r>
        <w:rPr>
          <w:spacing w:val="-63"/>
        </w:rPr>
      </w:r>
      <w:r>
        <w:rPr>
          <w:spacing w:val="-2"/>
        </w:rPr>
        <w:t>过回款期的应收账款加大催收力度，必要时采取合理调整应付账款账期；规范销售、生产、采购计划管理流程，提高销售计</w:t>
      </w:r>
      <w:r>
        <w:rPr>
          <w:spacing w:val="-67"/>
        </w:rPr>
        <w:t> </w:t>
      </w:r>
      <w:r>
        <w:rPr>
          <w:spacing w:val="-67"/>
        </w:rPr>
      </w:r>
      <w:r>
        <w:rPr/>
        <w:t>划准确率和库存周转效率。</w:t>
      </w:r>
    </w:p>
    <w:p>
      <w:pPr>
        <w:pStyle w:val="BodyText"/>
        <w:spacing w:line="338" w:lineRule="auto" w:before="59"/>
        <w:ind w:left="513" w:right="1129"/>
        <w:jc w:val="left"/>
      </w:pPr>
      <w:r>
        <w:rPr>
          <w:rFonts w:ascii="Times New Roman" w:hAnsi="Times New Roman" w:cs="Times New Roman" w:eastAsia="Times New Roman" w:hint="default"/>
          <w:b/>
          <w:bCs/>
        </w:rPr>
        <w:t>8</w:t>
      </w:r>
      <w:r>
        <w:rPr>
          <w:rFonts w:ascii="宋体" w:hAnsi="宋体" w:cs="宋体" w:eastAsia="宋体" w:hint="default"/>
          <w:b/>
          <w:bCs/>
        </w:rPr>
        <w:t>、汇率波动风险及对策</w:t>
      </w:r>
      <w:r>
        <w:rPr>
          <w:rFonts w:ascii="宋体" w:hAnsi="宋体" w:cs="宋体" w:eastAsia="宋体" w:hint="default"/>
          <w:b/>
          <w:bCs/>
          <w:w w:val="99"/>
        </w:rPr>
        <w:t> </w:t>
      </w:r>
      <w:r>
        <w:rPr>
          <w:spacing w:val="-2"/>
        </w:rPr>
        <w:t>目前公司对外采购原材料、出口产品主要以美元、欧元、港币进行结算。近几年，公司海外业务持续增长，鉴于近期人</w:t>
      </w:r>
    </w:p>
    <w:p>
      <w:pPr>
        <w:pStyle w:val="BodyText"/>
        <w:spacing w:line="350" w:lineRule="auto" w:before="2"/>
        <w:ind w:left="513" w:right="1203" w:hanging="361"/>
        <w:jc w:val="left"/>
      </w:pPr>
      <w:r>
        <w:rPr/>
        <w:t>民币汇率波动较大，公司存在汇率波动的风险。公司将通过灵活的定价机制以及外汇套期保值等方法控制汇率风险。 </w:t>
      </w:r>
      <w:r>
        <w:rPr>
          <w:rFonts w:ascii="Times New Roman" w:hAnsi="Times New Roman" w:cs="Times New Roman" w:eastAsia="Times New Roman" w:hint="default"/>
          <w:b/>
          <w:bCs/>
        </w:rPr>
        <w:t>9</w:t>
      </w:r>
      <w:r>
        <w:rPr>
          <w:rFonts w:ascii="宋体" w:hAnsi="宋体" w:cs="宋体" w:eastAsia="宋体" w:hint="default"/>
          <w:b/>
          <w:bCs/>
        </w:rPr>
        <w:t>、因新型冠状病毒疫情导致的业绩下滑风险及对策</w:t>
      </w:r>
      <w:r>
        <w:rPr>
          <w:rFonts w:ascii="宋体" w:hAnsi="宋体" w:cs="宋体" w:eastAsia="宋体" w:hint="default"/>
          <w:b/>
          <w:bCs/>
          <w:w w:val="99"/>
        </w:rPr>
        <w:t> </w:t>
      </w:r>
      <w:r>
        <w:rPr/>
        <w:t>新型冠状病毒感染的肺炎疫情</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新冠疫情</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月在全国爆发，国家政府相继出台了人员隔离、交通管</w:t>
      </w:r>
    </w:p>
    <w:p>
      <w:pPr>
        <w:pStyle w:val="BodyText"/>
        <w:spacing w:line="207" w:lineRule="exact"/>
        <w:ind w:right="0"/>
        <w:jc w:val="left"/>
      </w:pPr>
      <w:r>
        <w:rPr/>
        <w:t>制等新冠疫情防控措施。新冠疫情及相应的防控措施对公司的正常生产经营造成了一定的暂时性影响。本公司受新冠疫情的</w:t>
      </w:r>
    </w:p>
    <w:p>
      <w:pPr>
        <w:pStyle w:val="BodyText"/>
        <w:spacing w:line="316" w:lineRule="auto" w:before="76"/>
        <w:ind w:right="1129"/>
        <w:jc w:val="left"/>
      </w:pPr>
      <w:r>
        <w:rPr>
          <w:spacing w:val="-2"/>
        </w:rPr>
        <w:t>影响程度将取决于疫情防控的情况、持续时间以及政府各项防控措施的实施。本公司将持续关注新冠疫情的发展情况，并及</w:t>
      </w:r>
      <w:r>
        <w:rPr>
          <w:spacing w:val="-63"/>
        </w:rPr>
        <w:t> </w:t>
      </w:r>
      <w:r>
        <w:rPr>
          <w:spacing w:val="-63"/>
        </w:rPr>
      </w:r>
      <w:r>
        <w:rPr/>
        <w:t>时评估和积极应对该疫情对公司财务状况和经营成果的影响。</w:t>
      </w:r>
    </w:p>
    <w:p>
      <w:pPr>
        <w:spacing w:after="0" w:line="316"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79"/>
              <w:jc w:val="left"/>
              <w:rPr>
                <w:rFonts w:ascii="Times New Roman" w:hAnsi="Times New Roman" w:cs="Times New Roman" w:eastAsia="Times New Roman" w:hint="default"/>
                <w:sz w:val="18"/>
                <w:szCs w:val="18"/>
              </w:rPr>
            </w:pPr>
            <w:hyperlink r:id="rId52">
              <w:r>
                <w:rPr>
                  <w:rFonts w:ascii="Times New Roman"/>
                  <w:sz w:val="18"/>
                </w:rPr>
                <w:t>http://static.cninfo.com.cn/finalpage/201</w:t>
              </w:r>
            </w:hyperlink>
            <w:r>
              <w:rPr>
                <w:rFonts w:ascii="Times New Roman"/>
                <w:sz w:val="18"/>
              </w:rPr>
              <w:t> 9-04-11/1206008493.DOC</w:t>
            </w:r>
          </w:p>
        </w:tc>
      </w:tr>
    </w:tbl>
    <w:p>
      <w:pPr>
        <w:spacing w:after="0" w:line="362"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r>
        <w:rPr/>
        <w:pict>
          <v:group style="position:absolute;margin-left:242.809998pt;margin-top:680.97998pt;width:290.95pt;height:20.9pt;mso-position-horizontal-relative:page;mso-position-vertical-relative:page;z-index:-1221256" coordorigin="4856,13620" coordsize="5819,418">
            <v:group style="position:absolute;left:4868;top:13632;width:2;height:394" coordorigin="4868,13632" coordsize="2,394">
              <v:shape style="position:absolute;left:4868;top:13632;width:2;height:394" coordorigin="4868,13632" coordsize="0,394" path="m4868,13632l4868,14025e" filled="false" stroked="true" strokeweight="1.2pt" strokecolor="#ffffff">
                <v:path arrowok="t"/>
              </v:shape>
            </v:group>
            <v:group style="position:absolute;left:4880;top:13632;width:5795;height:394" coordorigin="4880,13632" coordsize="5795,394">
              <v:shape style="position:absolute;left:4880;top:13632;width:5795;height:394" coordorigin="4880,13632" coordsize="5795,394" path="m4880,14025l10675,14025,10675,13632,4880,13632,4880,14025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473"/>
        <w:jc w:val="center"/>
        <w:rPr>
          <w:b w:val="0"/>
          <w:bCs w:val="0"/>
        </w:rPr>
      </w:pPr>
      <w:bookmarkStart w:name="第五节重要事项" w:id="61"/>
      <w:bookmarkEnd w:id="61"/>
      <w:r>
        <w:rPr>
          <w:b w:val="0"/>
          <w:bCs w:val="0"/>
        </w:rPr>
      </w:r>
      <w:bookmarkStart w:name="_bookmark4" w:id="62"/>
      <w:bookmarkEnd w:id="62"/>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报告期内普通股利润分配政策，特别是现金分红政策的制定、执行或调整情况</w:t>
      </w:r>
    </w:p>
    <w:p>
      <w:pPr>
        <w:pStyle w:val="BodyText"/>
        <w:spacing w:line="338" w:lineRule="auto" w:before="117"/>
        <w:ind w:left="513" w:right="112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报告期内，公司严格按照《公司章程》和现金分红政策的有关规定实施公司的利润分配方案，相关审议程序和决策机制</w:t>
      </w:r>
    </w:p>
    <w:p>
      <w:pPr>
        <w:pStyle w:val="BodyText"/>
        <w:spacing w:line="316" w:lineRule="auto" w:before="2"/>
        <w:ind w:right="1131"/>
        <w:jc w:val="both"/>
      </w:pPr>
      <w:r>
        <w:rPr>
          <w:spacing w:val="-2"/>
        </w:rPr>
        <w:t>完备。公司分配预案拟定和决策时，独立董事尽职履责并发挥了应有的作用，公司也听取了中小股东的意见和诉求，相关的</w:t>
      </w:r>
      <w:r>
        <w:rPr>
          <w:spacing w:val="-65"/>
        </w:rPr>
        <w:t> </w:t>
      </w:r>
      <w:r>
        <w:rPr>
          <w:spacing w:val="-65"/>
        </w:rPr>
      </w:r>
      <w:r>
        <w:rPr>
          <w:spacing w:val="-2"/>
        </w:rPr>
        <w:t>议案经由董事会、监事会审议过后提交股东大会审议，并由独立董事发表独立意见，审议通过后在规定时间内进行实施，切</w:t>
      </w:r>
      <w:r>
        <w:rPr>
          <w:spacing w:val="-64"/>
        </w:rPr>
        <w:t> </w:t>
      </w:r>
      <w:r>
        <w:rPr>
          <w:spacing w:val="-64"/>
        </w:rPr>
      </w:r>
      <w:r>
        <w:rPr/>
        <w:t>实保证了全体股东的利益。</w:t>
      </w:r>
    </w:p>
    <w:p>
      <w:pPr>
        <w:pStyle w:val="BodyText"/>
        <w:spacing w:line="300" w:lineRule="auto" w:before="60"/>
        <w:ind w:right="1126"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日，经公司</w:t>
      </w:r>
      <w:r>
        <w:rPr>
          <w:rFonts w:ascii="Times New Roman" w:hAnsi="Times New Roman" w:cs="Times New Roman" w:eastAsia="Times New Roman" w:hint="default"/>
        </w:rPr>
        <w:t>2018</w:t>
      </w:r>
      <w:r>
        <w:rPr/>
        <w:t>年年度股东大会审议批准，公司</w:t>
      </w:r>
      <w:r>
        <w:rPr>
          <w:rFonts w:ascii="Times New Roman" w:hAnsi="Times New Roman" w:cs="Times New Roman" w:eastAsia="Times New Roman" w:hint="default"/>
        </w:rPr>
        <w:t>2018</w:t>
      </w:r>
      <w:r>
        <w:rPr/>
        <w:t>年权益分派方案为：以公司总股本</w:t>
      </w:r>
      <w:r>
        <w:rPr>
          <w:rFonts w:ascii="Times New Roman" w:hAnsi="Times New Roman" w:cs="Times New Roman" w:eastAsia="Times New Roman" w:hint="default"/>
        </w:rPr>
        <w:t>280,000,000</w:t>
      </w:r>
      <w:r>
        <w:rPr/>
        <w:t>股为基 </w:t>
      </w:r>
      <w:r>
        <w:rPr>
          <w:spacing w:val="-3"/>
        </w:rPr>
        <w:t>数，向全体股东每</w:t>
      </w:r>
      <w:r>
        <w:rPr>
          <w:rFonts w:ascii="Times New Roman" w:hAnsi="Times New Roman" w:cs="Times New Roman" w:eastAsia="Times New Roman" w:hint="default"/>
          <w:spacing w:val="-3"/>
        </w:rPr>
        <w:t>10</w:t>
      </w:r>
      <w:r>
        <w:rPr>
          <w:spacing w:val="-3"/>
        </w:rPr>
        <w:t>股派</w:t>
      </w:r>
      <w:r>
        <w:rPr>
          <w:rFonts w:ascii="Times New Roman" w:hAnsi="Times New Roman" w:cs="Times New Roman" w:eastAsia="Times New Roman" w:hint="default"/>
          <w:spacing w:val="-3"/>
        </w:rPr>
        <w:t>0.3</w:t>
      </w:r>
      <w:r>
        <w:rPr>
          <w:spacing w:val="-3"/>
        </w:rPr>
        <w:t>元人民币现金（含税），本次利润分配不送红股，不以资本公积金转增股本。上述方案已于</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5"/>
        </w:rPr>
        <w:t> </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27</w:t>
      </w:r>
      <w:r>
        <w:rPr/>
        <w:t>日实施完毕。</w:t>
      </w:r>
    </w:p>
    <w:p>
      <w:pPr>
        <w:spacing w:line="240" w:lineRule="auto" w:before="4"/>
        <w:rPr>
          <w:rFonts w:ascii="宋体" w:hAnsi="宋体" w:cs="宋体" w:eastAsia="宋体"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1133"/>
        <w:jc w:val="left"/>
      </w:pPr>
      <w:r>
        <w:rPr/>
        <w:t>公司报告期利润分配预案及资本公积金转增股本预案与公司章程和分红管理办法等的相关规定一致</w:t>
      </w:r>
    </w:p>
    <w:p>
      <w:pPr>
        <w:pStyle w:val="BodyText"/>
        <w:spacing w:line="348" w:lineRule="auto" w:before="117"/>
        <w:ind w:right="4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本年度利润分配及资本公积金转增股本情况</w:t>
      </w:r>
    </w:p>
    <w:p>
      <w:pPr>
        <w:spacing w:line="240" w:lineRule="auto" w:before="2"/>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0.32</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323,053,129</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10,337,700.13</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tabs>
                <w:tab w:pos="5506" w:val="left" w:leader="none"/>
              </w:tabs>
              <w:spacing w:line="240" w:lineRule="auto" w:before="49"/>
              <w:ind w:left="-124" w:right="18"/>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0.00</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10,337,700.13</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908,395,582.68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08"/>
        <w:gridCol w:w="5863"/>
      </w:tblGrid>
      <w:tr>
        <w:trPr>
          <w:trHeight w:val="714"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276"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经大华会计师事务所（特殊普通合伙）审计：</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年度，母公司实现净利润</w:t>
            </w:r>
            <w:r>
              <w:rPr>
                <w:rFonts w:ascii="Times New Roman" w:hAnsi="Times New Roman" w:cs="Times New Roman" w:eastAsia="Times New Roman" w:hint="default"/>
                <w:sz w:val="18"/>
                <w:szCs w:val="18"/>
              </w:rPr>
              <w:t>-46,697,798.80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元，根据《公司法》和《公司 </w:t>
            </w:r>
            <w:r>
              <w:rPr>
                <w:rFonts w:ascii="宋体" w:hAnsi="宋体" w:cs="宋体" w:eastAsia="宋体" w:hint="default"/>
                <w:spacing w:val="-10"/>
                <w:sz w:val="18"/>
                <w:szCs w:val="18"/>
              </w:rPr>
              <w:t>章程》的有关规定，提取法定盈余公积金</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5"/>
                <w:sz w:val="18"/>
                <w:szCs w:val="18"/>
              </w:rPr>
              <w:t> </w:t>
            </w:r>
            <w:r>
              <w:rPr>
                <w:rFonts w:ascii="宋体" w:hAnsi="宋体" w:cs="宋体" w:eastAsia="宋体" w:hint="default"/>
                <w:spacing w:val="-9"/>
                <w:sz w:val="18"/>
                <w:szCs w:val="18"/>
              </w:rPr>
              <w:t>元，加上年初未分配利润</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148,059,292.80</w:t>
            </w:r>
            <w:r>
              <w:rPr>
                <w:rFonts w:ascii="Times New Roman" w:hAnsi="Times New Roman" w:cs="Times New Roman" w:eastAsia="Times New Roman" w:hint="default"/>
                <w:spacing w:val="7"/>
                <w:sz w:val="18"/>
                <w:szCs w:val="18"/>
              </w:rPr>
              <w:t> </w:t>
            </w:r>
            <w:r>
              <w:rPr>
                <w:rFonts w:ascii="宋体" w:hAnsi="宋体" w:cs="宋体" w:eastAsia="宋体" w:hint="default"/>
                <w:spacing w:val="-22"/>
                <w:sz w:val="18"/>
                <w:szCs w:val="18"/>
              </w:rPr>
              <w:t>元，减去</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年度分配利润</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8,400,000.00</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日母公司未分配利润为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92,961,494.00 </w:t>
            </w:r>
            <w:r>
              <w:rPr>
                <w:rFonts w:ascii="宋体" w:hAnsi="宋体" w:cs="宋体" w:eastAsia="宋体" w:hint="default"/>
                <w:sz w:val="18"/>
                <w:szCs w:val="18"/>
              </w:rPr>
              <w:t>元。为回报全体股东，与所有股东共享公司经营成果，在</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符合利润分配原则、保证公司正常经营和长远发展的前提下，公司拟以截止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日的总股本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323,053,129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基数，向全体股东按每</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  </w:t>
            </w:r>
            <w:r>
              <w:rPr>
                <w:rFonts w:ascii="宋体" w:hAnsi="宋体" w:cs="宋体" w:eastAsia="宋体" w:hint="default"/>
                <w:spacing w:val="-3"/>
                <w:sz w:val="18"/>
                <w:szCs w:val="18"/>
              </w:rPr>
              <w:t>股</w:t>
            </w:r>
            <w:r>
              <w:rPr>
                <w:rFonts w:ascii="宋体" w:hAnsi="宋体" w:cs="宋体" w:eastAsia="宋体" w:hint="default"/>
                <w:sz w:val="18"/>
                <w:szCs w:val="18"/>
              </w:rPr>
              <w:t>派发现金股利人民币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3"/>
                <w:sz w:val="18"/>
                <w:szCs w:val="18"/>
              </w:rPr>
              <w:t>（</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z w:val="18"/>
                <w:szCs w:val="18"/>
              </w:rPr>
              <w:t>，合计派发现金股利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37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，剩余未</w:t>
            </w:r>
          </w:p>
          <w:p>
            <w:pPr>
              <w:pStyle w:val="TableParagraph"/>
              <w:spacing w:line="300" w:lineRule="auto" w:before="63"/>
              <w:ind w:left="24" w:right="79"/>
              <w:jc w:val="left"/>
              <w:rPr>
                <w:rFonts w:ascii="宋体" w:hAnsi="宋体" w:cs="宋体" w:eastAsia="宋体" w:hint="default"/>
                <w:sz w:val="18"/>
                <w:szCs w:val="18"/>
              </w:rPr>
            </w:pPr>
            <w:r>
              <w:rPr>
                <w:rFonts w:ascii="宋体" w:hAnsi="宋体" w:cs="宋体" w:eastAsia="宋体" w:hint="default"/>
                <w:sz w:val="18"/>
                <w:szCs w:val="18"/>
              </w:rPr>
              <w:t>分配利润结转到以后年度。本年度不送红股，不以资本公积金转增股本。本利润分配预案尚需提交公司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 大会审议通过。</w:t>
            </w:r>
          </w:p>
        </w:tc>
      </w:tr>
    </w:tbl>
    <w:p>
      <w:pPr>
        <w:pStyle w:val="BodyText"/>
        <w:spacing w:line="240" w:lineRule="auto" w:before="49"/>
        <w:ind w:right="1133"/>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spacing w:before="101"/>
        <w:ind w:left="513"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年度利润分配方案：</w:t>
      </w:r>
      <w:r>
        <w:rPr>
          <w:rFonts w:ascii="宋体" w:hAnsi="宋体" w:cs="宋体" w:eastAsia="宋体" w:hint="default"/>
          <w:sz w:val="18"/>
          <w:szCs w:val="18"/>
        </w:rPr>
        <w:t>以截止</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日的总股本</w:t>
      </w:r>
      <w:r>
        <w:rPr>
          <w:rFonts w:ascii="Times New Roman" w:hAnsi="Times New Roman" w:cs="Times New Roman" w:eastAsia="Times New Roman" w:hint="default"/>
          <w:sz w:val="18"/>
          <w:szCs w:val="18"/>
        </w:rPr>
        <w:t>28,000</w:t>
      </w:r>
      <w:r>
        <w:rPr>
          <w:rFonts w:ascii="宋体" w:hAnsi="宋体" w:cs="宋体" w:eastAsia="宋体" w:hint="default"/>
          <w:sz w:val="18"/>
          <w:szCs w:val="18"/>
        </w:rPr>
        <w:t>万股为基数，向全体股东每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股派发现金股利人民币</w:t>
      </w:r>
      <w:r>
        <w:rPr>
          <w:rFonts w:ascii="Times New Roman" w:hAnsi="Times New Roman" w:cs="Times New Roman" w:eastAsia="Times New Roman" w:hint="default"/>
          <w:sz w:val="18"/>
          <w:szCs w:val="18"/>
        </w:rPr>
        <w:t>0.2</w:t>
      </w:r>
    </w:p>
    <w:p>
      <w:pPr>
        <w:pStyle w:val="BodyText"/>
        <w:spacing w:line="240" w:lineRule="auto" w:before="63"/>
        <w:ind w:right="1133"/>
        <w:jc w:val="left"/>
      </w:pPr>
      <w:r>
        <w:rPr/>
        <w:t>元（含税），本次利润分配不送红股，不以资本公积金转增股本。上述方案已于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日实施完毕。</w:t>
      </w:r>
    </w:p>
    <w:p>
      <w:pPr>
        <w:spacing w:before="103"/>
        <w:ind w:left="513"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年度利润分配方案：</w:t>
      </w:r>
      <w:r>
        <w:rPr>
          <w:rFonts w:ascii="宋体" w:hAnsi="宋体" w:cs="宋体" w:eastAsia="宋体" w:hint="default"/>
          <w:sz w:val="18"/>
          <w:szCs w:val="18"/>
        </w:rPr>
        <w:t>以截止</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日的总股本</w:t>
      </w:r>
      <w:r>
        <w:rPr>
          <w:rFonts w:ascii="Times New Roman" w:hAnsi="Times New Roman" w:cs="Times New Roman" w:eastAsia="Times New Roman" w:hint="default"/>
          <w:sz w:val="18"/>
          <w:szCs w:val="18"/>
        </w:rPr>
        <w:t>28,000</w:t>
      </w:r>
      <w:r>
        <w:rPr>
          <w:rFonts w:ascii="宋体" w:hAnsi="宋体" w:cs="宋体" w:eastAsia="宋体" w:hint="default"/>
          <w:sz w:val="18"/>
          <w:szCs w:val="18"/>
        </w:rPr>
        <w:t>万股为基数，向全体股东每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股派发现金股利人民币</w:t>
      </w:r>
      <w:r>
        <w:rPr>
          <w:rFonts w:ascii="Times New Roman" w:hAnsi="Times New Roman" w:cs="Times New Roman" w:eastAsia="Times New Roman" w:hint="default"/>
          <w:sz w:val="18"/>
          <w:szCs w:val="18"/>
        </w:rPr>
        <w:t>0.3</w:t>
      </w:r>
    </w:p>
    <w:p>
      <w:pPr>
        <w:pStyle w:val="BodyText"/>
        <w:spacing w:line="240" w:lineRule="auto" w:before="63"/>
        <w:ind w:right="1133"/>
        <w:jc w:val="left"/>
      </w:pPr>
      <w:r>
        <w:rPr/>
        <w:t>元（含税），本次利润分配不送红股，不以资本公积金转增股本。上述方案已于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27</w:t>
      </w:r>
      <w:r>
        <w:rPr/>
        <w:t>日实施完毕。</w:t>
      </w:r>
    </w:p>
    <w:p>
      <w:pPr>
        <w:spacing w:before="101"/>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年度利润分配预案：</w:t>
      </w:r>
      <w:r>
        <w:rPr>
          <w:rFonts w:ascii="宋体" w:hAnsi="宋体" w:cs="宋体" w:eastAsia="宋体" w:hint="default"/>
          <w:sz w:val="18"/>
          <w:szCs w:val="18"/>
        </w:rPr>
        <w:t>以截止</w:t>
      </w: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日的总股本</w:t>
      </w:r>
      <w:r>
        <w:rPr>
          <w:rFonts w:ascii="Times New Roman" w:hAnsi="Times New Roman" w:cs="Times New Roman" w:eastAsia="Times New Roman" w:hint="default"/>
          <w:sz w:val="18"/>
          <w:szCs w:val="18"/>
        </w:rPr>
        <w:t>323,053,129</w:t>
      </w:r>
      <w:r>
        <w:rPr>
          <w:rFonts w:ascii="宋体" w:hAnsi="宋体" w:cs="宋体" w:eastAsia="宋体" w:hint="default"/>
          <w:sz w:val="18"/>
          <w:szCs w:val="18"/>
        </w:rPr>
        <w:t>股为基数，向全体股东每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股派发现金股利人民币</w:t>
      </w:r>
    </w:p>
    <w:p>
      <w:pPr>
        <w:pStyle w:val="BodyText"/>
        <w:spacing w:line="340" w:lineRule="auto" w:before="63"/>
        <w:ind w:right="5219"/>
        <w:jc w:val="left"/>
      </w:pPr>
      <w:r>
        <w:rPr>
          <w:rFonts w:ascii="Times New Roman" w:hAnsi="Times New Roman" w:cs="Times New Roman" w:eastAsia="Times New Roman" w:hint="default"/>
        </w:rPr>
        <w:t>0.32</w:t>
      </w:r>
      <w:r>
        <w:rPr/>
        <w:t>元（含税），本次利润分配不送红股，不以资本公积金转增股本。 公司近三年（包括本报告期）普通股现金分红情况表</w:t>
      </w:r>
    </w:p>
    <w:p>
      <w:pPr>
        <w:pStyle w:val="BodyText"/>
        <w:spacing w:line="240" w:lineRule="auto" w:before="41"/>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6"/>
        <w:gridCol w:w="1197"/>
        <w:gridCol w:w="1184"/>
        <w:gridCol w:w="1208"/>
        <w:gridCol w:w="1184"/>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1"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7" w:type="dxa"/>
            <w:vMerge/>
            <w:tcBorders>
              <w:left w:val="single" w:sz="4" w:space="0" w:color="000000"/>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1"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23" w:right="141"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4"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10,337,700.13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51,356,383.35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20.13%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10,337,700.13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20.13%</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117,250,420.08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7.16%</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48,613,327.58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11.52%</w:t>
            </w:r>
          </w:p>
        </w:tc>
      </w:tr>
    </w:tbl>
    <w:p>
      <w:pPr>
        <w:pStyle w:val="BodyText"/>
        <w:spacing w:line="240" w:lineRule="auto" w:before="49"/>
        <w:ind w:right="1133"/>
        <w:jc w:val="left"/>
      </w:pPr>
      <w:r>
        <w:rPr/>
        <w:t>公司报告期内盈利且母公司可供普通股股东分配利润为正但未提出普通股现金红利分配预案</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9" w:lineRule="auto"/>
        <w:ind w:right="1133"/>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22.737pt;margin-top:600.320007pt;width:259.05pt;height:109.25pt;mso-position-horizontal-relative:page;mso-position-vertical-relative:page;z-index:-12212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5"/>
                      <w:szCs w:val="15"/>
                    </w:rPr>
                  </w:pPr>
                </w:p>
                <w:p>
                  <w:pPr>
                    <w:pStyle w:val="BodyText"/>
                    <w:spacing w:line="240" w:lineRule="auto"/>
                    <w:ind w:left="0" w:right="0"/>
                    <w:jc w:val="left"/>
                  </w:pPr>
                  <w:r>
                    <w:rPr/>
                    <w:t>将会书面告知质权人该等股份具有潜在业绩承诺补偿义务，</w:t>
                  </w:r>
                </w:p>
              </w:txbxContent>
            </v:textbox>
            <w10:wrap type="none"/>
          </v:shape>
        </w:pict>
      </w:r>
      <w:r>
        <w:rPr/>
        <w:pict>
          <v:group style="position:absolute;margin-left:453.940002pt;margin-top:600.320007pt;width:27.85pt;height:109.25pt;mso-position-horizontal-relative:page;mso-position-vertical-relative:page;z-index:-1221208" coordorigin="9079,12006" coordsize="557,2185">
            <v:shape style="position:absolute;left:9079;top:12006;width:557;height:2185" coordorigin="9079,12006" coordsize="557,2185" path="m9079,14191l9636,14191,9636,12006,9079,12006,9079,1419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67"/>
        <w:gridCol w:w="1277"/>
        <w:gridCol w:w="425"/>
        <w:gridCol w:w="5673"/>
        <w:gridCol w:w="566"/>
        <w:gridCol w:w="566"/>
        <w:gridCol w:w="494"/>
      </w:tblGrid>
      <w:tr>
        <w:trPr>
          <w:trHeight w:val="161" w:hRule="exact"/>
        </w:trPr>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承诺 来源</w:t>
            </w: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5673"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4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62" w:right="60"/>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92" w:hRule="exact"/>
        </w:trPr>
        <w:tc>
          <w:tcPr>
            <w:tcW w:w="567"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425" w:type="dxa"/>
            <w:vMerge/>
            <w:tcBorders>
              <w:left w:val="single" w:sz="4" w:space="0" w:color="000000"/>
              <w:right w:val="single" w:sz="4" w:space="0" w:color="000000"/>
            </w:tcBorders>
            <w:shd w:val="clear" w:color="auto" w:fill="D2D2D2"/>
          </w:tcPr>
          <w:p>
            <w:pPr/>
          </w:p>
        </w:tc>
        <w:tc>
          <w:tcPr>
            <w:tcW w:w="56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6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r>
      <w:tr>
        <w:trPr>
          <w:trHeight w:val="161" w:hRule="exact"/>
        </w:trPr>
        <w:tc>
          <w:tcPr>
            <w:tcW w:w="567"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5673"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r>
      <w:tr>
        <w:trPr>
          <w:trHeight w:val="5199" w:hRule="exact"/>
        </w:trPr>
        <w:tc>
          <w:tcPr>
            <w:tcW w:w="5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10" w:space="0" w:color="D2D2D2"/>
              <w:right w:val="single" w:sz="4" w:space="0" w:color="000000"/>
            </w:tcBorders>
          </w:tcPr>
          <w:p>
            <w:pPr>
              <w:pStyle w:val="TableParagraph"/>
              <w:spacing w:line="304" w:lineRule="auto" w:before="51"/>
              <w:ind w:left="16" w:right="21"/>
              <w:jc w:val="left"/>
              <w:rPr>
                <w:rFonts w:ascii="宋体" w:hAnsi="宋体" w:cs="宋体" w:eastAsia="宋体" w:hint="default"/>
                <w:sz w:val="18"/>
                <w:szCs w:val="18"/>
              </w:rPr>
            </w:pPr>
            <w:r>
              <w:rPr>
                <w:rFonts w:ascii="宋体" w:hAnsi="宋体" w:cs="宋体" w:eastAsia="宋体" w:hint="default"/>
                <w:sz w:val="18"/>
                <w:szCs w:val="18"/>
              </w:rPr>
              <w:t>北京建环创享 股权投资管理 中心（有限合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陈建辉</w:t>
            </w:r>
            <w:r>
              <w:rPr>
                <w:rFonts w:ascii="Times New Roman" w:hAnsi="Times New Roman" w:cs="Times New Roman" w:eastAsia="Times New Roman" w:hint="default"/>
                <w:sz w:val="18"/>
                <w:szCs w:val="18"/>
              </w:rPr>
              <w:t>;</w:t>
            </w:r>
            <w:r>
              <w:rPr>
                <w:rFonts w:ascii="宋体" w:hAnsi="宋体" w:cs="宋体" w:eastAsia="宋体" w:hint="default"/>
                <w:sz w:val="18"/>
                <w:szCs w:val="18"/>
              </w:rPr>
              <w:t>仇 海妹</w:t>
            </w:r>
            <w:r>
              <w:rPr>
                <w:rFonts w:ascii="Times New Roman" w:hAnsi="Times New Roman" w:cs="Times New Roman" w:eastAsia="Times New Roman" w:hint="default"/>
                <w:sz w:val="18"/>
                <w:szCs w:val="18"/>
              </w:rPr>
              <w:t>;</w:t>
            </w:r>
            <w:r>
              <w:rPr>
                <w:rFonts w:ascii="宋体" w:hAnsi="宋体" w:cs="宋体" w:eastAsia="宋体" w:hint="default"/>
                <w:sz w:val="18"/>
                <w:szCs w:val="18"/>
              </w:rPr>
              <w:t>杜欣</w:t>
            </w:r>
            <w:r>
              <w:rPr>
                <w:rFonts w:ascii="Times New Roman" w:hAnsi="Times New Roman" w:cs="Times New Roman" w:eastAsia="Times New Roman" w:hint="default"/>
                <w:sz w:val="18"/>
                <w:szCs w:val="18"/>
              </w:rPr>
              <w:t>;</w:t>
            </w:r>
            <w:r>
              <w:rPr>
                <w:rFonts w:ascii="宋体" w:hAnsi="宋体" w:cs="宋体" w:eastAsia="宋体" w:hint="default"/>
                <w:sz w:val="18"/>
                <w:szCs w:val="18"/>
              </w:rPr>
              <w:t>丰德 香</w:t>
            </w:r>
            <w:r>
              <w:rPr>
                <w:rFonts w:ascii="Times New Roman" w:hAnsi="Times New Roman" w:cs="Times New Roman" w:eastAsia="Times New Roman" w:hint="default"/>
                <w:sz w:val="18"/>
                <w:szCs w:val="18"/>
              </w:rPr>
              <w:t>;</w:t>
            </w:r>
            <w:r>
              <w:rPr>
                <w:rFonts w:ascii="宋体" w:hAnsi="宋体" w:cs="宋体" w:eastAsia="宋体" w:hint="default"/>
                <w:sz w:val="18"/>
                <w:szCs w:val="18"/>
              </w:rPr>
              <w:t>侯济发</w:t>
            </w:r>
            <w:r>
              <w:rPr>
                <w:rFonts w:ascii="Times New Roman" w:hAnsi="Times New Roman" w:cs="Times New Roman" w:eastAsia="Times New Roman" w:hint="default"/>
                <w:sz w:val="18"/>
                <w:szCs w:val="18"/>
              </w:rPr>
              <w:t>;</w:t>
            </w:r>
            <w:r>
              <w:rPr>
                <w:rFonts w:ascii="宋体" w:hAnsi="宋体" w:cs="宋体" w:eastAsia="宋体" w:hint="default"/>
                <w:sz w:val="18"/>
                <w:szCs w:val="18"/>
              </w:rPr>
              <w:t>胡 琳</w:t>
            </w:r>
            <w:r>
              <w:rPr>
                <w:rFonts w:ascii="Times New Roman" w:hAnsi="Times New Roman" w:cs="Times New Roman" w:eastAsia="Times New Roman" w:hint="default"/>
                <w:sz w:val="18"/>
                <w:szCs w:val="18"/>
              </w:rPr>
              <w:t>;</w:t>
            </w:r>
            <w:r>
              <w:rPr>
                <w:rFonts w:ascii="宋体" w:hAnsi="宋体" w:cs="宋体" w:eastAsia="宋体" w:hint="default"/>
                <w:sz w:val="18"/>
                <w:szCs w:val="18"/>
              </w:rPr>
              <w:t>黄加南</w:t>
            </w:r>
            <w:r>
              <w:rPr>
                <w:rFonts w:ascii="Times New Roman" w:hAnsi="Times New Roman" w:cs="Times New Roman" w:eastAsia="Times New Roman" w:hint="default"/>
                <w:sz w:val="18"/>
                <w:szCs w:val="18"/>
              </w:rPr>
              <w:t>;</w:t>
            </w:r>
            <w:r>
              <w:rPr>
                <w:rFonts w:ascii="宋体" w:hAnsi="宋体" w:cs="宋体" w:eastAsia="宋体" w:hint="default"/>
                <w:sz w:val="18"/>
                <w:szCs w:val="18"/>
              </w:rPr>
              <w:t>蒋瑞 妮</w:t>
            </w:r>
            <w:r>
              <w:rPr>
                <w:rFonts w:ascii="Times New Roman" w:hAnsi="Times New Roman" w:cs="Times New Roman" w:eastAsia="Times New Roman" w:hint="default"/>
                <w:sz w:val="18"/>
                <w:szCs w:val="18"/>
              </w:rPr>
              <w:t>;</w:t>
            </w:r>
            <w:r>
              <w:rPr>
                <w:rFonts w:ascii="宋体" w:hAnsi="宋体" w:cs="宋体" w:eastAsia="宋体" w:hint="default"/>
                <w:sz w:val="18"/>
                <w:szCs w:val="18"/>
              </w:rPr>
              <w:t>李菁</w:t>
            </w:r>
            <w:r>
              <w:rPr>
                <w:rFonts w:ascii="Times New Roman" w:hAnsi="Times New Roman" w:cs="Times New Roman" w:eastAsia="Times New Roman" w:hint="default"/>
                <w:sz w:val="18"/>
                <w:szCs w:val="18"/>
              </w:rPr>
              <w:t>;</w:t>
            </w:r>
            <w:r>
              <w:rPr>
                <w:rFonts w:ascii="宋体" w:hAnsi="宋体" w:cs="宋体" w:eastAsia="宋体" w:hint="default"/>
                <w:sz w:val="18"/>
                <w:szCs w:val="18"/>
              </w:rPr>
              <w:t>李晓 波</w:t>
            </w:r>
            <w:r>
              <w:rPr>
                <w:rFonts w:ascii="Times New Roman" w:hAnsi="Times New Roman" w:cs="Times New Roman" w:eastAsia="Times New Roman" w:hint="default"/>
                <w:sz w:val="18"/>
                <w:szCs w:val="18"/>
              </w:rPr>
              <w:t>;</w:t>
            </w:r>
            <w:r>
              <w:rPr>
                <w:rFonts w:ascii="宋体" w:hAnsi="宋体" w:cs="宋体" w:eastAsia="宋体" w:hint="default"/>
                <w:sz w:val="18"/>
                <w:szCs w:val="18"/>
              </w:rPr>
              <w:t>李玥媚</w:t>
            </w:r>
            <w:r>
              <w:rPr>
                <w:rFonts w:ascii="Times New Roman" w:hAnsi="Times New Roman" w:cs="Times New Roman" w:eastAsia="Times New Roman" w:hint="default"/>
                <w:sz w:val="18"/>
                <w:szCs w:val="18"/>
              </w:rPr>
              <w:t>;</w:t>
            </w:r>
            <w:r>
              <w:rPr>
                <w:rFonts w:ascii="宋体" w:hAnsi="宋体" w:cs="宋体" w:eastAsia="宋体" w:hint="default"/>
                <w:sz w:val="18"/>
                <w:szCs w:val="18"/>
              </w:rPr>
              <w:t>刘晓 丽</w:t>
            </w:r>
            <w:r>
              <w:rPr>
                <w:rFonts w:ascii="Times New Roman" w:hAnsi="Times New Roman" w:cs="Times New Roman" w:eastAsia="Times New Roman" w:hint="default"/>
                <w:sz w:val="18"/>
                <w:szCs w:val="18"/>
              </w:rPr>
              <w:t>;</w:t>
            </w:r>
            <w:r>
              <w:rPr>
                <w:rFonts w:ascii="宋体" w:hAnsi="宋体" w:cs="宋体" w:eastAsia="宋体" w:hint="default"/>
                <w:sz w:val="18"/>
                <w:szCs w:val="18"/>
              </w:rPr>
              <w:t>宁波君度尚 左股权投资合 </w:t>
            </w:r>
            <w:r>
              <w:rPr>
                <w:rFonts w:ascii="宋体" w:hAnsi="宋体" w:cs="宋体" w:eastAsia="宋体" w:hint="default"/>
                <w:spacing w:val="-6"/>
                <w:sz w:val="18"/>
                <w:szCs w:val="18"/>
              </w:rPr>
              <w:t>伙企业（有限合</w:t>
            </w:r>
            <w:r>
              <w:rPr>
                <w:rFonts w:ascii="宋体" w:hAnsi="宋体" w:cs="宋体" w:eastAsia="宋体" w:hint="default"/>
                <w:sz w:val="18"/>
                <w:szCs w:val="18"/>
              </w:rPr>
              <w:t> 伙）</w:t>
            </w:r>
            <w:r>
              <w:rPr>
                <w:rFonts w:ascii="Times New Roman" w:hAnsi="Times New Roman" w:cs="Times New Roman" w:eastAsia="Times New Roman" w:hint="default"/>
                <w:sz w:val="18"/>
                <w:szCs w:val="18"/>
              </w:rPr>
              <w:t>;</w:t>
            </w:r>
            <w:r>
              <w:rPr>
                <w:rFonts w:ascii="宋体" w:hAnsi="宋体" w:cs="宋体" w:eastAsia="宋体" w:hint="default"/>
                <w:sz w:val="18"/>
                <w:szCs w:val="18"/>
              </w:rPr>
              <w:t>施唯平</w:t>
            </w:r>
            <w:r>
              <w:rPr>
                <w:rFonts w:ascii="Times New Roman" w:hAnsi="Times New Roman" w:cs="Times New Roman" w:eastAsia="Times New Roman" w:hint="default"/>
                <w:sz w:val="18"/>
                <w:szCs w:val="18"/>
              </w:rPr>
              <w:t>;</w:t>
            </w:r>
            <w:r>
              <w:rPr>
                <w:rFonts w:ascii="宋体" w:hAnsi="宋体" w:cs="宋体" w:eastAsia="宋体" w:hint="default"/>
                <w:sz w:val="18"/>
                <w:szCs w:val="18"/>
              </w:rPr>
              <w:t>谭 玎</w:t>
            </w:r>
            <w:r>
              <w:rPr>
                <w:rFonts w:ascii="Times New Roman" w:hAnsi="Times New Roman" w:cs="Times New Roman" w:eastAsia="Times New Roman" w:hint="default"/>
                <w:sz w:val="18"/>
                <w:szCs w:val="18"/>
              </w:rPr>
              <w:t>;</w:t>
            </w:r>
            <w:r>
              <w:rPr>
                <w:rFonts w:ascii="宋体" w:hAnsi="宋体" w:cs="宋体" w:eastAsia="宋体" w:hint="default"/>
                <w:sz w:val="18"/>
                <w:szCs w:val="18"/>
              </w:rPr>
              <w:t>王春华</w:t>
            </w:r>
            <w:r>
              <w:rPr>
                <w:rFonts w:ascii="Times New Roman" w:hAnsi="Times New Roman" w:cs="Times New Roman" w:eastAsia="Times New Roman" w:hint="default"/>
                <w:sz w:val="18"/>
                <w:szCs w:val="18"/>
              </w:rPr>
              <w:t>;</w:t>
            </w:r>
            <w:r>
              <w:rPr>
                <w:rFonts w:ascii="宋体" w:hAnsi="宋体" w:cs="宋体" w:eastAsia="宋体" w:hint="default"/>
                <w:sz w:val="18"/>
                <w:szCs w:val="18"/>
              </w:rPr>
              <w:t>王小 莉</w:t>
            </w:r>
            <w:r>
              <w:rPr>
                <w:rFonts w:ascii="Times New Roman" w:hAnsi="Times New Roman" w:cs="Times New Roman" w:eastAsia="Times New Roman" w:hint="default"/>
                <w:sz w:val="18"/>
                <w:szCs w:val="18"/>
              </w:rPr>
              <w:t>;</w:t>
            </w:r>
            <w:r>
              <w:rPr>
                <w:rFonts w:ascii="宋体" w:hAnsi="宋体" w:cs="宋体" w:eastAsia="宋体" w:hint="default"/>
                <w:sz w:val="18"/>
                <w:szCs w:val="18"/>
              </w:rPr>
              <w:t>魏方</w:t>
            </w:r>
            <w:r>
              <w:rPr>
                <w:rFonts w:ascii="Times New Roman" w:hAnsi="Times New Roman" w:cs="Times New Roman" w:eastAsia="Times New Roman" w:hint="default"/>
                <w:sz w:val="18"/>
                <w:szCs w:val="18"/>
              </w:rPr>
              <w:t>;</w:t>
            </w:r>
            <w:r>
              <w:rPr>
                <w:rFonts w:ascii="宋体" w:hAnsi="宋体" w:cs="宋体" w:eastAsia="宋体" w:hint="default"/>
                <w:sz w:val="18"/>
                <w:szCs w:val="18"/>
              </w:rPr>
              <w:t>吴珠 杨</w:t>
            </w:r>
            <w:r>
              <w:rPr>
                <w:rFonts w:ascii="Times New Roman" w:hAnsi="Times New Roman" w:cs="Times New Roman" w:eastAsia="Times New Roman" w:hint="default"/>
                <w:sz w:val="18"/>
                <w:szCs w:val="18"/>
              </w:rPr>
              <w:t>;</w:t>
            </w:r>
            <w:r>
              <w:rPr>
                <w:rFonts w:ascii="宋体" w:hAnsi="宋体" w:cs="宋体" w:eastAsia="宋体" w:hint="default"/>
                <w:sz w:val="18"/>
                <w:szCs w:val="18"/>
              </w:rPr>
              <w:t>许慧</w:t>
            </w:r>
            <w:r>
              <w:rPr>
                <w:rFonts w:ascii="Times New Roman" w:hAnsi="Times New Roman" w:cs="Times New Roman" w:eastAsia="Times New Roman" w:hint="default"/>
                <w:sz w:val="18"/>
                <w:szCs w:val="18"/>
              </w:rPr>
              <w:t>;</w:t>
            </w:r>
            <w:r>
              <w:rPr>
                <w:rFonts w:ascii="宋体" w:hAnsi="宋体" w:cs="宋体" w:eastAsia="宋体" w:hint="default"/>
                <w:sz w:val="18"/>
                <w:szCs w:val="18"/>
              </w:rPr>
              <w:t>许诺</w:t>
            </w:r>
            <w:r>
              <w:rPr>
                <w:rFonts w:ascii="Times New Roman" w:hAnsi="Times New Roman" w:cs="Times New Roman" w:eastAsia="Times New Roman" w:hint="default"/>
                <w:sz w:val="18"/>
                <w:szCs w:val="18"/>
              </w:rPr>
              <w:t>; </w:t>
            </w:r>
            <w:r>
              <w:rPr>
                <w:rFonts w:ascii="宋体" w:hAnsi="宋体" w:cs="宋体" w:eastAsia="宋体" w:hint="default"/>
                <w:sz w:val="18"/>
                <w:szCs w:val="18"/>
              </w:rPr>
              <w:t>叶丽君</w:t>
            </w:r>
            <w:r>
              <w:rPr>
                <w:rFonts w:ascii="Times New Roman" w:hAnsi="Times New Roman" w:cs="Times New Roman" w:eastAsia="Times New Roman" w:hint="default"/>
                <w:sz w:val="18"/>
                <w:szCs w:val="18"/>
              </w:rPr>
              <w:t>;</w:t>
            </w:r>
            <w:r>
              <w:rPr>
                <w:rFonts w:ascii="宋体" w:hAnsi="宋体" w:cs="宋体" w:eastAsia="宋体" w:hint="default"/>
                <w:sz w:val="18"/>
                <w:szCs w:val="18"/>
              </w:rPr>
              <w:t>张仙</w:t>
            </w:r>
            <w:r>
              <w:rPr>
                <w:rFonts w:ascii="Times New Roman" w:hAnsi="Times New Roman" w:cs="Times New Roman" w:eastAsia="Times New Roman" w:hint="default"/>
                <w:sz w:val="18"/>
                <w:szCs w:val="18"/>
              </w:rPr>
              <w:t>;</w:t>
            </w:r>
            <w:r>
              <w:rPr>
                <w:rFonts w:ascii="宋体" w:hAnsi="宋体" w:cs="宋体" w:eastAsia="宋体" w:hint="default"/>
                <w:sz w:val="18"/>
                <w:szCs w:val="18"/>
              </w:rPr>
              <w:t>郑 小春</w:t>
            </w:r>
            <w:r>
              <w:rPr>
                <w:rFonts w:ascii="Times New Roman" w:hAnsi="Times New Roman" w:cs="Times New Roman" w:eastAsia="Times New Roman" w:hint="default"/>
                <w:sz w:val="18"/>
                <w:szCs w:val="18"/>
              </w:rPr>
              <w:t>;</w:t>
            </w:r>
            <w:r>
              <w:rPr>
                <w:rFonts w:ascii="宋体" w:hAnsi="宋体" w:cs="宋体" w:eastAsia="宋体" w:hint="default"/>
                <w:sz w:val="18"/>
                <w:szCs w:val="18"/>
              </w:rPr>
              <w:t>珠海申恩 投资合伙企业</w:t>
            </w:r>
          </w:p>
          <w:p>
            <w:pPr>
              <w:pStyle w:val="TableParagraph"/>
              <w:spacing w:line="240" w:lineRule="auto" w:before="28"/>
              <w:ind w:left="16"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567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09" w:lineRule="auto"/>
              <w:ind w:left="23" w:right="6"/>
              <w:jc w:val="left"/>
              <w:rPr>
                <w:rFonts w:ascii="宋体" w:hAnsi="宋体" w:cs="宋体" w:eastAsia="宋体" w:hint="default"/>
                <w:sz w:val="18"/>
                <w:szCs w:val="18"/>
              </w:rPr>
            </w:pPr>
            <w:r>
              <w:rPr>
                <w:rFonts w:ascii="宋体" w:hAnsi="宋体" w:cs="宋体" w:eastAsia="宋体" w:hint="default"/>
                <w:sz w:val="18"/>
                <w:szCs w:val="18"/>
              </w:rPr>
              <w:t>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本人在此作出如下保证及承诺：就本次交易获得的优博讯股份， 如在中国证券登记结算有限公司完成登记手续时，本企业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本人持续拥有 标的公司股份的时间不足十二个月的，则通过本次交易取得的优博讯股 份自本次发行结束之日起三十六个月内不得转让；如在中国证券登记结 算有限公司完成登记手续时，本企业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本人持续拥有标的公司股份的时间 已满十二个月的，则通过本次交易取得的优博讯股份自本次发行结束之 日起十二个月内不得转让。如果中国证监会及</w:t>
            </w:r>
            <w:r>
              <w:rPr>
                <w:rFonts w:ascii="Times New Roman" w:hAnsi="Times New Roman" w:cs="Times New Roman" w:eastAsia="Times New Roman" w:hint="default"/>
                <w:sz w:val="18"/>
                <w:szCs w:val="18"/>
              </w:rPr>
              <w:t>/</w:t>
            </w:r>
            <w:r>
              <w:rPr>
                <w:rFonts w:ascii="宋体" w:hAnsi="宋体" w:cs="宋体" w:eastAsia="宋体" w:hint="default"/>
                <w:sz w:val="18"/>
                <w:szCs w:val="18"/>
              </w:rPr>
              <w:t>或深圳证券交易所对于上 述锁定期安排有不同意见或要求的，本企业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本人将按照中国证监会及</w:t>
            </w:r>
            <w:r>
              <w:rPr>
                <w:rFonts w:ascii="Times New Roman" w:hAnsi="Times New Roman" w:cs="Times New Roman" w:eastAsia="Times New Roman" w:hint="default"/>
                <w:sz w:val="18"/>
                <w:szCs w:val="18"/>
              </w:rPr>
              <w:t>/ </w:t>
            </w:r>
            <w:r>
              <w:rPr>
                <w:rFonts w:ascii="宋体" w:hAnsi="宋体" w:cs="宋体" w:eastAsia="宋体" w:hint="default"/>
                <w:sz w:val="18"/>
                <w:szCs w:val="18"/>
              </w:rPr>
              <w:t>或深圳证券交易所的意见或要求对上述锁定期安排进行修订并予执行。 本次交易完成后，因本次认购取得的优博讯的股份由于优博讯送红股、 转增股本等原因而获得的股份，亦应遵守上述股份锁定承诺。锁定期届 满之后股份的交易按照中国证监会及</w:t>
            </w:r>
            <w:r>
              <w:rPr>
                <w:rFonts w:ascii="Times New Roman" w:hAnsi="Times New Roman" w:cs="Times New Roman" w:eastAsia="Times New Roman" w:hint="default"/>
                <w:sz w:val="18"/>
                <w:szCs w:val="18"/>
              </w:rPr>
              <w:t>/</w:t>
            </w:r>
            <w:r>
              <w:rPr>
                <w:rFonts w:ascii="宋体" w:hAnsi="宋体" w:cs="宋体" w:eastAsia="宋体" w:hint="default"/>
                <w:sz w:val="18"/>
                <w:szCs w:val="18"/>
              </w:rPr>
              <w:t>或深圳证券交易所的有关规定以 及《深圳市优博讯科技股份有限公司与珠海佳博科技股份有限公司全体 股东非公开发行股份及支付现金购买资产协议》及其补充协议中的相关 约定执行。</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承诺 人严 格遵 守了 该项 承诺</w:t>
            </w:r>
          </w:p>
        </w:tc>
      </w:tr>
      <w:tr>
        <w:trPr>
          <w:trHeight w:val="1133" w:hRule="exact"/>
        </w:trPr>
        <w:tc>
          <w:tcPr>
            <w:tcW w:w="56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171"/>
              <w:jc w:val="both"/>
              <w:rPr>
                <w:rFonts w:ascii="宋体" w:hAnsi="宋体" w:cs="宋体" w:eastAsia="宋体" w:hint="default"/>
                <w:sz w:val="18"/>
                <w:szCs w:val="18"/>
              </w:rPr>
            </w:pPr>
            <w:r>
              <w:rPr>
                <w:rFonts w:ascii="宋体" w:hAnsi="宋体" w:cs="宋体" w:eastAsia="宋体" w:hint="default"/>
                <w:sz w:val="18"/>
                <w:szCs w:val="18"/>
              </w:rPr>
              <w:t>资产 重组 时所 作承 诺</w:t>
            </w:r>
          </w:p>
        </w:tc>
        <w:tc>
          <w:tcPr>
            <w:tcW w:w="1277" w:type="dxa"/>
            <w:vMerge/>
            <w:tcBorders>
              <w:left w:val="single" w:sz="10" w:space="0" w:color="D2D2D2"/>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5673"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94" w:type="dxa"/>
            <w:vMerge/>
            <w:tcBorders>
              <w:left w:val="single" w:sz="4" w:space="0" w:color="000000"/>
              <w:bottom w:val="single" w:sz="4" w:space="0" w:color="000000"/>
              <w:right w:val="single" w:sz="4" w:space="0" w:color="000000"/>
            </w:tcBorders>
          </w:tcPr>
          <w:p>
            <w:pPr/>
          </w:p>
        </w:tc>
      </w:tr>
      <w:tr>
        <w:trPr>
          <w:trHeight w:val="509" w:hRule="exact"/>
        </w:trPr>
        <w:tc>
          <w:tcPr>
            <w:tcW w:w="567"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02" w:lineRule="auto"/>
              <w:ind w:left="16" w:right="21"/>
              <w:jc w:val="left"/>
              <w:rPr>
                <w:rFonts w:ascii="宋体" w:hAnsi="宋体" w:cs="宋体" w:eastAsia="宋体" w:hint="default"/>
                <w:sz w:val="18"/>
                <w:szCs w:val="18"/>
              </w:rPr>
            </w:pPr>
            <w:r>
              <w:rPr>
                <w:rFonts w:ascii="宋体" w:hAnsi="宋体" w:cs="宋体" w:eastAsia="宋体" w:hint="default"/>
                <w:sz w:val="18"/>
                <w:szCs w:val="18"/>
              </w:rPr>
              <w:t>陈建辉</w:t>
            </w:r>
            <w:r>
              <w:rPr>
                <w:rFonts w:ascii="Times New Roman" w:hAnsi="Times New Roman" w:cs="Times New Roman" w:eastAsia="Times New Roman" w:hint="default"/>
                <w:sz w:val="18"/>
                <w:szCs w:val="18"/>
              </w:rPr>
              <w:t>;</w:t>
            </w:r>
            <w:r>
              <w:rPr>
                <w:rFonts w:ascii="宋体" w:hAnsi="宋体" w:cs="宋体" w:eastAsia="宋体" w:hint="default"/>
                <w:sz w:val="18"/>
                <w:szCs w:val="18"/>
              </w:rPr>
              <w:t>仇海妹</w:t>
            </w:r>
            <w:r>
              <w:rPr>
                <w:rFonts w:ascii="Times New Roman" w:hAnsi="Times New Roman" w:cs="Times New Roman" w:eastAsia="Times New Roman" w:hint="default"/>
                <w:sz w:val="18"/>
                <w:szCs w:val="18"/>
              </w:rPr>
              <w:t>; </w:t>
            </w:r>
            <w:r>
              <w:rPr>
                <w:rFonts w:ascii="宋体" w:hAnsi="宋体" w:cs="宋体" w:eastAsia="宋体" w:hint="default"/>
                <w:sz w:val="18"/>
                <w:szCs w:val="18"/>
              </w:rPr>
              <w:t>丰德香</w:t>
            </w:r>
            <w:r>
              <w:rPr>
                <w:rFonts w:ascii="Times New Roman" w:hAnsi="Times New Roman" w:cs="Times New Roman" w:eastAsia="Times New Roman" w:hint="default"/>
                <w:sz w:val="18"/>
                <w:szCs w:val="18"/>
              </w:rPr>
              <w:t>;</w:t>
            </w:r>
            <w:r>
              <w:rPr>
                <w:rFonts w:ascii="宋体" w:hAnsi="宋体" w:cs="宋体" w:eastAsia="宋体" w:hint="default"/>
                <w:sz w:val="18"/>
                <w:szCs w:val="18"/>
              </w:rPr>
              <w:t>胡琳</w:t>
            </w:r>
            <w:r>
              <w:rPr>
                <w:rFonts w:ascii="Times New Roman" w:hAnsi="Times New Roman" w:cs="Times New Roman" w:eastAsia="Times New Roman" w:hint="default"/>
                <w:sz w:val="18"/>
                <w:szCs w:val="18"/>
              </w:rPr>
              <w:t>;</w:t>
            </w:r>
            <w:r>
              <w:rPr>
                <w:rFonts w:ascii="宋体" w:hAnsi="宋体" w:cs="宋体" w:eastAsia="宋体" w:hint="default"/>
                <w:sz w:val="18"/>
                <w:szCs w:val="18"/>
              </w:rPr>
              <w:t>李 菁</w:t>
            </w:r>
            <w:r>
              <w:rPr>
                <w:rFonts w:ascii="Times New Roman" w:hAnsi="Times New Roman" w:cs="Times New Roman" w:eastAsia="Times New Roman" w:hint="default"/>
                <w:sz w:val="18"/>
                <w:szCs w:val="18"/>
              </w:rPr>
              <w:t>;</w:t>
            </w:r>
            <w:r>
              <w:rPr>
                <w:rFonts w:ascii="宋体" w:hAnsi="宋体" w:cs="宋体" w:eastAsia="宋体" w:hint="default"/>
                <w:sz w:val="18"/>
                <w:szCs w:val="18"/>
              </w:rPr>
              <w:t>李晓波</w:t>
            </w:r>
            <w:r>
              <w:rPr>
                <w:rFonts w:ascii="Times New Roman" w:hAnsi="Times New Roman" w:cs="Times New Roman" w:eastAsia="Times New Roman" w:hint="default"/>
                <w:sz w:val="18"/>
                <w:szCs w:val="18"/>
              </w:rPr>
              <w:t>;</w:t>
            </w:r>
            <w:r>
              <w:rPr>
                <w:rFonts w:ascii="宋体" w:hAnsi="宋体" w:cs="宋体" w:eastAsia="宋体" w:hint="default"/>
                <w:sz w:val="18"/>
                <w:szCs w:val="18"/>
              </w:rPr>
              <w:t>施唯 平</w:t>
            </w:r>
            <w:r>
              <w:rPr>
                <w:rFonts w:ascii="Times New Roman" w:hAnsi="Times New Roman" w:cs="Times New Roman" w:eastAsia="Times New Roman" w:hint="default"/>
                <w:sz w:val="18"/>
                <w:szCs w:val="18"/>
              </w:rPr>
              <w:t>;</w:t>
            </w:r>
            <w:r>
              <w:rPr>
                <w:rFonts w:ascii="宋体" w:hAnsi="宋体" w:cs="宋体" w:eastAsia="宋体" w:hint="default"/>
                <w:sz w:val="18"/>
                <w:szCs w:val="18"/>
              </w:rPr>
              <w:t>谭玎</w:t>
            </w:r>
            <w:r>
              <w:rPr>
                <w:rFonts w:ascii="Times New Roman" w:hAnsi="Times New Roman" w:cs="Times New Roman" w:eastAsia="Times New Roman" w:hint="default"/>
                <w:sz w:val="18"/>
                <w:szCs w:val="18"/>
              </w:rPr>
              <w:t>;</w:t>
            </w:r>
            <w:r>
              <w:rPr>
                <w:rFonts w:ascii="宋体" w:hAnsi="宋体" w:cs="宋体" w:eastAsia="宋体" w:hint="default"/>
                <w:sz w:val="18"/>
                <w:szCs w:val="18"/>
              </w:rPr>
              <w:t>王春 华</w:t>
            </w:r>
            <w:r>
              <w:rPr>
                <w:rFonts w:ascii="Times New Roman" w:hAnsi="Times New Roman" w:cs="Times New Roman" w:eastAsia="Times New Roman" w:hint="default"/>
                <w:sz w:val="18"/>
                <w:szCs w:val="18"/>
              </w:rPr>
              <w:t>;</w:t>
            </w:r>
            <w:r>
              <w:rPr>
                <w:rFonts w:ascii="宋体" w:hAnsi="宋体" w:cs="宋体" w:eastAsia="宋体" w:hint="default"/>
                <w:sz w:val="18"/>
                <w:szCs w:val="18"/>
              </w:rPr>
              <w:t>魏方</w:t>
            </w:r>
            <w:r>
              <w:rPr>
                <w:rFonts w:ascii="Times New Roman" w:hAnsi="Times New Roman" w:cs="Times New Roman" w:eastAsia="Times New Roman" w:hint="default"/>
                <w:sz w:val="18"/>
                <w:szCs w:val="18"/>
              </w:rPr>
              <w:t>;</w:t>
            </w:r>
            <w:r>
              <w:rPr>
                <w:rFonts w:ascii="宋体" w:hAnsi="宋体" w:cs="宋体" w:eastAsia="宋体" w:hint="default"/>
                <w:sz w:val="18"/>
                <w:szCs w:val="18"/>
              </w:rPr>
              <w:t>吴珠 杨</w:t>
            </w:r>
            <w:r>
              <w:rPr>
                <w:rFonts w:ascii="Times New Roman" w:hAnsi="Times New Roman" w:cs="Times New Roman" w:eastAsia="Times New Roman" w:hint="default"/>
                <w:sz w:val="18"/>
                <w:szCs w:val="18"/>
              </w:rPr>
              <w:t>;</w:t>
            </w:r>
            <w:r>
              <w:rPr>
                <w:rFonts w:ascii="宋体" w:hAnsi="宋体" w:cs="宋体" w:eastAsia="宋体" w:hint="default"/>
                <w:sz w:val="18"/>
                <w:szCs w:val="18"/>
              </w:rPr>
              <w:t>张仙</w:t>
            </w:r>
            <w:r>
              <w:rPr>
                <w:rFonts w:ascii="Times New Roman" w:hAnsi="Times New Roman" w:cs="Times New Roman" w:eastAsia="Times New Roman" w:hint="default"/>
                <w:sz w:val="18"/>
                <w:szCs w:val="18"/>
              </w:rPr>
              <w:t>;</w:t>
            </w:r>
            <w:r>
              <w:rPr>
                <w:rFonts w:ascii="宋体" w:hAnsi="宋体" w:cs="宋体" w:eastAsia="宋体" w:hint="default"/>
                <w:sz w:val="18"/>
                <w:szCs w:val="18"/>
              </w:rPr>
              <w:t>郑小 春</w:t>
            </w:r>
            <w:r>
              <w:rPr>
                <w:rFonts w:ascii="Times New Roman" w:hAnsi="Times New Roman" w:cs="Times New Roman" w:eastAsia="Times New Roman" w:hint="default"/>
                <w:sz w:val="18"/>
                <w:szCs w:val="18"/>
              </w:rPr>
              <w:t>;</w:t>
            </w:r>
            <w:r>
              <w:rPr>
                <w:rFonts w:ascii="宋体" w:hAnsi="宋体" w:cs="宋体" w:eastAsia="宋体" w:hint="default"/>
                <w:sz w:val="18"/>
                <w:szCs w:val="18"/>
              </w:rPr>
              <w:t>珠海申恩投 </w:t>
            </w:r>
            <w:r>
              <w:rPr>
                <w:rFonts w:ascii="宋体" w:hAnsi="宋体" w:cs="宋体" w:eastAsia="宋体" w:hint="default"/>
                <w:spacing w:val="-6"/>
                <w:sz w:val="18"/>
                <w:szCs w:val="18"/>
              </w:rPr>
              <w:t>资合伙企业（有</w:t>
            </w:r>
            <w:r>
              <w:rPr>
                <w:rFonts w:ascii="宋体" w:hAnsi="宋体" w:cs="宋体" w:eastAsia="宋体" w:hint="default"/>
                <w:sz w:val="18"/>
                <w:szCs w:val="18"/>
              </w:rPr>
              <w:t> 限合伙）</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业绩 承诺 及补 偿安 排</w:t>
            </w:r>
          </w:p>
        </w:tc>
        <w:tc>
          <w:tcPr>
            <w:tcW w:w="5673" w:type="dxa"/>
            <w:vMerge w:val="restart"/>
            <w:tcBorders>
              <w:top w:val="single" w:sz="4" w:space="0" w:color="000000"/>
              <w:left w:val="single" w:sz="4" w:space="0" w:color="000000"/>
              <w:right w:val="single" w:sz="10" w:space="0" w:color="FFFFFF"/>
            </w:tcBorders>
          </w:tcPr>
          <w:p>
            <w:pPr>
              <w:pStyle w:val="TableParagraph"/>
              <w:spacing w:line="309" w:lineRule="auto" w:before="49"/>
              <w:ind w:left="23" w:right="-3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、业绩承诺：公司已与珠海佳博科技股份有限公司管理层股东签署《发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行股份及支付现金购买资产的利润预测补偿协议》及其补充协议，标的 公司业绩承诺情况如下（口径为经审计的公司合并财务报表中扣除非经 </w:t>
            </w:r>
            <w:r>
              <w:rPr>
                <w:rFonts w:ascii="宋体" w:hAnsi="宋体" w:cs="宋体" w:eastAsia="宋体" w:hint="default"/>
                <w:spacing w:val="-4"/>
                <w:sz w:val="18"/>
                <w:szCs w:val="18"/>
              </w:rPr>
              <w:t>常性损益后归属于母公司股东的净利润数）：标的公司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年度、</w:t>
            </w:r>
            <w:r>
              <w:rPr>
                <w:rFonts w:ascii="Times New Roman" w:hAnsi="Times New Roman" w:cs="Times New Roman" w:eastAsia="Times New Roman" w:hint="default"/>
                <w:sz w:val="18"/>
                <w:szCs w:val="18"/>
              </w:rPr>
              <w:t>2021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2022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2023 </w:t>
            </w:r>
            <w:r>
              <w:rPr>
                <w:rFonts w:ascii="宋体" w:hAnsi="宋体" w:cs="宋体" w:eastAsia="宋体" w:hint="default"/>
                <w:sz w:val="18"/>
                <w:szCs w:val="18"/>
              </w:rPr>
              <w:t>年度分别不低于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9,000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11,000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12,500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万元及</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万元。在承诺期内，经公司聘 请具有证券期货业务资格的会计师事务所对标的公司进行审计，若截止 当期期末累积实现净利润数低于截止当期期末累积承诺净利润数，则管 理层股东（即陈建辉、吴珠杨、施唯平、胡琳、李菁、珠海申恩投资合 </w:t>
            </w:r>
            <w:r>
              <w:rPr>
                <w:rFonts w:ascii="宋体" w:hAnsi="宋体" w:cs="宋体" w:eastAsia="宋体" w:hint="default"/>
                <w:spacing w:val="-3"/>
                <w:sz w:val="18"/>
                <w:szCs w:val="18"/>
              </w:rPr>
              <w:t>伙企业（有限合伙）、王春华、李晓波、仇海妹、丰德香、魏方、谭玎、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郑小春、张仙）应当对公司进行补偿。具体将按照《发行股份及支付现 金购买资产的利润预测补偿协议》及其补充协议的约定进行计算补偿数 额。</w:t>
            </w:r>
            <w:r>
              <w:rPr>
                <w:rFonts w:ascii="Times New Roman" w:hAnsi="Times New Roman" w:cs="Times New Roman" w:eastAsia="Times New Roman" w:hint="default"/>
                <w:sz w:val="18"/>
                <w:szCs w:val="18"/>
              </w:rPr>
              <w:t>2</w:t>
            </w:r>
            <w:r>
              <w:rPr>
                <w:rFonts w:ascii="宋体" w:hAnsi="宋体" w:cs="宋体" w:eastAsia="宋体" w:hint="default"/>
                <w:sz w:val="18"/>
                <w:szCs w:val="18"/>
              </w:rPr>
              <w:t>、关于保障业绩补偿安排的承诺：本人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本企业在本次交易中获得 的优博讯股份（以下简称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对价股份</w:t>
            </w:r>
            <w:r>
              <w:rPr>
                <w:rFonts w:ascii="Times New Roman" w:hAnsi="Times New Roman" w:cs="Times New Roman" w:eastAsia="Times New Roman" w:hint="default"/>
                <w:sz w:val="18"/>
                <w:szCs w:val="18"/>
              </w:rPr>
              <w:t>”</w:t>
            </w:r>
            <w:r>
              <w:rPr>
                <w:rFonts w:ascii="宋体" w:hAnsi="宋体" w:cs="宋体" w:eastAsia="宋体" w:hint="default"/>
                <w:sz w:val="18"/>
                <w:szCs w:val="18"/>
              </w:rPr>
              <w:t>）将优先用于履行业绩补偿承诺， 承诺不通过股份质押方式逃避补偿义务；本企业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本人未来若将对价股份 进行质押时， 且本人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本企业将会在质押协议中就相关股份用于支付业绩补偿等事项 与质权人作出明确约定。</w:t>
            </w:r>
          </w:p>
        </w:tc>
        <w:tc>
          <w:tcPr>
            <w:tcW w:w="566" w:type="dxa"/>
            <w:vMerge w:val="restart"/>
            <w:tcBorders>
              <w:top w:val="single" w:sz="4" w:space="0" w:color="000000"/>
              <w:left w:val="single" w:sz="10" w:space="0" w:color="FFFFFF"/>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3" w:right="98"/>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5199" w:hRule="exact"/>
        </w:trPr>
        <w:tc>
          <w:tcPr>
            <w:tcW w:w="5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10" w:space="0" w:color="D2D2D2"/>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5673" w:type="dxa"/>
            <w:vMerge/>
            <w:tcBorders>
              <w:left w:val="single" w:sz="4" w:space="0" w:color="000000"/>
              <w:bottom w:val="single" w:sz="4" w:space="0" w:color="000000"/>
              <w:right w:val="single" w:sz="10" w:space="0" w:color="FFFFFF"/>
            </w:tcBorders>
          </w:tcPr>
          <w:p>
            <w:pPr/>
          </w:p>
        </w:tc>
        <w:tc>
          <w:tcPr>
            <w:tcW w:w="566" w:type="dxa"/>
            <w:vMerge/>
            <w:tcBorders>
              <w:left w:val="single" w:sz="10" w:space="0" w:color="FFFFFF"/>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94"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66"/>
        <w:gridCol w:w="1277"/>
        <w:gridCol w:w="425"/>
        <w:gridCol w:w="5673"/>
        <w:gridCol w:w="566"/>
        <w:gridCol w:w="566"/>
        <w:gridCol w:w="494"/>
      </w:tblGrid>
      <w:tr>
        <w:trPr>
          <w:trHeight w:val="161" w:hRule="exact"/>
        </w:trPr>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97" w:right="96"/>
              <w:jc w:val="left"/>
              <w:rPr>
                <w:rFonts w:ascii="宋体" w:hAnsi="宋体" w:cs="宋体" w:eastAsia="宋体" w:hint="default"/>
                <w:sz w:val="18"/>
                <w:szCs w:val="18"/>
              </w:rPr>
            </w:pPr>
            <w:r>
              <w:rPr>
                <w:rFonts w:ascii="宋体" w:hAnsi="宋体" w:cs="宋体" w:eastAsia="宋体" w:hint="default"/>
                <w:sz w:val="18"/>
                <w:szCs w:val="18"/>
              </w:rPr>
              <w:t>承诺 来源</w:t>
            </w: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5673"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4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62" w:right="60"/>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92" w:hRule="exact"/>
        </w:trPr>
        <w:tc>
          <w:tcPr>
            <w:tcW w:w="566"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425" w:type="dxa"/>
            <w:vMerge/>
            <w:tcBorders>
              <w:left w:val="single" w:sz="4" w:space="0" w:color="000000"/>
              <w:right w:val="single" w:sz="4" w:space="0" w:color="000000"/>
            </w:tcBorders>
            <w:shd w:val="clear" w:color="auto" w:fill="D2D2D2"/>
          </w:tcPr>
          <w:p>
            <w:pPr/>
          </w:p>
        </w:tc>
        <w:tc>
          <w:tcPr>
            <w:tcW w:w="56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6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r>
      <w:tr>
        <w:trPr>
          <w:trHeight w:val="161" w:hRule="exact"/>
        </w:trPr>
        <w:tc>
          <w:tcPr>
            <w:tcW w:w="566"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5673"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r>
      <w:tr>
        <w:trPr>
          <w:trHeight w:val="8516" w:hRule="exact"/>
        </w:trPr>
        <w:tc>
          <w:tcPr>
            <w:tcW w:w="566" w:type="dxa"/>
            <w:vMerge w:val="restart"/>
            <w:tcBorders>
              <w:top w:val="single" w:sz="4" w:space="0" w:color="000000"/>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60" w:lineRule="auto"/>
              <w:ind w:left="23" w:right="223"/>
              <w:jc w:val="left"/>
              <w:rPr>
                <w:rFonts w:ascii="Times New Roman" w:hAnsi="Times New Roman" w:cs="Times New Roman" w:eastAsia="Times New Roman" w:hint="default"/>
                <w:sz w:val="18"/>
                <w:szCs w:val="18"/>
              </w:rPr>
            </w:pPr>
            <w:r>
              <w:rPr>
                <w:rFonts w:ascii="Times New Roman"/>
                <w:sz w:val="18"/>
              </w:rPr>
              <w:t>CHEN</w:t>
            </w:r>
            <w:r>
              <w:rPr>
                <w:rFonts w:ascii="Times New Roman"/>
                <w:w w:val="99"/>
                <w:sz w:val="18"/>
              </w:rPr>
              <w:t> </w:t>
            </w:r>
            <w:r>
              <w:rPr>
                <w:rFonts w:ascii="Times New Roman"/>
                <w:sz w:val="18"/>
              </w:rPr>
              <w:t>YIHAN;GUO</w:t>
            </w:r>
            <w:r>
              <w:rPr>
                <w:rFonts w:ascii="Times New Roman"/>
                <w:w w:val="99"/>
                <w:sz w:val="18"/>
              </w:rPr>
              <w:t> </w:t>
            </w:r>
            <w:r>
              <w:rPr>
                <w:rFonts w:ascii="Times New Roman"/>
                <w:sz w:val="18"/>
              </w:rPr>
              <w:t>SONG;LIU</w:t>
            </w:r>
          </w:p>
          <w:p>
            <w:pPr>
              <w:pStyle w:val="TableParagraph"/>
              <w:spacing w:line="21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DAN;</w:t>
            </w:r>
            <w:r>
              <w:rPr>
                <w:rFonts w:ascii="宋体" w:hAnsi="宋体" w:cs="宋体" w:eastAsia="宋体" w:hint="default"/>
                <w:sz w:val="18"/>
                <w:szCs w:val="18"/>
              </w:rPr>
              <w:t>陈建辉</w:t>
            </w:r>
            <w:r>
              <w:rPr>
                <w:rFonts w:ascii="Times New Roman" w:hAnsi="Times New Roman" w:cs="Times New Roman" w:eastAsia="Times New Roman" w:hint="default"/>
                <w:sz w:val="18"/>
                <w:szCs w:val="18"/>
              </w:rPr>
              <w:t>;</w:t>
            </w:r>
            <w:r>
              <w:rPr>
                <w:rFonts w:ascii="宋体" w:hAnsi="宋体" w:cs="宋体" w:eastAsia="宋体" w:hint="default"/>
                <w:sz w:val="18"/>
                <w:szCs w:val="18"/>
              </w:rPr>
              <w:t>杜</w:t>
            </w:r>
          </w:p>
          <w:p>
            <w:pPr>
              <w:pStyle w:val="TableParagraph"/>
              <w:spacing w:line="300" w:lineRule="auto" w:before="63"/>
              <w:ind w:left="23" w:right="60"/>
              <w:jc w:val="left"/>
              <w:rPr>
                <w:rFonts w:ascii="宋体" w:hAnsi="宋体" w:cs="宋体" w:eastAsia="宋体" w:hint="default"/>
                <w:sz w:val="18"/>
                <w:szCs w:val="18"/>
              </w:rPr>
            </w:pPr>
            <w:r>
              <w:rPr>
                <w:rFonts w:ascii="宋体" w:hAnsi="宋体" w:cs="宋体" w:eastAsia="宋体" w:hint="default"/>
                <w:sz w:val="18"/>
                <w:szCs w:val="18"/>
              </w:rPr>
              <w:t>欣</w:t>
            </w:r>
            <w:r>
              <w:rPr>
                <w:rFonts w:ascii="Times New Roman" w:hAnsi="Times New Roman" w:cs="Times New Roman" w:eastAsia="Times New Roman" w:hint="default"/>
                <w:sz w:val="18"/>
                <w:szCs w:val="18"/>
              </w:rPr>
              <w:t>;</w:t>
            </w:r>
            <w:r>
              <w:rPr>
                <w:rFonts w:ascii="宋体" w:hAnsi="宋体" w:cs="宋体" w:eastAsia="宋体" w:hint="default"/>
                <w:sz w:val="18"/>
                <w:szCs w:val="18"/>
              </w:rPr>
              <w:t>丰德香</w:t>
            </w:r>
            <w:r>
              <w:rPr>
                <w:rFonts w:ascii="Times New Roman" w:hAnsi="Times New Roman" w:cs="Times New Roman" w:eastAsia="Times New Roman" w:hint="default"/>
                <w:sz w:val="18"/>
                <w:szCs w:val="18"/>
              </w:rPr>
              <w:t>;</w:t>
            </w:r>
            <w:r>
              <w:rPr>
                <w:rFonts w:ascii="宋体" w:hAnsi="宋体" w:cs="宋体" w:eastAsia="宋体" w:hint="default"/>
                <w:sz w:val="18"/>
                <w:szCs w:val="18"/>
              </w:rPr>
              <w:t>胡 琳</w:t>
            </w:r>
            <w:r>
              <w:rPr>
                <w:rFonts w:ascii="Times New Roman" w:hAnsi="Times New Roman" w:cs="Times New Roman" w:eastAsia="Times New Roman" w:hint="default"/>
                <w:sz w:val="18"/>
                <w:szCs w:val="18"/>
              </w:rPr>
              <w:t>;</w:t>
            </w:r>
            <w:r>
              <w:rPr>
                <w:rFonts w:ascii="宋体" w:hAnsi="宋体" w:cs="宋体" w:eastAsia="宋体" w:hint="default"/>
                <w:sz w:val="18"/>
                <w:szCs w:val="18"/>
              </w:rPr>
              <w:t>蒋瑞妮</w:t>
            </w:r>
            <w:r>
              <w:rPr>
                <w:rFonts w:ascii="Times New Roman" w:hAnsi="Times New Roman" w:cs="Times New Roman" w:eastAsia="Times New Roman" w:hint="default"/>
                <w:sz w:val="18"/>
                <w:szCs w:val="18"/>
              </w:rPr>
              <w:t>;</w:t>
            </w:r>
            <w:r>
              <w:rPr>
                <w:rFonts w:ascii="宋体" w:hAnsi="宋体" w:cs="宋体" w:eastAsia="宋体" w:hint="default"/>
                <w:sz w:val="18"/>
                <w:szCs w:val="18"/>
              </w:rPr>
              <w:t>李 菁</w:t>
            </w:r>
            <w:r>
              <w:rPr>
                <w:rFonts w:ascii="Times New Roman" w:hAnsi="Times New Roman" w:cs="Times New Roman" w:eastAsia="Times New Roman" w:hint="default"/>
                <w:sz w:val="18"/>
                <w:szCs w:val="18"/>
              </w:rPr>
              <w:t>;</w:t>
            </w:r>
            <w:r>
              <w:rPr>
                <w:rFonts w:ascii="宋体" w:hAnsi="宋体" w:cs="宋体" w:eastAsia="宋体" w:hint="default"/>
                <w:sz w:val="18"/>
                <w:szCs w:val="18"/>
              </w:rPr>
              <w:t>王春华</w:t>
            </w:r>
            <w:r>
              <w:rPr>
                <w:rFonts w:ascii="Times New Roman" w:hAnsi="Times New Roman" w:cs="Times New Roman" w:eastAsia="Times New Roman" w:hint="default"/>
                <w:sz w:val="18"/>
                <w:szCs w:val="18"/>
              </w:rPr>
              <w:t>;</w:t>
            </w:r>
            <w:r>
              <w:rPr>
                <w:rFonts w:ascii="宋体" w:hAnsi="宋体" w:cs="宋体" w:eastAsia="宋体" w:hint="default"/>
                <w:sz w:val="18"/>
                <w:szCs w:val="18"/>
              </w:rPr>
              <w:t>文喜 锋</w:t>
            </w:r>
            <w:r>
              <w:rPr>
                <w:rFonts w:ascii="Times New Roman" w:hAnsi="Times New Roman" w:cs="Times New Roman" w:eastAsia="Times New Roman" w:hint="default"/>
                <w:sz w:val="18"/>
                <w:szCs w:val="18"/>
              </w:rPr>
              <w:t>;</w:t>
            </w:r>
            <w:r>
              <w:rPr>
                <w:rFonts w:ascii="宋体" w:hAnsi="宋体" w:cs="宋体" w:eastAsia="宋体" w:hint="default"/>
                <w:sz w:val="18"/>
                <w:szCs w:val="18"/>
              </w:rPr>
              <w:t>吴珠杨</w:t>
            </w:r>
            <w:r>
              <w:rPr>
                <w:rFonts w:ascii="Times New Roman" w:hAnsi="Times New Roman" w:cs="Times New Roman" w:eastAsia="Times New Roman" w:hint="default"/>
                <w:sz w:val="18"/>
                <w:szCs w:val="18"/>
              </w:rPr>
              <w:t>;</w:t>
            </w:r>
            <w:r>
              <w:rPr>
                <w:rFonts w:ascii="宋体" w:hAnsi="宋体" w:cs="宋体" w:eastAsia="宋体" w:hint="default"/>
                <w:sz w:val="18"/>
                <w:szCs w:val="18"/>
              </w:rPr>
              <w:t>叶丽 君</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3" w:right="29"/>
              <w:jc w:val="left"/>
              <w:rPr>
                <w:rFonts w:ascii="宋体" w:hAnsi="宋体" w:cs="宋体" w:eastAsia="宋体" w:hint="default"/>
                <w:sz w:val="18"/>
                <w:szCs w:val="18"/>
              </w:rPr>
            </w:pPr>
            <w:r>
              <w:rPr>
                <w:rFonts w:ascii="宋体" w:hAnsi="宋体" w:cs="宋体" w:eastAsia="宋体" w:hint="default"/>
                <w:sz w:val="18"/>
                <w:szCs w:val="18"/>
              </w:rPr>
              <w:t>关于 同业 竞 争、 关联 交 易、 资金 占用 方面 的承 诺</w:t>
            </w:r>
          </w:p>
        </w:tc>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、关于减少和规范关联交易的承诺：本人及本人控制的全资子公司、控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股子公司或本人拥有实际控制权的其他公司将尽量避免、减少与上市公 司之间的关联交易，不会利用拥有的上市公司股东权利、实际控制能力 或其他其他影响力操纵、指使上市公司或者上市公司董事、监事、高级 管理人员，使得上市公司以不公平的条件，提供或者接受资金、商品、 服务或者其他资产，或从事任何损害上市公司利益的行为。本人及本人 控制的全资子公司、控股子公司或本人拥有实际控制权的其他公司若有</w:t>
            </w:r>
            <w:r>
              <w:rPr>
                <w:rFonts w:ascii="宋体" w:hAnsi="宋体" w:cs="宋体" w:eastAsia="宋体" w:hint="default"/>
                <w:sz w:val="18"/>
                <w:szCs w:val="18"/>
              </w:rPr>
              <w:t> 合理原因而无法避免的与上市公司进行关联交易时，均将遵循平等、自 愿、等价、有偿的原则，保证交易公平、公允，维护上市公司的合法权 益，并根据法律、行政法规、中国证监会及证券交易所的有关要求和上 市公司章程的相关规定，履行相应的审议程序并及时予以披露。本人将 严格遵守和执行相关法律、法规及上市公司关联交易管理制度的各项规 定，如有违反本承诺或相关规定而给上市公司造成损失的，将依法承担 </w:t>
            </w:r>
            <w:r>
              <w:rPr>
                <w:rFonts w:ascii="宋体" w:hAnsi="宋体" w:cs="宋体" w:eastAsia="宋体" w:hint="default"/>
                <w:spacing w:val="-2"/>
                <w:sz w:val="18"/>
                <w:szCs w:val="18"/>
              </w:rPr>
              <w:t>相应责任，赔偿上市公司因此而遭受的损失。</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、关于避免同业竞争的承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诺：本人及本人所实际控制的其他企业没有从事与上市公司及其附属公</w:t>
            </w:r>
            <w:r>
              <w:rPr>
                <w:rFonts w:ascii="宋体" w:hAnsi="宋体" w:cs="宋体" w:eastAsia="宋体" w:hint="default"/>
                <w:sz w:val="18"/>
                <w:szCs w:val="18"/>
              </w:rPr>
              <w:t> 司或标的公司所从事的主营业务构成实质性竞争业务；在本次交易完成 后，本人及本人控制的全资子公司、控股子公司或本人拥有实际控制权 的其他公司将不会从事任何与上市公司及其附属公司目前或未来所从事 的业务发生或可能发生竞争的业务。如本人及本人控制的全资子公司、 控股子公司或本人拥有实际控制权的其他公司现有经营活动可能在将来 与上市公司及其附属公司发生同业竞争或与上市公司发生利益冲突，本 人将放弃或将促使本人控制之全资子公司、控股子公司或本人拥有实际 控制权的其他公司无条件放弃可能发生同业竞争的业务，或将本人控制 之全资子公司、控股子公司或本人拥有实际控制权的其他公司以公平、 公允的市场价格，在适当时机全部注入上市公司或转让给其他无关联关 系第三方。如有违反上述承诺或相关法律、法规而给上市公司造成损失 的，本人将依法承担相应责任，赔偿上市公司因此遭受的一切损失。</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4" w:lineRule="auto"/>
              <w:ind w:left="23" w:right="170"/>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承诺 人严 格遵 守了 该项 承诺</w:t>
            </w:r>
          </w:p>
        </w:tc>
      </w:tr>
      <w:tr>
        <w:trPr>
          <w:trHeight w:val="4148" w:hRule="exact"/>
        </w:trPr>
        <w:tc>
          <w:tcPr>
            <w:tcW w:w="566"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62" w:lineRule="auto"/>
              <w:ind w:left="23" w:right="403"/>
              <w:jc w:val="left"/>
              <w:rPr>
                <w:rFonts w:ascii="Times New Roman" w:hAnsi="Times New Roman" w:cs="Times New Roman" w:eastAsia="Times New Roman" w:hint="default"/>
                <w:sz w:val="18"/>
                <w:szCs w:val="18"/>
              </w:rPr>
            </w:pPr>
            <w:r>
              <w:rPr>
                <w:rFonts w:ascii="Times New Roman"/>
                <w:sz w:val="18"/>
              </w:rPr>
              <w:t>GUO</w:t>
            </w:r>
            <w:r>
              <w:rPr>
                <w:rFonts w:ascii="Times New Roman"/>
                <w:w w:val="99"/>
                <w:sz w:val="18"/>
              </w:rPr>
              <w:t> </w:t>
            </w:r>
            <w:r>
              <w:rPr>
                <w:rFonts w:ascii="Times New Roman"/>
                <w:sz w:val="18"/>
              </w:rPr>
              <w:t>SONG;LIU</w:t>
            </w:r>
          </w:p>
          <w:p>
            <w:pPr>
              <w:pStyle w:val="TableParagraph"/>
              <w:spacing w:line="21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DAN;</w:t>
            </w:r>
            <w:r>
              <w:rPr>
                <w:rFonts w:ascii="宋体" w:hAnsi="宋体" w:cs="宋体" w:eastAsia="宋体" w:hint="default"/>
                <w:sz w:val="18"/>
                <w:szCs w:val="18"/>
              </w:rPr>
              <w:t>高海军</w:t>
            </w:r>
            <w:r>
              <w:rPr>
                <w:rFonts w:ascii="Times New Roman" w:hAnsi="Times New Roman" w:cs="Times New Roman" w:eastAsia="Times New Roman" w:hint="default"/>
                <w:sz w:val="18"/>
                <w:szCs w:val="18"/>
              </w:rPr>
              <w:t>;</w:t>
            </w:r>
            <w:r>
              <w:rPr>
                <w:rFonts w:ascii="宋体" w:hAnsi="宋体" w:cs="宋体" w:eastAsia="宋体" w:hint="default"/>
                <w:sz w:val="18"/>
                <w:szCs w:val="18"/>
              </w:rPr>
              <w:t>郭</w:t>
            </w:r>
          </w:p>
          <w:p>
            <w:pPr>
              <w:pStyle w:val="TableParagraph"/>
              <w:spacing w:line="300" w:lineRule="auto" w:before="63"/>
              <w:ind w:left="23" w:right="60"/>
              <w:jc w:val="left"/>
              <w:rPr>
                <w:rFonts w:ascii="宋体" w:hAnsi="宋体" w:cs="宋体" w:eastAsia="宋体" w:hint="default"/>
                <w:sz w:val="18"/>
                <w:szCs w:val="18"/>
              </w:rPr>
            </w:pPr>
            <w:r>
              <w:rPr>
                <w:rFonts w:ascii="宋体" w:hAnsi="宋体" w:cs="宋体" w:eastAsia="宋体" w:hint="default"/>
                <w:sz w:val="18"/>
                <w:szCs w:val="18"/>
              </w:rPr>
              <w:t>雳</w:t>
            </w:r>
            <w:r>
              <w:rPr>
                <w:rFonts w:ascii="Times New Roman" w:hAnsi="Times New Roman" w:cs="Times New Roman" w:eastAsia="Times New Roman" w:hint="default"/>
                <w:sz w:val="18"/>
                <w:szCs w:val="18"/>
              </w:rPr>
              <w:t>;</w:t>
            </w:r>
            <w:r>
              <w:rPr>
                <w:rFonts w:ascii="宋体" w:hAnsi="宋体" w:cs="宋体" w:eastAsia="宋体" w:hint="default"/>
                <w:sz w:val="18"/>
                <w:szCs w:val="18"/>
              </w:rPr>
              <w:t>刘镇</w:t>
            </w:r>
            <w:r>
              <w:rPr>
                <w:rFonts w:ascii="Times New Roman" w:hAnsi="Times New Roman" w:cs="Times New Roman" w:eastAsia="Times New Roman" w:hint="default"/>
                <w:sz w:val="18"/>
                <w:szCs w:val="18"/>
              </w:rPr>
              <w:t>;</w:t>
            </w:r>
            <w:r>
              <w:rPr>
                <w:rFonts w:ascii="宋体" w:hAnsi="宋体" w:cs="宋体" w:eastAsia="宋体" w:hint="default"/>
                <w:sz w:val="18"/>
                <w:szCs w:val="18"/>
              </w:rPr>
              <w:t>申成 文</w:t>
            </w:r>
            <w:r>
              <w:rPr>
                <w:rFonts w:ascii="Times New Roman" w:hAnsi="Times New Roman" w:cs="Times New Roman" w:eastAsia="Times New Roman" w:hint="default"/>
                <w:sz w:val="18"/>
                <w:szCs w:val="18"/>
              </w:rPr>
              <w:t>;</w:t>
            </w:r>
            <w:r>
              <w:rPr>
                <w:rFonts w:ascii="宋体" w:hAnsi="宋体" w:cs="宋体" w:eastAsia="宋体" w:hint="default"/>
                <w:sz w:val="18"/>
                <w:szCs w:val="18"/>
              </w:rPr>
              <w:t>仝文定</w:t>
            </w:r>
            <w:r>
              <w:rPr>
                <w:rFonts w:ascii="Times New Roman" w:hAnsi="Times New Roman" w:cs="Times New Roman" w:eastAsia="Times New Roman" w:hint="default"/>
                <w:sz w:val="18"/>
                <w:szCs w:val="18"/>
              </w:rPr>
              <w:t>;</w:t>
            </w:r>
            <w:r>
              <w:rPr>
                <w:rFonts w:ascii="宋体" w:hAnsi="宋体" w:cs="宋体" w:eastAsia="宋体" w:hint="default"/>
                <w:sz w:val="18"/>
                <w:szCs w:val="18"/>
              </w:rPr>
              <w:t>万 波</w:t>
            </w:r>
            <w:r>
              <w:rPr>
                <w:rFonts w:ascii="Times New Roman" w:hAnsi="Times New Roman" w:cs="Times New Roman" w:eastAsia="Times New Roman" w:hint="default"/>
                <w:sz w:val="18"/>
                <w:szCs w:val="18"/>
              </w:rPr>
              <w:t>;</w:t>
            </w:r>
            <w:r>
              <w:rPr>
                <w:rFonts w:ascii="宋体" w:hAnsi="宋体" w:cs="宋体" w:eastAsia="宋体" w:hint="default"/>
                <w:sz w:val="18"/>
                <w:szCs w:val="18"/>
              </w:rPr>
              <w:t>王仁东</w:t>
            </w:r>
            <w:r>
              <w:rPr>
                <w:rFonts w:ascii="Times New Roman" w:hAnsi="Times New Roman" w:cs="Times New Roman" w:eastAsia="Times New Roman" w:hint="default"/>
                <w:sz w:val="18"/>
                <w:szCs w:val="18"/>
              </w:rPr>
              <w:t>;</w:t>
            </w:r>
            <w:r>
              <w:rPr>
                <w:rFonts w:ascii="宋体" w:hAnsi="宋体" w:cs="宋体" w:eastAsia="宋体" w:hint="default"/>
                <w:sz w:val="18"/>
                <w:szCs w:val="18"/>
              </w:rPr>
              <w:t>徐先 达</w:t>
            </w:r>
            <w:r>
              <w:rPr>
                <w:rFonts w:ascii="Times New Roman" w:hAnsi="Times New Roman" w:cs="Times New Roman" w:eastAsia="Times New Roman" w:hint="default"/>
                <w:sz w:val="18"/>
                <w:szCs w:val="18"/>
              </w:rPr>
              <w:t>;</w:t>
            </w:r>
            <w:r>
              <w:rPr>
                <w:rFonts w:ascii="宋体" w:hAnsi="宋体" w:cs="宋体" w:eastAsia="宋体" w:hint="default"/>
                <w:sz w:val="18"/>
                <w:szCs w:val="18"/>
              </w:rPr>
              <w:t>张晔</w:t>
            </w:r>
            <w:r>
              <w:rPr>
                <w:rFonts w:ascii="Times New Roman" w:hAnsi="Times New Roman" w:cs="Times New Roman" w:eastAsia="Times New Roman" w:hint="default"/>
                <w:sz w:val="18"/>
                <w:szCs w:val="18"/>
              </w:rPr>
              <w:t>;</w:t>
            </w:r>
            <w:r>
              <w:rPr>
                <w:rFonts w:ascii="宋体" w:hAnsi="宋体" w:cs="宋体" w:eastAsia="宋体" w:hint="default"/>
                <w:sz w:val="18"/>
                <w:szCs w:val="18"/>
              </w:rPr>
              <w:t>张玉洁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29"/>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2"/>
              <w:jc w:val="both"/>
              <w:rPr>
                <w:rFonts w:ascii="宋体" w:hAnsi="宋体" w:cs="宋体" w:eastAsia="宋体" w:hint="default"/>
                <w:sz w:val="18"/>
                <w:szCs w:val="18"/>
              </w:rPr>
            </w:pPr>
            <w:r>
              <w:rPr>
                <w:rFonts w:ascii="宋体" w:hAnsi="宋体" w:cs="宋体" w:eastAsia="宋体" w:hint="default"/>
                <w:spacing w:val="-2"/>
                <w:sz w:val="18"/>
                <w:szCs w:val="18"/>
              </w:rPr>
              <w:t>关于本次重组摊薄即期回报采取填补措施的承诺：</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、承诺不无偿或以不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公平条件向其他单位或者个人输送利益，也不采用其他方式损害公司利 益。</w:t>
            </w:r>
            <w:r>
              <w:rPr>
                <w:rFonts w:ascii="Times New Roman" w:hAnsi="Times New Roman" w:cs="Times New Roman" w:eastAsia="Times New Roman" w:hint="default"/>
                <w:sz w:val="18"/>
                <w:szCs w:val="18"/>
              </w:rPr>
              <w:t>2</w:t>
            </w:r>
            <w:r>
              <w:rPr>
                <w:rFonts w:ascii="宋体" w:hAnsi="宋体" w:cs="宋体" w:eastAsia="宋体" w:hint="default"/>
                <w:sz w:val="18"/>
                <w:szCs w:val="18"/>
              </w:rPr>
              <w:t>、承诺对本人的职务消费行为进行约束。</w:t>
            </w:r>
            <w:r>
              <w:rPr>
                <w:rFonts w:ascii="Times New Roman" w:hAnsi="Times New Roman" w:cs="Times New Roman" w:eastAsia="Times New Roman" w:hint="default"/>
                <w:sz w:val="18"/>
                <w:szCs w:val="18"/>
              </w:rPr>
              <w:t>3</w:t>
            </w:r>
            <w:r>
              <w:rPr>
                <w:rFonts w:ascii="宋体" w:hAnsi="宋体" w:cs="宋体" w:eastAsia="宋体" w:hint="default"/>
                <w:sz w:val="18"/>
                <w:szCs w:val="18"/>
              </w:rPr>
              <w:t>、承诺不动用上市公司 </w:t>
            </w:r>
            <w:r>
              <w:rPr>
                <w:rFonts w:ascii="宋体" w:hAnsi="宋体" w:cs="宋体" w:eastAsia="宋体" w:hint="default"/>
                <w:spacing w:val="-2"/>
                <w:sz w:val="18"/>
                <w:szCs w:val="18"/>
              </w:rPr>
              <w:t>资产从事与其履行职责无关的投资、消费活动。</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、承诺在本人合法权限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范围内，促使由董事会或薪酬委员会制定的薪酬制度与上市公司填补回 </w:t>
            </w:r>
            <w:r>
              <w:rPr>
                <w:rFonts w:ascii="宋体" w:hAnsi="宋体" w:cs="宋体" w:eastAsia="宋体" w:hint="default"/>
                <w:spacing w:val="-2"/>
                <w:sz w:val="18"/>
                <w:szCs w:val="18"/>
              </w:rPr>
              <w:t>报措施的执行情况相挂钩。</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、如上市公司拟后续实施股权激励，承诺在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本人合法权限范围内，促使拟公布的上市公司股权激励的行权条件与公 司填补回报措施的执行情况相挂钩。本人承诺严格履行本人所作出的上 述承诺事项，确保上市公司填补回报措施能够得到切实履行。如本人违 反所作出的上述承诺或拒不履行上述承诺，本人将按照相关规定履行解</w:t>
            </w:r>
            <w:r>
              <w:rPr>
                <w:rFonts w:ascii="宋体" w:hAnsi="宋体" w:cs="宋体" w:eastAsia="宋体" w:hint="default"/>
                <w:sz w:val="18"/>
                <w:szCs w:val="18"/>
              </w:rPr>
              <w:t> 释、道歉等相应义务，并同意中国证券监督管理委员会、深圳证券交易 所依法作出的监管措施或自律监管措施；因此给上市公司或者股东造成 损失的，本人愿意依法承担相应补偿责任。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170"/>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3" w:right="98"/>
              <w:jc w:val="both"/>
              <w:rPr>
                <w:rFonts w:ascii="宋体" w:hAnsi="宋体" w:cs="宋体" w:eastAsia="宋体" w:hint="default"/>
                <w:sz w:val="18"/>
                <w:szCs w:val="18"/>
              </w:rPr>
            </w:pPr>
            <w:r>
              <w:rPr>
                <w:rFonts w:ascii="宋体" w:hAnsi="宋体" w:cs="宋体" w:eastAsia="宋体" w:hint="default"/>
                <w:sz w:val="18"/>
                <w:szCs w:val="18"/>
              </w:rPr>
              <w:t>承诺 人严 格遵 守了 该项 承诺</w:t>
            </w:r>
          </w:p>
        </w:tc>
      </w:tr>
    </w:tbl>
    <w:p>
      <w:pPr>
        <w:spacing w:after="0" w:line="319"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85.757996pt;margin-top:268.72998pt;width:196.05pt;height:93.6pt;mso-position-horizontal-relative:page;mso-position-vertical-relative:page;z-index:-12211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60"/>
                    <w:ind w:left="0" w:right="0"/>
                    <w:jc w:val="left"/>
                  </w:pPr>
                  <w:r>
                    <w:rPr/>
                    <w:t>核准发行人本次公开发行股票并上市事项，</w:t>
                  </w:r>
                </w:p>
              </w:txbxContent>
            </v:textbox>
            <w10:wrap type="none"/>
          </v:shape>
        </w:pict>
      </w:r>
      <w:r>
        <w:rPr/>
        <w:pict>
          <v:group style="position:absolute;margin-left:453.940002pt;margin-top:221.42598pt;width:27.85pt;height:140.950pt;mso-position-horizontal-relative:page;mso-position-vertical-relative:page;z-index:-1221160" coordorigin="9079,4429" coordsize="557,2819">
            <v:group style="position:absolute;left:9079;top:4429;width:557;height:937" coordorigin="9079,4429" coordsize="557,937">
              <v:shape style="position:absolute;left:9079;top:4429;width:557;height:937" coordorigin="9079,4429" coordsize="557,937" path="m9079,5365l9636,5365,9636,4429,9079,4429,9079,5365xe" filled="true" fillcolor="#ffffff" stroked="false">
                <v:path arrowok="t"/>
                <v:fill type="solid"/>
              </v:shape>
            </v:group>
            <v:group style="position:absolute;left:9079;top:5375;width:557;height:1872" coordorigin="9079,5375" coordsize="557,1872">
              <v:shape style="position:absolute;left:9079;top:5375;width:557;height:1872" coordorigin="9079,5375" coordsize="557,1872" path="m9079,7247l9636,7247,9636,5375,9079,5375,9079,7247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66"/>
        <w:gridCol w:w="1277"/>
        <w:gridCol w:w="425"/>
        <w:gridCol w:w="5673"/>
        <w:gridCol w:w="566"/>
        <w:gridCol w:w="566"/>
        <w:gridCol w:w="494"/>
      </w:tblGrid>
      <w:tr>
        <w:trPr>
          <w:trHeight w:val="161" w:hRule="exact"/>
        </w:trPr>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97" w:right="96"/>
              <w:jc w:val="left"/>
              <w:rPr>
                <w:rFonts w:ascii="宋体" w:hAnsi="宋体" w:cs="宋体" w:eastAsia="宋体" w:hint="default"/>
                <w:sz w:val="18"/>
                <w:szCs w:val="18"/>
              </w:rPr>
            </w:pPr>
            <w:r>
              <w:rPr>
                <w:rFonts w:ascii="宋体" w:hAnsi="宋体" w:cs="宋体" w:eastAsia="宋体" w:hint="default"/>
                <w:sz w:val="18"/>
                <w:szCs w:val="18"/>
              </w:rPr>
              <w:t>承诺 来源</w:t>
            </w: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5673"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4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62" w:right="60"/>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92" w:hRule="exact"/>
        </w:trPr>
        <w:tc>
          <w:tcPr>
            <w:tcW w:w="566"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425" w:type="dxa"/>
            <w:vMerge/>
            <w:tcBorders>
              <w:left w:val="single" w:sz="4" w:space="0" w:color="000000"/>
              <w:right w:val="single" w:sz="4" w:space="0" w:color="000000"/>
            </w:tcBorders>
            <w:shd w:val="clear" w:color="auto" w:fill="D2D2D2"/>
          </w:tcPr>
          <w:p>
            <w:pPr/>
          </w:p>
        </w:tc>
        <w:tc>
          <w:tcPr>
            <w:tcW w:w="56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6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r>
      <w:tr>
        <w:trPr>
          <w:trHeight w:val="161" w:hRule="exact"/>
        </w:trPr>
        <w:tc>
          <w:tcPr>
            <w:tcW w:w="566"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5673"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r>
      <w:tr>
        <w:trPr>
          <w:trHeight w:val="3212" w:hRule="exact"/>
        </w:trPr>
        <w:tc>
          <w:tcPr>
            <w:tcW w:w="566" w:type="dxa"/>
            <w:vMerge w:val="restart"/>
            <w:tcBorders>
              <w:top w:val="single" w:sz="4" w:space="0" w:color="000000"/>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60" w:lineRule="auto"/>
              <w:ind w:left="23" w:right="223"/>
              <w:jc w:val="left"/>
              <w:rPr>
                <w:rFonts w:ascii="Times New Roman" w:hAnsi="Times New Roman" w:cs="Times New Roman" w:eastAsia="Times New Roman" w:hint="default"/>
                <w:sz w:val="18"/>
                <w:szCs w:val="18"/>
              </w:rPr>
            </w:pPr>
            <w:r>
              <w:rPr>
                <w:rFonts w:ascii="Times New Roman"/>
                <w:sz w:val="18"/>
              </w:rPr>
              <w:t>CHEN</w:t>
            </w:r>
            <w:r>
              <w:rPr>
                <w:rFonts w:ascii="Times New Roman"/>
                <w:w w:val="99"/>
                <w:sz w:val="18"/>
              </w:rPr>
              <w:t> </w:t>
            </w:r>
            <w:r>
              <w:rPr>
                <w:rFonts w:ascii="Times New Roman"/>
                <w:sz w:val="18"/>
              </w:rPr>
              <w:t>YIHAN;GUO</w:t>
            </w:r>
            <w:r>
              <w:rPr>
                <w:rFonts w:ascii="Times New Roman"/>
                <w:w w:val="99"/>
                <w:sz w:val="18"/>
              </w:rPr>
              <w:t> </w:t>
            </w:r>
            <w:r>
              <w:rPr>
                <w:rFonts w:ascii="Times New Roman"/>
                <w:sz w:val="18"/>
              </w:rPr>
              <w:t>SONG;LIU</w:t>
            </w:r>
            <w:r>
              <w:rPr>
                <w:rFonts w:ascii="Times New Roman"/>
                <w:w w:val="99"/>
                <w:sz w:val="18"/>
              </w:rPr>
              <w:t> </w:t>
            </w:r>
            <w:r>
              <w:rPr>
                <w:rFonts w:ascii="Times New Roman"/>
                <w:sz w:val="18"/>
              </w:rPr>
              <w:t>DAN</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3" w:right="29"/>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本人作为深圳市优博讯科技股份有限公司（以下简称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）实际控制 </w:t>
            </w:r>
            <w:r>
              <w:rPr>
                <w:rFonts w:ascii="宋体" w:hAnsi="宋体" w:cs="宋体" w:eastAsia="宋体" w:hint="default"/>
                <w:spacing w:val="-3"/>
                <w:sz w:val="18"/>
                <w:szCs w:val="18"/>
              </w:rPr>
              <w:t>人承诺：自公司股票上市之日起</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个月内，不转让或者委托他人管理本 人直接或间接持有的公司本次发行前已发行的股份，也不由公司回购本 人直接或间接其持有的公司本次发行前已发行的股份。除前锁定期外， 在担任公司董事、监事或高级管理人员期间，每年转让的股份不超过本 人所持有公司股份总数的百分之二十五。离职后六个月内，不转让本人 直接或间接持有的公司股份。本人若在首次公开发行股票上市之日起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p>
          <w:p>
            <w:pPr>
              <w:pStyle w:val="TableParagraph"/>
              <w:spacing w:line="240" w:lineRule="auto" w:before="3"/>
              <w:ind w:left="23" w:right="0"/>
              <w:jc w:val="both"/>
              <w:rPr>
                <w:rFonts w:ascii="宋体" w:hAnsi="宋体" w:cs="宋体" w:eastAsia="宋体" w:hint="default"/>
                <w:sz w:val="18"/>
                <w:szCs w:val="18"/>
              </w:rPr>
            </w:pPr>
            <w:r>
              <w:rPr>
                <w:rFonts w:ascii="宋体" w:hAnsi="宋体" w:cs="宋体" w:eastAsia="宋体" w:hint="default"/>
                <w:sz w:val="18"/>
                <w:szCs w:val="18"/>
              </w:rPr>
              <w:t>个月内申报离职，自申报离职之日起</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个月内不转让直接持有的股份；</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若在首次公开发行股票上市之日起第 </w:t>
            </w:r>
            <w:r>
              <w:rPr>
                <w:rFonts w:ascii="Times New Roman" w:hAnsi="Times New Roman" w:cs="Times New Roman" w:eastAsia="Times New Roman" w:hint="default"/>
                <w:sz w:val="18"/>
                <w:szCs w:val="18"/>
              </w:rPr>
              <w:t>7 </w:t>
            </w:r>
            <w:r>
              <w:rPr>
                <w:rFonts w:ascii="宋体" w:hAnsi="宋体" w:cs="宋体" w:eastAsia="宋体" w:hint="default"/>
                <w:sz w:val="18"/>
                <w:szCs w:val="18"/>
              </w:rPr>
              <w:t>个月至第</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个月之间申报离职，</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自申报离职之日起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个月内不转让直接持有的股份。</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承诺 人严 格遵 守了 该项 承诺</w:t>
            </w:r>
          </w:p>
        </w:tc>
      </w:tr>
      <w:tr>
        <w:trPr>
          <w:trHeight w:val="1565" w:hRule="exact"/>
        </w:trPr>
        <w:tc>
          <w:tcPr>
            <w:tcW w:w="566"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16" w:right="161"/>
              <w:jc w:val="both"/>
              <w:rPr>
                <w:rFonts w:ascii="宋体" w:hAnsi="宋体" w:cs="宋体" w:eastAsia="宋体" w:hint="default"/>
                <w:sz w:val="18"/>
                <w:szCs w:val="18"/>
              </w:rPr>
            </w:pPr>
            <w:r>
              <w:rPr>
                <w:rFonts w:ascii="宋体" w:hAnsi="宋体" w:cs="宋体" w:eastAsia="宋体" w:hint="default"/>
                <w:sz w:val="18"/>
                <w:szCs w:val="18"/>
              </w:rPr>
              <w:t>香港优博讯科 技控股集团有 限公司</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5673" w:type="dxa"/>
            <w:vMerge w:val="restart"/>
            <w:tcBorders>
              <w:top w:val="single" w:sz="4" w:space="0" w:color="000000"/>
              <w:left w:val="single" w:sz="4" w:space="0" w:color="000000"/>
              <w:right w:val="single" w:sz="10" w:space="0" w:color="FFFFFF"/>
            </w:tcBorders>
          </w:tcPr>
          <w:p>
            <w:pPr>
              <w:pStyle w:val="TableParagraph"/>
              <w:spacing w:line="312"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关于所持深圳市优博讯科技股份有限公司股份流通限制及自愿锁定的承 诺书</w:t>
            </w:r>
            <w:r>
              <w:rPr>
                <w:rFonts w:ascii="宋体" w:hAnsi="宋体" w:cs="宋体" w:eastAsia="宋体" w:hint="default"/>
                <w:spacing w:val="-20"/>
                <w:sz w:val="18"/>
                <w:szCs w:val="18"/>
              </w:rPr>
              <w:t> </w:t>
            </w:r>
            <w:r>
              <w:rPr>
                <w:rFonts w:ascii="宋体" w:hAnsi="宋体" w:cs="宋体" w:eastAsia="宋体" w:hint="default"/>
                <w:sz w:val="18"/>
                <w:szCs w:val="18"/>
              </w:rPr>
              <w:t>深圳市优博讯科技股份有限公司（以下简称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发行人</w:t>
            </w:r>
            <w:r>
              <w:rPr>
                <w:rFonts w:ascii="Times New Roman" w:hAnsi="Times New Roman" w:cs="Times New Roman" w:eastAsia="Times New Roman" w:hint="default"/>
                <w:sz w:val="18"/>
                <w:szCs w:val="18"/>
              </w:rPr>
              <w:t>”</w:t>
            </w:r>
            <w:r>
              <w:rPr>
                <w:rFonts w:ascii="宋体" w:hAnsi="宋体" w:cs="宋体" w:eastAsia="宋体" w:hint="default"/>
                <w:sz w:val="18"/>
                <w:szCs w:val="18"/>
              </w:rPr>
              <w:t>）拟申请首次 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股）股票并在创业板上市（以下简称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本次发 </w:t>
            </w:r>
            <w:r>
              <w:rPr>
                <w:rFonts w:ascii="宋体" w:hAnsi="宋体" w:cs="宋体" w:eastAsia="宋体" w:hint="default"/>
                <w:spacing w:val="-3"/>
                <w:w w:val="100"/>
                <w:sz w:val="18"/>
                <w:szCs w:val="18"/>
              </w:rPr>
              <w:t>行</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），本公司为发行人的第一大股东。本公司就所持有的发行人首次公</w:t>
            </w:r>
            <w:r>
              <w:rPr>
                <w:rFonts w:ascii="宋体" w:hAnsi="宋体" w:cs="宋体" w:eastAsia="宋体" w:hint="default"/>
                <w:spacing w:val="-86"/>
                <w:w w:val="100"/>
                <w:sz w:val="18"/>
                <w:szCs w:val="18"/>
              </w:rPr>
              <w:t> </w:t>
            </w:r>
            <w:r>
              <w:rPr>
                <w:rFonts w:ascii="宋体" w:hAnsi="宋体" w:cs="宋体" w:eastAsia="宋体" w:hint="default"/>
                <w:spacing w:val="-86"/>
                <w:w w:val="100"/>
                <w:sz w:val="18"/>
                <w:szCs w:val="18"/>
              </w:rPr>
            </w:r>
            <w:r>
              <w:rPr>
                <w:rFonts w:ascii="宋体" w:hAnsi="宋体" w:cs="宋体" w:eastAsia="宋体" w:hint="default"/>
                <w:sz w:val="18"/>
                <w:szCs w:val="18"/>
              </w:rPr>
              <w:t>开发行并在创业板上市后股份的流通限制及自愿锁定事宜，进一步承诺 </w:t>
            </w:r>
            <w:r>
              <w:rPr>
                <w:rFonts w:ascii="宋体" w:hAnsi="宋体" w:cs="宋体" w:eastAsia="宋体" w:hint="default"/>
                <w:spacing w:val="-5"/>
                <w:sz w:val="18"/>
                <w:szCs w:val="18"/>
              </w:rPr>
              <w:t>如下：一、如果证券监管部门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发行人股票在证券交易所上市，自发行人股票上市之日起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7"/>
                <w:sz w:val="18"/>
                <w:szCs w:val="18"/>
              </w:rPr>
              <w:t> </w:t>
            </w:r>
            <w:r>
              <w:rPr>
                <w:rFonts w:ascii="宋体" w:hAnsi="宋体" w:cs="宋体" w:eastAsia="宋体" w:hint="default"/>
                <w:spacing w:val="-12"/>
                <w:sz w:val="18"/>
                <w:szCs w:val="18"/>
              </w:rPr>
              <w:t>个月内，本</w:t>
            </w:r>
            <w:r>
              <w:rPr>
                <w:rFonts w:ascii="宋体" w:hAnsi="宋体" w:cs="宋体" w:eastAsia="宋体" w:hint="default"/>
                <w:spacing w:val="-29"/>
                <w:sz w:val="18"/>
                <w:szCs w:val="18"/>
              </w:rPr>
              <w:t> </w:t>
            </w:r>
            <w:r>
              <w:rPr>
                <w:rFonts w:ascii="宋体" w:hAnsi="宋体" w:cs="宋体" w:eastAsia="宋体" w:hint="default"/>
                <w:sz w:val="18"/>
                <w:szCs w:val="18"/>
              </w:rPr>
              <w:t>公司不转让或者委托他人管理本公司直接或间接持有的发行人首次公开</w:t>
            </w:r>
            <w:r>
              <w:rPr>
                <w:rFonts w:ascii="宋体" w:hAnsi="宋体" w:cs="宋体" w:eastAsia="宋体" w:hint="default"/>
                <w:sz w:val="18"/>
                <w:szCs w:val="18"/>
              </w:rPr>
              <w:t> </w:t>
            </w:r>
            <w:r>
              <w:rPr>
                <w:rFonts w:ascii="宋体" w:hAnsi="宋体" w:cs="宋体" w:eastAsia="宋体" w:hint="default"/>
                <w:spacing w:val="-3"/>
                <w:sz w:val="18"/>
                <w:szCs w:val="18"/>
              </w:rPr>
              <w:t>发行股票前已发行的股份（本次公开发行股票中公开发售的股份除外），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也不由发行人回购本公司直接或间接持有的发行人首次公开发行股票前 </w:t>
            </w:r>
            <w:r>
              <w:rPr>
                <w:rFonts w:ascii="宋体" w:hAnsi="宋体" w:cs="宋体" w:eastAsia="宋体" w:hint="default"/>
                <w:spacing w:val="-5"/>
                <w:sz w:val="18"/>
                <w:szCs w:val="18"/>
              </w:rPr>
              <w:t>已发行的股份（本次公开发行股票中公开发售的股份除外）。二、如本公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司在上述锁定期满后两年内减持所持发行人股票的，减持价格不低于本 </w:t>
            </w:r>
            <w:r>
              <w:rPr>
                <w:rFonts w:ascii="宋体" w:hAnsi="宋体" w:cs="宋体" w:eastAsia="宋体" w:hint="default"/>
                <w:spacing w:val="-4"/>
                <w:sz w:val="18"/>
                <w:szCs w:val="18"/>
              </w:rPr>
              <w:t>次发行的发行价；发行人上市后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个月内如发行人股票连续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w:t>
            </w:r>
          </w:p>
          <w:p>
            <w:pPr>
              <w:pStyle w:val="TableParagraph"/>
              <w:spacing w:line="309" w:lineRule="auto" w:before="3"/>
              <w:ind w:left="23" w:right="48"/>
              <w:jc w:val="both"/>
              <w:rPr>
                <w:rFonts w:ascii="宋体" w:hAnsi="宋体" w:cs="宋体" w:eastAsia="宋体" w:hint="default"/>
                <w:sz w:val="18"/>
                <w:szCs w:val="18"/>
              </w:rPr>
            </w:pPr>
            <w:r>
              <w:rPr>
                <w:rFonts w:ascii="宋体" w:hAnsi="宋体" w:cs="宋体" w:eastAsia="宋体" w:hint="default"/>
                <w:sz w:val="18"/>
                <w:szCs w:val="18"/>
              </w:rPr>
              <w:t>的收盘价均低于本次发行的发行价，或者上市后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个月期末收盘价低于 本次发行的发行价，本公司持有的发行人股票将在上述锁定期限届满后 自动延长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个月的锁定期。</w:t>
            </w:r>
            <w:r>
              <w:rPr>
                <w:rFonts w:ascii="宋体" w:hAnsi="宋体" w:cs="宋体" w:eastAsia="宋体" w:hint="default"/>
                <w:spacing w:val="-46"/>
                <w:sz w:val="18"/>
                <w:szCs w:val="18"/>
              </w:rPr>
              <w:t> </w:t>
            </w:r>
            <w:r>
              <w:rPr>
                <w:rFonts w:ascii="宋体" w:hAnsi="宋体" w:cs="宋体" w:eastAsia="宋体" w:hint="default"/>
                <w:sz w:val="18"/>
                <w:szCs w:val="18"/>
              </w:rPr>
              <w:t>特此承诺。</w:t>
            </w:r>
          </w:p>
        </w:tc>
        <w:tc>
          <w:tcPr>
            <w:tcW w:w="566" w:type="dxa"/>
            <w:vMerge w:val="restart"/>
            <w:tcBorders>
              <w:top w:val="single" w:sz="4" w:space="0" w:color="000000"/>
              <w:left w:val="single" w:sz="10" w:space="0" w:color="FFFFFF"/>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98"/>
              <w:jc w:val="both"/>
              <w:rPr>
                <w:rFonts w:ascii="宋体" w:hAnsi="宋体" w:cs="宋体" w:eastAsia="宋体" w:hint="default"/>
                <w:sz w:val="18"/>
                <w:szCs w:val="18"/>
              </w:rPr>
            </w:pPr>
            <w:r>
              <w:rPr>
                <w:rFonts w:ascii="宋体" w:hAnsi="宋体" w:cs="宋体" w:eastAsia="宋体" w:hint="default"/>
                <w:sz w:val="18"/>
                <w:szCs w:val="18"/>
              </w:rPr>
              <w:t>承诺 人严 格遵 守了 该项 承诺</w:t>
            </w:r>
          </w:p>
        </w:tc>
      </w:tr>
      <w:tr>
        <w:trPr>
          <w:trHeight w:val="2576" w:hRule="exact"/>
        </w:trPr>
        <w:tc>
          <w:tcPr>
            <w:tcW w:w="5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2" w:right="171"/>
              <w:jc w:val="both"/>
              <w:rPr>
                <w:rFonts w:ascii="宋体" w:hAnsi="宋体" w:cs="宋体" w:eastAsia="宋体" w:hint="default"/>
                <w:sz w:val="18"/>
                <w:szCs w:val="18"/>
              </w:rPr>
            </w:pPr>
            <w:r>
              <w:rPr>
                <w:rFonts w:ascii="宋体" w:hAnsi="宋体" w:cs="宋体" w:eastAsia="宋体" w:hint="default"/>
                <w:sz w:val="18"/>
                <w:szCs w:val="18"/>
              </w:rPr>
              <w:t>首次 公开 发行 或再 融资 时所 作承 诺</w:t>
            </w:r>
          </w:p>
        </w:tc>
        <w:tc>
          <w:tcPr>
            <w:tcW w:w="1277" w:type="dxa"/>
            <w:vMerge/>
            <w:tcBorders>
              <w:left w:val="single" w:sz="10" w:space="0" w:color="D2D2D2"/>
              <w:right w:val="single" w:sz="4" w:space="0" w:color="000000"/>
            </w:tcBorders>
          </w:tcPr>
          <w:p>
            <w:pPr/>
          </w:p>
        </w:tc>
        <w:tc>
          <w:tcPr>
            <w:tcW w:w="425" w:type="dxa"/>
            <w:vMerge/>
            <w:tcBorders>
              <w:left w:val="single" w:sz="4" w:space="0" w:color="000000"/>
              <w:right w:val="single" w:sz="4" w:space="0" w:color="000000"/>
            </w:tcBorders>
          </w:tcPr>
          <w:p>
            <w:pPr/>
          </w:p>
        </w:tc>
        <w:tc>
          <w:tcPr>
            <w:tcW w:w="5673" w:type="dxa"/>
            <w:vMerge/>
            <w:tcBorders>
              <w:left w:val="single" w:sz="4" w:space="0" w:color="000000"/>
              <w:right w:val="single" w:sz="10" w:space="0" w:color="FFFFFF"/>
            </w:tcBorders>
          </w:tcPr>
          <w:p>
            <w:pPr/>
          </w:p>
        </w:tc>
        <w:tc>
          <w:tcPr>
            <w:tcW w:w="566" w:type="dxa"/>
            <w:vMerge/>
            <w:tcBorders>
              <w:left w:val="single" w:sz="10" w:space="0" w:color="FFFFFF"/>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941" w:hRule="exact"/>
        </w:trPr>
        <w:tc>
          <w:tcPr>
            <w:tcW w:w="566" w:type="dxa"/>
            <w:vMerge w:val="restart"/>
            <w:tcBorders>
              <w:top w:val="nil" w:sz="6" w:space="0" w:color="auto"/>
              <w:left w:val="single" w:sz="4" w:space="0" w:color="000000"/>
              <w:right w:val="single" w:sz="4" w:space="0" w:color="000000"/>
            </w:tcBorders>
            <w:shd w:val="clear" w:color="auto" w:fill="D2D2D2"/>
          </w:tcPr>
          <w:p>
            <w:pPr/>
          </w:p>
        </w:tc>
        <w:tc>
          <w:tcPr>
            <w:tcW w:w="1277" w:type="dxa"/>
            <w:vMerge/>
            <w:tcBorders>
              <w:left w:val="single" w:sz="10" w:space="0" w:color="D2D2D2"/>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5673" w:type="dxa"/>
            <w:vMerge/>
            <w:tcBorders>
              <w:left w:val="single" w:sz="4" w:space="0" w:color="000000"/>
              <w:bottom w:val="single" w:sz="4" w:space="0" w:color="000000"/>
              <w:right w:val="single" w:sz="10" w:space="0" w:color="FFFFFF"/>
            </w:tcBorders>
          </w:tcPr>
          <w:p>
            <w:pPr/>
          </w:p>
        </w:tc>
        <w:tc>
          <w:tcPr>
            <w:tcW w:w="566" w:type="dxa"/>
            <w:vMerge/>
            <w:tcBorders>
              <w:left w:val="single" w:sz="10" w:space="0" w:color="FFFFFF"/>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94" w:type="dxa"/>
            <w:vMerge/>
            <w:tcBorders>
              <w:left w:val="single" w:sz="4" w:space="0" w:color="000000"/>
              <w:bottom w:val="single" w:sz="4" w:space="0" w:color="000000"/>
              <w:right w:val="single" w:sz="4" w:space="0" w:color="000000"/>
            </w:tcBorders>
          </w:tcPr>
          <w:p>
            <w:pPr/>
          </w:p>
        </w:tc>
      </w:tr>
      <w:tr>
        <w:trPr>
          <w:trHeight w:val="3836" w:hRule="exact"/>
        </w:trPr>
        <w:tc>
          <w:tcPr>
            <w:tcW w:w="566"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0" w:lineRule="auto" w:before="150"/>
              <w:ind w:left="23" w:right="403"/>
              <w:jc w:val="left"/>
              <w:rPr>
                <w:rFonts w:ascii="Times New Roman" w:hAnsi="Times New Roman" w:cs="Times New Roman" w:eastAsia="Times New Roman" w:hint="default"/>
                <w:sz w:val="18"/>
                <w:szCs w:val="18"/>
              </w:rPr>
            </w:pPr>
            <w:r>
              <w:rPr>
                <w:rFonts w:ascii="Times New Roman"/>
                <w:sz w:val="18"/>
              </w:rPr>
              <w:t>GUO</w:t>
            </w:r>
            <w:r>
              <w:rPr>
                <w:rFonts w:ascii="Times New Roman"/>
                <w:w w:val="99"/>
                <w:sz w:val="18"/>
              </w:rPr>
              <w:t> </w:t>
            </w:r>
            <w:r>
              <w:rPr>
                <w:rFonts w:ascii="Times New Roman"/>
                <w:sz w:val="18"/>
              </w:rPr>
              <w:t>SONG;LIU</w:t>
            </w:r>
          </w:p>
          <w:p>
            <w:pPr>
              <w:pStyle w:val="TableParagraph"/>
              <w:spacing w:line="21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DAN;</w:t>
            </w:r>
            <w:r>
              <w:rPr>
                <w:rFonts w:ascii="宋体" w:hAnsi="宋体" w:cs="宋体" w:eastAsia="宋体" w:hint="default"/>
                <w:sz w:val="18"/>
                <w:szCs w:val="18"/>
              </w:rPr>
              <w:t>陈雪飞</w:t>
            </w:r>
            <w:r>
              <w:rPr>
                <w:rFonts w:ascii="Times New Roman" w:hAnsi="Times New Roman" w:cs="Times New Roman" w:eastAsia="Times New Roman" w:hint="default"/>
                <w:sz w:val="18"/>
                <w:szCs w:val="18"/>
              </w:rPr>
              <w:t>;</w:t>
            </w:r>
            <w:r>
              <w:rPr>
                <w:rFonts w:ascii="宋体" w:hAnsi="宋体" w:cs="宋体" w:eastAsia="宋体" w:hint="default"/>
                <w:sz w:val="18"/>
                <w:szCs w:val="18"/>
              </w:rPr>
              <w:t>高</w:t>
            </w:r>
          </w:p>
          <w:p>
            <w:pPr>
              <w:pStyle w:val="TableParagraph"/>
              <w:spacing w:line="300" w:lineRule="auto" w:before="63"/>
              <w:ind w:left="23" w:right="60"/>
              <w:jc w:val="left"/>
              <w:rPr>
                <w:rFonts w:ascii="宋体" w:hAnsi="宋体" w:cs="宋体" w:eastAsia="宋体" w:hint="default"/>
                <w:sz w:val="18"/>
                <w:szCs w:val="18"/>
              </w:rPr>
            </w:pPr>
            <w:r>
              <w:rPr>
                <w:rFonts w:ascii="宋体" w:hAnsi="宋体" w:cs="宋体" w:eastAsia="宋体" w:hint="default"/>
                <w:sz w:val="18"/>
                <w:szCs w:val="18"/>
              </w:rPr>
              <w:t>明玉</w:t>
            </w:r>
            <w:r>
              <w:rPr>
                <w:rFonts w:ascii="Times New Roman" w:hAnsi="Times New Roman" w:cs="Times New Roman" w:eastAsia="Times New Roman" w:hint="default"/>
                <w:sz w:val="18"/>
                <w:szCs w:val="18"/>
              </w:rPr>
              <w:t>;</w:t>
            </w:r>
            <w:r>
              <w:rPr>
                <w:rFonts w:ascii="宋体" w:hAnsi="宋体" w:cs="宋体" w:eastAsia="宋体" w:hint="default"/>
                <w:sz w:val="18"/>
                <w:szCs w:val="18"/>
              </w:rPr>
              <w:t>刘镇</w:t>
            </w:r>
            <w:r>
              <w:rPr>
                <w:rFonts w:ascii="Times New Roman" w:hAnsi="Times New Roman" w:cs="Times New Roman" w:eastAsia="Times New Roman" w:hint="default"/>
                <w:sz w:val="18"/>
                <w:szCs w:val="18"/>
              </w:rPr>
              <w:t>;</w:t>
            </w:r>
            <w:r>
              <w:rPr>
                <w:rFonts w:ascii="宋体" w:hAnsi="宋体" w:cs="宋体" w:eastAsia="宋体" w:hint="default"/>
                <w:sz w:val="18"/>
                <w:szCs w:val="18"/>
              </w:rPr>
              <w:t>仝文 定</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关于所持深圳市优博讯科技股份有限公司股份流通限制及自愿锁定的承 诺书</w:t>
            </w:r>
            <w:r>
              <w:rPr>
                <w:rFonts w:ascii="宋体" w:hAnsi="宋体" w:cs="宋体" w:eastAsia="宋体" w:hint="default"/>
                <w:spacing w:val="-30"/>
                <w:sz w:val="18"/>
                <w:szCs w:val="18"/>
              </w:rPr>
              <w:t> </w:t>
            </w:r>
            <w:r>
              <w:rPr>
                <w:rFonts w:ascii="宋体" w:hAnsi="宋体" w:cs="宋体" w:eastAsia="宋体" w:hint="default"/>
                <w:sz w:val="18"/>
                <w:szCs w:val="18"/>
              </w:rPr>
              <w:t>深圳市优博讯科技股份有限公司（以下简称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发行人</w:t>
            </w:r>
            <w:r>
              <w:rPr>
                <w:rFonts w:ascii="Times New Roman" w:hAnsi="Times New Roman" w:cs="Times New Roman" w:eastAsia="Times New Roman" w:hint="default"/>
                <w:sz w:val="18"/>
                <w:szCs w:val="18"/>
              </w:rPr>
              <w:t>”</w:t>
            </w:r>
            <w:r>
              <w:rPr>
                <w:rFonts w:ascii="宋体" w:hAnsi="宋体" w:cs="宋体" w:eastAsia="宋体" w:hint="default"/>
                <w:sz w:val="18"/>
                <w:szCs w:val="18"/>
              </w:rPr>
              <w:t>）拟申请首次 </w:t>
            </w:r>
            <w:r>
              <w:rPr>
                <w:rFonts w:ascii="宋体" w:hAnsi="宋体" w:cs="宋体" w:eastAsia="宋体" w:hint="default"/>
                <w:spacing w:val="-2"/>
                <w:sz w:val="18"/>
                <w:szCs w:val="18"/>
              </w:rPr>
              <w:t>公开发行人民币普通股（</w:t>
            </w:r>
            <w:r>
              <w:rPr>
                <w:rFonts w:ascii="Times New Roman" w:hAnsi="Times New Roman" w:cs="Times New Roman" w:eastAsia="Times New Roman" w:hint="default"/>
                <w:spacing w:val="-2"/>
                <w:sz w:val="18"/>
                <w:szCs w:val="18"/>
              </w:rPr>
              <w:t>A</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股）股票并在创业板上市（以下简称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本次发</w:t>
            </w:r>
            <w:r>
              <w:rPr>
                <w:rFonts w:ascii="宋体" w:hAnsi="宋体" w:cs="宋体" w:eastAsia="宋体" w:hint="default"/>
                <w:spacing w:val="-71"/>
                <w:sz w:val="18"/>
                <w:szCs w:val="18"/>
              </w:rPr>
              <w:t> </w:t>
            </w:r>
            <w:r>
              <w:rPr>
                <w:rFonts w:ascii="宋体" w:hAnsi="宋体" w:cs="宋体" w:eastAsia="宋体" w:hint="default"/>
                <w:spacing w:val="-4"/>
                <w:w w:val="100"/>
                <w:sz w:val="18"/>
                <w:szCs w:val="18"/>
              </w:rPr>
              <w:t>行</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），本人为发行人的董事</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高管，间接持有发行人的股份。本人就间接</w:t>
            </w:r>
            <w:r>
              <w:rPr>
                <w:rFonts w:ascii="宋体" w:hAnsi="宋体" w:cs="宋体" w:eastAsia="宋体" w:hint="default"/>
                <w:spacing w:val="-58"/>
                <w:w w:val="100"/>
                <w:sz w:val="18"/>
                <w:szCs w:val="18"/>
              </w:rPr>
              <w:t> </w:t>
            </w:r>
            <w:r>
              <w:rPr>
                <w:rFonts w:ascii="宋体" w:hAnsi="宋体" w:cs="宋体" w:eastAsia="宋体" w:hint="default"/>
                <w:spacing w:val="-58"/>
                <w:w w:val="100"/>
                <w:sz w:val="18"/>
                <w:szCs w:val="18"/>
              </w:rPr>
            </w:r>
            <w:r>
              <w:rPr>
                <w:rFonts w:ascii="宋体" w:hAnsi="宋体" w:cs="宋体" w:eastAsia="宋体" w:hint="default"/>
                <w:sz w:val="18"/>
                <w:szCs w:val="18"/>
              </w:rPr>
              <w:t>持有的发行人首次公开发行并在创业板上市后股份的流通限制及自愿锁 定事宜，进一步承诺如下：如本人在锁定期满后两年内减持所持发行人 股票的，减持价格不低于本次发行的发行价；发行人上市后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w:t>
            </w:r>
          </w:p>
          <w:p>
            <w:pPr>
              <w:pStyle w:val="TableParagraph"/>
              <w:spacing w:line="240" w:lineRule="auto" w:before="5"/>
              <w:ind w:left="23" w:right="0"/>
              <w:jc w:val="both"/>
              <w:rPr>
                <w:rFonts w:ascii="宋体" w:hAnsi="宋体" w:cs="宋体" w:eastAsia="宋体" w:hint="default"/>
                <w:sz w:val="18"/>
                <w:szCs w:val="18"/>
              </w:rPr>
            </w:pPr>
            <w:r>
              <w:rPr>
                <w:rFonts w:ascii="宋体" w:hAnsi="宋体" w:cs="宋体" w:eastAsia="宋体" w:hint="default"/>
                <w:sz w:val="18"/>
                <w:szCs w:val="18"/>
              </w:rPr>
              <w:t>发行人股票连续</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个交易日的收盘价均低于本次发行的发行价，或者上</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个月期末收盘价低于本次发行的发行价，本公司持有的发行人股</w:t>
            </w:r>
          </w:p>
          <w:p>
            <w:pPr>
              <w:pStyle w:val="TableParagraph"/>
              <w:spacing w:line="309" w:lineRule="auto" w:before="63"/>
              <w:ind w:left="23" w:right="56"/>
              <w:jc w:val="both"/>
              <w:rPr>
                <w:rFonts w:ascii="宋体" w:hAnsi="宋体" w:cs="宋体" w:eastAsia="宋体" w:hint="default"/>
                <w:sz w:val="18"/>
                <w:szCs w:val="18"/>
              </w:rPr>
            </w:pPr>
            <w:r>
              <w:rPr>
                <w:rFonts w:ascii="宋体" w:hAnsi="宋体" w:cs="宋体" w:eastAsia="宋体" w:hint="default"/>
                <w:sz w:val="18"/>
                <w:szCs w:val="18"/>
              </w:rPr>
              <w:t>票将在上述锁定期限届满后自动延长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个月的锁定期。本人不因在公司 职务变更或离职放弃上述承诺。前述股东违反上述承诺减持股票取得的 所得归公司所有。</w:t>
            </w:r>
            <w:r>
              <w:rPr>
                <w:rFonts w:ascii="宋体" w:hAnsi="宋体" w:cs="宋体" w:eastAsia="宋体" w:hint="default"/>
                <w:spacing w:val="1"/>
                <w:sz w:val="18"/>
                <w:szCs w:val="18"/>
              </w:rPr>
              <w:t> </w:t>
            </w:r>
            <w:r>
              <w:rPr>
                <w:rFonts w:ascii="宋体" w:hAnsi="宋体" w:cs="宋体" w:eastAsia="宋体" w:hint="default"/>
                <w:sz w:val="18"/>
                <w:szCs w:val="18"/>
              </w:rPr>
              <w:t>特此承诺。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2021</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98"/>
              <w:jc w:val="both"/>
              <w:rPr>
                <w:rFonts w:ascii="宋体" w:hAnsi="宋体" w:cs="宋体" w:eastAsia="宋体" w:hint="default"/>
                <w:sz w:val="18"/>
                <w:szCs w:val="18"/>
              </w:rPr>
            </w:pPr>
            <w:r>
              <w:rPr>
                <w:rFonts w:ascii="宋体" w:hAnsi="宋体" w:cs="宋体" w:eastAsia="宋体" w:hint="default"/>
                <w:sz w:val="18"/>
                <w:szCs w:val="18"/>
              </w:rPr>
              <w:t>承诺 人严 格遵 守了 该项 承诺</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02.77301pt;margin-top:304.489990pt;width:79.05pt;height:140.4pt;mso-position-horizontal-relative:page;mso-position-vertical-relative:page;z-index:-12210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2"/>
                      <w:szCs w:val="22"/>
                    </w:rPr>
                  </w:pPr>
                </w:p>
                <w:p>
                  <w:pPr>
                    <w:pStyle w:val="BodyText"/>
                    <w:spacing w:line="240" w:lineRule="auto"/>
                    <w:ind w:left="0" w:right="0" w:firstLine="539"/>
                    <w:jc w:val="left"/>
                  </w:pPr>
                  <w:r>
                    <w:rPr/>
                    <w:t>直接、</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6"/>
                      <w:szCs w:val="16"/>
                    </w:rPr>
                  </w:pPr>
                </w:p>
                <w:p>
                  <w:pPr>
                    <w:pStyle w:val="BodyText"/>
                    <w:spacing w:line="240" w:lineRule="auto"/>
                    <w:ind w:left="0" w:right="0"/>
                    <w:jc w:val="left"/>
                  </w:pPr>
                  <w:r>
                    <w:rPr/>
                    <w:t>香港优博讯、</w:t>
                  </w:r>
                </w:p>
              </w:txbxContent>
            </v:textbox>
            <w10:wrap type="none"/>
          </v:shape>
        </w:pict>
      </w:r>
      <w:r>
        <w:rPr/>
        <w:pict>
          <v:shape style="position:absolute;margin-left:447.820007pt;margin-top:511.279968pt;width:34pt;height:140.450pt;mso-position-horizontal-relative:page;mso-position-vertical-relative:page;z-index:-12210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5"/>
                      <w:szCs w:val="15"/>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66"/>
        <w:gridCol w:w="1277"/>
        <w:gridCol w:w="425"/>
        <w:gridCol w:w="5673"/>
        <w:gridCol w:w="566"/>
        <w:gridCol w:w="566"/>
        <w:gridCol w:w="494"/>
      </w:tblGrid>
      <w:tr>
        <w:trPr>
          <w:trHeight w:val="161" w:hRule="exact"/>
        </w:trPr>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97" w:right="96"/>
              <w:jc w:val="left"/>
              <w:rPr>
                <w:rFonts w:ascii="宋体" w:hAnsi="宋体" w:cs="宋体" w:eastAsia="宋体" w:hint="default"/>
                <w:sz w:val="18"/>
                <w:szCs w:val="18"/>
              </w:rPr>
            </w:pPr>
            <w:r>
              <w:rPr>
                <w:rFonts w:ascii="宋体" w:hAnsi="宋体" w:cs="宋体" w:eastAsia="宋体" w:hint="default"/>
                <w:sz w:val="18"/>
                <w:szCs w:val="18"/>
              </w:rPr>
              <w:t>承诺 来源</w:t>
            </w: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5673"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4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62" w:right="60"/>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92" w:hRule="exact"/>
        </w:trPr>
        <w:tc>
          <w:tcPr>
            <w:tcW w:w="566"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425" w:type="dxa"/>
            <w:vMerge/>
            <w:tcBorders>
              <w:left w:val="single" w:sz="4" w:space="0" w:color="000000"/>
              <w:right w:val="single" w:sz="4" w:space="0" w:color="000000"/>
            </w:tcBorders>
            <w:shd w:val="clear" w:color="auto" w:fill="D2D2D2"/>
          </w:tcPr>
          <w:p>
            <w:pPr/>
          </w:p>
        </w:tc>
        <w:tc>
          <w:tcPr>
            <w:tcW w:w="56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6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r>
      <w:tr>
        <w:trPr>
          <w:trHeight w:val="161" w:hRule="exact"/>
        </w:trPr>
        <w:tc>
          <w:tcPr>
            <w:tcW w:w="566"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5673"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r>
      <w:tr>
        <w:trPr>
          <w:trHeight w:val="1963" w:hRule="exact"/>
        </w:trPr>
        <w:tc>
          <w:tcPr>
            <w:tcW w:w="566" w:type="dxa"/>
            <w:vMerge w:val="restart"/>
            <w:tcBorders>
              <w:top w:val="single" w:sz="4" w:space="0" w:color="000000"/>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61"/>
              <w:jc w:val="both"/>
              <w:rPr>
                <w:rFonts w:ascii="宋体" w:hAnsi="宋体" w:cs="宋体" w:eastAsia="宋体" w:hint="default"/>
                <w:sz w:val="18"/>
                <w:szCs w:val="18"/>
              </w:rPr>
            </w:pPr>
            <w:r>
              <w:rPr>
                <w:rFonts w:ascii="宋体" w:hAnsi="宋体" w:cs="宋体" w:eastAsia="宋体" w:hint="default"/>
                <w:sz w:val="18"/>
                <w:szCs w:val="18"/>
              </w:rPr>
              <w:t>香港优博讯科 技控股集团有 限公司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29"/>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9"/>
              <w:jc w:val="both"/>
              <w:rPr>
                <w:rFonts w:ascii="宋体" w:hAnsi="宋体" w:cs="宋体" w:eastAsia="宋体" w:hint="default"/>
                <w:sz w:val="18"/>
                <w:szCs w:val="18"/>
              </w:rPr>
            </w:pPr>
            <w:r>
              <w:rPr>
                <w:rFonts w:ascii="宋体" w:hAnsi="宋体" w:cs="宋体" w:eastAsia="宋体" w:hint="default"/>
                <w:sz w:val="18"/>
                <w:szCs w:val="18"/>
              </w:rPr>
              <w:t>本公司作为深圳市优博讯科技股份有限公司（以下简称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）控股股 东，现郑重承诺如下：自深圳市优博讯科技股份公司股票上市之日起</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个月内，不转让或者委托他人管理本公司直接或间接持有的深圳市优博 讯科技股份公司本次发行前已发行的股份，也不由深圳市优博讯科技股 份公司回购本公司直接或间接其持有的深圳市优博讯科技股份公司本次 发行前已发行的股份。</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8"/>
              <w:jc w:val="both"/>
              <w:rPr>
                <w:rFonts w:ascii="宋体" w:hAnsi="宋体" w:cs="宋体" w:eastAsia="宋体" w:hint="default"/>
                <w:sz w:val="18"/>
                <w:szCs w:val="18"/>
              </w:rPr>
            </w:pPr>
            <w:r>
              <w:rPr>
                <w:rFonts w:ascii="宋体" w:hAnsi="宋体" w:cs="宋体" w:eastAsia="宋体" w:hint="default"/>
                <w:sz w:val="18"/>
                <w:szCs w:val="18"/>
              </w:rPr>
              <w:t>承诺 人严 格遵 守了 该项 承诺</w:t>
            </w:r>
          </w:p>
        </w:tc>
      </w:tr>
      <w:tr>
        <w:trPr>
          <w:trHeight w:val="1961" w:hRule="exact"/>
        </w:trPr>
        <w:tc>
          <w:tcPr>
            <w:tcW w:w="566"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深圳市博讯投 资有限公司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3" w:right="29"/>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5673"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3" w:right="49"/>
              <w:jc w:val="both"/>
              <w:rPr>
                <w:rFonts w:ascii="宋体" w:hAnsi="宋体" w:cs="宋体" w:eastAsia="宋体" w:hint="default"/>
                <w:sz w:val="18"/>
                <w:szCs w:val="18"/>
              </w:rPr>
            </w:pPr>
            <w:r>
              <w:rPr>
                <w:rFonts w:ascii="宋体" w:hAnsi="宋体" w:cs="宋体" w:eastAsia="宋体" w:hint="default"/>
                <w:sz w:val="18"/>
                <w:szCs w:val="18"/>
              </w:rPr>
              <w:t>深圳市博讯投资有限公司承诺：自深圳市优博讯科技股份有限公司（以 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优博讯科技</w:t>
            </w:r>
            <w:r>
              <w:rPr>
                <w:rFonts w:ascii="Times New Roman" w:hAnsi="Times New Roman" w:cs="Times New Roman" w:eastAsia="Times New Roman" w:hint="default"/>
                <w:sz w:val="18"/>
                <w:szCs w:val="18"/>
              </w:rPr>
              <w:t>”</w:t>
            </w:r>
            <w:r>
              <w:rPr>
                <w:rFonts w:ascii="宋体" w:hAnsi="宋体" w:cs="宋体" w:eastAsia="宋体" w:hint="default"/>
                <w:sz w:val="18"/>
                <w:szCs w:val="18"/>
              </w:rPr>
              <w:t>）股票在深圳证券交易所上市之日起三十六个月内 不转让或委托他人管理其直接或间接持有的优博讯科技公开发行股票前 已发行的股份，也不由优博讯科技回购其直接或间接持有的优博讯科技 公开发行股票前已发行的股份。</w:t>
            </w:r>
          </w:p>
        </w:tc>
        <w:tc>
          <w:tcPr>
            <w:tcW w:w="566"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160" w:lineRule="exact"/>
              <w:ind w:left="16"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149"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664" w:lineRule="exact"/>
              <w:ind w:left="16" w:right="-3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pict>
                <v:group style="width:25.6pt;height:33.25pt;mso-position-horizontal-relative:char;mso-position-vertical-relative:line" coordorigin="0,0" coordsize="512,665">
                  <v:group style="position:absolute;left:0;top:0;width:512;height:353" coordorigin="0,0" coordsize="512,353">
                    <v:shape style="position:absolute;left:0;top:0;width:512;height:353" coordorigin="0,0" coordsize="512,353" path="m0,353l511,353,511,0,0,0,0,353xe" filled="true" fillcolor="#ffffff" stroked="false">
                      <v:path arrowok="t"/>
                      <v:fill type="solid"/>
                    </v:shape>
                  </v:group>
                  <v:group style="position:absolute;left:0;top:353;width:512;height:312" coordorigin="0,353" coordsize="512,312">
                    <v:shape style="position:absolute;left:0;top:353;width:512;height:312" coordorigin="0,353" coordsize="512,312" path="m0,665l511,665,511,353,0,353,0,665xe" filled="true" fillcolor="#ffffff" stroked="false">
                      <v:path arrowok="t"/>
                      <v:fill type="solid"/>
                    </v:shape>
                  </v:group>
                </v:group>
              </w:pict>
            </w:r>
            <w:r>
              <w:rPr>
                <w:rFonts w:ascii="Times New Roman" w:hAnsi="Times New Roman" w:cs="Times New Roman" w:eastAsia="Times New Roman" w:hint="default"/>
                <w:position w:val="-12"/>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4"/>
                <w:szCs w:val="24"/>
              </w:rPr>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8"/>
              <w:jc w:val="both"/>
              <w:rPr>
                <w:rFonts w:ascii="宋体" w:hAnsi="宋体" w:cs="宋体" w:eastAsia="宋体" w:hint="default"/>
                <w:sz w:val="18"/>
                <w:szCs w:val="18"/>
              </w:rPr>
            </w:pPr>
            <w:r>
              <w:rPr>
                <w:rFonts w:ascii="宋体" w:hAnsi="宋体" w:cs="宋体" w:eastAsia="宋体" w:hint="default"/>
                <w:sz w:val="18"/>
                <w:szCs w:val="18"/>
              </w:rPr>
              <w:t>承诺 人严 格遵 守了 该项 承诺</w:t>
            </w:r>
          </w:p>
        </w:tc>
      </w:tr>
      <w:tr>
        <w:trPr>
          <w:trHeight w:val="6956" w:hRule="exact"/>
        </w:trPr>
        <w:tc>
          <w:tcPr>
            <w:tcW w:w="566"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360" w:lineRule="auto"/>
              <w:ind w:left="23" w:right="223"/>
              <w:jc w:val="left"/>
              <w:rPr>
                <w:rFonts w:ascii="Times New Roman" w:hAnsi="Times New Roman" w:cs="Times New Roman" w:eastAsia="Times New Roman" w:hint="default"/>
                <w:sz w:val="18"/>
                <w:szCs w:val="18"/>
              </w:rPr>
            </w:pPr>
            <w:r>
              <w:rPr>
                <w:rFonts w:ascii="Times New Roman"/>
                <w:sz w:val="18"/>
              </w:rPr>
              <w:t>CHEN</w:t>
            </w:r>
            <w:r>
              <w:rPr>
                <w:rFonts w:ascii="Times New Roman"/>
                <w:w w:val="99"/>
                <w:sz w:val="18"/>
              </w:rPr>
              <w:t> </w:t>
            </w:r>
            <w:r>
              <w:rPr>
                <w:rFonts w:ascii="Times New Roman"/>
                <w:sz w:val="18"/>
              </w:rPr>
              <w:t>YIHAN;GUO</w:t>
            </w:r>
            <w:r>
              <w:rPr>
                <w:rFonts w:ascii="Times New Roman"/>
                <w:w w:val="99"/>
                <w:sz w:val="18"/>
              </w:rPr>
              <w:t> </w:t>
            </w:r>
            <w:r>
              <w:rPr>
                <w:rFonts w:ascii="Times New Roman"/>
                <w:sz w:val="18"/>
              </w:rPr>
              <w:t>SONG;LIU</w:t>
            </w:r>
          </w:p>
          <w:p>
            <w:pPr>
              <w:pStyle w:val="TableParagraph"/>
              <w:spacing w:line="21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DAN;</w:t>
            </w:r>
            <w:r>
              <w:rPr>
                <w:rFonts w:ascii="宋体" w:hAnsi="宋体" w:cs="宋体" w:eastAsia="宋体" w:hint="default"/>
                <w:sz w:val="18"/>
                <w:szCs w:val="18"/>
              </w:rPr>
              <w:t>深圳市博</w:t>
            </w:r>
          </w:p>
          <w:p>
            <w:pPr>
              <w:pStyle w:val="TableParagraph"/>
              <w:spacing w:line="309" w:lineRule="auto" w:before="63"/>
              <w:ind w:left="23" w:right="21"/>
              <w:jc w:val="left"/>
              <w:rPr>
                <w:rFonts w:ascii="宋体" w:hAnsi="宋体" w:cs="宋体" w:eastAsia="宋体" w:hint="default"/>
                <w:sz w:val="18"/>
                <w:szCs w:val="18"/>
              </w:rPr>
            </w:pPr>
            <w:r>
              <w:rPr>
                <w:rFonts w:ascii="宋体" w:hAnsi="宋体" w:cs="宋体" w:eastAsia="宋体" w:hint="default"/>
                <w:sz w:val="18"/>
                <w:szCs w:val="18"/>
              </w:rPr>
              <w:t>讯投资有限公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深圳市军屯 </w:t>
            </w:r>
            <w:r>
              <w:rPr>
                <w:rFonts w:ascii="宋体" w:hAnsi="宋体" w:cs="宋体" w:eastAsia="宋体" w:hint="default"/>
                <w:spacing w:val="-6"/>
                <w:sz w:val="18"/>
                <w:szCs w:val="18"/>
              </w:rPr>
              <w:t>投资企业（有限</w:t>
            </w:r>
            <w:r>
              <w:rPr>
                <w:rFonts w:ascii="宋体" w:hAnsi="宋体" w:cs="宋体" w:eastAsia="宋体" w:hint="default"/>
                <w:sz w:val="18"/>
                <w:szCs w:val="18"/>
              </w:rPr>
              <w:t> 合伙）</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 中洲创业投资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香港 优博讯科技控 股集团有限公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亚晟发展集 团有限公司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3" w:right="29"/>
              <w:jc w:val="both"/>
              <w:rPr>
                <w:rFonts w:ascii="宋体" w:hAnsi="宋体" w:cs="宋体" w:eastAsia="宋体" w:hint="default"/>
                <w:sz w:val="18"/>
                <w:szCs w:val="18"/>
              </w:rPr>
            </w:pPr>
            <w:r>
              <w:rPr>
                <w:rFonts w:ascii="宋体" w:hAnsi="宋体" w:cs="宋体" w:eastAsia="宋体" w:hint="default"/>
                <w:sz w:val="18"/>
                <w:szCs w:val="18"/>
              </w:rPr>
              <w:t>股份 减持 承诺</w:t>
            </w:r>
          </w:p>
        </w:tc>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深圳市优博讯科技股份有限公司首次公开发行前主要股东关于公开发行 上市后持股意向及减持意向的承诺 </w:t>
            </w:r>
            <w:r>
              <w:rPr>
                <w:rFonts w:ascii="宋体" w:hAnsi="宋体" w:cs="宋体" w:eastAsia="宋体" w:hint="default"/>
                <w:spacing w:val="-4"/>
                <w:sz w:val="18"/>
                <w:szCs w:val="18"/>
              </w:rPr>
              <w:t>深圳市优博讯科技股份有限公司（以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优博讯科技</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）首次公开发行并在创业板上市前， 间接持有其股份超过股本总额的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的股东香港优博讯科技控股集团有 </w:t>
            </w:r>
            <w:r>
              <w:rPr>
                <w:rFonts w:ascii="宋体" w:hAnsi="宋体" w:cs="宋体" w:eastAsia="宋体" w:hint="default"/>
                <w:spacing w:val="-4"/>
                <w:w w:val="100"/>
                <w:sz w:val="18"/>
                <w:szCs w:val="18"/>
              </w:rPr>
              <w:t>限公司（以下简称</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香港优博讯</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）、深圳市中洲创业投资有限公司（以下</w:t>
            </w:r>
            <w:r>
              <w:rPr>
                <w:rFonts w:ascii="宋体" w:hAnsi="宋体" w:cs="宋体" w:eastAsia="宋体" w:hint="default"/>
                <w:sz w:val="18"/>
                <w:szCs w:val="18"/>
              </w:rPr>
              <w:t> </w:t>
            </w:r>
            <w:r>
              <w:rPr>
                <w:rFonts w:ascii="宋体" w:hAnsi="宋体" w:cs="宋体" w:eastAsia="宋体" w:hint="default"/>
                <w:spacing w:val="-9"/>
                <w:w w:val="100"/>
                <w:sz w:val="18"/>
                <w:szCs w:val="18"/>
              </w:rPr>
              <w:t>简称</w:t>
            </w:r>
            <w:r>
              <w:rPr>
                <w:rFonts w:ascii="Times New Roman" w:hAnsi="Times New Roman" w:cs="Times New Roman" w:eastAsia="Times New Roman" w:hint="default"/>
                <w:spacing w:val="-9"/>
                <w:w w:val="100"/>
                <w:sz w:val="18"/>
                <w:szCs w:val="18"/>
              </w:rPr>
              <w:t>“</w:t>
            </w:r>
            <w:r>
              <w:rPr>
                <w:rFonts w:ascii="宋体" w:hAnsi="宋体" w:cs="宋体" w:eastAsia="宋体" w:hint="default"/>
                <w:spacing w:val="-9"/>
                <w:w w:val="100"/>
                <w:sz w:val="18"/>
                <w:szCs w:val="18"/>
              </w:rPr>
              <w:t>中洲创投</w:t>
            </w:r>
            <w:r>
              <w:rPr>
                <w:rFonts w:ascii="Times New Roman" w:hAnsi="Times New Roman" w:cs="Times New Roman" w:eastAsia="Times New Roman" w:hint="default"/>
                <w:spacing w:val="-9"/>
                <w:w w:val="100"/>
                <w:sz w:val="18"/>
                <w:szCs w:val="18"/>
              </w:rPr>
              <w:t>”</w:t>
            </w:r>
            <w:r>
              <w:rPr>
                <w:rFonts w:ascii="宋体" w:hAnsi="宋体" w:cs="宋体" w:eastAsia="宋体" w:hint="default"/>
                <w:spacing w:val="-9"/>
                <w:w w:val="100"/>
                <w:sz w:val="18"/>
                <w:szCs w:val="18"/>
              </w:rPr>
              <w:t>）、深圳市博讯投资有限公司（以下简称</w:t>
            </w:r>
            <w:r>
              <w:rPr>
                <w:rFonts w:ascii="Times New Roman" w:hAnsi="Times New Roman" w:cs="Times New Roman" w:eastAsia="Times New Roman" w:hint="default"/>
                <w:spacing w:val="-9"/>
                <w:w w:val="100"/>
                <w:sz w:val="18"/>
                <w:szCs w:val="18"/>
              </w:rPr>
              <w:t>“</w:t>
            </w:r>
            <w:r>
              <w:rPr>
                <w:rFonts w:ascii="宋体" w:hAnsi="宋体" w:cs="宋体" w:eastAsia="宋体" w:hint="default"/>
                <w:spacing w:val="-9"/>
                <w:w w:val="100"/>
                <w:sz w:val="18"/>
                <w:szCs w:val="18"/>
              </w:rPr>
              <w:t>博讯投资</w:t>
            </w:r>
            <w:r>
              <w:rPr>
                <w:rFonts w:ascii="Times New Roman" w:hAnsi="Times New Roman" w:cs="Times New Roman" w:eastAsia="Times New Roman" w:hint="default"/>
                <w:spacing w:val="-9"/>
                <w:w w:val="100"/>
                <w:sz w:val="18"/>
                <w:szCs w:val="18"/>
              </w:rPr>
              <w:t>”</w:t>
            </w:r>
            <w:r>
              <w:rPr>
                <w:rFonts w:ascii="宋体" w:hAnsi="宋体" w:cs="宋体" w:eastAsia="宋体" w:hint="default"/>
                <w:spacing w:val="-9"/>
                <w:w w:val="100"/>
                <w:sz w:val="18"/>
                <w:szCs w:val="18"/>
              </w:rPr>
              <w:t>）、</w:t>
            </w:r>
            <w:r>
              <w:rPr>
                <w:rFonts w:ascii="宋体" w:hAnsi="宋体" w:cs="宋体" w:eastAsia="宋体" w:hint="default"/>
                <w:spacing w:val="-63"/>
                <w:w w:val="100"/>
                <w:sz w:val="18"/>
                <w:szCs w:val="18"/>
              </w:rPr>
              <w:t> </w:t>
            </w:r>
            <w:r>
              <w:rPr>
                <w:rFonts w:ascii="宋体" w:hAnsi="宋体" w:cs="宋体" w:eastAsia="宋体" w:hint="default"/>
                <w:spacing w:val="-10"/>
                <w:w w:val="100"/>
                <w:sz w:val="18"/>
                <w:szCs w:val="18"/>
              </w:rPr>
              <w:t>亚晟发展集团有限公司（以下简称</w:t>
            </w:r>
            <w:r>
              <w:rPr>
                <w:rFonts w:ascii="Times New Roman" w:hAnsi="Times New Roman" w:cs="Times New Roman" w:eastAsia="Times New Roman" w:hint="default"/>
                <w:spacing w:val="-10"/>
                <w:w w:val="100"/>
                <w:sz w:val="18"/>
                <w:szCs w:val="18"/>
              </w:rPr>
              <w:t>“</w:t>
            </w:r>
            <w:r>
              <w:rPr>
                <w:rFonts w:ascii="宋体" w:hAnsi="宋体" w:cs="宋体" w:eastAsia="宋体" w:hint="default"/>
                <w:spacing w:val="-10"/>
                <w:w w:val="100"/>
                <w:sz w:val="18"/>
                <w:szCs w:val="18"/>
              </w:rPr>
              <w:t>亚晟发展</w:t>
            </w:r>
            <w:r>
              <w:rPr>
                <w:rFonts w:ascii="Times New Roman" w:hAnsi="Times New Roman" w:cs="Times New Roman" w:eastAsia="Times New Roman" w:hint="default"/>
                <w:spacing w:val="-10"/>
                <w:w w:val="100"/>
                <w:sz w:val="18"/>
                <w:szCs w:val="18"/>
              </w:rPr>
              <w:t>”</w:t>
            </w:r>
            <w:r>
              <w:rPr>
                <w:rFonts w:ascii="宋体" w:hAnsi="宋体" w:cs="宋体" w:eastAsia="宋体" w:hint="default"/>
                <w:spacing w:val="-10"/>
                <w:w w:val="100"/>
                <w:sz w:val="18"/>
                <w:szCs w:val="18"/>
              </w:rPr>
              <w:t>）、深圳市军屯投资企业（有</w:t>
            </w:r>
            <w:r>
              <w:rPr>
                <w:rFonts w:ascii="宋体" w:hAnsi="宋体" w:cs="宋体" w:eastAsia="宋体" w:hint="default"/>
                <w:spacing w:val="-59"/>
                <w:w w:val="100"/>
                <w:sz w:val="18"/>
                <w:szCs w:val="18"/>
              </w:rPr>
              <w:t> </w:t>
            </w:r>
            <w:r>
              <w:rPr>
                <w:rFonts w:ascii="宋体" w:hAnsi="宋体" w:cs="宋体" w:eastAsia="宋体" w:hint="default"/>
                <w:spacing w:val="-59"/>
                <w:w w:val="100"/>
                <w:sz w:val="18"/>
                <w:szCs w:val="18"/>
              </w:rPr>
            </w:r>
            <w:r>
              <w:rPr>
                <w:rFonts w:ascii="宋体" w:hAnsi="宋体" w:cs="宋体" w:eastAsia="宋体" w:hint="default"/>
                <w:spacing w:val="-19"/>
                <w:w w:val="99"/>
                <w:sz w:val="18"/>
                <w:szCs w:val="18"/>
              </w:rPr>
              <w:t>限合伙（）以下简称</w:t>
            </w:r>
            <w:r>
              <w:rPr>
                <w:rFonts w:ascii="Times New Roman" w:hAnsi="Times New Roman" w:cs="Times New Roman" w:eastAsia="Times New Roman" w:hint="default"/>
                <w:spacing w:val="-19"/>
                <w:w w:val="99"/>
                <w:sz w:val="18"/>
                <w:szCs w:val="18"/>
              </w:rPr>
              <w:t>“</w:t>
            </w:r>
            <w:r>
              <w:rPr>
                <w:rFonts w:ascii="宋体" w:hAnsi="宋体" w:cs="宋体" w:eastAsia="宋体" w:hint="default"/>
                <w:spacing w:val="-19"/>
                <w:w w:val="99"/>
                <w:sz w:val="18"/>
                <w:szCs w:val="18"/>
              </w:rPr>
              <w:t>军屯投资</w:t>
            </w:r>
            <w:r>
              <w:rPr>
                <w:rFonts w:ascii="Times New Roman" w:hAnsi="Times New Roman" w:cs="Times New Roman" w:eastAsia="Times New Roman" w:hint="default"/>
                <w:spacing w:val="-19"/>
                <w:w w:val="99"/>
                <w:sz w:val="18"/>
                <w:szCs w:val="18"/>
              </w:rPr>
              <w:t>”</w:t>
            </w:r>
            <w:r>
              <w:rPr>
                <w:rFonts w:ascii="宋体" w:hAnsi="宋体" w:cs="宋体" w:eastAsia="宋体" w:hint="default"/>
                <w:spacing w:val="-19"/>
                <w:w w:val="99"/>
                <w:sz w:val="18"/>
                <w:szCs w:val="18"/>
              </w:rPr>
              <w:t>）、</w:t>
            </w:r>
            <w:r>
              <w:rPr>
                <w:rFonts w:ascii="Times New Roman" w:hAnsi="Times New Roman" w:cs="Times New Roman" w:eastAsia="Times New Roman" w:hint="default"/>
                <w:spacing w:val="-19"/>
                <w:w w:val="99"/>
                <w:sz w:val="18"/>
                <w:szCs w:val="18"/>
              </w:rPr>
              <w:t>GUO</w:t>
            </w:r>
            <w:r>
              <w:rPr>
                <w:rFonts w:ascii="Times New Roman" w:hAnsi="Times New Roman" w:cs="Times New Roman" w:eastAsia="Times New Roman" w:hint="default"/>
                <w:spacing w:val="2"/>
                <w:w w:val="99"/>
                <w:sz w:val="18"/>
                <w:szCs w:val="18"/>
              </w:rPr>
              <w:t> </w:t>
            </w:r>
            <w:r>
              <w:rPr>
                <w:rFonts w:ascii="Times New Roman" w:hAnsi="Times New Roman" w:cs="Times New Roman" w:eastAsia="Times New Roman" w:hint="default"/>
                <w:spacing w:val="-10"/>
                <w:w w:val="99"/>
                <w:sz w:val="18"/>
                <w:szCs w:val="18"/>
              </w:rPr>
              <w:t>SONG</w:t>
            </w:r>
            <w:r>
              <w:rPr>
                <w:rFonts w:ascii="宋体" w:hAnsi="宋体" w:cs="宋体" w:eastAsia="宋体" w:hint="default"/>
                <w:spacing w:val="-10"/>
                <w:w w:val="99"/>
                <w:sz w:val="18"/>
                <w:szCs w:val="18"/>
              </w:rPr>
              <w:t>、</w:t>
            </w:r>
            <w:r>
              <w:rPr>
                <w:rFonts w:ascii="Times New Roman" w:hAnsi="Times New Roman" w:cs="Times New Roman" w:eastAsia="Times New Roman" w:hint="default"/>
                <w:spacing w:val="-10"/>
                <w:w w:val="99"/>
                <w:sz w:val="18"/>
                <w:szCs w:val="18"/>
              </w:rPr>
              <w:t>CHEN</w:t>
            </w:r>
            <w:r>
              <w:rPr>
                <w:rFonts w:ascii="Times New Roman" w:hAnsi="Times New Roman" w:cs="Times New Roman" w:eastAsia="Times New Roman" w:hint="default"/>
                <w:spacing w:val="-5"/>
                <w:w w:val="99"/>
                <w:sz w:val="18"/>
                <w:szCs w:val="18"/>
              </w:rPr>
              <w:t> </w:t>
            </w:r>
            <w:r>
              <w:rPr>
                <w:rFonts w:ascii="Times New Roman" w:hAnsi="Times New Roman" w:cs="Times New Roman" w:eastAsia="Times New Roman" w:hint="default"/>
                <w:spacing w:val="-1"/>
                <w:w w:val="99"/>
                <w:sz w:val="18"/>
                <w:szCs w:val="18"/>
              </w:rPr>
              <w:t>YIHAN</w:t>
            </w:r>
            <w:r>
              <w:rPr>
                <w:rFonts w:ascii="Times New Roman" w:hAnsi="Times New Roman" w:cs="Times New Roman" w:eastAsia="Times New Roman" w:hint="default"/>
                <w:spacing w:val="-3"/>
                <w:w w:val="99"/>
                <w:sz w:val="18"/>
                <w:szCs w:val="18"/>
              </w:rPr>
              <w:t> </w:t>
            </w:r>
            <w:r>
              <w:rPr>
                <w:rFonts w:ascii="宋体" w:hAnsi="宋体" w:cs="宋体" w:eastAsia="宋体" w:hint="default"/>
                <w:sz w:val="18"/>
                <w:szCs w:val="18"/>
              </w:rPr>
              <w:t>及</w:t>
            </w:r>
            <w:r>
              <w:rPr>
                <w:rFonts w:ascii="宋体" w:hAnsi="宋体" w:cs="宋体" w:eastAsia="宋体" w:hint="default"/>
                <w:spacing w:val="-50"/>
                <w:sz w:val="18"/>
                <w:szCs w:val="18"/>
              </w:rPr>
              <w:t> </w:t>
            </w:r>
            <w:r>
              <w:rPr>
                <w:rFonts w:ascii="Times New Roman" w:hAnsi="Times New Roman" w:cs="Times New Roman" w:eastAsia="Times New Roman" w:hint="default"/>
                <w:spacing w:val="-1"/>
                <w:w w:val="99"/>
                <w:sz w:val="18"/>
                <w:szCs w:val="18"/>
              </w:rPr>
              <w:t>LIU</w:t>
            </w:r>
            <w:r>
              <w:rPr>
                <w:rFonts w:ascii="Times New Roman" w:hAnsi="Times New Roman" w:cs="Times New Roman" w:eastAsia="Times New Roman" w:hint="default"/>
                <w:spacing w:val="3"/>
                <w:w w:val="99"/>
                <w:sz w:val="18"/>
                <w:szCs w:val="18"/>
              </w:rPr>
              <w:t> </w:t>
            </w:r>
            <w:r>
              <w:rPr>
                <w:rFonts w:ascii="Times New Roman" w:hAnsi="Times New Roman" w:cs="Times New Roman" w:eastAsia="Times New Roman" w:hint="default"/>
                <w:spacing w:val="-1"/>
                <w:w w:val="99"/>
                <w:sz w:val="18"/>
                <w:szCs w:val="18"/>
              </w:rPr>
              <w:t>DAN</w:t>
            </w:r>
            <w:r>
              <w:rPr>
                <w:rFonts w:ascii="Times New Roman" w:hAnsi="Times New Roman" w:cs="Times New Roman" w:eastAsia="Times New Roman" w:hint="default"/>
                <w:spacing w:val="-40"/>
                <w:w w:val="99"/>
                <w:sz w:val="18"/>
                <w:szCs w:val="18"/>
              </w:rPr>
              <w:t> </w:t>
            </w:r>
            <w:r>
              <w:rPr>
                <w:rFonts w:ascii="Times New Roman" w:hAnsi="Times New Roman" w:cs="Times New Roman" w:eastAsia="Times New Roman" w:hint="default"/>
                <w:spacing w:val="-40"/>
                <w:w w:val="99"/>
                <w:sz w:val="18"/>
                <w:szCs w:val="18"/>
              </w:rPr>
            </w:r>
            <w:r>
              <w:rPr>
                <w:rFonts w:ascii="宋体" w:hAnsi="宋体" w:cs="宋体" w:eastAsia="宋体" w:hint="default"/>
                <w:spacing w:val="-5"/>
                <w:sz w:val="18"/>
                <w:szCs w:val="18"/>
              </w:rPr>
              <w:t>承诺：</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、对于本次公开发行前直接、间接持有的公司股份，</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7"/>
                <w:sz w:val="18"/>
                <w:szCs w:val="18"/>
              </w:rPr>
              <w:t>中洲创投、博讯投资、亚晟发展、军屯投资、</w:t>
            </w:r>
            <w:r>
              <w:rPr>
                <w:rFonts w:ascii="Times New Roman" w:hAnsi="Times New Roman" w:cs="Times New Roman" w:eastAsia="Times New Roman" w:hint="default"/>
                <w:spacing w:val="-7"/>
                <w:sz w:val="18"/>
                <w:szCs w:val="18"/>
              </w:rPr>
              <w:t>GUO</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5"/>
                <w:sz w:val="18"/>
                <w:szCs w:val="18"/>
              </w:rPr>
              <w:t>SONG</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CHEN</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YIHAN</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LIU</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DAN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将严格遵守已做出的关于所持优博讯科技股份流通限制及 自愿锁定的承诺，在限售期内，不出售本次公开发行前直接、间接持有 </w:t>
            </w:r>
            <w:r>
              <w:rPr>
                <w:rFonts w:ascii="宋体" w:hAnsi="宋体" w:cs="宋体" w:eastAsia="宋体" w:hint="default"/>
                <w:spacing w:val="-3"/>
                <w:sz w:val="18"/>
                <w:szCs w:val="18"/>
              </w:rPr>
              <w:t>的公司股份（本次公开发行股票中公开发售的股份除外）。</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、上述锁定</w:t>
            </w:r>
            <w:r>
              <w:rPr>
                <w:rFonts w:ascii="宋体" w:hAnsi="宋体" w:cs="宋体" w:eastAsia="宋体" w:hint="default"/>
                <w:spacing w:val="-84"/>
                <w:sz w:val="18"/>
                <w:szCs w:val="18"/>
              </w:rPr>
              <w:t> </w:t>
            </w:r>
            <w:r>
              <w:rPr>
                <w:rFonts w:ascii="宋体" w:hAnsi="宋体" w:cs="宋体" w:eastAsia="宋体" w:hint="default"/>
                <w:sz w:val="18"/>
                <w:szCs w:val="18"/>
              </w:rPr>
              <w:t>期届满后两年内，未发生延长锁定期情形的，香港优博讯、中洲创投、 </w:t>
            </w:r>
            <w:r>
              <w:rPr>
                <w:rFonts w:ascii="宋体" w:hAnsi="宋体" w:cs="宋体" w:eastAsia="宋体" w:hint="default"/>
                <w:spacing w:val="-13"/>
                <w:w w:val="99"/>
                <w:sz w:val="18"/>
                <w:szCs w:val="18"/>
              </w:rPr>
              <w:t>博讯投资、亚晟发展、军屯投资、</w:t>
            </w:r>
            <w:r>
              <w:rPr>
                <w:rFonts w:ascii="Times New Roman" w:hAnsi="Times New Roman" w:cs="Times New Roman" w:eastAsia="Times New Roman" w:hint="default"/>
                <w:spacing w:val="-13"/>
                <w:w w:val="99"/>
                <w:sz w:val="18"/>
                <w:szCs w:val="18"/>
              </w:rPr>
              <w:t>GUO</w:t>
            </w:r>
            <w:r>
              <w:rPr>
                <w:rFonts w:ascii="Times New Roman" w:hAnsi="Times New Roman" w:cs="Times New Roman" w:eastAsia="Times New Roman" w:hint="default"/>
                <w:spacing w:val="2"/>
                <w:w w:val="99"/>
                <w:sz w:val="18"/>
                <w:szCs w:val="18"/>
              </w:rPr>
              <w:t> </w:t>
            </w:r>
            <w:r>
              <w:rPr>
                <w:rFonts w:ascii="Times New Roman" w:hAnsi="Times New Roman" w:cs="Times New Roman" w:eastAsia="Times New Roman" w:hint="default"/>
                <w:spacing w:val="-9"/>
                <w:w w:val="99"/>
                <w:sz w:val="18"/>
                <w:szCs w:val="18"/>
              </w:rPr>
              <w:t>SONG</w:t>
            </w:r>
            <w:r>
              <w:rPr>
                <w:rFonts w:ascii="宋体" w:hAnsi="宋体" w:cs="宋体" w:eastAsia="宋体" w:hint="default"/>
                <w:spacing w:val="-9"/>
                <w:w w:val="99"/>
                <w:sz w:val="18"/>
                <w:szCs w:val="18"/>
              </w:rPr>
              <w:t>、</w:t>
            </w:r>
            <w:r>
              <w:rPr>
                <w:rFonts w:ascii="Times New Roman" w:hAnsi="Times New Roman" w:cs="Times New Roman" w:eastAsia="Times New Roman" w:hint="default"/>
                <w:spacing w:val="-9"/>
                <w:w w:val="99"/>
                <w:sz w:val="18"/>
                <w:szCs w:val="18"/>
              </w:rPr>
              <w:t>CHEN</w:t>
            </w:r>
            <w:r>
              <w:rPr>
                <w:rFonts w:ascii="Times New Roman" w:hAnsi="Times New Roman" w:cs="Times New Roman" w:eastAsia="Times New Roman" w:hint="default"/>
                <w:spacing w:val="-6"/>
                <w:w w:val="99"/>
                <w:sz w:val="18"/>
                <w:szCs w:val="18"/>
              </w:rPr>
              <w:t> </w:t>
            </w:r>
            <w:r>
              <w:rPr>
                <w:rFonts w:ascii="Times New Roman" w:hAnsi="Times New Roman" w:cs="Times New Roman" w:eastAsia="Times New Roman" w:hint="default"/>
                <w:spacing w:val="-1"/>
                <w:w w:val="99"/>
                <w:sz w:val="18"/>
                <w:szCs w:val="18"/>
              </w:rPr>
              <w:t>YIHAN</w:t>
            </w:r>
            <w:r>
              <w:rPr>
                <w:rFonts w:ascii="Times New Roman" w:hAnsi="Times New Roman" w:cs="Times New Roman" w:eastAsia="Times New Roman" w:hint="default"/>
                <w:spacing w:val="5"/>
                <w:w w:val="99"/>
                <w:sz w:val="18"/>
                <w:szCs w:val="18"/>
              </w:rPr>
              <w:t> </w:t>
            </w:r>
            <w:r>
              <w:rPr>
                <w:rFonts w:ascii="宋体" w:hAnsi="宋体" w:cs="宋体" w:eastAsia="宋体" w:hint="default"/>
                <w:sz w:val="18"/>
                <w:szCs w:val="18"/>
              </w:rPr>
              <w:t>及</w:t>
            </w:r>
            <w:r>
              <w:rPr>
                <w:rFonts w:ascii="宋体" w:hAnsi="宋体" w:cs="宋体" w:eastAsia="宋体" w:hint="default"/>
                <w:spacing w:val="-43"/>
                <w:sz w:val="18"/>
                <w:szCs w:val="18"/>
              </w:rPr>
              <w:t> </w:t>
            </w:r>
            <w:r>
              <w:rPr>
                <w:rFonts w:ascii="Times New Roman" w:hAnsi="Times New Roman" w:cs="Times New Roman" w:eastAsia="Times New Roman" w:hint="default"/>
                <w:spacing w:val="-1"/>
                <w:w w:val="99"/>
                <w:sz w:val="18"/>
                <w:szCs w:val="18"/>
              </w:rPr>
              <w:t>LIU</w:t>
            </w:r>
            <w:r>
              <w:rPr>
                <w:rFonts w:ascii="Times New Roman" w:hAnsi="Times New Roman" w:cs="Times New Roman" w:eastAsia="Times New Roman" w:hint="default"/>
                <w:spacing w:val="2"/>
                <w:w w:val="99"/>
                <w:sz w:val="18"/>
                <w:szCs w:val="18"/>
              </w:rPr>
              <w:t> </w:t>
            </w:r>
            <w:r>
              <w:rPr>
                <w:rFonts w:ascii="Times New Roman" w:hAnsi="Times New Roman" w:cs="Times New Roman" w:eastAsia="Times New Roman" w:hint="default"/>
                <w:spacing w:val="-1"/>
                <w:w w:val="99"/>
                <w:sz w:val="18"/>
                <w:szCs w:val="18"/>
              </w:rPr>
              <w:t>DAN</w:t>
            </w:r>
            <w:r>
              <w:rPr>
                <w:rFonts w:ascii="Times New Roman" w:hAnsi="Times New Roman" w:cs="Times New Roman" w:eastAsia="Times New Roman" w:hint="default"/>
                <w:spacing w:val="-42"/>
                <w:w w:val="99"/>
                <w:sz w:val="18"/>
                <w:szCs w:val="18"/>
              </w:rPr>
              <w:t> </w:t>
            </w:r>
            <w:r>
              <w:rPr>
                <w:rFonts w:ascii="Times New Roman" w:hAnsi="Times New Roman" w:cs="Times New Roman" w:eastAsia="Times New Roman" w:hint="default"/>
                <w:spacing w:val="-42"/>
                <w:w w:val="99"/>
                <w:sz w:val="18"/>
                <w:szCs w:val="18"/>
              </w:rPr>
            </w:r>
            <w:r>
              <w:rPr>
                <w:rFonts w:ascii="宋体" w:hAnsi="宋体" w:cs="宋体" w:eastAsia="宋体" w:hint="default"/>
                <w:spacing w:val="-2"/>
                <w:sz w:val="18"/>
                <w:szCs w:val="18"/>
              </w:rPr>
              <w:t>可减持全部所持股份，减持价格将不低于发行价。</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、香港优博讯、中洲</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创投、博讯投资、亚晟发展、军屯投资、</w:t>
            </w:r>
            <w:r>
              <w:rPr>
                <w:rFonts w:ascii="Times New Roman" w:hAnsi="Times New Roman" w:cs="Times New Roman" w:eastAsia="Times New Roman" w:hint="default"/>
                <w:spacing w:val="-3"/>
                <w:sz w:val="18"/>
                <w:szCs w:val="18"/>
              </w:rPr>
              <w:t>GUO </w:t>
            </w:r>
            <w:r>
              <w:rPr>
                <w:rFonts w:ascii="Times New Roman" w:hAnsi="Times New Roman" w:cs="Times New Roman" w:eastAsia="Times New Roman" w:hint="default"/>
                <w:sz w:val="18"/>
                <w:szCs w:val="18"/>
              </w:rPr>
              <w:t>SONG</w:t>
            </w:r>
            <w:r>
              <w:rPr>
                <w:rFonts w:ascii="宋体" w:hAnsi="宋体" w:cs="宋体" w:eastAsia="宋体" w:hint="default"/>
                <w:sz w:val="18"/>
                <w:szCs w:val="18"/>
              </w:rPr>
              <w:t>、</w:t>
            </w:r>
            <w:r>
              <w:rPr>
                <w:rFonts w:ascii="Times New Roman" w:hAnsi="Times New Roman" w:cs="Times New Roman" w:eastAsia="Times New Roman" w:hint="default"/>
                <w:sz w:val="18"/>
                <w:szCs w:val="18"/>
              </w:rPr>
              <w:t>CHEN YIHAN</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及 </w:t>
            </w:r>
            <w:r>
              <w:rPr>
                <w:rFonts w:ascii="Times New Roman" w:hAnsi="Times New Roman" w:cs="Times New Roman" w:eastAsia="Times New Roman" w:hint="default"/>
                <w:sz w:val="18"/>
                <w:szCs w:val="18"/>
              </w:rPr>
              <w:t>LIU DAN</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承诺：根据中国证监会、证券交易所有关法律、法规的相关规 定进行减持，并提前三个交易日公告。</w:t>
            </w:r>
            <w:r>
              <w:rPr>
                <w:rFonts w:ascii="Times New Roman" w:hAnsi="Times New Roman" w:cs="Times New Roman" w:eastAsia="Times New Roman" w:hint="default"/>
                <w:sz w:val="18"/>
                <w:szCs w:val="18"/>
              </w:rPr>
              <w:t>4</w:t>
            </w:r>
            <w:r>
              <w:rPr>
                <w:rFonts w:ascii="宋体" w:hAnsi="宋体" w:cs="宋体" w:eastAsia="宋体" w:hint="default"/>
                <w:sz w:val="18"/>
                <w:szCs w:val="18"/>
              </w:rPr>
              <w:t>、如未履行上述承诺出售股票， </w:t>
            </w:r>
            <w:r>
              <w:rPr>
                <w:rFonts w:ascii="宋体" w:hAnsi="宋体" w:cs="宋体" w:eastAsia="宋体" w:hint="default"/>
                <w:spacing w:val="-3"/>
                <w:sz w:val="18"/>
                <w:szCs w:val="18"/>
              </w:rPr>
              <w:t>香港优博讯、中洲创投、博讯投资、亚晟发展、军屯投资、</w:t>
            </w:r>
            <w:r>
              <w:rPr>
                <w:rFonts w:ascii="Times New Roman" w:hAnsi="Times New Roman" w:cs="Times New Roman" w:eastAsia="Times New Roman" w:hint="default"/>
                <w:spacing w:val="-3"/>
                <w:sz w:val="18"/>
                <w:szCs w:val="18"/>
              </w:rPr>
              <w:t>GUO </w:t>
            </w:r>
            <w:r>
              <w:rPr>
                <w:rFonts w:ascii="Times New Roman" w:hAnsi="Times New Roman" w:cs="Times New Roman" w:eastAsia="Times New Roman" w:hint="default"/>
                <w:sz w:val="18"/>
                <w:szCs w:val="18"/>
              </w:rPr>
              <w:t>SONG</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Times New Roman" w:hAnsi="Times New Roman" w:cs="Times New Roman" w:eastAsia="Times New Roman" w:hint="default"/>
                <w:w w:val="99"/>
                <w:sz w:val="18"/>
                <w:szCs w:val="18"/>
              </w:rPr>
              <w:t>CHEN</w:t>
            </w:r>
            <w:r>
              <w:rPr>
                <w:rFonts w:ascii="Times New Roman" w:hAnsi="Times New Roman" w:cs="Times New Roman" w:eastAsia="Times New Roman" w:hint="default"/>
                <w:spacing w:val="-5"/>
                <w:w w:val="99"/>
                <w:sz w:val="18"/>
                <w:szCs w:val="18"/>
              </w:rPr>
              <w:t> </w:t>
            </w:r>
            <w:r>
              <w:rPr>
                <w:rFonts w:ascii="Times New Roman" w:hAnsi="Times New Roman" w:cs="Times New Roman" w:eastAsia="Times New Roman" w:hint="default"/>
                <w:spacing w:val="-1"/>
                <w:w w:val="99"/>
                <w:sz w:val="18"/>
                <w:szCs w:val="18"/>
              </w:rPr>
              <w:t>YIHAN</w:t>
            </w:r>
            <w:r>
              <w:rPr>
                <w:rFonts w:ascii="Times New Roman" w:hAnsi="Times New Roman" w:cs="Times New Roman" w:eastAsia="Times New Roman" w:hint="default"/>
                <w:spacing w:val="3"/>
                <w:w w:val="99"/>
                <w:sz w:val="18"/>
                <w:szCs w:val="18"/>
              </w:rPr>
              <w:t> </w:t>
            </w:r>
            <w:r>
              <w:rPr>
                <w:rFonts w:ascii="宋体" w:hAnsi="宋体" w:cs="宋体" w:eastAsia="宋体" w:hint="default"/>
                <w:sz w:val="18"/>
                <w:szCs w:val="18"/>
              </w:rPr>
              <w:t>及</w:t>
            </w:r>
            <w:r>
              <w:rPr>
                <w:rFonts w:ascii="宋体" w:hAnsi="宋体" w:cs="宋体" w:eastAsia="宋体" w:hint="default"/>
                <w:spacing w:val="-42"/>
                <w:sz w:val="18"/>
                <w:szCs w:val="18"/>
              </w:rPr>
              <w:t> </w:t>
            </w:r>
            <w:r>
              <w:rPr>
                <w:rFonts w:ascii="Times New Roman" w:hAnsi="Times New Roman" w:cs="Times New Roman" w:eastAsia="Times New Roman" w:hint="default"/>
                <w:spacing w:val="-1"/>
                <w:w w:val="99"/>
                <w:sz w:val="18"/>
                <w:szCs w:val="18"/>
              </w:rPr>
              <w:t>LIU</w:t>
            </w:r>
            <w:r>
              <w:rPr>
                <w:rFonts w:ascii="Times New Roman" w:hAnsi="Times New Roman" w:cs="Times New Roman" w:eastAsia="Times New Roman" w:hint="default"/>
                <w:spacing w:val="3"/>
                <w:w w:val="99"/>
                <w:sz w:val="18"/>
                <w:szCs w:val="18"/>
              </w:rPr>
              <w:t> </w:t>
            </w:r>
            <w:r>
              <w:rPr>
                <w:rFonts w:ascii="Times New Roman" w:hAnsi="Times New Roman" w:cs="Times New Roman" w:eastAsia="Times New Roman" w:hint="default"/>
                <w:spacing w:val="-1"/>
                <w:w w:val="99"/>
                <w:sz w:val="18"/>
                <w:szCs w:val="18"/>
              </w:rPr>
              <w:t>DAN</w:t>
            </w:r>
            <w:r>
              <w:rPr>
                <w:rFonts w:ascii="Times New Roman" w:hAnsi="Times New Roman" w:cs="Times New Roman" w:eastAsia="Times New Roman" w:hint="default"/>
                <w:spacing w:val="3"/>
                <w:w w:val="99"/>
                <w:sz w:val="18"/>
                <w:szCs w:val="18"/>
              </w:rPr>
              <w:t> </w:t>
            </w:r>
            <w:r>
              <w:rPr>
                <w:rFonts w:ascii="宋体" w:hAnsi="宋体" w:cs="宋体" w:eastAsia="宋体" w:hint="default"/>
                <w:spacing w:val="-8"/>
                <w:sz w:val="18"/>
                <w:szCs w:val="18"/>
              </w:rPr>
              <w:t>将该部分出售股票所取得的收益（如有），上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缴公司所有。特此承诺。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80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5"/>
                <w:sz w:val="20"/>
                <w:szCs w:val="20"/>
              </w:rPr>
              <w:pict>
                <v:group style="width:27.85pt;height:140.4pt;mso-position-horizontal-relative:char;mso-position-vertical-relative:line" coordorigin="0,0" coordsize="557,2808">
                  <v:group style="position:absolute;left:0;top:0;width:557;height:2808" coordorigin="0,0" coordsize="557,2808">
                    <v:shape style="position:absolute;left:0;top:0;width:557;height:2808" coordorigin="0,0" coordsize="557,2808" path="m0,2808l557,2808,557,0,0,0,0,2808xe" filled="true" fillcolor="#ffffff" stroked="false">
                      <v:path arrowok="t"/>
                      <v:fill type="solid"/>
                    </v:shape>
                  </v:group>
                </v:group>
              </w:pict>
            </w:r>
            <w:r>
              <w:rPr>
                <w:rFonts w:ascii="Times New Roman" w:hAnsi="Times New Roman" w:cs="Times New Roman" w:eastAsia="Times New Roman" w:hint="default"/>
                <w:position w:val="-55"/>
                <w:sz w:val="20"/>
                <w:szCs w:val="20"/>
              </w:rPr>
            </w:r>
          </w:p>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80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5"/>
                <w:sz w:val="20"/>
                <w:szCs w:val="20"/>
              </w:rPr>
              <w:pict>
                <v:group style="width:27.85pt;height:140.450pt;mso-position-horizontal-relative:char;mso-position-vertical-relative:line" coordorigin="0,0" coordsize="557,2809">
                  <v:group style="position:absolute;left:0;top:0;width:557;height:2809" coordorigin="0,0" coordsize="557,2809">
                    <v:shape style="position:absolute;left:0;top:0;width:557;height:2809" coordorigin="0,0" coordsize="557,2809" path="m0,2808l557,2808,557,0,0,0,0,2808xe" filled="true" fillcolor="#ffffff" stroked="false">
                      <v:path arrowok="t"/>
                      <v:fill type="solid"/>
                    </v:shape>
                  </v:group>
                </v:group>
              </w:pict>
            </w:r>
            <w:r>
              <w:rPr>
                <w:rFonts w:ascii="Times New Roman" w:hAnsi="Times New Roman" w:cs="Times New Roman" w:eastAsia="Times New Roman" w:hint="default"/>
                <w:position w:val="-55"/>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2021</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承诺 人严 格遵 守了 该项 承诺</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53.940002pt;margin-top:381.889984pt;width:27.85pt;height:31.2pt;mso-position-horizontal-relative:page;mso-position-vertical-relative:page;z-index:-1221016" coordorigin="9079,7638" coordsize="557,624">
            <v:shape style="position:absolute;left:9079;top:7638;width:557;height:624" coordorigin="9079,7638" coordsize="557,624" path="m9079,8262l9636,8262,9636,7638,9079,7638,9079,826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66"/>
        <w:gridCol w:w="1277"/>
        <w:gridCol w:w="425"/>
        <w:gridCol w:w="5673"/>
        <w:gridCol w:w="566"/>
        <w:gridCol w:w="566"/>
        <w:gridCol w:w="494"/>
      </w:tblGrid>
      <w:tr>
        <w:trPr>
          <w:trHeight w:val="161" w:hRule="exact"/>
        </w:trPr>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97" w:right="96"/>
              <w:jc w:val="left"/>
              <w:rPr>
                <w:rFonts w:ascii="宋体" w:hAnsi="宋体" w:cs="宋体" w:eastAsia="宋体" w:hint="default"/>
                <w:sz w:val="18"/>
                <w:szCs w:val="18"/>
              </w:rPr>
            </w:pPr>
            <w:r>
              <w:rPr>
                <w:rFonts w:ascii="宋体" w:hAnsi="宋体" w:cs="宋体" w:eastAsia="宋体" w:hint="default"/>
                <w:sz w:val="18"/>
                <w:szCs w:val="18"/>
              </w:rPr>
              <w:t>承诺 来源</w:t>
            </w: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5673"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4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62" w:right="60"/>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92" w:hRule="exact"/>
        </w:trPr>
        <w:tc>
          <w:tcPr>
            <w:tcW w:w="566"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425" w:type="dxa"/>
            <w:vMerge/>
            <w:tcBorders>
              <w:left w:val="single" w:sz="4" w:space="0" w:color="000000"/>
              <w:right w:val="single" w:sz="4" w:space="0" w:color="000000"/>
            </w:tcBorders>
            <w:shd w:val="clear" w:color="auto" w:fill="D2D2D2"/>
          </w:tcPr>
          <w:p>
            <w:pPr/>
          </w:p>
        </w:tc>
        <w:tc>
          <w:tcPr>
            <w:tcW w:w="56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6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r>
      <w:tr>
        <w:trPr>
          <w:trHeight w:val="161" w:hRule="exact"/>
        </w:trPr>
        <w:tc>
          <w:tcPr>
            <w:tcW w:w="566"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5673"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r>
      <w:tr>
        <w:trPr>
          <w:trHeight w:val="3524" w:hRule="exact"/>
        </w:trPr>
        <w:tc>
          <w:tcPr>
            <w:tcW w:w="566" w:type="dxa"/>
            <w:vMerge w:val="restart"/>
            <w:tcBorders>
              <w:top w:val="single" w:sz="4" w:space="0" w:color="000000"/>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香港优博讯科 技控股集团有 限公司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股份 回购 承诺</w:t>
            </w:r>
          </w:p>
        </w:tc>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发行人控股股东关于购回股份的承诺函</w:t>
            </w:r>
            <w:r>
              <w:rPr>
                <w:rFonts w:ascii="宋体" w:hAnsi="宋体" w:cs="宋体" w:eastAsia="宋体" w:hint="default"/>
                <w:spacing w:val="2"/>
                <w:sz w:val="18"/>
                <w:szCs w:val="18"/>
              </w:rPr>
              <w:t> </w:t>
            </w:r>
            <w:r>
              <w:rPr>
                <w:rFonts w:ascii="宋体" w:hAnsi="宋体" w:cs="宋体" w:eastAsia="宋体" w:hint="default"/>
                <w:sz w:val="18"/>
                <w:szCs w:val="18"/>
              </w:rPr>
              <w:t>深圳市优博讯科技股份有限公</w:t>
            </w:r>
            <w:r>
              <w:rPr>
                <w:rFonts w:ascii="宋体" w:hAnsi="宋体" w:cs="宋体" w:eastAsia="宋体" w:hint="default"/>
                <w:sz w:val="18"/>
                <w:szCs w:val="18"/>
              </w:rPr>
              <w:t> 司（下称</w:t>
            </w:r>
            <w:r>
              <w:rPr>
                <w:rFonts w:ascii="Times New Roman" w:hAnsi="Times New Roman" w:cs="Times New Roman" w:eastAsia="Times New Roman" w:hint="default"/>
                <w:sz w:val="18"/>
                <w:szCs w:val="18"/>
              </w:rPr>
              <w:t>“</w:t>
            </w:r>
            <w:r>
              <w:rPr>
                <w:rFonts w:ascii="宋体" w:hAnsi="宋体" w:cs="宋体" w:eastAsia="宋体" w:hint="default"/>
                <w:sz w:val="18"/>
                <w:szCs w:val="18"/>
              </w:rPr>
              <w:t>发行人</w:t>
            </w:r>
            <w:r>
              <w:rPr>
                <w:rFonts w:ascii="Times New Roman" w:hAnsi="Times New Roman" w:cs="Times New Roman" w:eastAsia="Times New Roman" w:hint="default"/>
                <w:sz w:val="18"/>
                <w:szCs w:val="18"/>
              </w:rPr>
              <w:t>”</w:t>
            </w:r>
            <w:r>
              <w:rPr>
                <w:rFonts w:ascii="宋体" w:hAnsi="宋体" w:cs="宋体" w:eastAsia="宋体" w:hint="default"/>
                <w:sz w:val="18"/>
                <w:szCs w:val="18"/>
              </w:rPr>
              <w:t>）拟申请首次公开发行人民币普通股（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股）股票并 </w:t>
            </w:r>
            <w:r>
              <w:rPr>
                <w:rFonts w:ascii="宋体" w:hAnsi="宋体" w:cs="宋体" w:eastAsia="宋体" w:hint="default"/>
                <w:spacing w:val="-4"/>
                <w:w w:val="100"/>
                <w:sz w:val="18"/>
                <w:szCs w:val="18"/>
              </w:rPr>
              <w:t>在创业板上市（下称</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首次公开发行上市</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），为首次公开发行上市，发行</w:t>
            </w:r>
            <w:r>
              <w:rPr>
                <w:rFonts w:ascii="宋体" w:hAnsi="宋体" w:cs="宋体" w:eastAsia="宋体" w:hint="default"/>
                <w:sz w:val="18"/>
                <w:szCs w:val="18"/>
              </w:rPr>
              <w:t> 人编制了《深圳市优博讯科技股份有限公司首次公开发行股票并在创业 </w:t>
            </w:r>
            <w:r>
              <w:rPr>
                <w:rFonts w:ascii="宋体" w:hAnsi="宋体" w:cs="宋体" w:eastAsia="宋体" w:hint="default"/>
                <w:spacing w:val="-6"/>
                <w:w w:val="100"/>
                <w:sz w:val="18"/>
                <w:szCs w:val="18"/>
              </w:rPr>
              <w:t>板上市招股说明书》（下称</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《招股说明书》</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）。为维护公众投资者的利</w:t>
            </w:r>
            <w:r>
              <w:rPr>
                <w:rFonts w:ascii="宋体" w:hAnsi="宋体" w:cs="宋体" w:eastAsia="宋体" w:hint="default"/>
                <w:spacing w:val="-75"/>
                <w:w w:val="100"/>
                <w:sz w:val="18"/>
                <w:szCs w:val="18"/>
              </w:rPr>
              <w:t> </w:t>
            </w:r>
            <w:r>
              <w:rPr>
                <w:rFonts w:ascii="宋体" w:hAnsi="宋体" w:cs="宋体" w:eastAsia="宋体" w:hint="default"/>
                <w:spacing w:val="-75"/>
                <w:w w:val="100"/>
                <w:sz w:val="18"/>
                <w:szCs w:val="18"/>
              </w:rPr>
            </w:r>
            <w:r>
              <w:rPr>
                <w:rFonts w:ascii="宋体" w:hAnsi="宋体" w:cs="宋体" w:eastAsia="宋体" w:hint="default"/>
                <w:spacing w:val="-2"/>
                <w:sz w:val="18"/>
                <w:szCs w:val="18"/>
              </w:rPr>
              <w:t>益，作为发行人控股股东，香港优博讯科技控股集团有限公司（下称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w:t>
            </w:r>
            <w:r>
              <w:rPr>
                <w:rFonts w:ascii="宋体" w:hAnsi="宋体" w:cs="宋体" w:eastAsia="宋体" w:hint="default"/>
                <w:spacing w:val="-75"/>
                <w:sz w:val="18"/>
                <w:szCs w:val="18"/>
              </w:rPr>
              <w:t> </w:t>
            </w:r>
            <w:r>
              <w:rPr>
                <w:rFonts w:ascii="宋体" w:hAnsi="宋体" w:cs="宋体" w:eastAsia="宋体" w:hint="default"/>
                <w:spacing w:val="-2"/>
                <w:sz w:val="18"/>
                <w:szCs w:val="18"/>
              </w:rPr>
              <w:t>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）承诺如下：如《招股说明书》存在虚假记载、误导性陈述或者重</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大遗漏，对判断发行人是否符合法律规定的发行条件构成重大、实质影 响的，将以二级市场价格依法购回本次公开发行时公开发售的股份（不 包括本次公开发行时其他股东公开发售部分及锁定期结束后本公司在二 </w:t>
            </w:r>
            <w:r>
              <w:rPr>
                <w:rFonts w:ascii="宋体" w:hAnsi="宋体" w:cs="宋体" w:eastAsia="宋体" w:hint="default"/>
                <w:spacing w:val="-10"/>
                <w:sz w:val="18"/>
                <w:szCs w:val="18"/>
              </w:rPr>
              <w:t>级市场减持的股份）。</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4" w:lineRule="auto"/>
              <w:ind w:left="23" w:right="170"/>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承诺 人严 格遵 守了 该项 承诺</w:t>
            </w:r>
          </w:p>
        </w:tc>
      </w:tr>
      <w:tr>
        <w:trPr>
          <w:trHeight w:val="2587" w:hRule="exact"/>
        </w:trPr>
        <w:tc>
          <w:tcPr>
            <w:tcW w:w="566"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深圳市优博讯 科技股份有限 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股份 回购 承诺</w:t>
            </w:r>
          </w:p>
        </w:tc>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发行人关于回购股份的承诺函</w:t>
            </w:r>
            <w:r>
              <w:rPr>
                <w:rFonts w:ascii="宋体" w:hAnsi="宋体" w:cs="宋体" w:eastAsia="宋体" w:hint="default"/>
                <w:spacing w:val="1"/>
                <w:sz w:val="18"/>
                <w:szCs w:val="18"/>
              </w:rPr>
              <w:t> </w:t>
            </w:r>
            <w:r>
              <w:rPr>
                <w:rFonts w:ascii="宋体" w:hAnsi="宋体" w:cs="宋体" w:eastAsia="宋体" w:hint="default"/>
                <w:sz w:val="18"/>
                <w:szCs w:val="18"/>
              </w:rPr>
              <w:t>深圳市优博讯科技股份有限公司（下称</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发行人</w:t>
            </w:r>
            <w:r>
              <w:rPr>
                <w:rFonts w:ascii="Times New Roman" w:hAnsi="Times New Roman" w:cs="Times New Roman" w:eastAsia="Times New Roman" w:hint="default"/>
                <w:sz w:val="18"/>
                <w:szCs w:val="18"/>
              </w:rPr>
              <w:t>”</w:t>
            </w:r>
            <w:r>
              <w:rPr>
                <w:rFonts w:ascii="宋体" w:hAnsi="宋体" w:cs="宋体" w:eastAsia="宋体" w:hint="default"/>
                <w:sz w:val="18"/>
                <w:szCs w:val="18"/>
              </w:rPr>
              <w:t>）拟申请首次公开发行人民币普通股（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股）股票并在创业板 </w:t>
            </w:r>
            <w:r>
              <w:rPr>
                <w:rFonts w:ascii="宋体" w:hAnsi="宋体" w:cs="宋体" w:eastAsia="宋体" w:hint="default"/>
                <w:spacing w:val="-4"/>
                <w:w w:val="100"/>
                <w:sz w:val="18"/>
                <w:szCs w:val="18"/>
              </w:rPr>
              <w:t>上市（下称</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首次公开发行上市</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），为首次公开发行上市，发行人编制了</w:t>
            </w:r>
          </w:p>
          <w:p>
            <w:pPr>
              <w:pStyle w:val="TableParagraph"/>
              <w:spacing w:line="314" w:lineRule="auto" w:before="5"/>
              <w:ind w:left="23" w:right="57"/>
              <w:jc w:val="both"/>
              <w:rPr>
                <w:rFonts w:ascii="宋体" w:hAnsi="宋体" w:cs="宋体" w:eastAsia="宋体" w:hint="default"/>
                <w:sz w:val="18"/>
                <w:szCs w:val="18"/>
              </w:rPr>
            </w:pPr>
            <w:r>
              <w:rPr>
                <w:rFonts w:ascii="宋体" w:hAnsi="宋体" w:cs="宋体" w:eastAsia="宋体" w:hint="default"/>
                <w:sz w:val="18"/>
                <w:szCs w:val="18"/>
              </w:rPr>
              <w:t>《深圳市优博讯科技股份有限公司首次公开发行股票并在创业板上市招 </w:t>
            </w:r>
            <w:r>
              <w:rPr>
                <w:rFonts w:ascii="宋体" w:hAnsi="宋体" w:cs="宋体" w:eastAsia="宋体" w:hint="default"/>
                <w:spacing w:val="-6"/>
                <w:w w:val="100"/>
                <w:sz w:val="18"/>
                <w:szCs w:val="18"/>
              </w:rPr>
              <w:t>股说明书》（下称</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《招股说明书》</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）。为维护公众投资者的利益，发行</w:t>
            </w:r>
            <w:r>
              <w:rPr>
                <w:rFonts w:ascii="宋体" w:hAnsi="宋体" w:cs="宋体" w:eastAsia="宋体" w:hint="default"/>
                <w:spacing w:val="-75"/>
                <w:w w:val="100"/>
                <w:sz w:val="18"/>
                <w:szCs w:val="18"/>
              </w:rPr>
              <w:t> </w:t>
            </w:r>
            <w:r>
              <w:rPr>
                <w:rFonts w:ascii="宋体" w:hAnsi="宋体" w:cs="宋体" w:eastAsia="宋体" w:hint="default"/>
                <w:spacing w:val="-75"/>
                <w:w w:val="100"/>
                <w:sz w:val="18"/>
                <w:szCs w:val="18"/>
              </w:rPr>
            </w:r>
            <w:r>
              <w:rPr>
                <w:rFonts w:ascii="宋体" w:hAnsi="宋体" w:cs="宋体" w:eastAsia="宋体" w:hint="default"/>
                <w:sz w:val="18"/>
                <w:szCs w:val="18"/>
              </w:rPr>
              <w:t>人承诺如下：如《招股说明书》存在虚假记载、误导性陈述或者重大遗 </w:t>
            </w:r>
            <w:r>
              <w:rPr>
                <w:rFonts w:ascii="宋体" w:hAnsi="宋体" w:cs="宋体" w:eastAsia="宋体" w:hint="default"/>
                <w:spacing w:val="-2"/>
                <w:sz w:val="18"/>
                <w:szCs w:val="18"/>
              </w:rPr>
              <w:t>漏，对判断发行人是否符合法律规定的发行条件构成重大、实质影响的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发行人将以二级市场价格依法回购本次公开发行的全部新股。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before="76"/>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70"/>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98"/>
              <w:jc w:val="both"/>
              <w:rPr>
                <w:rFonts w:ascii="宋体" w:hAnsi="宋体" w:cs="宋体" w:eastAsia="宋体" w:hint="default"/>
                <w:sz w:val="18"/>
                <w:szCs w:val="18"/>
              </w:rPr>
            </w:pPr>
            <w:r>
              <w:rPr>
                <w:rFonts w:ascii="宋体" w:hAnsi="宋体" w:cs="宋体" w:eastAsia="宋体" w:hint="default"/>
                <w:sz w:val="18"/>
                <w:szCs w:val="18"/>
              </w:rPr>
              <w:t>承诺 人严 格遵 守了 该项 承诺</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11.783997pt;margin-top:432.049988pt;width:70pt;height:257.45pt;mso-position-horizontal-relative:page;mso-position-vertical-relative:page;z-index:-12209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2"/>
                    <w:ind w:left="0" w:right="0"/>
                    <w:jc w:val="left"/>
                  </w:pPr>
                  <w:r>
                    <w:rPr/>
                    <w:t>国证监会、</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66"/>
        <w:gridCol w:w="1277"/>
        <w:gridCol w:w="425"/>
        <w:gridCol w:w="5673"/>
        <w:gridCol w:w="566"/>
        <w:gridCol w:w="566"/>
        <w:gridCol w:w="494"/>
      </w:tblGrid>
      <w:tr>
        <w:trPr>
          <w:trHeight w:val="161" w:hRule="exact"/>
        </w:trPr>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97" w:right="96"/>
              <w:jc w:val="left"/>
              <w:rPr>
                <w:rFonts w:ascii="宋体" w:hAnsi="宋体" w:cs="宋体" w:eastAsia="宋体" w:hint="default"/>
                <w:sz w:val="18"/>
                <w:szCs w:val="18"/>
              </w:rPr>
            </w:pPr>
            <w:r>
              <w:rPr>
                <w:rFonts w:ascii="宋体" w:hAnsi="宋体" w:cs="宋体" w:eastAsia="宋体" w:hint="default"/>
                <w:sz w:val="18"/>
                <w:szCs w:val="18"/>
              </w:rPr>
              <w:t>承诺 来源</w:t>
            </w: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5673"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4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62" w:right="60"/>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92" w:hRule="exact"/>
        </w:trPr>
        <w:tc>
          <w:tcPr>
            <w:tcW w:w="566"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425" w:type="dxa"/>
            <w:vMerge/>
            <w:tcBorders>
              <w:left w:val="single" w:sz="4" w:space="0" w:color="000000"/>
              <w:right w:val="single" w:sz="4" w:space="0" w:color="000000"/>
            </w:tcBorders>
            <w:shd w:val="clear" w:color="auto" w:fill="D2D2D2"/>
          </w:tcPr>
          <w:p>
            <w:pPr/>
          </w:p>
        </w:tc>
        <w:tc>
          <w:tcPr>
            <w:tcW w:w="56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6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r>
      <w:tr>
        <w:trPr>
          <w:trHeight w:val="161" w:hRule="exact"/>
        </w:trPr>
        <w:tc>
          <w:tcPr>
            <w:tcW w:w="566"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5673"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r>
      <w:tr>
        <w:trPr>
          <w:trHeight w:val="11637" w:hRule="exact"/>
        </w:trPr>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60" w:lineRule="auto"/>
              <w:ind w:left="23" w:right="403"/>
              <w:jc w:val="left"/>
              <w:rPr>
                <w:rFonts w:ascii="Times New Roman" w:hAnsi="Times New Roman" w:cs="Times New Roman" w:eastAsia="Times New Roman" w:hint="default"/>
                <w:sz w:val="18"/>
                <w:szCs w:val="18"/>
              </w:rPr>
            </w:pPr>
            <w:r>
              <w:rPr>
                <w:rFonts w:ascii="Times New Roman"/>
                <w:sz w:val="18"/>
              </w:rPr>
              <w:t>GUO</w:t>
            </w:r>
            <w:r>
              <w:rPr>
                <w:rFonts w:ascii="Times New Roman"/>
                <w:w w:val="99"/>
                <w:sz w:val="18"/>
              </w:rPr>
              <w:t> </w:t>
            </w:r>
            <w:r>
              <w:rPr>
                <w:rFonts w:ascii="Times New Roman"/>
                <w:sz w:val="18"/>
              </w:rPr>
              <w:t>SONG;LIU</w:t>
            </w:r>
          </w:p>
          <w:p>
            <w:pPr>
              <w:pStyle w:val="TableParagraph"/>
              <w:spacing w:line="21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DAN;</w:t>
            </w:r>
            <w:r>
              <w:rPr>
                <w:rFonts w:ascii="宋体" w:hAnsi="宋体" w:cs="宋体" w:eastAsia="宋体" w:hint="default"/>
                <w:sz w:val="18"/>
                <w:szCs w:val="18"/>
              </w:rPr>
              <w:t>陈雪飞</w:t>
            </w:r>
            <w:r>
              <w:rPr>
                <w:rFonts w:ascii="Times New Roman" w:hAnsi="Times New Roman" w:cs="Times New Roman" w:eastAsia="Times New Roman" w:hint="default"/>
                <w:sz w:val="18"/>
                <w:szCs w:val="18"/>
              </w:rPr>
              <w:t>;</w:t>
            </w:r>
            <w:r>
              <w:rPr>
                <w:rFonts w:ascii="宋体" w:hAnsi="宋体" w:cs="宋体" w:eastAsia="宋体" w:hint="default"/>
                <w:sz w:val="18"/>
                <w:szCs w:val="18"/>
              </w:rPr>
              <w:t>达</w:t>
            </w:r>
          </w:p>
          <w:p>
            <w:pPr>
              <w:pStyle w:val="TableParagraph"/>
              <w:spacing w:line="304" w:lineRule="auto" w:before="63"/>
              <w:ind w:left="23" w:right="60"/>
              <w:jc w:val="left"/>
              <w:rPr>
                <w:rFonts w:ascii="宋体" w:hAnsi="宋体" w:cs="宋体" w:eastAsia="宋体" w:hint="default"/>
                <w:sz w:val="18"/>
                <w:szCs w:val="18"/>
              </w:rPr>
            </w:pPr>
            <w:r>
              <w:rPr>
                <w:rFonts w:ascii="宋体" w:hAnsi="宋体" w:cs="宋体" w:eastAsia="宋体" w:hint="default"/>
                <w:sz w:val="18"/>
                <w:szCs w:val="18"/>
              </w:rPr>
              <w:t>瓦</w:t>
            </w:r>
            <w:r>
              <w:rPr>
                <w:rFonts w:ascii="Times New Roman" w:hAnsi="Times New Roman" w:cs="Times New Roman" w:eastAsia="Times New Roman" w:hint="default"/>
                <w:sz w:val="18"/>
                <w:szCs w:val="18"/>
              </w:rPr>
              <w:t>;</w:t>
            </w:r>
            <w:r>
              <w:rPr>
                <w:rFonts w:ascii="宋体" w:hAnsi="宋体" w:cs="宋体" w:eastAsia="宋体" w:hint="default"/>
                <w:sz w:val="18"/>
                <w:szCs w:val="18"/>
              </w:rPr>
              <w:t>高海军</w:t>
            </w:r>
            <w:r>
              <w:rPr>
                <w:rFonts w:ascii="Times New Roman" w:hAnsi="Times New Roman" w:cs="Times New Roman" w:eastAsia="Times New Roman" w:hint="default"/>
                <w:sz w:val="18"/>
                <w:szCs w:val="18"/>
              </w:rPr>
              <w:t>;</w:t>
            </w:r>
            <w:r>
              <w:rPr>
                <w:rFonts w:ascii="宋体" w:hAnsi="宋体" w:cs="宋体" w:eastAsia="宋体" w:hint="default"/>
                <w:sz w:val="18"/>
                <w:szCs w:val="18"/>
              </w:rPr>
              <w:t>高明 玉</w:t>
            </w:r>
            <w:r>
              <w:rPr>
                <w:rFonts w:ascii="Times New Roman" w:hAnsi="Times New Roman" w:cs="Times New Roman" w:eastAsia="Times New Roman" w:hint="default"/>
                <w:sz w:val="18"/>
                <w:szCs w:val="18"/>
              </w:rPr>
              <w:t>;</w:t>
            </w:r>
            <w:r>
              <w:rPr>
                <w:rFonts w:ascii="宋体" w:hAnsi="宋体" w:cs="宋体" w:eastAsia="宋体" w:hint="default"/>
                <w:sz w:val="18"/>
                <w:szCs w:val="18"/>
              </w:rPr>
              <w:t>郭雳</w:t>
            </w:r>
            <w:r>
              <w:rPr>
                <w:rFonts w:ascii="Times New Roman" w:hAnsi="Times New Roman" w:cs="Times New Roman" w:eastAsia="Times New Roman" w:hint="default"/>
                <w:sz w:val="18"/>
                <w:szCs w:val="18"/>
              </w:rPr>
              <w:t>;</w:t>
            </w:r>
            <w:r>
              <w:rPr>
                <w:rFonts w:ascii="宋体" w:hAnsi="宋体" w:cs="宋体" w:eastAsia="宋体" w:hint="default"/>
                <w:sz w:val="18"/>
                <w:szCs w:val="18"/>
              </w:rPr>
              <w:t>李挥</w:t>
            </w:r>
            <w:r>
              <w:rPr>
                <w:rFonts w:ascii="Times New Roman" w:hAnsi="Times New Roman" w:cs="Times New Roman" w:eastAsia="Times New Roman" w:hint="default"/>
                <w:sz w:val="18"/>
                <w:szCs w:val="18"/>
              </w:rPr>
              <w:t>; </w:t>
            </w:r>
            <w:r>
              <w:rPr>
                <w:rFonts w:ascii="宋体" w:hAnsi="宋体" w:cs="宋体" w:eastAsia="宋体" w:hint="default"/>
                <w:sz w:val="18"/>
                <w:szCs w:val="18"/>
              </w:rPr>
              <w:t>刘镇</w:t>
            </w:r>
            <w:r>
              <w:rPr>
                <w:rFonts w:ascii="Times New Roman" w:hAnsi="Times New Roman" w:cs="Times New Roman" w:eastAsia="Times New Roman" w:hint="default"/>
                <w:sz w:val="18"/>
                <w:szCs w:val="18"/>
              </w:rPr>
              <w:t>;</w:t>
            </w:r>
            <w:r>
              <w:rPr>
                <w:rFonts w:ascii="宋体" w:hAnsi="宋体" w:cs="宋体" w:eastAsia="宋体" w:hint="default"/>
                <w:sz w:val="18"/>
                <w:szCs w:val="18"/>
              </w:rPr>
              <w:t>屈先富</w:t>
            </w:r>
            <w:r>
              <w:rPr>
                <w:rFonts w:ascii="Times New Roman" w:hAnsi="Times New Roman" w:cs="Times New Roman" w:eastAsia="Times New Roman" w:hint="default"/>
                <w:sz w:val="18"/>
                <w:szCs w:val="18"/>
              </w:rPr>
              <w:t>;</w:t>
            </w:r>
            <w:r>
              <w:rPr>
                <w:rFonts w:ascii="宋体" w:hAnsi="宋体" w:cs="宋体" w:eastAsia="宋体" w:hint="default"/>
                <w:sz w:val="18"/>
                <w:szCs w:val="18"/>
              </w:rPr>
              <w:t>申 成文</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深圳市优 博讯科技股份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仝文 定</w:t>
            </w:r>
            <w:r>
              <w:rPr>
                <w:rFonts w:ascii="Times New Roman" w:hAnsi="Times New Roman" w:cs="Times New Roman" w:eastAsia="Times New Roman" w:hint="default"/>
                <w:sz w:val="18"/>
                <w:szCs w:val="18"/>
              </w:rPr>
              <w:t>;</w:t>
            </w:r>
            <w:r>
              <w:rPr>
                <w:rFonts w:ascii="宋体" w:hAnsi="宋体" w:cs="宋体" w:eastAsia="宋体" w:hint="default"/>
                <w:sz w:val="18"/>
                <w:szCs w:val="18"/>
              </w:rPr>
              <w:t>王滨</w:t>
            </w:r>
            <w:r>
              <w:rPr>
                <w:rFonts w:ascii="Times New Roman" w:hAnsi="Times New Roman" w:cs="Times New Roman" w:eastAsia="Times New Roman" w:hint="default"/>
                <w:sz w:val="18"/>
                <w:szCs w:val="18"/>
              </w:rPr>
              <w:t>;</w:t>
            </w:r>
            <w:r>
              <w:rPr>
                <w:rFonts w:ascii="宋体" w:hAnsi="宋体" w:cs="宋体" w:eastAsia="宋体" w:hint="default"/>
                <w:sz w:val="18"/>
                <w:szCs w:val="18"/>
              </w:rPr>
              <w:t>王仁 东</w:t>
            </w:r>
            <w:r>
              <w:rPr>
                <w:rFonts w:ascii="Times New Roman" w:hAnsi="Times New Roman" w:cs="Times New Roman" w:eastAsia="Times New Roman" w:hint="default"/>
                <w:sz w:val="18"/>
                <w:szCs w:val="18"/>
              </w:rPr>
              <w:t>;</w:t>
            </w:r>
            <w:r>
              <w:rPr>
                <w:rFonts w:ascii="宋体" w:hAnsi="宋体" w:cs="宋体" w:eastAsia="宋体" w:hint="default"/>
                <w:sz w:val="18"/>
                <w:szCs w:val="18"/>
              </w:rPr>
              <w:t>香港优博讯 科技控股集团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徐先 达</w:t>
            </w:r>
            <w:r>
              <w:rPr>
                <w:rFonts w:ascii="Times New Roman" w:hAnsi="Times New Roman" w:cs="Times New Roman" w:eastAsia="Times New Roman" w:hint="default"/>
                <w:sz w:val="18"/>
                <w:szCs w:val="18"/>
              </w:rPr>
              <w:t>;</w:t>
            </w:r>
            <w:r>
              <w:rPr>
                <w:rFonts w:ascii="宋体" w:hAnsi="宋体" w:cs="宋体" w:eastAsia="宋体" w:hint="default"/>
                <w:sz w:val="18"/>
                <w:szCs w:val="18"/>
              </w:rPr>
              <w:t>杨彦彰</w:t>
            </w:r>
            <w:r>
              <w:rPr>
                <w:rFonts w:ascii="Times New Roman" w:hAnsi="Times New Roman" w:cs="Times New Roman" w:eastAsia="Times New Roman" w:hint="default"/>
                <w:sz w:val="18"/>
                <w:szCs w:val="18"/>
              </w:rPr>
              <w:t>;</w:t>
            </w:r>
            <w:r>
              <w:rPr>
                <w:rFonts w:ascii="宋体" w:hAnsi="宋体" w:cs="宋体" w:eastAsia="宋体" w:hint="default"/>
                <w:sz w:val="18"/>
                <w:szCs w:val="18"/>
              </w:rPr>
              <w:t>邹雪 城</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3" w:right="0"/>
              <w:jc w:val="both"/>
              <w:rPr>
                <w:rFonts w:ascii="Times New Roman" w:hAnsi="Times New Roman" w:cs="Times New Roman" w:eastAsia="Times New Roman" w:hint="default"/>
                <w:sz w:val="18"/>
                <w:szCs w:val="18"/>
              </w:rPr>
            </w:pPr>
            <w:r>
              <w:rPr>
                <w:rFonts w:ascii="Times New Roman"/>
                <w:sz w:val="18"/>
              </w:rPr>
              <w:t>IPO</w:t>
            </w:r>
          </w:p>
          <w:p>
            <w:pPr>
              <w:pStyle w:val="TableParagraph"/>
              <w:spacing w:line="316" w:lineRule="auto" w:before="60"/>
              <w:ind w:left="23" w:right="29"/>
              <w:jc w:val="both"/>
              <w:rPr>
                <w:rFonts w:ascii="宋体" w:hAnsi="宋体" w:cs="宋体" w:eastAsia="宋体" w:hint="default"/>
                <w:sz w:val="18"/>
                <w:szCs w:val="18"/>
              </w:rPr>
            </w:pPr>
            <w:r>
              <w:rPr>
                <w:rFonts w:ascii="宋体" w:hAnsi="宋体" w:cs="宋体" w:eastAsia="宋体" w:hint="default"/>
                <w:sz w:val="18"/>
                <w:szCs w:val="18"/>
              </w:rPr>
              <w:t>稳定 股价 承诺</w:t>
            </w:r>
          </w:p>
        </w:tc>
        <w:tc>
          <w:tcPr>
            <w:tcW w:w="5673" w:type="dxa"/>
            <w:tcBorders>
              <w:top w:val="single" w:sz="4" w:space="0" w:color="000000"/>
              <w:left w:val="single" w:sz="4" w:space="0" w:color="000000"/>
              <w:bottom w:val="single" w:sz="4" w:space="0" w:color="000000"/>
              <w:right w:val="single" w:sz="10" w:space="0" w:color="FFFFFF"/>
            </w:tcBorders>
          </w:tcPr>
          <w:p>
            <w:pPr>
              <w:pStyle w:val="TableParagraph"/>
              <w:spacing w:line="307" w:lineRule="auto" w:before="51"/>
              <w:ind w:left="23" w:right="12"/>
              <w:jc w:val="left"/>
              <w:rPr>
                <w:rFonts w:ascii="宋体" w:hAnsi="宋体" w:cs="宋体" w:eastAsia="宋体" w:hint="default"/>
                <w:sz w:val="18"/>
                <w:szCs w:val="18"/>
              </w:rPr>
            </w:pPr>
            <w:r>
              <w:rPr>
                <w:rFonts w:ascii="宋体" w:hAnsi="宋体" w:cs="宋体" w:eastAsia="宋体" w:hint="default"/>
                <w:sz w:val="18"/>
                <w:szCs w:val="18"/>
              </w:rPr>
              <w:t>深圳市优博讯科技股份有限公司及其控股股东、董事及高级管理人员关 于稳定公司股价的预案 深圳市优博讯科技股份有限公司（以下简称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优 博讯</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）拟申请首次公开发行人民币普通股（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股）股票并在创 </w:t>
            </w:r>
            <w:r>
              <w:rPr>
                <w:rFonts w:ascii="宋体" w:hAnsi="宋体" w:cs="宋体" w:eastAsia="宋体" w:hint="default"/>
                <w:spacing w:val="-4"/>
                <w:w w:val="100"/>
                <w:sz w:val="18"/>
                <w:szCs w:val="18"/>
              </w:rPr>
              <w:t>业板上市（下称</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首次公开发行上市</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），为维护公众投资者的利益，公司</w:t>
            </w:r>
            <w:r>
              <w:rPr>
                <w:rFonts w:ascii="宋体" w:hAnsi="宋体" w:cs="宋体" w:eastAsia="宋体" w:hint="default"/>
                <w:sz w:val="18"/>
                <w:szCs w:val="18"/>
              </w:rPr>
              <w:t> 及其控股股东、董事及高级管理人员承诺，如果首次公开发行上市后三 年内公司股价出现低于每股净资产的情况时，将启动稳定股价的预案， 具体如下：</w:t>
            </w:r>
            <w:r>
              <w:rPr>
                <w:rFonts w:ascii="Times New Roman" w:hAnsi="Times New Roman" w:cs="Times New Roman" w:eastAsia="Times New Roman" w:hint="default"/>
                <w:sz w:val="18"/>
                <w:szCs w:val="18"/>
              </w:rPr>
              <w:t>1. </w:t>
            </w:r>
            <w:r>
              <w:rPr>
                <w:rFonts w:ascii="宋体" w:hAnsi="宋体" w:cs="宋体" w:eastAsia="宋体" w:hint="default"/>
                <w:sz w:val="18"/>
                <w:szCs w:val="18"/>
              </w:rPr>
              <w:t>启动股价稳定措施的具体条件（</w:t>
            </w:r>
            <w:r>
              <w:rPr>
                <w:rFonts w:ascii="Times New Roman" w:hAnsi="Times New Roman" w:cs="Times New Roman" w:eastAsia="Times New Roman" w:hint="default"/>
                <w:sz w:val="18"/>
                <w:szCs w:val="18"/>
              </w:rPr>
              <w:t>1</w:t>
            </w:r>
            <w:r>
              <w:rPr>
                <w:rFonts w:ascii="宋体" w:hAnsi="宋体" w:cs="宋体" w:eastAsia="宋体" w:hint="default"/>
                <w:sz w:val="18"/>
                <w:szCs w:val="18"/>
              </w:rPr>
              <w:t>）预警条件：当公司股 票连续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个交易日的收盘价低于每股净资产的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w:t>
            </w:r>
            <w:r>
              <w:rPr>
                <w:rFonts w:ascii="宋体" w:hAnsi="宋体" w:cs="宋体" w:eastAsia="宋体" w:hint="default"/>
                <w:sz w:val="18"/>
                <w:szCs w:val="18"/>
              </w:rPr>
              <w:t>时，在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个工作日 内召开投资者见面会，与投资者就上市公司经营状况、财务指标、发展 </w:t>
            </w:r>
            <w:r>
              <w:rPr>
                <w:rFonts w:ascii="宋体" w:hAnsi="宋体" w:cs="宋体" w:eastAsia="宋体" w:hint="default"/>
                <w:spacing w:val="-7"/>
                <w:sz w:val="18"/>
                <w:szCs w:val="18"/>
              </w:rPr>
              <w:t>战略进行深入沟通；（</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）启动条件：当公司股票连续</w:t>
            </w:r>
            <w:r>
              <w:rPr>
                <w:rFonts w:ascii="宋体" w:hAnsi="宋体" w:cs="宋体" w:eastAsia="宋体" w:hint="default"/>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8"/>
                <w:sz w:val="18"/>
                <w:szCs w:val="18"/>
              </w:rPr>
              <w:t> </w:t>
            </w:r>
            <w:r>
              <w:rPr>
                <w:rFonts w:ascii="宋体" w:hAnsi="宋体" w:cs="宋体" w:eastAsia="宋体" w:hint="default"/>
                <w:spacing w:val="-1"/>
                <w:sz w:val="18"/>
                <w:szCs w:val="18"/>
              </w:rPr>
              <w:t>个交易日的收盘</w:t>
            </w:r>
          </w:p>
          <w:p>
            <w:pPr>
              <w:pStyle w:val="TableParagraph"/>
              <w:spacing w:line="300" w:lineRule="auto" w:before="7"/>
              <w:ind w:left="23" w:right="15"/>
              <w:jc w:val="left"/>
              <w:rPr>
                <w:rFonts w:ascii="宋体" w:hAnsi="宋体" w:cs="宋体" w:eastAsia="宋体" w:hint="default"/>
                <w:sz w:val="18"/>
                <w:szCs w:val="18"/>
              </w:rPr>
            </w:pPr>
            <w:r>
              <w:rPr>
                <w:rFonts w:ascii="宋体" w:hAnsi="宋体" w:cs="宋体" w:eastAsia="宋体" w:hint="default"/>
                <w:spacing w:val="-3"/>
                <w:sz w:val="18"/>
                <w:szCs w:val="18"/>
              </w:rPr>
              <w:t>价低于每股净资产时，应当在</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日内实施相关稳定股价的方案，并应提 前公告具体实施方案。</w:t>
            </w:r>
            <w:r>
              <w:rPr>
                <w:rFonts w:ascii="Times New Roman" w:hAnsi="Times New Roman" w:cs="Times New Roman" w:eastAsia="Times New Roman" w:hint="default"/>
                <w:sz w:val="18"/>
                <w:szCs w:val="18"/>
              </w:rPr>
              <w:t>2. </w:t>
            </w:r>
            <w:r>
              <w:rPr>
                <w:rFonts w:ascii="宋体" w:hAnsi="宋体" w:cs="宋体" w:eastAsia="宋体" w:hint="default"/>
                <w:sz w:val="18"/>
                <w:szCs w:val="18"/>
              </w:rPr>
              <w:t>稳定股价的具体措施 当上述启动股价稳定措 施的条件成就时，公司将及时采取以下部分或全部措施稳定公司股价：</w:t>
            </w:r>
          </w:p>
          <w:p>
            <w:pPr>
              <w:pStyle w:val="TableParagraph"/>
              <w:spacing w:line="312" w:lineRule="auto" w:before="31"/>
              <w:ind w:left="23" w:right="1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）由公司回购股票</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）公司为稳定股价之目的回购股份，应符合《上 </w:t>
            </w:r>
            <w:r>
              <w:rPr>
                <w:rFonts w:ascii="宋体" w:hAnsi="宋体" w:cs="宋体" w:eastAsia="宋体" w:hint="default"/>
                <w:spacing w:val="-5"/>
                <w:sz w:val="18"/>
                <w:szCs w:val="18"/>
              </w:rPr>
              <w:t>市公司回购社会公众股份管理办法（试行）》及《关于上市公司以集中竞</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价交易方式回购股份的补充规定》等相关法律、法规的规定，且不应导 </w:t>
            </w:r>
            <w:r>
              <w:rPr>
                <w:rFonts w:ascii="宋体" w:hAnsi="宋体" w:cs="宋体" w:eastAsia="宋体" w:hint="default"/>
                <w:spacing w:val="-5"/>
                <w:sz w:val="18"/>
                <w:szCs w:val="18"/>
              </w:rPr>
              <w:t>致公司股权分布不符合上市条件。</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）公司股东大会对回购股份做出决议</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须经出席会议的股东所持表决权的三分之二以上通过。</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）公司为稳定股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价之目的进行股份回购的，除应符合相关法律法规之要求之外，还应符 合下列各项：①公司用于回购股份的资金总额累计不超过公司首次公开 发行新股所募集资金的总额；②公司单次用于回购股份的资金不得低于 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4</w:t>
            </w:r>
            <w:r>
              <w:rPr>
                <w:rFonts w:ascii="宋体" w:hAnsi="宋体" w:cs="宋体" w:eastAsia="宋体" w:hint="default"/>
                <w:sz w:val="18"/>
                <w:szCs w:val="18"/>
              </w:rPr>
              <w:t>）公司董事会公告回购股份预案后，公司股票若连</w:t>
            </w:r>
          </w:p>
          <w:p>
            <w:pPr>
              <w:pStyle w:val="TableParagraph"/>
              <w:spacing w:line="307" w:lineRule="auto" w:before="3"/>
              <w:ind w:left="23" w:right="15"/>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个交易日收盘价超过每股净资产时，公司董事会可以做出决议终止 </w:t>
            </w:r>
            <w:r>
              <w:rPr>
                <w:rFonts w:ascii="宋体" w:hAnsi="宋体" w:cs="宋体" w:eastAsia="宋体" w:hint="default"/>
                <w:spacing w:val="-5"/>
                <w:sz w:val="18"/>
                <w:szCs w:val="18"/>
              </w:rPr>
              <w:t>回购股份事宜。（</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）控股股东、实际控制人增持</w:t>
            </w:r>
            <w:r>
              <w:rPr>
                <w:rFonts w:ascii="宋体" w:hAnsi="宋体" w:cs="宋体" w:eastAsia="宋体" w:hint="default"/>
                <w:spacing w:val="-36"/>
                <w:sz w:val="18"/>
                <w:szCs w:val="18"/>
              </w:rPr>
              <w:t> </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）公司控股股东、实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际控制人应在符合《上市公司收购管理办法》及《创业板信息披露业务 备忘录第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号－股东及其一致行动人增持股份业务管理》等法律法规的 </w:t>
            </w:r>
            <w:r>
              <w:rPr>
                <w:rFonts w:ascii="宋体" w:hAnsi="宋体" w:cs="宋体" w:eastAsia="宋体" w:hint="default"/>
                <w:spacing w:val="-2"/>
                <w:sz w:val="18"/>
                <w:szCs w:val="18"/>
              </w:rPr>
              <w:t>条件和要求的前提下，对公司股票进行增持；</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）控股股东或实际控制人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承诺单次增持总金额不少于人民币</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6"/>
                <w:sz w:val="18"/>
                <w:szCs w:val="18"/>
              </w:rPr>
              <w:t> </w:t>
            </w:r>
            <w:r>
              <w:rPr>
                <w:rFonts w:ascii="宋体" w:hAnsi="宋体" w:cs="宋体" w:eastAsia="宋体" w:hint="default"/>
                <w:spacing w:val="-11"/>
                <w:sz w:val="18"/>
                <w:szCs w:val="18"/>
              </w:rPr>
              <w:t>万元。（</w:t>
            </w:r>
            <w:r>
              <w:rPr>
                <w:rFonts w:ascii="Times New Roman" w:hAnsi="Times New Roman" w:cs="Times New Roman" w:eastAsia="Times New Roman" w:hint="default"/>
                <w:spacing w:val="-11"/>
                <w:sz w:val="18"/>
                <w:szCs w:val="18"/>
              </w:rPr>
              <w:t>3</w:t>
            </w:r>
            <w:r>
              <w:rPr>
                <w:rFonts w:ascii="宋体" w:hAnsi="宋体" w:cs="宋体" w:eastAsia="宋体" w:hint="default"/>
                <w:spacing w:val="-11"/>
                <w:sz w:val="18"/>
                <w:szCs w:val="18"/>
              </w:rPr>
              <w:t>）董事、高级管理人员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增持</w:t>
            </w:r>
            <w:r>
              <w:rPr>
                <w:rFonts w:ascii="宋体" w:hAnsi="宋体" w:cs="宋体" w:eastAsia="宋体" w:hint="default"/>
                <w:spacing w:val="-34"/>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）在公司任职并领取薪酬的公司董事（不包括独立董事）、高级管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理人员应在符合《上市公司收购管理办法》及《上市公司董事、监事和 高级管理人员所持本公司股份及其变动管理规则》等法律法规的条件和</w:t>
            </w:r>
            <w:r>
              <w:rPr>
                <w:rFonts w:ascii="宋体" w:hAnsi="宋体" w:cs="宋体" w:eastAsia="宋体" w:hint="default"/>
                <w:sz w:val="18"/>
                <w:szCs w:val="18"/>
              </w:rPr>
              <w:t> </w:t>
            </w:r>
            <w:r>
              <w:rPr>
                <w:rFonts w:ascii="宋体" w:hAnsi="宋体" w:cs="宋体" w:eastAsia="宋体" w:hint="default"/>
                <w:spacing w:val="-2"/>
                <w:sz w:val="18"/>
                <w:szCs w:val="18"/>
              </w:rPr>
              <w:t>要求的前提下，对公司股票进行增持；</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）有义务增持的公司董事、高级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管理人员承诺，其用于增持公司股份的货币资金不少于该等董事、高级 管理人员上年度薪酬总和的</w:t>
            </w:r>
            <w:r>
              <w:rPr>
                <w:rFonts w:ascii="宋体" w:hAnsi="宋体" w:cs="宋体" w:eastAsia="宋体" w:hint="default"/>
                <w:spacing w:val="-44"/>
                <w:sz w:val="18"/>
                <w:szCs w:val="18"/>
              </w:rPr>
              <w:t> </w:t>
            </w:r>
            <w:r>
              <w:rPr>
                <w:rFonts w:ascii="Times New Roman" w:hAnsi="Times New Roman" w:cs="Times New Roman" w:eastAsia="Times New Roman" w:hint="default"/>
                <w:spacing w:val="-10"/>
                <w:sz w:val="18"/>
                <w:szCs w:val="18"/>
              </w:rPr>
              <w:t>30%</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4</w:t>
            </w:r>
            <w:r>
              <w:rPr>
                <w:rFonts w:ascii="宋体" w:hAnsi="宋体" w:cs="宋体" w:eastAsia="宋体" w:hint="default"/>
                <w:spacing w:val="-10"/>
                <w:sz w:val="18"/>
                <w:szCs w:val="18"/>
              </w:rPr>
              <w:t>）其他法律、法规以及中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证券交易所规定允许的措施。公司在未来聘任新的董事、高级管理人员 前，将要求其签署承诺书，保证其履行公司首次公开发行上市时董事、 高级管理人员已做出的相应承诺。</w:t>
            </w:r>
          </w:p>
        </w:tc>
        <w:tc>
          <w:tcPr>
            <w:tcW w:w="566"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18"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0" w:lineRule="exact"/>
              <w:ind w:left="16"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0"/>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5498" w:lineRule="exact"/>
              <w:ind w:left="-8"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9"/>
                <w:sz w:val="20"/>
                <w:szCs w:val="20"/>
              </w:rPr>
              <w:pict>
                <v:group style="width:27.85pt;height:274.95pt;mso-position-horizontal-relative:char;mso-position-vertical-relative:line" coordorigin="0,0" coordsize="557,5499">
                  <v:group style="position:absolute;left:0;top:0;width:557;height:5149" coordorigin="0,0" coordsize="557,5149">
                    <v:shape style="position:absolute;left:0;top:0;width:557;height:5149" coordorigin="0,0" coordsize="557,5149" path="m0,5148l557,5148,557,0,0,0,0,5148xe" filled="true" fillcolor="#ffffff" stroked="false">
                      <v:path arrowok="t"/>
                      <v:fill type="solid"/>
                    </v:shape>
                  </v:group>
                  <v:group style="position:absolute;left:24;top:5148;width:512;height:351" coordorigin="24,5148" coordsize="512,351">
                    <v:shape style="position:absolute;left:24;top:5148;width:512;height:351" coordorigin="24,5148" coordsize="512,351" path="m24,5499l535,5499,535,5148,24,5148,24,5499xe" filled="true" fillcolor="#ffffff" stroked="false">
                      <v:path arrowok="t"/>
                      <v:fill type="solid"/>
                    </v:shape>
                  </v:group>
                </v:group>
              </w:pict>
            </w:r>
            <w:r>
              <w:rPr>
                <w:rFonts w:ascii="Times New Roman" w:hAnsi="Times New Roman" w:cs="Times New Roman" w:eastAsia="Times New Roman" w:hint="default"/>
                <w:position w:val="-109"/>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5149" w:lineRule="exact"/>
              <w:ind w:left="-8"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2"/>
                <w:sz w:val="20"/>
                <w:szCs w:val="20"/>
              </w:rPr>
              <w:pict>
                <v:group style="width:27.85pt;height:257.45pt;mso-position-horizontal-relative:char;mso-position-vertical-relative:line" coordorigin="0,0" coordsize="557,5149">
                  <v:group style="position:absolute;left:0;top:0;width:557;height:5149" coordorigin="0,0" coordsize="557,5149">
                    <v:shape style="position:absolute;left:0;top:0;width:557;height:5149" coordorigin="0,0" coordsize="557,5149" path="m0,5149l557,5149,557,0,0,0,0,5149xe" filled="true" fillcolor="#ffffff" stroked="false">
                      <v:path arrowok="t"/>
                      <v:fill type="solid"/>
                    </v:shape>
                  </v:group>
                </v:group>
              </w:pict>
            </w:r>
            <w:r>
              <w:rPr>
                <w:rFonts w:ascii="Times New Roman" w:hAnsi="Times New Roman" w:cs="Times New Roman" w:eastAsia="Times New Roman" w:hint="default"/>
                <w:position w:val="-102"/>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7"/>
              <w:ind w:left="23" w:right="98"/>
              <w:jc w:val="both"/>
              <w:rPr>
                <w:rFonts w:ascii="宋体" w:hAnsi="宋体" w:cs="宋体" w:eastAsia="宋体" w:hint="default"/>
                <w:sz w:val="18"/>
                <w:szCs w:val="18"/>
              </w:rPr>
            </w:pPr>
            <w:r>
              <w:rPr>
                <w:rFonts w:ascii="宋体" w:hAnsi="宋体" w:cs="宋体" w:eastAsia="宋体" w:hint="default"/>
                <w:sz w:val="18"/>
                <w:szCs w:val="18"/>
              </w:rPr>
              <w:t>承诺 人严 格遵 守了 该项 承诺</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66"/>
        <w:gridCol w:w="1277"/>
        <w:gridCol w:w="425"/>
        <w:gridCol w:w="5673"/>
        <w:gridCol w:w="566"/>
        <w:gridCol w:w="566"/>
        <w:gridCol w:w="494"/>
      </w:tblGrid>
      <w:tr>
        <w:trPr>
          <w:trHeight w:val="161" w:hRule="exact"/>
        </w:trPr>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97" w:right="96"/>
              <w:jc w:val="left"/>
              <w:rPr>
                <w:rFonts w:ascii="宋体" w:hAnsi="宋体" w:cs="宋体" w:eastAsia="宋体" w:hint="default"/>
                <w:sz w:val="18"/>
                <w:szCs w:val="18"/>
              </w:rPr>
            </w:pPr>
            <w:r>
              <w:rPr>
                <w:rFonts w:ascii="宋体" w:hAnsi="宋体" w:cs="宋体" w:eastAsia="宋体" w:hint="default"/>
                <w:sz w:val="18"/>
                <w:szCs w:val="18"/>
              </w:rPr>
              <w:t>承诺 来源</w:t>
            </w: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5673"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4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62" w:right="60"/>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92" w:hRule="exact"/>
        </w:trPr>
        <w:tc>
          <w:tcPr>
            <w:tcW w:w="566"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425" w:type="dxa"/>
            <w:vMerge/>
            <w:tcBorders>
              <w:left w:val="single" w:sz="4" w:space="0" w:color="000000"/>
              <w:right w:val="single" w:sz="4" w:space="0" w:color="000000"/>
            </w:tcBorders>
            <w:shd w:val="clear" w:color="auto" w:fill="D2D2D2"/>
          </w:tcPr>
          <w:p>
            <w:pPr/>
          </w:p>
        </w:tc>
        <w:tc>
          <w:tcPr>
            <w:tcW w:w="56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6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r>
      <w:tr>
        <w:trPr>
          <w:trHeight w:val="161" w:hRule="exact"/>
        </w:trPr>
        <w:tc>
          <w:tcPr>
            <w:tcW w:w="566"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5673"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r>
      <w:tr>
        <w:trPr>
          <w:trHeight w:val="6020" w:hRule="exact"/>
        </w:trPr>
        <w:tc>
          <w:tcPr>
            <w:tcW w:w="566" w:type="dxa"/>
            <w:vMerge w:val="restart"/>
            <w:tcBorders>
              <w:top w:val="single" w:sz="4" w:space="0" w:color="000000"/>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60" w:lineRule="auto"/>
              <w:ind w:left="23" w:right="223"/>
              <w:jc w:val="left"/>
              <w:rPr>
                <w:rFonts w:ascii="Times New Roman" w:hAnsi="Times New Roman" w:cs="Times New Roman" w:eastAsia="Times New Roman" w:hint="default"/>
                <w:sz w:val="18"/>
                <w:szCs w:val="18"/>
              </w:rPr>
            </w:pPr>
            <w:r>
              <w:rPr>
                <w:rFonts w:ascii="Times New Roman"/>
                <w:sz w:val="18"/>
              </w:rPr>
              <w:t>CHEN</w:t>
            </w:r>
            <w:r>
              <w:rPr>
                <w:rFonts w:ascii="Times New Roman"/>
                <w:w w:val="99"/>
                <w:sz w:val="18"/>
              </w:rPr>
              <w:t> </w:t>
            </w:r>
            <w:r>
              <w:rPr>
                <w:rFonts w:ascii="Times New Roman"/>
                <w:sz w:val="18"/>
              </w:rPr>
              <w:t>YIHAN;GUO</w:t>
            </w:r>
            <w:r>
              <w:rPr>
                <w:rFonts w:ascii="Times New Roman"/>
                <w:w w:val="99"/>
                <w:sz w:val="18"/>
              </w:rPr>
              <w:t> </w:t>
            </w:r>
            <w:r>
              <w:rPr>
                <w:rFonts w:ascii="Times New Roman"/>
                <w:sz w:val="18"/>
              </w:rPr>
              <w:t>SONG;LIU</w:t>
            </w:r>
          </w:p>
          <w:p>
            <w:pPr>
              <w:pStyle w:val="TableParagraph"/>
              <w:spacing w:line="21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DAN;</w:t>
            </w:r>
            <w:r>
              <w:rPr>
                <w:rFonts w:ascii="宋体" w:hAnsi="宋体" w:cs="宋体" w:eastAsia="宋体" w:hint="default"/>
                <w:sz w:val="18"/>
                <w:szCs w:val="18"/>
              </w:rPr>
              <w:t>陈雪飞</w:t>
            </w:r>
            <w:r>
              <w:rPr>
                <w:rFonts w:ascii="Times New Roman" w:hAnsi="Times New Roman" w:cs="Times New Roman" w:eastAsia="Times New Roman" w:hint="default"/>
                <w:sz w:val="18"/>
                <w:szCs w:val="18"/>
              </w:rPr>
              <w:t>;</w:t>
            </w:r>
            <w:r>
              <w:rPr>
                <w:rFonts w:ascii="宋体" w:hAnsi="宋体" w:cs="宋体" w:eastAsia="宋体" w:hint="default"/>
                <w:sz w:val="18"/>
                <w:szCs w:val="18"/>
              </w:rPr>
              <w:t>达</w:t>
            </w:r>
          </w:p>
          <w:p>
            <w:pPr>
              <w:pStyle w:val="TableParagraph"/>
              <w:spacing w:line="307" w:lineRule="auto" w:before="63"/>
              <w:ind w:left="23" w:right="60"/>
              <w:jc w:val="left"/>
              <w:rPr>
                <w:rFonts w:ascii="宋体" w:hAnsi="宋体" w:cs="宋体" w:eastAsia="宋体" w:hint="default"/>
                <w:sz w:val="18"/>
                <w:szCs w:val="18"/>
              </w:rPr>
            </w:pPr>
            <w:r>
              <w:rPr>
                <w:rFonts w:ascii="宋体" w:hAnsi="宋体" w:cs="宋体" w:eastAsia="宋体" w:hint="default"/>
                <w:sz w:val="18"/>
                <w:szCs w:val="18"/>
              </w:rPr>
              <w:t>瓦</w:t>
            </w:r>
            <w:r>
              <w:rPr>
                <w:rFonts w:ascii="Times New Roman" w:hAnsi="Times New Roman" w:cs="Times New Roman" w:eastAsia="Times New Roman" w:hint="default"/>
                <w:sz w:val="18"/>
                <w:szCs w:val="18"/>
              </w:rPr>
              <w:t>;</w:t>
            </w:r>
            <w:r>
              <w:rPr>
                <w:rFonts w:ascii="宋体" w:hAnsi="宋体" w:cs="宋体" w:eastAsia="宋体" w:hint="default"/>
                <w:sz w:val="18"/>
                <w:szCs w:val="18"/>
              </w:rPr>
              <w:t>高明玉</w:t>
            </w:r>
            <w:r>
              <w:rPr>
                <w:rFonts w:ascii="Times New Roman" w:hAnsi="Times New Roman" w:cs="Times New Roman" w:eastAsia="Times New Roman" w:hint="default"/>
                <w:sz w:val="18"/>
                <w:szCs w:val="18"/>
              </w:rPr>
              <w:t>;</w:t>
            </w:r>
            <w:r>
              <w:rPr>
                <w:rFonts w:ascii="宋体" w:hAnsi="宋体" w:cs="宋体" w:eastAsia="宋体" w:hint="default"/>
                <w:sz w:val="18"/>
                <w:szCs w:val="18"/>
              </w:rPr>
              <w:t>李 挥</w:t>
            </w:r>
            <w:r>
              <w:rPr>
                <w:rFonts w:ascii="Times New Roman" w:hAnsi="Times New Roman" w:cs="Times New Roman" w:eastAsia="Times New Roman" w:hint="default"/>
                <w:sz w:val="18"/>
                <w:szCs w:val="18"/>
              </w:rPr>
              <w:t>;</w:t>
            </w:r>
            <w:r>
              <w:rPr>
                <w:rFonts w:ascii="宋体" w:hAnsi="宋体" w:cs="宋体" w:eastAsia="宋体" w:hint="default"/>
                <w:sz w:val="18"/>
                <w:szCs w:val="18"/>
              </w:rPr>
              <w:t>刘镇</w:t>
            </w:r>
            <w:r>
              <w:rPr>
                <w:rFonts w:ascii="Times New Roman" w:hAnsi="Times New Roman" w:cs="Times New Roman" w:eastAsia="Times New Roman" w:hint="default"/>
                <w:sz w:val="18"/>
                <w:szCs w:val="18"/>
              </w:rPr>
              <w:t>;</w:t>
            </w:r>
            <w:r>
              <w:rPr>
                <w:rFonts w:ascii="宋体" w:hAnsi="宋体" w:cs="宋体" w:eastAsia="宋体" w:hint="default"/>
                <w:sz w:val="18"/>
                <w:szCs w:val="18"/>
              </w:rPr>
              <w:t>屈先 富</w:t>
            </w:r>
            <w:r>
              <w:rPr>
                <w:rFonts w:ascii="Times New Roman" w:hAnsi="Times New Roman" w:cs="Times New Roman" w:eastAsia="Times New Roman" w:hint="default"/>
                <w:sz w:val="18"/>
                <w:szCs w:val="18"/>
              </w:rPr>
              <w:t>;</w:t>
            </w:r>
            <w:r>
              <w:rPr>
                <w:rFonts w:ascii="宋体" w:hAnsi="宋体" w:cs="宋体" w:eastAsia="宋体" w:hint="default"/>
                <w:sz w:val="18"/>
                <w:szCs w:val="18"/>
              </w:rPr>
              <w:t>申成文</w:t>
            </w:r>
            <w:r>
              <w:rPr>
                <w:rFonts w:ascii="Times New Roman" w:hAnsi="Times New Roman" w:cs="Times New Roman" w:eastAsia="Times New Roman" w:hint="default"/>
                <w:sz w:val="18"/>
                <w:szCs w:val="18"/>
              </w:rPr>
              <w:t>;</w:t>
            </w:r>
            <w:r>
              <w:rPr>
                <w:rFonts w:ascii="宋体" w:hAnsi="宋体" w:cs="宋体" w:eastAsia="宋体" w:hint="default"/>
                <w:sz w:val="18"/>
                <w:szCs w:val="18"/>
              </w:rPr>
              <w:t>深圳 市优博讯科技 股份有限公司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仝文定</w:t>
            </w:r>
            <w:r>
              <w:rPr>
                <w:rFonts w:ascii="Times New Roman" w:hAnsi="Times New Roman" w:cs="Times New Roman" w:eastAsia="Times New Roman" w:hint="default"/>
                <w:sz w:val="18"/>
                <w:szCs w:val="18"/>
              </w:rPr>
              <w:t>;</w:t>
            </w:r>
            <w:r>
              <w:rPr>
                <w:rFonts w:ascii="宋体" w:hAnsi="宋体" w:cs="宋体" w:eastAsia="宋体" w:hint="default"/>
                <w:sz w:val="18"/>
                <w:szCs w:val="18"/>
              </w:rPr>
              <w:t>王勤红</w:t>
            </w:r>
            <w:r>
              <w:rPr>
                <w:rFonts w:ascii="Times New Roman" w:hAnsi="Times New Roman" w:cs="Times New Roman" w:eastAsia="Times New Roman" w:hint="default"/>
                <w:sz w:val="18"/>
                <w:szCs w:val="18"/>
              </w:rPr>
              <w:t>; </w:t>
            </w:r>
            <w:r>
              <w:rPr>
                <w:rFonts w:ascii="宋体" w:hAnsi="宋体" w:cs="宋体" w:eastAsia="宋体" w:hint="default"/>
                <w:sz w:val="18"/>
                <w:szCs w:val="18"/>
              </w:rPr>
              <w:t>香港优博讯科 技控股集团有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杨彦彰</w:t>
            </w:r>
            <w:r>
              <w:rPr>
                <w:rFonts w:ascii="Times New Roman" w:hAnsi="Times New Roman" w:cs="Times New Roman" w:eastAsia="Times New Roman" w:hint="default"/>
                <w:sz w:val="18"/>
                <w:szCs w:val="18"/>
              </w:rPr>
              <w:t>; </w:t>
            </w:r>
            <w:r>
              <w:rPr>
                <w:rFonts w:ascii="宋体" w:hAnsi="宋体" w:cs="宋体" w:eastAsia="宋体" w:hint="default"/>
                <w:sz w:val="18"/>
                <w:szCs w:val="18"/>
              </w:rPr>
              <w:t>于雪磊</w:t>
            </w:r>
            <w:r>
              <w:rPr>
                <w:rFonts w:ascii="Times New Roman" w:hAnsi="Times New Roman" w:cs="Times New Roman" w:eastAsia="Times New Roman" w:hint="default"/>
                <w:sz w:val="18"/>
                <w:szCs w:val="18"/>
              </w:rPr>
              <w:t>;</w:t>
            </w:r>
            <w:r>
              <w:rPr>
                <w:rFonts w:ascii="宋体" w:hAnsi="宋体" w:cs="宋体" w:eastAsia="宋体" w:hint="default"/>
                <w:sz w:val="18"/>
                <w:szCs w:val="18"/>
              </w:rPr>
              <w:t>郁小娇</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发行人、发行人控股股东、发行人实际控制人及发行人董事、监事、高 级管理人员关于未能履行承诺的约束措施</w:t>
            </w:r>
            <w:r>
              <w:rPr>
                <w:rFonts w:ascii="宋体" w:hAnsi="宋体" w:cs="宋体" w:eastAsia="宋体" w:hint="default"/>
                <w:spacing w:val="2"/>
                <w:sz w:val="18"/>
                <w:szCs w:val="18"/>
              </w:rPr>
              <w:t> </w:t>
            </w:r>
            <w:r>
              <w:rPr>
                <w:rFonts w:ascii="宋体" w:hAnsi="宋体" w:cs="宋体" w:eastAsia="宋体" w:hint="default"/>
                <w:sz w:val="18"/>
                <w:szCs w:val="18"/>
              </w:rPr>
              <w:t>深圳市优博讯科技股份有限</w:t>
            </w:r>
            <w:r>
              <w:rPr>
                <w:rFonts w:ascii="宋体" w:hAnsi="宋体" w:cs="宋体" w:eastAsia="宋体" w:hint="default"/>
                <w:sz w:val="18"/>
                <w:szCs w:val="18"/>
              </w:rPr>
              <w:t> 公司（下称</w:t>
            </w:r>
            <w:r>
              <w:rPr>
                <w:rFonts w:ascii="Times New Roman" w:hAnsi="Times New Roman" w:cs="Times New Roman" w:eastAsia="Times New Roman" w:hint="default"/>
                <w:sz w:val="18"/>
                <w:szCs w:val="18"/>
              </w:rPr>
              <w:t>“</w:t>
            </w:r>
            <w:r>
              <w:rPr>
                <w:rFonts w:ascii="宋体" w:hAnsi="宋体" w:cs="宋体" w:eastAsia="宋体" w:hint="default"/>
                <w:sz w:val="18"/>
                <w:szCs w:val="18"/>
              </w:rPr>
              <w:t>发行人</w:t>
            </w:r>
            <w:r>
              <w:rPr>
                <w:rFonts w:ascii="Times New Roman" w:hAnsi="Times New Roman" w:cs="Times New Roman" w:eastAsia="Times New Roman" w:hint="default"/>
                <w:sz w:val="18"/>
                <w:szCs w:val="18"/>
              </w:rPr>
              <w:t>”</w:t>
            </w:r>
            <w:r>
              <w:rPr>
                <w:rFonts w:ascii="宋体" w:hAnsi="宋体" w:cs="宋体" w:eastAsia="宋体" w:hint="default"/>
                <w:sz w:val="18"/>
                <w:szCs w:val="18"/>
              </w:rPr>
              <w:t>）拟申请首次公开发行人民币普通股（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股）股票 </w:t>
            </w:r>
            <w:r>
              <w:rPr>
                <w:rFonts w:ascii="宋体" w:hAnsi="宋体" w:cs="宋体" w:eastAsia="宋体" w:hint="default"/>
                <w:spacing w:val="-4"/>
                <w:w w:val="100"/>
                <w:sz w:val="18"/>
                <w:szCs w:val="18"/>
              </w:rPr>
              <w:t>并在创业板上市（下称</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首次公开发行上市</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），为首次公开发行上市，发</w:t>
            </w:r>
            <w:r>
              <w:rPr>
                <w:rFonts w:ascii="宋体" w:hAnsi="宋体" w:cs="宋体" w:eastAsia="宋体" w:hint="default"/>
                <w:sz w:val="18"/>
                <w:szCs w:val="18"/>
              </w:rPr>
              <w:t> 行人、发行人控股股东香港优博讯科技控股集团有限公司、发行人实际 控制人、发行人董事、监事、高级管理人员出具了关于所持发行人股份 限售安排及自愿锁定承诺，保证首次公开发行上市全套文件不存在虚假 记载、误导性陈述或重大遗漏的承诺及在出现虚假记载、误导性陈述或 者重大遗漏致使投资者在证券交易中遭受损失将依法赔偿投资者损失的 承诺，关于避免同业竞争及规范关联交易的承诺、发行人关于回购股份 的承诺以及发行人控股股东关于购回股份的承诺等相关公开承诺。如在 实际执行过程中，上述责任主体违反首次公开发行上市时已作出的公开 </w:t>
            </w:r>
            <w:r>
              <w:rPr>
                <w:rFonts w:ascii="宋体" w:hAnsi="宋体" w:cs="宋体" w:eastAsia="宋体" w:hint="default"/>
                <w:spacing w:val="-3"/>
                <w:sz w:val="18"/>
                <w:szCs w:val="18"/>
              </w:rPr>
              <w:t>承诺的，则采取或接受以下措施：（</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）在有关监管机关要求的期限内予</w:t>
            </w:r>
            <w:r>
              <w:rPr>
                <w:rFonts w:ascii="宋体" w:hAnsi="宋体" w:cs="宋体" w:eastAsia="宋体" w:hint="default"/>
                <w:spacing w:val="-85"/>
                <w:sz w:val="18"/>
                <w:szCs w:val="18"/>
              </w:rPr>
              <w:t> </w:t>
            </w:r>
            <w:r>
              <w:rPr>
                <w:rFonts w:ascii="宋体" w:hAnsi="宋体" w:cs="宋体" w:eastAsia="宋体" w:hint="default"/>
                <w:spacing w:val="-6"/>
                <w:sz w:val="18"/>
                <w:szCs w:val="18"/>
              </w:rPr>
              <w:t>以纠正；（</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）给投资者造成直接损失的，依法赔偿损失；（</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）有违法所</w:t>
            </w:r>
            <w:r>
              <w:rPr>
                <w:rFonts w:ascii="宋体" w:hAnsi="宋体" w:cs="宋体" w:eastAsia="宋体" w:hint="default"/>
                <w:spacing w:val="-74"/>
                <w:sz w:val="18"/>
                <w:szCs w:val="18"/>
              </w:rPr>
              <w:t> </w:t>
            </w:r>
            <w:r>
              <w:rPr>
                <w:rFonts w:ascii="宋体" w:hAnsi="宋体" w:cs="宋体" w:eastAsia="宋体" w:hint="default"/>
                <w:spacing w:val="-3"/>
                <w:sz w:val="18"/>
                <w:szCs w:val="18"/>
              </w:rPr>
              <w:t>得的，按相关法律法规处理；（</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）如该违反的承诺属可以继续履行的，</w:t>
            </w:r>
            <w:r>
              <w:rPr>
                <w:rFonts w:ascii="宋体" w:hAnsi="宋体" w:cs="宋体" w:eastAsia="宋体" w:hint="default"/>
                <w:spacing w:val="-82"/>
                <w:sz w:val="18"/>
                <w:szCs w:val="18"/>
              </w:rPr>
              <w:t> </w:t>
            </w:r>
            <w:r>
              <w:rPr>
                <w:rFonts w:ascii="宋体" w:hAnsi="宋体" w:cs="宋体" w:eastAsia="宋体" w:hint="default"/>
                <w:spacing w:val="-5"/>
                <w:sz w:val="18"/>
                <w:szCs w:val="18"/>
              </w:rPr>
              <w:t>将继续履行该承诺；（</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）根据届时规定可以采取的其他措施。</w:t>
            </w:r>
            <w:r>
              <w:rPr>
                <w:rFonts w:ascii="宋体" w:hAnsi="宋体" w:cs="宋体" w:eastAsia="宋体" w:hint="default"/>
                <w:spacing w:val="-9"/>
                <w:sz w:val="18"/>
                <w:szCs w:val="18"/>
              </w:rPr>
              <w:t> </w:t>
            </w:r>
            <w:r>
              <w:rPr>
                <w:rFonts w:ascii="宋体" w:hAnsi="宋体" w:cs="宋体" w:eastAsia="宋体" w:hint="default"/>
                <w:sz w:val="18"/>
                <w:szCs w:val="18"/>
              </w:rPr>
              <w:t>发行人董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事、监事、高级管理人员承诺不因职务变更、离职等原因而放弃履行已 作出的承诺，未经公司许可，该等人员离职后二年内不从事与公司相同 或相似业务的工作。</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承诺 人严 格遵 守了 该项 承诺</w:t>
            </w:r>
          </w:p>
        </w:tc>
      </w:tr>
      <w:tr>
        <w:trPr>
          <w:trHeight w:val="4458" w:hRule="exact"/>
        </w:trPr>
        <w:tc>
          <w:tcPr>
            <w:tcW w:w="566"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223"/>
              <w:jc w:val="left"/>
              <w:rPr>
                <w:rFonts w:ascii="Times New Roman" w:hAnsi="Times New Roman" w:cs="Times New Roman" w:eastAsia="Times New Roman" w:hint="default"/>
                <w:sz w:val="18"/>
                <w:szCs w:val="18"/>
              </w:rPr>
            </w:pPr>
            <w:r>
              <w:rPr>
                <w:rFonts w:ascii="Times New Roman"/>
                <w:sz w:val="18"/>
              </w:rPr>
              <w:t>CHEN</w:t>
            </w:r>
            <w:r>
              <w:rPr>
                <w:rFonts w:ascii="Times New Roman"/>
                <w:w w:val="99"/>
                <w:sz w:val="18"/>
              </w:rPr>
              <w:t> </w:t>
            </w:r>
            <w:r>
              <w:rPr>
                <w:rFonts w:ascii="Times New Roman"/>
                <w:sz w:val="18"/>
              </w:rPr>
              <w:t>YIHAN;GUO</w:t>
            </w:r>
            <w:r>
              <w:rPr>
                <w:rFonts w:ascii="Times New Roman"/>
                <w:w w:val="99"/>
                <w:sz w:val="18"/>
              </w:rPr>
              <w:t> </w:t>
            </w:r>
            <w:r>
              <w:rPr>
                <w:rFonts w:ascii="Times New Roman"/>
                <w:sz w:val="18"/>
              </w:rPr>
              <w:t>SONG;LIU</w:t>
            </w:r>
          </w:p>
          <w:p>
            <w:pPr>
              <w:pStyle w:val="TableParagraph"/>
              <w:spacing w:line="21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DAN;</w:t>
            </w:r>
            <w:r>
              <w:rPr>
                <w:rFonts w:ascii="宋体" w:hAnsi="宋体" w:cs="宋体" w:eastAsia="宋体" w:hint="default"/>
                <w:sz w:val="18"/>
                <w:szCs w:val="18"/>
              </w:rPr>
              <w:t>陈雪飞</w:t>
            </w:r>
            <w:r>
              <w:rPr>
                <w:rFonts w:ascii="Times New Roman" w:hAnsi="Times New Roman" w:cs="Times New Roman" w:eastAsia="Times New Roman" w:hint="default"/>
                <w:sz w:val="18"/>
                <w:szCs w:val="18"/>
              </w:rPr>
              <w:t>;</w:t>
            </w:r>
            <w:r>
              <w:rPr>
                <w:rFonts w:ascii="宋体" w:hAnsi="宋体" w:cs="宋体" w:eastAsia="宋体" w:hint="default"/>
                <w:sz w:val="18"/>
                <w:szCs w:val="18"/>
              </w:rPr>
              <w:t>达</w:t>
            </w:r>
          </w:p>
          <w:p>
            <w:pPr>
              <w:pStyle w:val="TableParagraph"/>
              <w:spacing w:line="307" w:lineRule="auto" w:before="63"/>
              <w:ind w:left="23" w:right="60"/>
              <w:jc w:val="left"/>
              <w:rPr>
                <w:rFonts w:ascii="宋体" w:hAnsi="宋体" w:cs="宋体" w:eastAsia="宋体" w:hint="default"/>
                <w:sz w:val="18"/>
                <w:szCs w:val="18"/>
              </w:rPr>
            </w:pPr>
            <w:r>
              <w:rPr>
                <w:rFonts w:ascii="宋体" w:hAnsi="宋体" w:cs="宋体" w:eastAsia="宋体" w:hint="default"/>
                <w:sz w:val="18"/>
                <w:szCs w:val="18"/>
              </w:rPr>
              <w:t>瓦</w:t>
            </w:r>
            <w:r>
              <w:rPr>
                <w:rFonts w:ascii="Times New Roman" w:hAnsi="Times New Roman" w:cs="Times New Roman" w:eastAsia="Times New Roman" w:hint="default"/>
                <w:sz w:val="18"/>
                <w:szCs w:val="18"/>
              </w:rPr>
              <w:t>;</w:t>
            </w:r>
            <w:r>
              <w:rPr>
                <w:rFonts w:ascii="宋体" w:hAnsi="宋体" w:cs="宋体" w:eastAsia="宋体" w:hint="default"/>
                <w:sz w:val="18"/>
                <w:szCs w:val="18"/>
              </w:rPr>
              <w:t>高明玉</w:t>
            </w:r>
            <w:r>
              <w:rPr>
                <w:rFonts w:ascii="Times New Roman" w:hAnsi="Times New Roman" w:cs="Times New Roman" w:eastAsia="Times New Roman" w:hint="default"/>
                <w:sz w:val="18"/>
                <w:szCs w:val="18"/>
              </w:rPr>
              <w:t>;</w:t>
            </w:r>
            <w:r>
              <w:rPr>
                <w:rFonts w:ascii="宋体" w:hAnsi="宋体" w:cs="宋体" w:eastAsia="宋体" w:hint="default"/>
                <w:sz w:val="18"/>
                <w:szCs w:val="18"/>
              </w:rPr>
              <w:t>李 挥</w:t>
            </w:r>
            <w:r>
              <w:rPr>
                <w:rFonts w:ascii="Times New Roman" w:hAnsi="Times New Roman" w:cs="Times New Roman" w:eastAsia="Times New Roman" w:hint="default"/>
                <w:sz w:val="18"/>
                <w:szCs w:val="18"/>
              </w:rPr>
              <w:t>;</w:t>
            </w:r>
            <w:r>
              <w:rPr>
                <w:rFonts w:ascii="宋体" w:hAnsi="宋体" w:cs="宋体" w:eastAsia="宋体" w:hint="default"/>
                <w:sz w:val="18"/>
                <w:szCs w:val="18"/>
              </w:rPr>
              <w:t>刘镇</w:t>
            </w:r>
            <w:r>
              <w:rPr>
                <w:rFonts w:ascii="Times New Roman" w:hAnsi="Times New Roman" w:cs="Times New Roman" w:eastAsia="Times New Roman" w:hint="default"/>
                <w:sz w:val="18"/>
                <w:szCs w:val="18"/>
              </w:rPr>
              <w:t>;</w:t>
            </w:r>
            <w:r>
              <w:rPr>
                <w:rFonts w:ascii="宋体" w:hAnsi="宋体" w:cs="宋体" w:eastAsia="宋体" w:hint="default"/>
                <w:sz w:val="18"/>
                <w:szCs w:val="18"/>
              </w:rPr>
              <w:t>屈先 富</w:t>
            </w:r>
            <w:r>
              <w:rPr>
                <w:rFonts w:ascii="Times New Roman" w:hAnsi="Times New Roman" w:cs="Times New Roman" w:eastAsia="Times New Roman" w:hint="default"/>
                <w:sz w:val="18"/>
                <w:szCs w:val="18"/>
              </w:rPr>
              <w:t>;</w:t>
            </w:r>
            <w:r>
              <w:rPr>
                <w:rFonts w:ascii="宋体" w:hAnsi="宋体" w:cs="宋体" w:eastAsia="宋体" w:hint="default"/>
                <w:sz w:val="18"/>
                <w:szCs w:val="18"/>
              </w:rPr>
              <w:t>申成文</w:t>
            </w:r>
            <w:r>
              <w:rPr>
                <w:rFonts w:ascii="Times New Roman" w:hAnsi="Times New Roman" w:cs="Times New Roman" w:eastAsia="Times New Roman" w:hint="default"/>
                <w:sz w:val="18"/>
                <w:szCs w:val="18"/>
              </w:rPr>
              <w:t>;</w:t>
            </w:r>
            <w:r>
              <w:rPr>
                <w:rFonts w:ascii="宋体" w:hAnsi="宋体" w:cs="宋体" w:eastAsia="宋体" w:hint="default"/>
                <w:sz w:val="18"/>
                <w:szCs w:val="18"/>
              </w:rPr>
              <w:t>深圳 市优博讯科技 股份有限公司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仝文定</w:t>
            </w:r>
            <w:r>
              <w:rPr>
                <w:rFonts w:ascii="Times New Roman" w:hAnsi="Times New Roman" w:cs="Times New Roman" w:eastAsia="Times New Roman" w:hint="default"/>
                <w:sz w:val="18"/>
                <w:szCs w:val="18"/>
              </w:rPr>
              <w:t>;</w:t>
            </w:r>
            <w:r>
              <w:rPr>
                <w:rFonts w:ascii="宋体" w:hAnsi="宋体" w:cs="宋体" w:eastAsia="宋体" w:hint="default"/>
                <w:sz w:val="18"/>
                <w:szCs w:val="18"/>
              </w:rPr>
              <w:t>王勤红</w:t>
            </w:r>
            <w:r>
              <w:rPr>
                <w:rFonts w:ascii="Times New Roman" w:hAnsi="Times New Roman" w:cs="Times New Roman" w:eastAsia="Times New Roman" w:hint="default"/>
                <w:sz w:val="18"/>
                <w:szCs w:val="18"/>
              </w:rPr>
              <w:t>; </w:t>
            </w:r>
            <w:r>
              <w:rPr>
                <w:rFonts w:ascii="宋体" w:hAnsi="宋体" w:cs="宋体" w:eastAsia="宋体" w:hint="default"/>
                <w:sz w:val="18"/>
                <w:szCs w:val="18"/>
              </w:rPr>
              <w:t>香港优博讯科 技控股集团有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杨彦彰</w:t>
            </w:r>
            <w:r>
              <w:rPr>
                <w:rFonts w:ascii="Times New Roman" w:hAnsi="Times New Roman" w:cs="Times New Roman" w:eastAsia="Times New Roman" w:hint="default"/>
                <w:sz w:val="18"/>
                <w:szCs w:val="18"/>
              </w:rPr>
              <w:t>; </w:t>
            </w:r>
            <w:r>
              <w:rPr>
                <w:rFonts w:ascii="宋体" w:hAnsi="宋体" w:cs="宋体" w:eastAsia="宋体" w:hint="default"/>
                <w:sz w:val="18"/>
                <w:szCs w:val="18"/>
              </w:rPr>
              <w:t>于雪磊</w:t>
            </w:r>
            <w:r>
              <w:rPr>
                <w:rFonts w:ascii="Times New Roman" w:hAnsi="Times New Roman" w:cs="Times New Roman" w:eastAsia="Times New Roman" w:hint="default"/>
                <w:sz w:val="18"/>
                <w:szCs w:val="18"/>
              </w:rPr>
              <w:t>;</w:t>
            </w:r>
            <w:r>
              <w:rPr>
                <w:rFonts w:ascii="宋体" w:hAnsi="宋体" w:cs="宋体" w:eastAsia="宋体" w:hint="default"/>
                <w:sz w:val="18"/>
                <w:szCs w:val="18"/>
              </w:rPr>
              <w:t>郁小娇</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57"/>
              <w:jc w:val="both"/>
              <w:rPr>
                <w:rFonts w:ascii="宋体" w:hAnsi="宋体" w:cs="宋体" w:eastAsia="宋体" w:hint="default"/>
                <w:sz w:val="18"/>
                <w:szCs w:val="18"/>
              </w:rPr>
            </w:pPr>
            <w:r>
              <w:rPr>
                <w:rFonts w:ascii="宋体" w:hAnsi="宋体" w:cs="宋体" w:eastAsia="宋体" w:hint="default"/>
                <w:sz w:val="18"/>
                <w:szCs w:val="18"/>
              </w:rPr>
              <w:t>发行人及发行人控股股东、实际控制人、发行人全体董事、监事、高级 管理人员关于赔偿投资者损失承诺函</w:t>
            </w:r>
            <w:r>
              <w:rPr>
                <w:rFonts w:ascii="宋体" w:hAnsi="宋体" w:cs="宋体" w:eastAsia="宋体" w:hint="default"/>
                <w:spacing w:val="2"/>
                <w:sz w:val="18"/>
                <w:szCs w:val="18"/>
              </w:rPr>
              <w:t> </w:t>
            </w:r>
            <w:r>
              <w:rPr>
                <w:rFonts w:ascii="宋体" w:hAnsi="宋体" w:cs="宋体" w:eastAsia="宋体" w:hint="default"/>
                <w:sz w:val="18"/>
                <w:szCs w:val="18"/>
              </w:rPr>
              <w:t>深圳市优博讯科技股份有限公司</w:t>
            </w:r>
          </w:p>
          <w:p>
            <w:pPr>
              <w:pStyle w:val="TableParagraph"/>
              <w:spacing w:line="312" w:lineRule="auto" w:before="19"/>
              <w:ind w:left="23" w:right="22"/>
              <w:jc w:val="both"/>
              <w:rPr>
                <w:rFonts w:ascii="宋体" w:hAnsi="宋体" w:cs="宋体" w:eastAsia="宋体" w:hint="default"/>
                <w:sz w:val="18"/>
                <w:szCs w:val="18"/>
              </w:rPr>
            </w:pPr>
            <w:r>
              <w:rPr>
                <w:rFonts w:ascii="宋体" w:hAnsi="宋体" w:cs="宋体" w:eastAsia="宋体" w:hint="default"/>
                <w:sz w:val="18"/>
                <w:szCs w:val="18"/>
              </w:rPr>
              <w:t>（下称</w:t>
            </w:r>
            <w:r>
              <w:rPr>
                <w:rFonts w:ascii="Times New Roman" w:hAnsi="Times New Roman" w:cs="Times New Roman" w:eastAsia="Times New Roman" w:hint="default"/>
                <w:sz w:val="18"/>
                <w:szCs w:val="18"/>
              </w:rPr>
              <w:t>“</w:t>
            </w:r>
            <w:r>
              <w:rPr>
                <w:rFonts w:ascii="宋体" w:hAnsi="宋体" w:cs="宋体" w:eastAsia="宋体" w:hint="default"/>
                <w:sz w:val="18"/>
                <w:szCs w:val="18"/>
              </w:rPr>
              <w:t>发行人</w:t>
            </w:r>
            <w:r>
              <w:rPr>
                <w:rFonts w:ascii="Times New Roman" w:hAnsi="Times New Roman" w:cs="Times New Roman" w:eastAsia="Times New Roman" w:hint="default"/>
                <w:sz w:val="18"/>
                <w:szCs w:val="18"/>
              </w:rPr>
              <w:t>”</w:t>
            </w:r>
            <w:r>
              <w:rPr>
                <w:rFonts w:ascii="宋体" w:hAnsi="宋体" w:cs="宋体" w:eastAsia="宋体" w:hint="default"/>
                <w:sz w:val="18"/>
                <w:szCs w:val="18"/>
              </w:rPr>
              <w:t>）拟申请首次公开发行人民币普通股（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股）股票并在 </w:t>
            </w:r>
            <w:r>
              <w:rPr>
                <w:rFonts w:ascii="宋体" w:hAnsi="宋体" w:cs="宋体" w:eastAsia="宋体" w:hint="default"/>
                <w:spacing w:val="-4"/>
                <w:w w:val="100"/>
                <w:sz w:val="18"/>
                <w:szCs w:val="18"/>
              </w:rPr>
              <w:t>创业板上市（下称</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首次公开发行上市</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），为首次公开发行上市，发行人</w:t>
            </w:r>
            <w:r>
              <w:rPr>
                <w:rFonts w:ascii="宋体" w:hAnsi="宋体" w:cs="宋体" w:eastAsia="宋体" w:hint="default"/>
                <w:sz w:val="18"/>
                <w:szCs w:val="18"/>
              </w:rPr>
              <w:t> 编制了《深圳市优博讯科技股份有限公司首次公开发行股票并在创业板 </w:t>
            </w:r>
            <w:r>
              <w:rPr>
                <w:rFonts w:ascii="宋体" w:hAnsi="宋体" w:cs="宋体" w:eastAsia="宋体" w:hint="default"/>
                <w:spacing w:val="-4"/>
                <w:w w:val="100"/>
                <w:sz w:val="18"/>
                <w:szCs w:val="18"/>
              </w:rPr>
              <w:t>上市招股说明书》（下称</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《招股说明书》</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）及其他相关文件。为维护公</w:t>
            </w:r>
            <w:r>
              <w:rPr>
                <w:rFonts w:ascii="宋体" w:hAnsi="宋体" w:cs="宋体" w:eastAsia="宋体" w:hint="default"/>
                <w:spacing w:val="-87"/>
                <w:w w:val="100"/>
                <w:sz w:val="18"/>
                <w:szCs w:val="18"/>
              </w:rPr>
              <w:t> </w:t>
            </w:r>
            <w:r>
              <w:rPr>
                <w:rFonts w:ascii="宋体" w:hAnsi="宋体" w:cs="宋体" w:eastAsia="宋体" w:hint="default"/>
                <w:spacing w:val="-87"/>
                <w:w w:val="100"/>
                <w:sz w:val="18"/>
                <w:szCs w:val="18"/>
              </w:rPr>
            </w:r>
            <w:r>
              <w:rPr>
                <w:rFonts w:ascii="宋体" w:hAnsi="宋体" w:cs="宋体" w:eastAsia="宋体" w:hint="default"/>
                <w:sz w:val="18"/>
                <w:szCs w:val="18"/>
              </w:rPr>
              <w:t>众投资者的利益，发行人及发行人控股股东、实际控制人、发行人全体 董事、监事、高级管理人员承诺如下：如发行人《招股说明书》存在虚 假记载、误导性陈述或者重大遗漏，并因此给投资者造成直接损失的， 本公司（或本人）将依法就上述事项向投资者承担连带赔偿责任，但本 公司（或本人）能够证明自己没有过错的除外。</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承诺 人严 格遵 守了 该项 承诺</w:t>
            </w:r>
          </w:p>
        </w:tc>
      </w:tr>
      <w:tr>
        <w:trPr>
          <w:trHeight w:val="403" w:hRule="exact"/>
        </w:trPr>
        <w:tc>
          <w:tcPr>
            <w:tcW w:w="22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300" w:type="dxa"/>
            <w:gridSpan w:val="4"/>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22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如承诺超期未履行完毕的， 应当详细说明未完成履行的 具体原因及下一步的工作计 划</w:t>
            </w:r>
          </w:p>
        </w:tc>
        <w:tc>
          <w:tcPr>
            <w:tcW w:w="7300" w:type="dxa"/>
            <w:gridSpan w:val="4"/>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59" w:lineRule="auto" w:before="36"/>
        <w:ind w:right="1133"/>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96"/>
        <w:gridCol w:w="1195"/>
        <w:gridCol w:w="1196"/>
        <w:gridCol w:w="1198"/>
        <w:gridCol w:w="1196"/>
        <w:gridCol w:w="1195"/>
        <w:gridCol w:w="1198"/>
        <w:gridCol w:w="1198"/>
      </w:tblGrid>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2" w:right="5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4" w:right="51"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3" w:right="53" w:hanging="452"/>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1027"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瑞柏泰（公司 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 权）</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809.04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9"/>
              <w:jc w:val="both"/>
              <w:rPr>
                <w:rFonts w:ascii="宋体" w:hAnsi="宋体" w:cs="宋体" w:eastAsia="宋体" w:hint="default"/>
                <w:sz w:val="18"/>
                <w:szCs w:val="18"/>
              </w:rPr>
            </w:pPr>
            <w:r>
              <w:rPr>
                <w:rFonts w:ascii="宋体" w:hAnsi="宋体" w:cs="宋体" w:eastAsia="宋体" w:hint="default"/>
                <w:sz w:val="18"/>
                <w:szCs w:val="18"/>
              </w:rPr>
              <w:t>涉及的行业受 到市场变化的 冲击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83"/>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公告编号： </w:t>
            </w:r>
            <w:r>
              <w:rPr>
                <w:rFonts w:ascii="Times New Roman" w:hAnsi="Times New Roman" w:cs="Times New Roman" w:eastAsia="Times New Roman" w:hint="default"/>
                <w:sz w:val="18"/>
                <w:szCs w:val="18"/>
              </w:rPr>
              <w:t>2017-008</w:t>
            </w:r>
          </w:p>
        </w:tc>
      </w:tr>
      <w:tr>
        <w:trPr>
          <w:trHeight w:val="102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8"/>
              <w:jc w:val="both"/>
              <w:rPr>
                <w:rFonts w:ascii="宋体" w:hAnsi="宋体" w:cs="宋体" w:eastAsia="宋体" w:hint="default"/>
                <w:sz w:val="18"/>
                <w:szCs w:val="18"/>
              </w:rPr>
            </w:pPr>
            <w:r>
              <w:rPr>
                <w:rFonts w:ascii="宋体" w:hAnsi="宋体" w:cs="宋体" w:eastAsia="宋体" w:hint="default"/>
                <w:sz w:val="18"/>
                <w:szCs w:val="18"/>
              </w:rPr>
              <w:t>上海芝柯（公 司持有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27.50% </w:t>
            </w:r>
            <w:r>
              <w:rPr>
                <w:rFonts w:ascii="宋体" w:hAnsi="宋体" w:cs="宋体" w:eastAsia="宋体" w:hint="default"/>
                <w:sz w:val="18"/>
                <w:szCs w:val="18"/>
              </w:rPr>
              <w:t>股权）</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977.02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9"/>
              <w:jc w:val="both"/>
              <w:rPr>
                <w:rFonts w:ascii="宋体" w:hAnsi="宋体" w:cs="宋体" w:eastAsia="宋体" w:hint="default"/>
                <w:sz w:val="18"/>
                <w:szCs w:val="18"/>
              </w:rPr>
            </w:pPr>
            <w:r>
              <w:rPr>
                <w:rFonts w:ascii="宋体" w:hAnsi="宋体" w:cs="宋体" w:eastAsia="宋体" w:hint="default"/>
                <w:sz w:val="18"/>
                <w:szCs w:val="18"/>
              </w:rPr>
              <w:t>涉及的行业市 场竞争日益激 烈</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49"/>
              <w:ind w:left="23" w:right="83"/>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公告编号： </w:t>
            </w:r>
            <w:r>
              <w:rPr>
                <w:rFonts w:ascii="Times New Roman" w:hAnsi="Times New Roman" w:cs="Times New Roman" w:eastAsia="Times New Roman" w:hint="default"/>
                <w:sz w:val="18"/>
                <w:szCs w:val="18"/>
              </w:rPr>
              <w:t>2017-066</w:t>
            </w:r>
          </w:p>
        </w:tc>
      </w:tr>
      <w:tr>
        <w:trPr>
          <w:trHeight w:val="1027"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中世顺（公司 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股 权）</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1,462.43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83"/>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公告编号： </w:t>
            </w:r>
            <w:r>
              <w:rPr>
                <w:rFonts w:ascii="Times New Roman" w:hAnsi="Times New Roman" w:cs="Times New Roman" w:eastAsia="Times New Roman" w:hint="default"/>
                <w:sz w:val="18"/>
                <w:szCs w:val="18"/>
              </w:rPr>
              <w:t>2017-082</w:t>
            </w:r>
          </w:p>
        </w:tc>
      </w:tr>
      <w:tr>
        <w:trPr>
          <w:trHeight w:val="102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佳博科技（公 司持有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股权</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7,571.48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83"/>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公告编号： </w:t>
            </w:r>
            <w:r>
              <w:rPr>
                <w:rFonts w:ascii="Times New Roman" w:hAnsi="Times New Roman" w:cs="Times New Roman" w:eastAsia="Times New Roman" w:hint="default"/>
                <w:sz w:val="18"/>
                <w:szCs w:val="18"/>
              </w:rPr>
              <w:t>2019-134</w:t>
            </w:r>
          </w:p>
        </w:tc>
      </w:tr>
    </w:tbl>
    <w:p>
      <w:pPr>
        <w:pStyle w:val="BodyText"/>
        <w:spacing w:line="240" w:lineRule="auto" w:before="49"/>
        <w:ind w:right="1133"/>
        <w:jc w:val="left"/>
      </w:pPr>
      <w:r>
        <w:rPr/>
        <w:t>公司股东、交易对手方对公司或相关资产年度经营业绩作出的承诺情况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513" w:right="1133"/>
        <w:jc w:val="left"/>
      </w:pPr>
      <w:r>
        <w:rPr/>
        <w:t>（</w:t>
      </w:r>
      <w:r>
        <w:rPr>
          <w:rFonts w:ascii="Times New Roman" w:hAnsi="Times New Roman" w:cs="Times New Roman" w:eastAsia="Times New Roman" w:hint="default"/>
        </w:rPr>
        <w:t>1</w:t>
      </w:r>
      <w:r>
        <w:rPr/>
        <w:t>）深圳市瑞柏泰电子有限公司</w:t>
      </w:r>
    </w:p>
    <w:p>
      <w:pPr>
        <w:pStyle w:val="BodyText"/>
        <w:spacing w:line="300" w:lineRule="auto" w:before="103"/>
        <w:ind w:right="1131" w:firstLine="360"/>
        <w:jc w:val="both"/>
      </w:pPr>
      <w:r>
        <w:rPr/>
        <w:t>根据公司与深圳市柏士泰科技有限公司及瑞柏泰实际控制人蔡敏女士于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13</w:t>
      </w:r>
      <w:r>
        <w:rPr>
          <w:rFonts w:ascii="Times New Roman" w:hAnsi="Times New Roman" w:cs="Times New Roman" w:eastAsia="Times New Roman" w:hint="default"/>
          <w:spacing w:val="25"/>
        </w:rPr>
        <w:t> </w:t>
      </w:r>
      <w:r>
        <w:rPr>
          <w:spacing w:val="-5"/>
        </w:rPr>
        <w:t>日签署的《关于深圳市瑞柏泰</w:t>
      </w:r>
      <w:r>
        <w:rPr/>
        <w:t> 电子有限公司之股权转让协议》约定，瑞柏泰业绩承诺：</w:t>
      </w:r>
      <w:r>
        <w:rPr>
          <w:rFonts w:ascii="Times New Roman" w:hAnsi="Times New Roman" w:cs="Times New Roman" w:eastAsia="Times New Roman" w:hint="default"/>
        </w:rPr>
        <w:t>2017</w:t>
      </w:r>
      <w:r>
        <w:rPr/>
        <w:t>年度不低于</w:t>
      </w:r>
      <w:r>
        <w:rPr>
          <w:rFonts w:ascii="Times New Roman" w:hAnsi="Times New Roman" w:cs="Times New Roman" w:eastAsia="Times New Roman" w:hint="default"/>
        </w:rPr>
        <w:t>2,400</w:t>
      </w:r>
      <w:r>
        <w:rPr/>
        <w:t>万元，</w:t>
      </w:r>
      <w:r>
        <w:rPr>
          <w:rFonts w:ascii="Times New Roman" w:hAnsi="Times New Roman" w:cs="Times New Roman" w:eastAsia="Times New Roman" w:hint="default"/>
        </w:rPr>
        <w:t>2018</w:t>
      </w:r>
      <w:r>
        <w:rPr/>
        <w:t>年度不低于</w:t>
      </w:r>
      <w:r>
        <w:rPr>
          <w:rFonts w:ascii="Times New Roman" w:hAnsi="Times New Roman" w:cs="Times New Roman" w:eastAsia="Times New Roman" w:hint="default"/>
        </w:rPr>
        <w:t>2,800</w:t>
      </w:r>
      <w:r>
        <w:rPr/>
        <w:t>万元，</w:t>
      </w:r>
      <w:r>
        <w:rPr>
          <w:rFonts w:ascii="Times New Roman" w:hAnsi="Times New Roman" w:cs="Times New Roman" w:eastAsia="Times New Roman" w:hint="default"/>
        </w:rPr>
        <w:t>2019</w:t>
      </w:r>
      <w:r>
        <w:rPr/>
        <w:t>年度</w:t>
      </w:r>
      <w:r>
        <w:rPr>
          <w:spacing w:val="-3"/>
        </w:rPr>
        <w:t> </w:t>
      </w:r>
      <w:r>
        <w:rPr/>
        <w:t>不低于</w:t>
      </w:r>
      <w:r>
        <w:rPr>
          <w:rFonts w:ascii="Times New Roman" w:hAnsi="Times New Roman" w:cs="Times New Roman" w:eastAsia="Times New Roman" w:hint="default"/>
        </w:rPr>
        <w:t>3,100</w:t>
      </w:r>
      <w:r>
        <w:rPr/>
        <w:t>万元。业绩承诺补偿期间内，若瑞柏泰实际实现的净利润数小于同期承诺净利润数的，柏士泰应当按照以下公 式对优博讯进行补偿：当年应补偿金额＝（截止当期期末累积承诺净利润数</w:t>
      </w:r>
      <w:r>
        <w:rPr>
          <w:rFonts w:ascii="Times New Roman" w:hAnsi="Times New Roman" w:cs="Times New Roman" w:eastAsia="Times New Roman" w:hint="default"/>
        </w:rPr>
        <w:t>—</w:t>
      </w:r>
      <w:r>
        <w:rPr/>
        <w:t>截止当期期末累积实际净利润数）</w:t>
      </w:r>
      <w:r>
        <w:rPr>
          <w:rFonts w:ascii="Times New Roman" w:hAnsi="Times New Roman" w:cs="Times New Roman" w:eastAsia="Times New Roman" w:hint="default"/>
        </w:rPr>
        <w:t>÷</w:t>
      </w:r>
      <w:r>
        <w:rPr/>
        <w:t>业绩承诺 补偿期间内累积承诺净利润数总和</w:t>
      </w:r>
      <w:r>
        <w:rPr>
          <w:rFonts w:ascii="Times New Roman" w:hAnsi="Times New Roman" w:cs="Times New Roman" w:eastAsia="Times New Roman" w:hint="default"/>
        </w:rPr>
        <w:t>×</w:t>
      </w:r>
      <w:r>
        <w:rPr/>
        <w:t>标的股权交易价格</w:t>
      </w:r>
      <w:r>
        <w:rPr>
          <w:rFonts w:ascii="Times New Roman" w:hAnsi="Times New Roman" w:cs="Times New Roman" w:eastAsia="Times New Roman" w:hint="default"/>
        </w:rPr>
        <w:t>—</w:t>
      </w:r>
      <w:r>
        <w:rPr/>
        <w:t>已补偿金额。</w:t>
      </w:r>
    </w:p>
    <w:p>
      <w:pPr>
        <w:pStyle w:val="BodyText"/>
        <w:spacing w:line="240" w:lineRule="auto" w:before="53"/>
        <w:ind w:left="513" w:right="1133"/>
        <w:jc w:val="left"/>
      </w:pPr>
      <w:r>
        <w:rPr/>
        <w:t>（</w:t>
      </w:r>
      <w:r>
        <w:rPr>
          <w:rFonts w:ascii="Times New Roman" w:hAnsi="Times New Roman" w:cs="Times New Roman" w:eastAsia="Times New Roman" w:hint="default"/>
        </w:rPr>
        <w:t>2</w:t>
      </w:r>
      <w:r>
        <w:rPr/>
        <w:t>）上海芝柯智能科技有限公司</w:t>
      </w:r>
    </w:p>
    <w:p>
      <w:pPr>
        <w:pStyle w:val="BodyText"/>
        <w:spacing w:line="304" w:lineRule="auto" w:before="101"/>
        <w:ind w:right="1133" w:firstLine="360"/>
        <w:jc w:val="both"/>
      </w:pPr>
      <w:r>
        <w:rPr/>
        <w:t>根据公司、葛学敏、牛素侠于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日与蒋武靖、岳跃军签署的《关于上海芝柯智能科技有限公司之股权转 让协议》约定，上海芝柯业绩承诺：</w:t>
      </w:r>
      <w:r>
        <w:rPr>
          <w:rFonts w:ascii="Times New Roman" w:hAnsi="Times New Roman" w:cs="Times New Roman" w:eastAsia="Times New Roman" w:hint="default"/>
        </w:rPr>
        <w:t>2017</w:t>
      </w:r>
      <w:r>
        <w:rPr/>
        <w:t>年度不低于</w:t>
      </w:r>
      <w:r>
        <w:rPr>
          <w:rFonts w:ascii="Times New Roman" w:hAnsi="Times New Roman" w:cs="Times New Roman" w:eastAsia="Times New Roman" w:hint="default"/>
        </w:rPr>
        <w:t>700</w:t>
      </w:r>
      <w:r>
        <w:rPr/>
        <w:t>万元，</w:t>
      </w:r>
      <w:r>
        <w:rPr>
          <w:rFonts w:ascii="Times New Roman" w:hAnsi="Times New Roman" w:cs="Times New Roman" w:eastAsia="Times New Roman" w:hint="default"/>
        </w:rPr>
        <w:t>2018</w:t>
      </w:r>
      <w:r>
        <w:rPr/>
        <w:t>年度不低于</w:t>
      </w:r>
      <w:r>
        <w:rPr>
          <w:rFonts w:ascii="Times New Roman" w:hAnsi="Times New Roman" w:cs="Times New Roman" w:eastAsia="Times New Roman" w:hint="default"/>
        </w:rPr>
        <w:t>800</w:t>
      </w:r>
      <w:r>
        <w:rPr/>
        <w:t>万元，</w:t>
      </w:r>
      <w:r>
        <w:rPr>
          <w:rFonts w:ascii="Times New Roman" w:hAnsi="Times New Roman" w:cs="Times New Roman" w:eastAsia="Times New Roman" w:hint="default"/>
        </w:rPr>
        <w:t>2019</w:t>
      </w:r>
      <w:r>
        <w:rPr/>
        <w:t>年度不低于</w:t>
      </w:r>
      <w:r>
        <w:rPr>
          <w:rFonts w:ascii="Times New Roman" w:hAnsi="Times New Roman" w:cs="Times New Roman" w:eastAsia="Times New Roman" w:hint="default"/>
        </w:rPr>
        <w:t>1,000</w:t>
      </w:r>
      <w:r>
        <w:rPr/>
        <w:t>万元。业绩 </w:t>
      </w:r>
      <w:r>
        <w:rPr>
          <w:spacing w:val="-2"/>
        </w:rPr>
        <w:t>承诺补偿期间内，若上海芝柯实际实现的净利润数小于同期承诺净利润数的，乙方（包括：蒋武靖、岳跃军）应当按照以下</w:t>
      </w:r>
      <w:r>
        <w:rPr>
          <w:spacing w:val="-68"/>
        </w:rPr>
        <w:t> </w:t>
      </w:r>
      <w:r>
        <w:rPr>
          <w:spacing w:val="-68"/>
        </w:rPr>
      </w:r>
      <w:r>
        <w:rPr>
          <w:spacing w:val="-2"/>
        </w:rPr>
        <w:t>公式对甲方（包括：优博讯、葛学敏、牛素侠）进行补偿：当年应补偿金额＝（截止当期期末累积承诺净利润数</w:t>
      </w:r>
      <w:r>
        <w:rPr>
          <w:rFonts w:ascii="Times New Roman" w:hAnsi="Times New Roman" w:cs="Times New Roman" w:eastAsia="Times New Roman" w:hint="default"/>
          <w:spacing w:val="-2"/>
        </w:rPr>
        <w:t>—</w:t>
      </w:r>
      <w:r>
        <w:rPr>
          <w:spacing w:val="-2"/>
        </w:rPr>
        <w:t>截止当期</w:t>
      </w:r>
      <w:r>
        <w:rPr>
          <w:spacing w:val="-72"/>
        </w:rPr>
        <w:t> </w:t>
      </w:r>
      <w:r>
        <w:rPr/>
        <w:t>期末累积实际净利润数）</w:t>
      </w:r>
      <w:r>
        <w:rPr>
          <w:rFonts w:ascii="Times New Roman" w:hAnsi="Times New Roman" w:cs="Times New Roman" w:eastAsia="Times New Roman" w:hint="default"/>
        </w:rPr>
        <w:t>÷</w:t>
      </w:r>
      <w:r>
        <w:rPr/>
        <w:t>业绩承诺补偿期间内累积承诺净利润数总和</w:t>
      </w:r>
      <w:r>
        <w:rPr>
          <w:rFonts w:ascii="Times New Roman" w:hAnsi="Times New Roman" w:cs="Times New Roman" w:eastAsia="Times New Roman" w:hint="default"/>
        </w:rPr>
        <w:t>×1980</w:t>
      </w:r>
      <w:r>
        <w:rPr/>
        <w:t>万元</w:t>
      </w:r>
      <w:r>
        <w:rPr>
          <w:rFonts w:ascii="Times New Roman" w:hAnsi="Times New Roman" w:cs="Times New Roman" w:eastAsia="Times New Roman" w:hint="default"/>
        </w:rPr>
        <w:t>—</w:t>
      </w:r>
      <w:r>
        <w:rPr/>
        <w:t>已补偿金额。</w:t>
      </w:r>
    </w:p>
    <w:p>
      <w:pPr>
        <w:pStyle w:val="BodyText"/>
        <w:spacing w:line="240" w:lineRule="auto" w:before="50"/>
        <w:ind w:left="513" w:right="1133"/>
        <w:jc w:val="left"/>
      </w:pPr>
      <w:r>
        <w:rPr/>
        <w:t>（</w:t>
      </w:r>
      <w:r>
        <w:rPr>
          <w:rFonts w:ascii="Times New Roman" w:hAnsi="Times New Roman" w:cs="Times New Roman" w:eastAsia="Times New Roman" w:hint="default"/>
        </w:rPr>
        <w:t>3</w:t>
      </w:r>
      <w:r>
        <w:rPr/>
        <w:t>）中世顺科技（北京）股份有限公司</w:t>
      </w:r>
    </w:p>
    <w:p>
      <w:pPr>
        <w:pStyle w:val="BodyText"/>
        <w:spacing w:line="307" w:lineRule="auto" w:before="104"/>
        <w:ind w:right="1131" w:firstLine="432"/>
        <w:jc w:val="both"/>
      </w:pPr>
      <w:r>
        <w:rPr/>
        <w:t>根据公司与中世顺科技（北京）股份有限公司及其原股东于</w:t>
      </w:r>
      <w:r>
        <w:rPr>
          <w:spacing w:val="-2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8"/>
        </w:rPr>
        <w:t> </w:t>
      </w:r>
      <w:r>
        <w:rPr/>
        <w:t>年</w:t>
      </w:r>
      <w:r>
        <w:rPr>
          <w:spacing w:val="-28"/>
        </w:rPr>
        <w:t> </w:t>
      </w:r>
      <w:r>
        <w:rPr>
          <w:rFonts w:ascii="Times New Roman" w:hAnsi="Times New Roman" w:cs="Times New Roman" w:eastAsia="Times New Roman" w:hint="default"/>
        </w:rPr>
        <w:t>10</w:t>
      </w:r>
      <w:r>
        <w:rPr>
          <w:rFonts w:ascii="Times New Roman" w:hAnsi="Times New Roman" w:cs="Times New Roman" w:eastAsia="Times New Roman" w:hint="default"/>
          <w:spacing w:val="18"/>
        </w:rPr>
        <w:t> </w:t>
      </w:r>
      <w:r>
        <w:rPr/>
        <w:t>月</w:t>
      </w:r>
      <w:r>
        <w:rPr>
          <w:spacing w:val="-28"/>
        </w:rPr>
        <w:t> </w:t>
      </w:r>
      <w:r>
        <w:rPr>
          <w:rFonts w:ascii="Times New Roman" w:hAnsi="Times New Roman" w:cs="Times New Roman" w:eastAsia="Times New Roman" w:hint="default"/>
        </w:rPr>
        <w:t>19</w:t>
      </w:r>
      <w:r>
        <w:rPr>
          <w:rFonts w:ascii="Times New Roman" w:hAnsi="Times New Roman" w:cs="Times New Roman" w:eastAsia="Times New Roman" w:hint="default"/>
          <w:spacing w:val="18"/>
        </w:rPr>
        <w:t> </w:t>
      </w:r>
      <w:r>
        <w:rPr/>
        <w:t>日签订的《关于中世顺科技（北京）股 </w:t>
      </w:r>
      <w:r>
        <w:rPr>
          <w:spacing w:val="-1"/>
        </w:rPr>
        <w:t>份有限公司之股份投资协议》约定，中世顺业绩承诺：</w:t>
      </w:r>
      <w:r>
        <w:rPr>
          <w:rFonts w:ascii="Times New Roman" w:hAnsi="Times New Roman" w:cs="Times New Roman" w:eastAsia="Times New Roman" w:hint="default"/>
          <w:spacing w:val="-1"/>
        </w:rPr>
        <w:t>2017</w:t>
      </w:r>
      <w:r>
        <w:rPr>
          <w:spacing w:val="-1"/>
        </w:rPr>
        <w:t>年度不低于</w:t>
      </w:r>
      <w:r>
        <w:rPr>
          <w:rFonts w:ascii="Times New Roman" w:hAnsi="Times New Roman" w:cs="Times New Roman" w:eastAsia="Times New Roman" w:hint="default"/>
          <w:spacing w:val="-1"/>
        </w:rPr>
        <w:t>900</w:t>
      </w:r>
      <w:r>
        <w:rPr>
          <w:spacing w:val="-1"/>
        </w:rPr>
        <w:t>万元（含本数），</w:t>
      </w:r>
      <w:r>
        <w:rPr>
          <w:rFonts w:ascii="Times New Roman" w:hAnsi="Times New Roman" w:cs="Times New Roman" w:eastAsia="Times New Roman" w:hint="default"/>
          <w:spacing w:val="-1"/>
        </w:rPr>
        <w:t>2018</w:t>
      </w:r>
      <w:r>
        <w:rPr>
          <w:spacing w:val="-1"/>
        </w:rPr>
        <w:t>年度不低于</w:t>
      </w:r>
      <w:r>
        <w:rPr>
          <w:rFonts w:ascii="Times New Roman" w:hAnsi="Times New Roman" w:cs="Times New Roman" w:eastAsia="Times New Roman" w:hint="default"/>
          <w:spacing w:val="-1"/>
        </w:rPr>
        <w:t>1,100</w:t>
      </w:r>
      <w:r>
        <w:rPr>
          <w:spacing w:val="-1"/>
        </w:rPr>
        <w:t>万元（含</w:t>
      </w:r>
      <w:r>
        <w:rPr>
          <w:spacing w:val="-72"/>
        </w:rPr>
        <w:t> </w:t>
      </w:r>
      <w:r>
        <w:rPr>
          <w:spacing w:val="-72"/>
        </w:rPr>
      </w:r>
      <w:r>
        <w:rPr/>
        <w:t>本数），</w:t>
      </w:r>
      <w:r>
        <w:rPr>
          <w:rFonts w:ascii="Times New Roman" w:hAnsi="Times New Roman" w:cs="Times New Roman" w:eastAsia="Times New Roman" w:hint="default"/>
        </w:rPr>
        <w:t>2019</w:t>
      </w:r>
      <w:r>
        <w:rPr/>
        <w:t>年度不低于</w:t>
      </w:r>
      <w:r>
        <w:rPr>
          <w:rFonts w:ascii="Times New Roman" w:hAnsi="Times New Roman" w:cs="Times New Roman" w:eastAsia="Times New Roman" w:hint="default"/>
        </w:rPr>
        <w:t>1,300</w:t>
      </w:r>
      <w:r>
        <w:rPr/>
        <w:t>万元（含本数），</w:t>
      </w:r>
      <w:r>
        <w:rPr>
          <w:rFonts w:ascii="Times New Roman" w:hAnsi="Times New Roman" w:cs="Times New Roman" w:eastAsia="Times New Roman" w:hint="default"/>
        </w:rPr>
        <w:t>2020</w:t>
      </w:r>
      <w:r>
        <w:rPr/>
        <w:t>年度不低于</w:t>
      </w:r>
      <w:r>
        <w:rPr>
          <w:rFonts w:ascii="Times New Roman" w:hAnsi="Times New Roman" w:cs="Times New Roman" w:eastAsia="Times New Roman" w:hint="default"/>
        </w:rPr>
        <w:t>1,500</w:t>
      </w:r>
      <w:r>
        <w:rPr/>
        <w:t>万元（含本数）。业绩补偿：如果中世顺未完成业绩 </w:t>
      </w:r>
      <w:r>
        <w:rPr>
          <w:spacing w:val="-2"/>
        </w:rPr>
        <w:t>承诺约定的任一会计年度的承诺净利润数的，差额利润数计入下一年度应完成的目标，如果累计四个年度的利润目标最终没</w:t>
      </w:r>
      <w:r>
        <w:rPr>
          <w:spacing w:val="-64"/>
        </w:rPr>
        <w:t> </w:t>
      </w:r>
      <w:r>
        <w:rPr>
          <w:spacing w:val="-64"/>
        </w:rPr>
      </w:r>
      <w:r>
        <w:rPr>
          <w:spacing w:val="-5"/>
        </w:rPr>
        <w:t>有完成，则重要股东（包括：李远模、昇萃科技有限公司、高慧、林慧霞、付万明、袁韻棋、余波、中世顺商务信息咨询（天</w:t>
      </w:r>
      <w:r>
        <w:rPr>
          <w:spacing w:val="-79"/>
        </w:rPr>
        <w:t> </w:t>
      </w:r>
      <w:r>
        <w:rPr>
          <w:spacing w:val="-79"/>
        </w:rPr>
      </w:r>
      <w:r>
        <w:rPr/>
        <w:t>津）合伙企业（有限合伙））应按如下方式和金额对优博讯进行补偿：应补偿金额总额</w:t>
      </w:r>
      <w:r>
        <w:rPr>
          <w:rFonts w:ascii="Times New Roman" w:hAnsi="Times New Roman" w:cs="Times New Roman" w:eastAsia="Times New Roman" w:hint="default"/>
        </w:rPr>
        <w:t>=</w:t>
      </w:r>
      <w:r>
        <w:rPr/>
        <w:t>（四个年度累积承诺净利润数</w:t>
      </w:r>
      <w:r>
        <w:rPr>
          <w:rFonts w:ascii="Times New Roman" w:hAnsi="Times New Roman" w:cs="Times New Roman" w:eastAsia="Times New Roman" w:hint="default"/>
        </w:rPr>
        <w:t>—</w:t>
      </w:r>
      <w:r>
        <w:rPr/>
        <w:t>四 个年度累积实际净利润数）</w:t>
      </w:r>
      <w:r>
        <w:rPr>
          <w:rFonts w:ascii="Times New Roman" w:hAnsi="Times New Roman" w:cs="Times New Roman" w:eastAsia="Times New Roman" w:hint="default"/>
        </w:rPr>
        <w:t>÷</w:t>
      </w:r>
      <w:r>
        <w:rPr/>
        <w:t>四个年度累积承诺净利润数</w:t>
      </w:r>
      <w:r>
        <w:rPr>
          <w:rFonts w:ascii="Times New Roman" w:hAnsi="Times New Roman" w:cs="Times New Roman" w:eastAsia="Times New Roman" w:hint="default"/>
        </w:rPr>
        <w:t>×</w:t>
      </w:r>
      <w:r>
        <w:rPr/>
        <w:t>投资价款。</w:t>
      </w:r>
    </w:p>
    <w:p>
      <w:pPr>
        <w:pStyle w:val="BodyText"/>
        <w:spacing w:line="340" w:lineRule="auto" w:before="45"/>
        <w:ind w:left="369" w:right="1129" w:firstLine="72"/>
        <w:jc w:val="left"/>
      </w:pPr>
      <w:r>
        <w:rPr/>
        <w:t>（</w:t>
      </w:r>
      <w:r>
        <w:rPr>
          <w:rFonts w:ascii="Times New Roman" w:hAnsi="Times New Roman" w:cs="Times New Roman" w:eastAsia="Times New Roman" w:hint="default"/>
        </w:rPr>
        <w:t>4</w:t>
      </w:r>
      <w:r>
        <w:rPr/>
        <w:t>）珠海佳博科技有限公司 </w:t>
      </w:r>
      <w:r>
        <w:rPr>
          <w:spacing w:val="-1"/>
        </w:rPr>
        <w:t>根据公司与珠海佳博科技股份有限公司原管理层股东分别于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13</w:t>
      </w:r>
      <w:r>
        <w:rPr>
          <w:spacing w:val="-1"/>
        </w:rPr>
        <w:t>日、</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31</w:t>
      </w:r>
      <w:r>
        <w:rPr>
          <w:spacing w:val="-1"/>
        </w:rPr>
        <w:t>日签署的《发行股份及支付现</w:t>
      </w:r>
    </w:p>
    <w:p>
      <w:pPr>
        <w:spacing w:after="0" w:line="3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7" w:lineRule="auto" w:before="44"/>
        <w:ind w:right="1050"/>
        <w:jc w:val="left"/>
      </w:pPr>
      <w:r>
        <w:rPr>
          <w:spacing w:val="-2"/>
        </w:rPr>
        <w:t>金购买资产的利润预测补偿协议》、《发行股份及支付现金购买资产的利润预测补偿协议之补充协议》约定，佳博科技业绩</w:t>
      </w:r>
      <w:r>
        <w:rPr>
          <w:spacing w:val="-65"/>
        </w:rPr>
        <w:t> </w:t>
      </w:r>
      <w:r>
        <w:rPr>
          <w:spacing w:val="-65"/>
        </w:rPr>
      </w:r>
      <w:r>
        <w:rPr>
          <w:spacing w:val="-4"/>
        </w:rPr>
        <w:t>承诺：</w:t>
      </w:r>
      <w:r>
        <w:rPr>
          <w:rFonts w:ascii="Times New Roman" w:hAnsi="Times New Roman" w:cs="Times New Roman" w:eastAsia="Times New Roman" w:hint="default"/>
          <w:spacing w:val="-4"/>
        </w:rPr>
        <w:t>2019</w:t>
      </w:r>
      <w:r>
        <w:rPr>
          <w:spacing w:val="-4"/>
        </w:rPr>
        <w:t>年度不低于</w:t>
      </w:r>
      <w:r>
        <w:rPr>
          <w:rFonts w:ascii="Times New Roman" w:hAnsi="Times New Roman" w:cs="Times New Roman" w:eastAsia="Times New Roman" w:hint="default"/>
          <w:spacing w:val="-4"/>
        </w:rPr>
        <w:t>7,000</w:t>
      </w:r>
      <w:r>
        <w:rPr>
          <w:spacing w:val="-4"/>
        </w:rPr>
        <w:t>万元，</w:t>
      </w:r>
      <w:r>
        <w:rPr>
          <w:rFonts w:ascii="Times New Roman" w:hAnsi="Times New Roman" w:cs="Times New Roman" w:eastAsia="Times New Roman" w:hint="default"/>
          <w:spacing w:val="-4"/>
        </w:rPr>
        <w:t>2020</w:t>
      </w:r>
      <w:r>
        <w:rPr>
          <w:spacing w:val="-4"/>
        </w:rPr>
        <w:t>年度不低于</w:t>
      </w:r>
      <w:r>
        <w:rPr>
          <w:rFonts w:ascii="Times New Roman" w:hAnsi="Times New Roman" w:cs="Times New Roman" w:eastAsia="Times New Roman" w:hint="default"/>
          <w:spacing w:val="-4"/>
        </w:rPr>
        <w:t>9,000</w:t>
      </w:r>
      <w:r>
        <w:rPr>
          <w:spacing w:val="-4"/>
        </w:rPr>
        <w:t>万元，</w:t>
      </w:r>
      <w:r>
        <w:rPr>
          <w:rFonts w:ascii="Times New Roman" w:hAnsi="Times New Roman" w:cs="Times New Roman" w:eastAsia="Times New Roman" w:hint="default"/>
          <w:spacing w:val="-4"/>
        </w:rPr>
        <w:t>2021</w:t>
      </w:r>
      <w:r>
        <w:rPr>
          <w:spacing w:val="-4"/>
        </w:rPr>
        <w:t>年度不低于</w:t>
      </w:r>
      <w:r>
        <w:rPr>
          <w:rFonts w:ascii="Times New Roman" w:hAnsi="Times New Roman" w:cs="Times New Roman" w:eastAsia="Times New Roman" w:hint="default"/>
          <w:spacing w:val="-4"/>
        </w:rPr>
        <w:t>11,000</w:t>
      </w:r>
      <w:r>
        <w:rPr>
          <w:spacing w:val="-4"/>
        </w:rPr>
        <w:t>万元，</w:t>
      </w:r>
      <w:r>
        <w:rPr>
          <w:rFonts w:ascii="Times New Roman" w:hAnsi="Times New Roman" w:cs="Times New Roman" w:eastAsia="Times New Roman" w:hint="default"/>
          <w:spacing w:val="-4"/>
        </w:rPr>
        <w:t>2022</w:t>
      </w:r>
      <w:r>
        <w:rPr>
          <w:spacing w:val="-4"/>
        </w:rPr>
        <w:t>年度不低于</w:t>
      </w:r>
      <w:r>
        <w:rPr>
          <w:rFonts w:ascii="Times New Roman" w:hAnsi="Times New Roman" w:cs="Times New Roman" w:eastAsia="Times New Roman" w:hint="default"/>
          <w:spacing w:val="-4"/>
        </w:rPr>
        <w:t>12,500</w:t>
      </w:r>
      <w:r>
        <w:rPr>
          <w:spacing w:val="-4"/>
        </w:rPr>
        <w:t>万元，</w:t>
      </w:r>
      <w:r>
        <w:rPr>
          <w:rFonts w:ascii="Times New Roman" w:hAnsi="Times New Roman" w:cs="Times New Roman" w:eastAsia="Times New Roman" w:hint="default"/>
          <w:spacing w:val="-4"/>
        </w:rPr>
        <w:t>2023</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年度不低于</w:t>
      </w:r>
      <w:r>
        <w:rPr>
          <w:rFonts w:ascii="Times New Roman" w:hAnsi="Times New Roman" w:cs="Times New Roman" w:eastAsia="Times New Roman" w:hint="default"/>
        </w:rPr>
        <w:t>12,500</w:t>
      </w:r>
      <w:r>
        <w:rPr/>
        <w:t>万元。业绩补偿：利润补偿期间内，佳博科技截至当期期末累积实际净利润数低于截至当期期末累积承诺 净利润数，原管理层股东（包括：陈建辉、吴珠杨、施唯平、胡琳、李菁、申恩投资、王春华、李晓波、仇海妹、丰德香、 </w:t>
      </w:r>
      <w:r>
        <w:rPr>
          <w:spacing w:val="-2"/>
        </w:rPr>
        <w:t>魏方、谭玎、郑小春、张仙）应按照以下公式对优博讯进行补偿：当年应补偿金额</w:t>
      </w:r>
      <w:r>
        <w:rPr>
          <w:rFonts w:ascii="Times New Roman" w:hAnsi="Times New Roman" w:cs="Times New Roman" w:eastAsia="Times New Roman" w:hint="default"/>
          <w:spacing w:val="-2"/>
        </w:rPr>
        <w:t>=</w:t>
      </w:r>
      <w:r>
        <w:rPr>
          <w:spacing w:val="-2"/>
        </w:rPr>
        <w:t>（截止当期期末累积承诺净利润数</w:t>
      </w:r>
      <w:r>
        <w:rPr>
          <w:rFonts w:ascii="Times New Roman" w:hAnsi="Times New Roman" w:cs="Times New Roman" w:eastAsia="Times New Roman" w:hint="default"/>
          <w:spacing w:val="-2"/>
        </w:rPr>
        <w:t>-</w:t>
      </w:r>
      <w:r>
        <w:rPr>
          <w:spacing w:val="-2"/>
        </w:rPr>
        <w:t>截止</w:t>
      </w:r>
      <w:r>
        <w:rPr>
          <w:spacing w:val="-46"/>
        </w:rPr>
        <w:t> </w:t>
      </w:r>
      <w:r>
        <w:rPr/>
        <w:t>当期期末累积实际净利润数）</w:t>
      </w:r>
      <w:r>
        <w:rPr>
          <w:rFonts w:ascii="Times New Roman" w:hAnsi="Times New Roman" w:cs="Times New Roman" w:eastAsia="Times New Roman" w:hint="default"/>
        </w:rPr>
        <w:t>÷</w:t>
      </w:r>
      <w:r>
        <w:rPr/>
        <w:t>利润补偿期间内累积承诺净利润数</w:t>
      </w:r>
      <w:r>
        <w:rPr>
          <w:rFonts w:ascii="Times New Roman" w:hAnsi="Times New Roman" w:cs="Times New Roman" w:eastAsia="Times New Roman" w:hint="default"/>
        </w:rPr>
        <w:t>×</w:t>
      </w:r>
      <w:r>
        <w:rPr/>
        <w:t>标的资产交易价格</w:t>
      </w:r>
      <w:r>
        <w:rPr>
          <w:rFonts w:ascii="Times New Roman" w:hAnsi="Times New Roman" w:cs="Times New Roman" w:eastAsia="Times New Roman" w:hint="default"/>
        </w:rPr>
        <w:t>-</w:t>
      </w:r>
      <w:r>
        <w:rPr/>
        <w:t>已补偿金额。</w:t>
      </w:r>
    </w:p>
    <w:p>
      <w:pPr>
        <w:pStyle w:val="BodyText"/>
        <w:spacing w:line="240" w:lineRule="auto" w:before="48"/>
        <w:ind w:right="1133"/>
        <w:jc w:val="left"/>
      </w:pPr>
      <w:r>
        <w:rPr/>
        <w:t>业绩承诺的完成情况及其对商誉减值测试的影响</w:t>
      </w:r>
    </w:p>
    <w:p>
      <w:pPr>
        <w:pStyle w:val="BodyText"/>
        <w:spacing w:line="340" w:lineRule="auto" w:before="115"/>
        <w:ind w:left="513" w:right="1123"/>
        <w:jc w:val="left"/>
      </w:pPr>
      <w:r>
        <w:rPr/>
        <w:t>（</w:t>
      </w:r>
      <w:r>
        <w:rPr>
          <w:rFonts w:ascii="Times New Roman" w:hAnsi="Times New Roman" w:cs="Times New Roman" w:eastAsia="Times New Roman" w:hint="default"/>
        </w:rPr>
        <w:t>1</w:t>
      </w:r>
      <w:r>
        <w:rPr/>
        <w:t>）深圳市瑞柏泰电子有限公司 依据大华会计师事务所（特殊普通合伙）于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日出具的《深圳市优博讯科技股份有限公司关于收购深圳市瑞</w:t>
      </w:r>
    </w:p>
    <w:p>
      <w:pPr>
        <w:pStyle w:val="BodyText"/>
        <w:spacing w:line="228" w:lineRule="exact"/>
        <w:ind w:right="1133"/>
        <w:jc w:val="left"/>
      </w:pPr>
      <w:r>
        <w:rPr/>
        <w:t>柏泰电子有限公司业绩承诺实现情况说明的审核报告》（大华核字</w:t>
      </w:r>
      <w:r>
        <w:rPr>
          <w:rFonts w:ascii="Times New Roman" w:hAnsi="Times New Roman" w:cs="Times New Roman" w:eastAsia="Times New Roman" w:hint="default"/>
        </w:rPr>
        <w:t>[2020]003007</w:t>
      </w:r>
      <w:r>
        <w:rPr/>
        <w:t>号）显示，瑞柏泰</w:t>
      </w:r>
      <w:r>
        <w:rPr>
          <w:rFonts w:ascii="Times New Roman" w:hAnsi="Times New Roman" w:cs="Times New Roman" w:eastAsia="Times New Roman" w:hint="default"/>
        </w:rPr>
        <w:t>2017</w:t>
      </w:r>
      <w:r>
        <w:rPr/>
        <w:t>年度实现利润数</w:t>
      </w:r>
    </w:p>
    <w:p>
      <w:pPr>
        <w:pStyle w:val="BodyText"/>
        <w:spacing w:line="300" w:lineRule="auto" w:before="63"/>
        <w:ind w:right="1138"/>
        <w:jc w:val="both"/>
      </w:pPr>
      <w:r>
        <w:rPr>
          <w:rFonts w:ascii="Times New Roman" w:hAnsi="Times New Roman" w:cs="Times New Roman" w:eastAsia="Times New Roman" w:hint="default"/>
        </w:rPr>
        <w:t>24,201,268.69</w:t>
      </w:r>
      <w:r>
        <w:rPr/>
        <w:t>元超过业绩承诺数</w:t>
      </w:r>
      <w:r>
        <w:rPr>
          <w:rFonts w:ascii="Times New Roman" w:hAnsi="Times New Roman" w:cs="Times New Roman" w:eastAsia="Times New Roman" w:hint="default"/>
        </w:rPr>
        <w:t>24,000,000.00</w:t>
      </w:r>
      <w:r>
        <w:rPr/>
        <w:t>元，</w:t>
      </w:r>
      <w:r>
        <w:rPr>
          <w:rFonts w:ascii="Times New Roman" w:hAnsi="Times New Roman" w:cs="Times New Roman" w:eastAsia="Times New Roman" w:hint="default"/>
        </w:rPr>
        <w:t>2017</w:t>
      </w:r>
      <w:r>
        <w:rPr/>
        <w:t>年的业绩承诺得到了有效履行，无需对公司进行补偿；截止</w:t>
      </w:r>
      <w:r>
        <w:rPr>
          <w:rFonts w:ascii="Times New Roman" w:hAnsi="Times New Roman" w:cs="Times New Roman" w:eastAsia="Times New Roman" w:hint="default"/>
        </w:rPr>
        <w:t>2019</w:t>
      </w:r>
      <w:r>
        <w:rPr/>
        <w:t>年末 瑞柏泰公司累积实现利润数</w:t>
      </w:r>
      <w:r>
        <w:rPr>
          <w:rFonts w:ascii="Times New Roman" w:hAnsi="Times New Roman" w:cs="Times New Roman" w:eastAsia="Times New Roman" w:hint="default"/>
        </w:rPr>
        <w:t>58,858,895.82</w:t>
      </w:r>
      <w:r>
        <w:rPr/>
        <w:t>元小于同期累积承诺利润数</w:t>
      </w:r>
      <w:r>
        <w:rPr>
          <w:rFonts w:ascii="Times New Roman" w:hAnsi="Times New Roman" w:cs="Times New Roman" w:eastAsia="Times New Roman" w:hint="default"/>
        </w:rPr>
        <w:t>83,000,000.00</w:t>
      </w:r>
      <w:r>
        <w:rPr/>
        <w:t>元，累积业绩承诺未完成，根据补偿安排 交易对方需对本公司进行补偿，其中现金补偿金额为</w:t>
      </w:r>
      <w:r>
        <w:rPr>
          <w:rFonts w:ascii="Times New Roman" w:hAnsi="Times New Roman" w:cs="Times New Roman" w:eastAsia="Times New Roman" w:hint="default"/>
        </w:rPr>
        <w:t>15,484,649.55</w:t>
      </w:r>
      <w:r>
        <w:rPr/>
        <w:t>元；股权补偿应折算的股权比例为</w:t>
      </w:r>
      <w:r>
        <w:rPr>
          <w:rFonts w:ascii="Times New Roman" w:hAnsi="Times New Roman" w:cs="Times New Roman" w:eastAsia="Times New Roman" w:hint="default"/>
        </w:rPr>
        <w:t>7.038477%</w:t>
      </w:r>
      <w:r>
        <w:rPr/>
        <w:t>。管理层经 过商誉减值测试，本期计提商誉减值准备</w:t>
      </w:r>
      <w:r>
        <w:rPr>
          <w:rFonts w:ascii="Times New Roman" w:hAnsi="Times New Roman" w:cs="Times New Roman" w:eastAsia="Times New Roman" w:hint="default"/>
        </w:rPr>
        <w:t>84,663,087.31</w:t>
      </w:r>
      <w:r>
        <w:rPr/>
        <w:t>元。详见第十二节</w:t>
      </w:r>
      <w:r>
        <w:rPr>
          <w:rFonts w:ascii="Times New Roman" w:hAnsi="Times New Roman" w:cs="Times New Roman" w:eastAsia="Times New Roman" w:hint="default"/>
        </w:rPr>
        <w:t>“</w:t>
      </w:r>
      <w:r>
        <w:rPr/>
        <w:t>七、</w:t>
      </w:r>
      <w:r>
        <w:rPr>
          <w:rFonts w:ascii="Times New Roman" w:hAnsi="Times New Roman" w:cs="Times New Roman" w:eastAsia="Times New Roman" w:hint="default"/>
        </w:rPr>
        <w:t>14</w:t>
      </w:r>
      <w:r>
        <w:rPr/>
        <w:t>、商誉</w:t>
      </w:r>
      <w:r>
        <w:rPr>
          <w:rFonts w:ascii="Times New Roman" w:hAnsi="Times New Roman" w:cs="Times New Roman" w:eastAsia="Times New Roman" w:hint="default"/>
        </w:rPr>
        <w:t>”</w:t>
      </w:r>
      <w:r>
        <w:rPr/>
        <w:t>。</w:t>
      </w:r>
    </w:p>
    <w:p>
      <w:pPr>
        <w:pStyle w:val="BodyText"/>
        <w:spacing w:line="338" w:lineRule="auto" w:before="53"/>
        <w:ind w:left="513" w:right="1123"/>
        <w:jc w:val="left"/>
      </w:pPr>
      <w:r>
        <w:rPr/>
        <w:t>（</w:t>
      </w:r>
      <w:r>
        <w:rPr>
          <w:rFonts w:ascii="Times New Roman" w:hAnsi="Times New Roman" w:cs="Times New Roman" w:eastAsia="Times New Roman" w:hint="default"/>
        </w:rPr>
        <w:t>2</w:t>
      </w:r>
      <w:r>
        <w:rPr/>
        <w:t>）上海芝柯智能科技有限公司 根据中准会计师事务所（特殊普通合伙）于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日出具的《上海芝柯智能科技有限公司</w:t>
      </w:r>
      <w:r>
        <w:rPr>
          <w:rFonts w:ascii="Times New Roman" w:hAnsi="Times New Roman" w:cs="Times New Roman" w:eastAsia="Times New Roman" w:hint="default"/>
        </w:rPr>
        <w:t>2019</w:t>
      </w:r>
      <w:r>
        <w:rPr/>
        <w:t>年度财务报表审计</w:t>
      </w:r>
    </w:p>
    <w:p>
      <w:pPr>
        <w:pStyle w:val="BodyText"/>
        <w:spacing w:line="230" w:lineRule="exact"/>
        <w:ind w:right="0"/>
        <w:jc w:val="left"/>
      </w:pPr>
      <w:r>
        <w:rPr/>
        <w:t>报告》中准审字</w:t>
      </w:r>
      <w:r>
        <w:rPr>
          <w:rFonts w:ascii="Times New Roman" w:hAnsi="Times New Roman" w:cs="Times New Roman" w:eastAsia="Times New Roman" w:hint="default"/>
        </w:rPr>
        <w:t>[2020]</w:t>
      </w:r>
      <w:r>
        <w:rPr/>
        <w:t>第</w:t>
      </w:r>
      <w:r>
        <w:rPr>
          <w:rFonts w:ascii="Times New Roman" w:hAnsi="Times New Roman" w:cs="Times New Roman" w:eastAsia="Times New Roman" w:hint="default"/>
        </w:rPr>
        <w:t>2010</w:t>
      </w:r>
      <w:r>
        <w:rPr/>
        <w:t>号显示，上海芝柯</w:t>
      </w:r>
      <w:r>
        <w:rPr>
          <w:rFonts w:ascii="Times New Roman" w:hAnsi="Times New Roman" w:cs="Times New Roman" w:eastAsia="Times New Roman" w:hint="default"/>
        </w:rPr>
        <w:t>2019</w:t>
      </w:r>
      <w:r>
        <w:rPr/>
        <w:t>年实现的扣除非经常性损益的净利润为</w:t>
      </w:r>
      <w:r>
        <w:rPr>
          <w:rFonts w:ascii="Times New Roman" w:hAnsi="Times New Roman" w:cs="Times New Roman" w:eastAsia="Times New Roman" w:hint="default"/>
        </w:rPr>
        <w:t>977.02</w:t>
      </w:r>
      <w:r>
        <w:rPr/>
        <w:t>万元，未达到</w:t>
      </w:r>
      <w:r>
        <w:rPr>
          <w:rFonts w:ascii="Times New Roman" w:hAnsi="Times New Roman" w:cs="Times New Roman" w:eastAsia="Times New Roman" w:hint="default"/>
        </w:rPr>
        <w:t>2019</w:t>
      </w:r>
      <w:r>
        <w:rPr/>
        <w:t>年度承</w:t>
      </w:r>
    </w:p>
    <w:p>
      <w:pPr>
        <w:pStyle w:val="BodyText"/>
        <w:spacing w:line="240" w:lineRule="auto" w:before="63"/>
        <w:ind w:right="1133"/>
        <w:jc w:val="left"/>
      </w:pPr>
      <w:r>
        <w:rPr/>
        <w:t>诺净利润数，根据约定需对公司进行补偿。</w:t>
      </w:r>
    </w:p>
    <w:p>
      <w:pPr>
        <w:pStyle w:val="BodyText"/>
        <w:spacing w:line="340" w:lineRule="auto" w:before="117"/>
        <w:ind w:left="513" w:right="1123"/>
        <w:jc w:val="left"/>
      </w:pPr>
      <w:r>
        <w:rPr/>
        <w:t>（</w:t>
      </w:r>
      <w:r>
        <w:rPr>
          <w:rFonts w:ascii="Times New Roman" w:hAnsi="Times New Roman" w:cs="Times New Roman" w:eastAsia="Times New Roman" w:hint="default"/>
        </w:rPr>
        <w:t>3</w:t>
      </w:r>
      <w:r>
        <w:rPr/>
        <w:t>）中世顺科技（北京）股份有限公司 根据北京天鸿永信会计师事务所（普通合伙）于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日出具的《中世顺科技（北京）股份有限公司</w:t>
      </w:r>
      <w:r>
        <w:rPr>
          <w:rFonts w:ascii="Times New Roman" w:hAnsi="Times New Roman" w:cs="Times New Roman" w:eastAsia="Times New Roman" w:hint="default"/>
        </w:rPr>
        <w:t>2019</w:t>
      </w:r>
      <w:r>
        <w:rPr/>
        <w:t>年度合</w:t>
      </w:r>
    </w:p>
    <w:p>
      <w:pPr>
        <w:pStyle w:val="BodyText"/>
        <w:spacing w:line="228" w:lineRule="exact"/>
        <w:ind w:right="1133"/>
        <w:jc w:val="left"/>
      </w:pPr>
      <w:r>
        <w:rPr/>
        <w:t>并财务报表审计报告》天鸿审字</w:t>
      </w:r>
      <w:r>
        <w:rPr>
          <w:rFonts w:ascii="Times New Roman" w:hAnsi="Times New Roman" w:cs="Times New Roman" w:eastAsia="Times New Roman" w:hint="default"/>
        </w:rPr>
        <w:t>[2020]</w:t>
      </w:r>
      <w:r>
        <w:rPr/>
        <w:t>第</w:t>
      </w:r>
      <w:r>
        <w:rPr>
          <w:rFonts w:ascii="Times New Roman" w:hAnsi="Times New Roman" w:cs="Times New Roman" w:eastAsia="Times New Roman" w:hint="default"/>
        </w:rPr>
        <w:t>208007</w:t>
      </w:r>
      <w:r>
        <w:rPr/>
        <w:t>号显示，中世顺</w:t>
      </w:r>
      <w:r>
        <w:rPr>
          <w:rFonts w:ascii="Times New Roman" w:hAnsi="Times New Roman" w:cs="Times New Roman" w:eastAsia="Times New Roman" w:hint="default"/>
        </w:rPr>
        <w:t>2019</w:t>
      </w:r>
      <w:r>
        <w:rPr/>
        <w:t>年实现的扣除非经常性损益的净利润为</w:t>
      </w:r>
      <w:r>
        <w:rPr>
          <w:rFonts w:ascii="Times New Roman" w:hAnsi="Times New Roman" w:cs="Times New Roman" w:eastAsia="Times New Roman" w:hint="default"/>
        </w:rPr>
        <w:t>1,462.43</w:t>
      </w:r>
      <w:r>
        <w:rPr/>
        <w:t>万元，</w:t>
      </w:r>
    </w:p>
    <w:p>
      <w:pPr>
        <w:pStyle w:val="BodyText"/>
        <w:spacing w:line="240" w:lineRule="auto" w:before="63"/>
        <w:ind w:right="1133"/>
        <w:jc w:val="left"/>
      </w:pPr>
      <w:r>
        <w:rPr/>
        <w:t>已达到</w:t>
      </w:r>
      <w:r>
        <w:rPr>
          <w:rFonts w:ascii="Times New Roman" w:hAnsi="Times New Roman" w:cs="Times New Roman" w:eastAsia="Times New Roman" w:hint="default"/>
        </w:rPr>
        <w:t>2019</w:t>
      </w:r>
      <w:r>
        <w:rPr/>
        <w:t>年度承诺净利润数。</w:t>
      </w:r>
    </w:p>
    <w:p>
      <w:pPr>
        <w:pStyle w:val="BodyText"/>
        <w:spacing w:line="340" w:lineRule="auto" w:before="101"/>
        <w:ind w:left="513" w:right="1123"/>
        <w:jc w:val="left"/>
      </w:pPr>
      <w:r>
        <w:rPr/>
        <w:t>（</w:t>
      </w:r>
      <w:r>
        <w:rPr>
          <w:rFonts w:ascii="Times New Roman" w:hAnsi="Times New Roman" w:cs="Times New Roman" w:eastAsia="Times New Roman" w:hint="default"/>
        </w:rPr>
        <w:t>4</w:t>
      </w:r>
      <w:r>
        <w:rPr/>
        <w:t>）珠海佳博科技有限公司 依据大华会计师事务所（特殊普通合伙）于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日出具的《深圳市优博讯科技股份有限公司关于收购珠海佳博</w:t>
      </w:r>
    </w:p>
    <w:p>
      <w:pPr>
        <w:pStyle w:val="BodyText"/>
        <w:spacing w:line="228" w:lineRule="exact"/>
        <w:ind w:right="1133"/>
        <w:jc w:val="left"/>
      </w:pPr>
      <w:r>
        <w:rPr/>
        <w:t>科技有限公司业绩承诺实现情况说明的审核报告》（大华核字</w:t>
      </w:r>
      <w:r>
        <w:rPr>
          <w:rFonts w:ascii="Times New Roman" w:hAnsi="Times New Roman" w:cs="Times New Roman" w:eastAsia="Times New Roman" w:hint="default"/>
        </w:rPr>
        <w:t>[2020]003011</w:t>
      </w:r>
      <w:r>
        <w:rPr/>
        <w:t>号）显示，佳博科技</w:t>
      </w:r>
      <w:r>
        <w:rPr>
          <w:rFonts w:ascii="Times New Roman" w:hAnsi="Times New Roman" w:cs="Times New Roman" w:eastAsia="Times New Roman" w:hint="default"/>
        </w:rPr>
        <w:t>2019</w:t>
      </w:r>
      <w:r>
        <w:rPr/>
        <w:t>年度实现利润数</w:t>
      </w:r>
    </w:p>
    <w:p>
      <w:pPr>
        <w:pStyle w:val="BodyText"/>
        <w:spacing w:line="300" w:lineRule="auto" w:before="63"/>
        <w:ind w:right="1124"/>
        <w:jc w:val="left"/>
      </w:pPr>
      <w:r>
        <w:rPr>
          <w:rFonts w:ascii="Times New Roman" w:hAnsi="Times New Roman" w:cs="Times New Roman" w:eastAsia="Times New Roman" w:hint="default"/>
        </w:rPr>
        <w:t>75,714,847.47</w:t>
      </w:r>
      <w:r>
        <w:rPr/>
        <w:t>元超过业绩承诺数</w:t>
      </w:r>
      <w:r>
        <w:rPr>
          <w:rFonts w:ascii="Times New Roman" w:hAnsi="Times New Roman" w:cs="Times New Roman" w:eastAsia="Times New Roman" w:hint="default"/>
        </w:rPr>
        <w:t>70,000,000.00</w:t>
      </w:r>
      <w:r>
        <w:rPr/>
        <w:t>元，</w:t>
      </w:r>
      <w:r>
        <w:rPr>
          <w:rFonts w:ascii="Times New Roman" w:hAnsi="Times New Roman" w:cs="Times New Roman" w:eastAsia="Times New Roman" w:hint="default"/>
        </w:rPr>
        <w:t>2019</w:t>
      </w:r>
      <w:r>
        <w:rPr/>
        <w:t>年的业绩承诺得到了有效履行，无需对本公司进行补偿。管理层经过 商誉减值测试，本期无需计提商誉减值准备。详见第十二节</w:t>
      </w:r>
      <w:r>
        <w:rPr>
          <w:rFonts w:ascii="Times New Roman" w:hAnsi="Times New Roman" w:cs="Times New Roman" w:eastAsia="Times New Roman" w:hint="default"/>
        </w:rPr>
        <w:t>“</w:t>
      </w:r>
      <w:r>
        <w:rPr/>
        <w:t>七、</w:t>
      </w:r>
      <w:r>
        <w:rPr>
          <w:rFonts w:ascii="Times New Roman" w:hAnsi="Times New Roman" w:cs="Times New Roman" w:eastAsia="Times New Roman" w:hint="default"/>
        </w:rPr>
        <w:t>14</w:t>
      </w:r>
      <w:r>
        <w:rPr/>
        <w:t>、商誉</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20"/>
          <w:szCs w:val="20"/>
        </w:rPr>
      </w:pPr>
    </w:p>
    <w:p>
      <w:pPr>
        <w:pStyle w:val="Heading2"/>
        <w:spacing w:line="240" w:lineRule="auto"/>
        <w:ind w:right="1133"/>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513" w:right="1133"/>
        <w:jc w:val="left"/>
      </w:pPr>
      <w:r>
        <w:rPr>
          <w:rFonts w:ascii="Times New Roman" w:hAnsi="Times New Roman" w:cs="Times New Roman" w:eastAsia="Times New Roman" w:hint="default"/>
        </w:rPr>
        <w:t>1.</w:t>
      </w:r>
      <w:r>
        <w:rPr/>
        <w:t>会计政策变更</w:t>
      </w:r>
    </w:p>
    <w:p>
      <w:pPr>
        <w:pStyle w:val="BodyText"/>
        <w:spacing w:line="240" w:lineRule="auto" w:before="103"/>
        <w:ind w:left="513" w:right="1133"/>
        <w:jc w:val="left"/>
      </w:pPr>
      <w:r>
        <w:rPr/>
        <w:t>（</w:t>
      </w:r>
      <w:r>
        <w:rPr>
          <w:rFonts w:ascii="Times New Roman" w:hAnsi="Times New Roman" w:cs="Times New Roman" w:eastAsia="Times New Roman" w:hint="default"/>
        </w:rPr>
        <w:t>1</w:t>
      </w:r>
      <w:r>
        <w:rPr/>
        <w:t>）执行新金融工具准则对本公司的影响</w:t>
      </w:r>
    </w:p>
    <w:p>
      <w:pPr>
        <w:pStyle w:val="BodyText"/>
        <w:spacing w:line="300" w:lineRule="auto" w:before="103"/>
        <w:ind w:right="1128" w:firstLine="360"/>
        <w:jc w:val="both"/>
      </w:pPr>
      <w:r>
        <w:rPr/>
        <w:t>本公司自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日起执行财政部</w:t>
      </w:r>
      <w:r>
        <w:rPr>
          <w:rFonts w:ascii="Times New Roman" w:hAnsi="Times New Roman" w:cs="Times New Roman" w:eastAsia="Times New Roman" w:hint="default"/>
        </w:rPr>
        <w:t>2017</w:t>
      </w:r>
      <w:r>
        <w:rPr/>
        <w:t>年修订的《企业会计准则第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金融工具确认和计量》、《企业会计准则第 </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金融资产转移》和《企业会计准则第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套期会计》、《企业会计准则第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金融工具列报》（以上四项统称</w:t>
      </w:r>
      <w:r>
        <w:rPr>
          <w:rFonts w:ascii="Times New Roman" w:hAnsi="Times New Roman" w:cs="Times New Roman" w:eastAsia="Times New Roman" w:hint="default"/>
        </w:rPr>
        <w:t>&lt;</w:t>
      </w:r>
      <w:r>
        <w:rPr/>
        <w:t>新金 融工具准则</w:t>
      </w:r>
      <w:r>
        <w:rPr>
          <w:rFonts w:ascii="Times New Roman" w:hAnsi="Times New Roman" w:cs="Times New Roman" w:eastAsia="Times New Roman" w:hint="default"/>
        </w:rPr>
        <w:t>&gt;</w:t>
      </w:r>
      <w:r>
        <w:rPr/>
        <w:t>），变更后的会计政策详见附注四。</w:t>
      </w:r>
    </w:p>
    <w:p>
      <w:pPr>
        <w:pStyle w:val="BodyText"/>
        <w:spacing w:line="309" w:lineRule="auto" w:before="51"/>
        <w:ind w:right="1129" w:firstLine="360"/>
        <w:jc w:val="both"/>
      </w:pPr>
      <w:r>
        <w:rPr>
          <w:spacing w:val="-2"/>
        </w:rPr>
        <w:t>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日之前的金融工具确认和计量与新金融工具准则要求不一致的，本公司按照新金融工具准则的要求进行衔</w:t>
      </w:r>
      <w:r>
        <w:rPr/>
        <w:t> </w:t>
      </w:r>
      <w:r>
        <w:rPr>
          <w:spacing w:val="-2"/>
        </w:rPr>
        <w:t>接调整。涉及前期比较财务报表数据与新金融工具准则要求不一致的，本公司未调整可比期间信息。金融工具原账面价值和</w:t>
      </w:r>
      <w:r>
        <w:rPr>
          <w:spacing w:val="-62"/>
        </w:rPr>
        <w:t> </w:t>
      </w:r>
      <w:r>
        <w:rPr>
          <w:spacing w:val="-62"/>
        </w:rPr>
      </w:r>
      <w:r>
        <w:rPr/>
        <w:t>新金融工具准则施行日的新账面价值之间的差额，计入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日留存收益或其他综合收益。</w:t>
      </w:r>
    </w:p>
    <w:p>
      <w:pPr>
        <w:pStyle w:val="BodyText"/>
        <w:spacing w:line="240" w:lineRule="auto" w:before="46"/>
        <w:ind w:left="513" w:right="1133"/>
        <w:jc w:val="left"/>
      </w:pPr>
      <w:r>
        <w:rPr/>
        <w:t>执行新金融工具准则对本期期初资产负债表相关项目的影响列示如下：</w:t>
      </w:r>
    </w:p>
    <w:p>
      <w:pPr>
        <w:spacing w:line="240" w:lineRule="auto" w:before="5"/>
        <w:rPr>
          <w:rFonts w:ascii="宋体" w:hAnsi="宋体" w:cs="宋体" w:eastAsia="宋体" w:hint="default"/>
          <w:sz w:val="8"/>
          <w:szCs w:val="8"/>
        </w:rPr>
      </w:pPr>
    </w:p>
    <w:tbl>
      <w:tblPr>
        <w:tblW w:w="0" w:type="auto"/>
        <w:jc w:val="left"/>
        <w:tblInd w:w="150" w:type="dxa"/>
        <w:tblLayout w:type="fixed"/>
        <w:tblCellMar>
          <w:top w:w="0" w:type="dxa"/>
          <w:left w:w="0" w:type="dxa"/>
          <w:bottom w:w="0" w:type="dxa"/>
          <w:right w:w="0" w:type="dxa"/>
        </w:tblCellMar>
        <w:tblLook w:val="01E0"/>
      </w:tblPr>
      <w:tblGrid>
        <w:gridCol w:w="4107"/>
        <w:gridCol w:w="1277"/>
        <w:gridCol w:w="1133"/>
        <w:gridCol w:w="710"/>
        <w:gridCol w:w="1133"/>
        <w:gridCol w:w="1255"/>
      </w:tblGrid>
      <w:tr>
        <w:trPr>
          <w:trHeight w:val="346" w:hRule="exact"/>
        </w:trPr>
        <w:tc>
          <w:tcPr>
            <w:tcW w:w="4107"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2977"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940" w:right="0"/>
              <w:jc w:val="left"/>
              <w:rPr>
                <w:rFonts w:ascii="宋体" w:hAnsi="宋体" w:cs="宋体" w:eastAsia="宋体" w:hint="default"/>
                <w:sz w:val="18"/>
                <w:szCs w:val="18"/>
              </w:rPr>
            </w:pPr>
            <w:r>
              <w:rPr>
                <w:rFonts w:ascii="宋体" w:hAnsi="宋体" w:cs="宋体" w:eastAsia="宋体" w:hint="default"/>
                <w:sz w:val="18"/>
                <w:szCs w:val="18"/>
              </w:rPr>
              <w:t>累积影响金额</w:t>
            </w:r>
          </w:p>
        </w:tc>
        <w:tc>
          <w:tcPr>
            <w:tcW w:w="1255"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972" w:hRule="exact"/>
        </w:trPr>
        <w:tc>
          <w:tcPr>
            <w:tcW w:w="4107" w:type="dxa"/>
            <w:vMerge/>
            <w:tcBorders>
              <w:left w:val="single" w:sz="6" w:space="0" w:color="000000"/>
              <w:bottom w:val="single" w:sz="6" w:space="0" w:color="000000"/>
              <w:right w:val="single" w:sz="6" w:space="0" w:color="000000"/>
            </w:tcBorders>
            <w:shd w:val="clear" w:color="auto" w:fill="D9D9D9"/>
          </w:tcPr>
          <w:p>
            <w:pPr/>
          </w:p>
        </w:tc>
        <w:tc>
          <w:tcPr>
            <w:tcW w:w="1277" w:type="dxa"/>
            <w:vMerge/>
            <w:tcBorders>
              <w:left w:val="single" w:sz="6" w:space="0" w:color="000000"/>
              <w:bottom w:val="single" w:sz="6" w:space="0" w:color="000000"/>
              <w:right w:val="single" w:sz="6" w:space="0" w:color="000000"/>
            </w:tcBorders>
            <w:shd w:val="clear" w:color="auto" w:fill="D9D9D9"/>
          </w:tcPr>
          <w:p>
            <w:pPr/>
          </w:p>
        </w:tc>
        <w:tc>
          <w:tcPr>
            <w:tcW w:w="11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199" w:right="197" w:firstLine="88"/>
              <w:jc w:val="left"/>
              <w:rPr>
                <w:rFonts w:ascii="宋体" w:hAnsi="宋体" w:cs="宋体" w:eastAsia="宋体" w:hint="default"/>
                <w:sz w:val="18"/>
                <w:szCs w:val="18"/>
              </w:rPr>
            </w:pPr>
            <w:r>
              <w:rPr>
                <w:rFonts w:ascii="宋体" w:hAnsi="宋体" w:cs="宋体" w:eastAsia="宋体" w:hint="default"/>
                <w:sz w:val="18"/>
                <w:szCs w:val="18"/>
              </w:rPr>
              <w:t>分类和 计量影响</w:t>
            </w:r>
          </w:p>
        </w:tc>
        <w:tc>
          <w:tcPr>
            <w:tcW w:w="7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0"/>
              <w:ind w:left="79" w:right="74"/>
              <w:jc w:val="both"/>
              <w:rPr>
                <w:rFonts w:ascii="宋体" w:hAnsi="宋体" w:cs="宋体" w:eastAsia="宋体" w:hint="default"/>
                <w:sz w:val="18"/>
                <w:szCs w:val="18"/>
              </w:rPr>
            </w:pPr>
            <w:r>
              <w:rPr>
                <w:rFonts w:ascii="宋体" w:hAnsi="宋体" w:cs="宋体" w:eastAsia="宋体" w:hint="default"/>
                <w:sz w:val="18"/>
                <w:szCs w:val="18"/>
              </w:rPr>
              <w:t>金融资 产减值 影响</w:t>
            </w:r>
          </w:p>
        </w:tc>
        <w:tc>
          <w:tcPr>
            <w:tcW w:w="11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55" w:type="dxa"/>
            <w:vMerge/>
            <w:tcBorders>
              <w:left w:val="single" w:sz="6" w:space="0" w:color="000000"/>
              <w:bottom w:val="single" w:sz="6" w:space="0" w:color="000000"/>
              <w:right w:val="single" w:sz="6" w:space="0" w:color="000000"/>
            </w:tcBorders>
            <w:shd w:val="clear" w:color="auto" w:fill="D9D9D9"/>
          </w:tcPr>
          <w:p>
            <w:pPr/>
          </w:p>
        </w:tc>
      </w:tr>
      <w:tr>
        <w:trPr>
          <w:trHeight w:val="346" w:hRule="exact"/>
        </w:trPr>
        <w:tc>
          <w:tcPr>
            <w:tcW w:w="4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384,387,337.42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418,002.87</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418,002.87</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384,805,340.29</w:t>
            </w:r>
          </w:p>
        </w:tc>
      </w:tr>
      <w:tr>
        <w:trPr>
          <w:trHeight w:val="348" w:hRule="exact"/>
        </w:trPr>
        <w:tc>
          <w:tcPr>
            <w:tcW w:w="4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4,192,586.30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-418,002.87</w:t>
            </w:r>
          </w:p>
        </w:tc>
        <w:tc>
          <w:tcPr>
            <w:tcW w:w="71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-418,002.87</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3,774,583.43</w:t>
            </w:r>
          </w:p>
        </w:tc>
      </w:tr>
      <w:tr>
        <w:trPr>
          <w:trHeight w:val="346" w:hRule="exact"/>
        </w:trPr>
        <w:tc>
          <w:tcPr>
            <w:tcW w:w="4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3,293,217.16</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3,293,217.16</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3,293,217.16</w:t>
            </w:r>
          </w:p>
        </w:tc>
      </w:tr>
      <w:tr>
        <w:trPr>
          <w:trHeight w:val="348" w:hRule="exact"/>
        </w:trPr>
        <w:tc>
          <w:tcPr>
            <w:tcW w:w="4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40,987,297.99</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-6,486,094.72</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-6,486,094.72</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34,501,203.27</w:t>
            </w:r>
          </w:p>
        </w:tc>
      </w:tr>
      <w:tr>
        <w:trPr>
          <w:trHeight w:val="348" w:hRule="exact"/>
        </w:trPr>
        <w:tc>
          <w:tcPr>
            <w:tcW w:w="4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275,781,157.45</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-1,012,842.50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-1,012,842.50</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274,768,314.95</w:t>
            </w:r>
          </w:p>
        </w:tc>
      </w:tr>
      <w:tr>
        <w:trPr>
          <w:trHeight w:val="346" w:hRule="exact"/>
        </w:trPr>
        <w:tc>
          <w:tcPr>
            <w:tcW w:w="4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7,498,937.22</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7,498,937.22</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7,498,937.22</w:t>
            </w:r>
          </w:p>
        </w:tc>
      </w:tr>
      <w:tr>
        <w:trPr>
          <w:trHeight w:val="348" w:hRule="exact"/>
        </w:trPr>
        <w:tc>
          <w:tcPr>
            <w:tcW w:w="4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3,293,217.16</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-3,293,217.16</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-3,293,217.16</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513" w:right="1133"/>
        <w:jc w:val="left"/>
      </w:pPr>
      <w:r>
        <w:rPr/>
        <w:t>注：上表仅呈列受影响的财务报表项目，不受影响的财务报表项目不包括在内。</w:t>
      </w:r>
    </w:p>
    <w:p>
      <w:pPr>
        <w:pStyle w:val="BodyText"/>
        <w:spacing w:line="240" w:lineRule="auto" w:before="115"/>
        <w:ind w:left="513" w:right="1133"/>
        <w:jc w:val="left"/>
      </w:pPr>
      <w:r>
        <w:rPr>
          <w:rFonts w:ascii="Times New Roman" w:hAnsi="Times New Roman" w:cs="Times New Roman" w:eastAsia="Times New Roman" w:hint="default"/>
        </w:rPr>
        <w:t>(2)</w:t>
      </w:r>
      <w:r>
        <w:rPr/>
        <w:t>执行新债务重组及非货币性资产交换准则对本公司的影响</w:t>
      </w:r>
    </w:p>
    <w:p>
      <w:pPr>
        <w:pStyle w:val="BodyText"/>
        <w:spacing w:line="300" w:lineRule="auto" w:before="103"/>
        <w:ind w:right="1126" w:firstLine="360"/>
        <w:jc w:val="both"/>
      </w:pPr>
      <w:r>
        <w:rPr/>
        <w:t>本公司自</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10 </w:t>
      </w:r>
      <w:r>
        <w:rPr/>
        <w:t>日起执行财政部</w:t>
      </w:r>
      <w:r>
        <w:rPr>
          <w:rFonts w:ascii="Times New Roman" w:hAnsi="Times New Roman" w:cs="Times New Roman" w:eastAsia="Times New Roman" w:hint="default"/>
        </w:rPr>
        <w:t>2019</w:t>
      </w:r>
      <w:r>
        <w:rPr/>
        <w:t>年修订的《企业会计准则第</w:t>
      </w:r>
      <w:r>
        <w:rPr>
          <w:rFonts w:ascii="Times New Roman" w:hAnsi="Times New Roman" w:cs="Times New Roman" w:eastAsia="Times New Roman" w:hint="default"/>
        </w:rPr>
        <w:t>7 </w:t>
      </w:r>
      <w:r>
        <w:rPr>
          <w:spacing w:val="-3"/>
        </w:rPr>
        <w:t>号</w:t>
      </w:r>
      <w:r>
        <w:rPr>
          <w:rFonts w:ascii="Times New Roman" w:hAnsi="Times New Roman" w:cs="Times New Roman" w:eastAsia="Times New Roman" w:hint="default"/>
          <w:spacing w:val="-3"/>
        </w:rPr>
        <w:t>——</w:t>
      </w:r>
      <w:r>
        <w:rPr>
          <w:spacing w:val="-3"/>
        </w:rPr>
        <w:t>非货币性资产交换》，自</w:t>
      </w:r>
      <w:r>
        <w:rPr>
          <w:rFonts w:ascii="Times New Roman" w:hAnsi="Times New Roman" w:cs="Times New Roman" w:eastAsia="Times New Roman" w:hint="default"/>
          <w:spacing w:val="-3"/>
        </w:rPr>
        <w:t>2019 </w:t>
      </w:r>
      <w:r>
        <w:rPr/>
        <w:t>年</w:t>
      </w:r>
      <w:r>
        <w:rPr>
          <w:rFonts w:ascii="Times New Roman" w:hAnsi="Times New Roman" w:cs="Times New Roman" w:eastAsia="Times New Roman" w:hint="default"/>
        </w:rPr>
        <w:t>6</w:t>
      </w:r>
      <w:r>
        <w:rPr>
          <w:rFonts w:ascii="Times New Roman" w:hAnsi="Times New Roman" w:cs="Times New Roman" w:eastAsia="Times New Roman" w:hint="default"/>
          <w:spacing w:val="19"/>
        </w:rPr>
        <w:t> </w:t>
      </w:r>
      <w:r>
        <w:rPr/>
        <w:t>月 </w:t>
      </w:r>
      <w:r>
        <w:rPr>
          <w:rFonts w:ascii="Times New Roman" w:hAnsi="Times New Roman" w:cs="Times New Roman" w:eastAsia="Times New Roman" w:hint="default"/>
        </w:rPr>
        <w:t>17 </w:t>
      </w:r>
      <w:r>
        <w:rPr/>
        <w:t>日起执行财政部</w:t>
      </w:r>
      <w:r>
        <w:rPr>
          <w:rFonts w:ascii="Times New Roman" w:hAnsi="Times New Roman" w:cs="Times New Roman" w:eastAsia="Times New Roman" w:hint="default"/>
        </w:rPr>
        <w:t>2019</w:t>
      </w:r>
      <w:r>
        <w:rPr/>
        <w:t>年修订的《企业会计准则第</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债务重组》。该项会计政策变更采用未来适用法处理，并根据 准则的规定对于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日至准则实施日之间发生的非货币性资产交换和债务重组进行调整。</w:t>
      </w:r>
    </w:p>
    <w:p>
      <w:pPr>
        <w:pStyle w:val="BodyText"/>
        <w:spacing w:line="240" w:lineRule="auto" w:before="53"/>
        <w:ind w:left="513" w:right="1133"/>
        <w:jc w:val="left"/>
      </w:pPr>
      <w:r>
        <w:rPr/>
        <w:t>本公司执行新债务重组及非货币性资产交换准则对本报告期内财务报表无影响。</w:t>
      </w:r>
    </w:p>
    <w:p>
      <w:pPr>
        <w:pStyle w:val="BodyText"/>
        <w:spacing w:line="340" w:lineRule="auto" w:before="115"/>
        <w:ind w:left="513" w:right="7513"/>
        <w:jc w:val="left"/>
      </w:pPr>
      <w:r>
        <w:rPr>
          <w:rFonts w:ascii="Times New Roman" w:hAnsi="Times New Roman" w:cs="Times New Roman" w:eastAsia="Times New Roman" w:hint="default"/>
        </w:rPr>
        <w:t>2.</w:t>
      </w:r>
      <w:r>
        <w:rPr/>
        <w:t>会计估计变更 本报告期主要会计估计未发生变更。</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3" w:right="112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本期纳入合并财务报表范围的主体较上期相比增加</w:t>
      </w:r>
      <w:r>
        <w:rPr>
          <w:rFonts w:ascii="Times New Roman" w:hAnsi="Times New Roman" w:cs="Times New Roman" w:eastAsia="Times New Roman" w:hint="default"/>
        </w:rPr>
        <w:t>9</w:t>
      </w:r>
      <w:r>
        <w:rPr/>
        <w:t>户，分别为：公司发起设立的深圳市云栖信息科技有限公司、桐庐</w:t>
      </w:r>
    </w:p>
    <w:p>
      <w:pPr>
        <w:pStyle w:val="BodyText"/>
        <w:spacing w:line="217" w:lineRule="exact"/>
        <w:ind w:right="0"/>
        <w:jc w:val="left"/>
      </w:pPr>
      <w:r>
        <w:rPr/>
        <w:t>宏锐软件科技有限公司，以及通过并购取得的珠海佳博科技有限公司及其全资子公司珠海浩盛标签打印机有限公司、珠海智</w:t>
      </w:r>
    </w:p>
    <w:p>
      <w:pPr>
        <w:pStyle w:val="BodyText"/>
        <w:spacing w:line="316" w:lineRule="auto" w:before="76"/>
        <w:ind w:right="1129"/>
        <w:jc w:val="left"/>
      </w:pPr>
      <w:r>
        <w:rPr>
          <w:spacing w:val="-2"/>
        </w:rPr>
        <w:t>汇网络设备有限公司、珠海盛源信息科技有限公司、珠海佳博网络有限公司、深圳市佳博智联软件有限公司、深圳市佳博兆</w:t>
      </w:r>
      <w:r>
        <w:rPr>
          <w:spacing w:val="-65"/>
        </w:rPr>
        <w:t> </w:t>
      </w:r>
      <w:r>
        <w:rPr>
          <w:spacing w:val="-65"/>
        </w:rPr>
      </w:r>
      <w:r>
        <w:rPr/>
        <w:t>丰科技有限公司。</w:t>
      </w:r>
    </w:p>
    <w:p>
      <w:pPr>
        <w:pStyle w:val="BodyText"/>
        <w:spacing w:line="300" w:lineRule="auto" w:before="19"/>
        <w:ind w:right="1128" w:firstLine="360"/>
        <w:jc w:val="both"/>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w:t>
      </w:r>
      <w:r>
        <w:rPr>
          <w:spacing w:val="-1"/>
        </w:rPr>
        <w:t>日，公司发行股份购买珠海佳博科技有限公司</w:t>
      </w:r>
      <w:r>
        <w:rPr>
          <w:rFonts w:ascii="Times New Roman" w:hAnsi="Times New Roman" w:cs="Times New Roman" w:eastAsia="Times New Roman" w:hint="default"/>
          <w:spacing w:val="-1"/>
        </w:rPr>
        <w:t>100%</w:t>
      </w:r>
      <w:r>
        <w:rPr>
          <w:spacing w:val="-1"/>
        </w:rPr>
        <w:t>股权事项完成资产过户，珠海佳博科技有限公司成为公</w:t>
      </w:r>
      <w:r>
        <w:rPr/>
        <w:t> </w:t>
      </w:r>
      <w:r>
        <w:rPr>
          <w:spacing w:val="-2"/>
        </w:rPr>
        <w:t>司全资子公司，根据企业会计准则规定，珠海佳博科技有限公司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日资产负债表纳入公司合并范围，</w:t>
      </w:r>
      <w:r>
        <w:rPr>
          <w:rFonts w:ascii="Times New Roman" w:hAnsi="Times New Roman" w:cs="Times New Roman" w:eastAsia="Times New Roman" w:hint="default"/>
          <w:spacing w:val="-2"/>
        </w:rPr>
        <w:t>2019</w:t>
      </w:r>
      <w:r>
        <w:rPr>
          <w:spacing w:val="-2"/>
        </w:rPr>
        <w:t>年度利</w:t>
      </w:r>
      <w:r>
        <w:rPr>
          <w:spacing w:val="-55"/>
        </w:rPr>
        <w:t> </w:t>
      </w:r>
      <w:r>
        <w:rPr>
          <w:spacing w:val="-55"/>
        </w:rPr>
      </w:r>
      <w:r>
        <w:rPr/>
        <w:t>润表和现金流量表不纳入合并范围。</w:t>
      </w:r>
    </w:p>
    <w:p>
      <w:pPr>
        <w:spacing w:after="0" w:line="300" w:lineRule="auto"/>
        <w:jc w:val="both"/>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135</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陈葆华、周灵芝</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0"/>
        <w:jc w:val="both"/>
      </w:pPr>
      <w:r>
        <w:rPr/>
        <w:t>是否改聘会计师事务所</w:t>
      </w:r>
    </w:p>
    <w:p>
      <w:pPr>
        <w:pStyle w:val="BodyText"/>
        <w:spacing w:line="340" w:lineRule="auto" w:before="115"/>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338" w:lineRule="auto" w:before="41"/>
        <w:ind w:left="513" w:right="112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本年度，公司因重大资产重组事项，聘请东兴证券股份有限公司担任公司本次交易独立财务顾问，期间共支付财务顾问</w:t>
      </w:r>
    </w:p>
    <w:p>
      <w:pPr>
        <w:pStyle w:val="BodyText"/>
        <w:spacing w:line="300" w:lineRule="auto" w:before="2"/>
        <w:ind w:right="1137"/>
        <w:jc w:val="both"/>
      </w:pPr>
      <w:r>
        <w:rPr/>
        <w:t>费</w:t>
      </w:r>
      <w:r>
        <w:rPr>
          <w:rFonts w:ascii="Times New Roman" w:hAnsi="Times New Roman" w:cs="Times New Roman" w:eastAsia="Times New Roman" w:hint="default"/>
        </w:rPr>
        <w:t>150.00</w:t>
      </w:r>
      <w:r>
        <w:rPr/>
        <w:t>万元；聘请大华会计师事务所（特殊普通合伙）担任公司本次交易的专项审计机构，期间共支付审计服务费</w:t>
      </w:r>
      <w:r>
        <w:rPr>
          <w:rFonts w:ascii="Times New Roman" w:hAnsi="Times New Roman" w:cs="Times New Roman" w:eastAsia="Times New Roman" w:hint="default"/>
        </w:rPr>
        <w:t>188.00 </w:t>
      </w:r>
      <w:r>
        <w:rPr/>
        <w:t>万元；聘请江苏中企华中天资产评估有限公司担任公司本次交易专项评估机构，期间共支付评估服务费</w:t>
      </w:r>
      <w:r>
        <w:rPr>
          <w:rFonts w:ascii="Times New Roman" w:hAnsi="Times New Roman" w:cs="Times New Roman" w:eastAsia="Times New Roman" w:hint="default"/>
        </w:rPr>
        <w:t>80.00</w:t>
      </w:r>
      <w:r>
        <w:rPr/>
        <w:t>万元；聘请北 京市中伦（深圳）律师事务所担任公司本次交易的专项法律顾问，期间共支付法律顾问费</w:t>
      </w:r>
      <w:r>
        <w:rPr>
          <w:rFonts w:ascii="Times New Roman" w:hAnsi="Times New Roman" w:cs="Times New Roman" w:eastAsia="Times New Roman" w:hint="default"/>
        </w:rPr>
        <w:t>100.00</w:t>
      </w:r>
      <w:r>
        <w:rPr/>
        <w:t>万元。</w:t>
      </w:r>
    </w:p>
    <w:p>
      <w:pPr>
        <w:spacing w:line="240" w:lineRule="auto" w:before="5"/>
        <w:rPr>
          <w:rFonts w:ascii="宋体" w:hAnsi="宋体" w:cs="宋体" w:eastAsia="宋体" w:hint="default"/>
          <w:sz w:val="20"/>
          <w:szCs w:val="20"/>
        </w:rPr>
      </w:pPr>
    </w:p>
    <w:p>
      <w:pPr>
        <w:pStyle w:val="Heading2"/>
        <w:spacing w:line="240" w:lineRule="auto"/>
        <w:ind w:right="0"/>
        <w:jc w:val="both"/>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十、破产重整相关事项" w:id="74"/>
      <w:bookmarkEnd w:id="74"/>
      <w:r>
        <w:rPr>
          <w:b w:val="0"/>
          <w:bCs w:val="0"/>
        </w:rPr>
      </w:r>
      <w:r>
        <w:rPr/>
        <w:t>十、破产重整相关事项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十二、处罚及整改情况" w:id="76"/>
      <w:bookmarkEnd w:id="76"/>
      <w:r>
        <w:rPr>
          <w:b w:val="0"/>
          <w:bCs w:val="0"/>
        </w:rPr>
      </w: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both"/>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4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公司报告期无股权激励计划、员工持股计划或其他员工激励措施及其实施情况。</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7"/>
        <w:gridCol w:w="704"/>
        <w:gridCol w:w="679"/>
        <w:gridCol w:w="674"/>
        <w:gridCol w:w="674"/>
        <w:gridCol w:w="675"/>
        <w:gridCol w:w="674"/>
        <w:gridCol w:w="674"/>
        <w:gridCol w:w="672"/>
        <w:gridCol w:w="675"/>
        <w:gridCol w:w="670"/>
        <w:gridCol w:w="646"/>
      </w:tblGrid>
      <w:tr>
        <w:trPr>
          <w:trHeight w:val="133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305" w:right="32"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64"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76" w:right="7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62"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2" w:right="59"/>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2" w:right="62"/>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9"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27" w:right="47"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258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326" w:lineRule="auto"/>
              <w:ind w:left="24" w:right="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GUO</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SONG</w:t>
            </w:r>
            <w:r>
              <w:rPr>
                <w:rFonts w:ascii="宋体" w:hAnsi="宋体" w:cs="宋体" w:eastAsia="宋体" w:hint="default"/>
                <w:sz w:val="18"/>
                <w:szCs w:val="18"/>
              </w:rPr>
              <w:t>、 </w:t>
            </w:r>
            <w:r>
              <w:rPr>
                <w:rFonts w:ascii="Times New Roman" w:hAnsi="Times New Roman" w:cs="Times New Roman" w:eastAsia="Times New Roman" w:hint="default"/>
                <w:sz w:val="18"/>
                <w:szCs w:val="18"/>
              </w:rPr>
              <w:t>CHEN</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YIHAN</w:t>
            </w:r>
            <w:r>
              <w:rPr>
                <w:rFonts w:ascii="宋体" w:hAnsi="宋体" w:cs="宋体" w:eastAsia="宋体" w:hint="default"/>
                <w:sz w:val="18"/>
                <w:szCs w:val="18"/>
              </w:rPr>
              <w:t>、 </w:t>
            </w:r>
            <w:r>
              <w:rPr>
                <w:rFonts w:ascii="Times New Roman" w:hAnsi="Times New Roman" w:cs="Times New Roman" w:eastAsia="Times New Roman" w:hint="default"/>
                <w:sz w:val="18"/>
                <w:szCs w:val="18"/>
              </w:rPr>
              <w:t>LIU</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DAN</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4" w:lineRule="auto"/>
              <w:ind w:left="23" w:right="101"/>
              <w:jc w:val="left"/>
              <w:rPr>
                <w:rFonts w:ascii="宋体" w:hAnsi="宋体" w:cs="宋体" w:eastAsia="宋体" w:hint="default"/>
                <w:sz w:val="18"/>
                <w:szCs w:val="18"/>
              </w:rPr>
            </w:pPr>
            <w:r>
              <w:rPr>
                <w:rFonts w:ascii="宋体" w:hAnsi="宋体" w:cs="宋体" w:eastAsia="宋体" w:hint="default"/>
                <w:sz w:val="18"/>
                <w:szCs w:val="18"/>
              </w:rPr>
              <w:t>实际控 制人</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4" w:right="101"/>
              <w:jc w:val="both"/>
              <w:rPr>
                <w:rFonts w:ascii="宋体" w:hAnsi="宋体" w:cs="宋体" w:eastAsia="宋体" w:hint="default"/>
                <w:sz w:val="18"/>
                <w:szCs w:val="18"/>
              </w:rPr>
            </w:pPr>
            <w:r>
              <w:rPr>
                <w:rFonts w:ascii="宋体" w:hAnsi="宋体" w:cs="宋体" w:eastAsia="宋体" w:hint="default"/>
                <w:sz w:val="18"/>
                <w:szCs w:val="18"/>
              </w:rPr>
              <w:t>为公司 及子公 司提供 担保</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8"/>
              <w:jc w:val="both"/>
              <w:rPr>
                <w:rFonts w:ascii="宋体" w:hAnsi="宋体" w:cs="宋体" w:eastAsia="宋体" w:hint="default"/>
                <w:sz w:val="18"/>
                <w:szCs w:val="18"/>
              </w:rPr>
            </w:pPr>
            <w:r>
              <w:rPr>
                <w:rFonts w:ascii="宋体" w:hAnsi="宋体" w:cs="宋体" w:eastAsia="宋体" w:hint="default"/>
                <w:sz w:val="18"/>
                <w:szCs w:val="18"/>
              </w:rPr>
              <w:t>为公司 及子公 司向银 行申请 授信提 供个人 信用免 费担保</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83"/>
              <w:jc w:val="right"/>
              <w:rPr>
                <w:rFonts w:ascii="宋体" w:hAnsi="宋体" w:cs="宋体" w:eastAsia="宋体" w:hint="default"/>
                <w:sz w:val="18"/>
                <w:szCs w:val="18"/>
              </w:rPr>
            </w:pPr>
            <w:r>
              <w:rPr>
                <w:rFonts w:ascii="宋体" w:hAnsi="宋体" w:cs="宋体" w:eastAsia="宋体" w:hint="default"/>
                <w:sz w:val="18"/>
                <w:szCs w:val="18"/>
              </w:rPr>
              <w:t>无偿</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78"/>
              <w:jc w:val="right"/>
              <w:rPr>
                <w:rFonts w:ascii="宋体" w:hAnsi="宋体" w:cs="宋体" w:eastAsia="宋体" w:hint="default"/>
                <w:sz w:val="18"/>
                <w:szCs w:val="18"/>
              </w:rPr>
            </w:pPr>
            <w:r>
              <w:rPr>
                <w:rFonts w:ascii="宋体" w:hAnsi="宋体" w:cs="宋体" w:eastAsia="宋体" w:hint="default"/>
                <w:sz w:val="18"/>
                <w:szCs w:val="18"/>
              </w:rPr>
              <w:t>无偿</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161,033</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.95</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200,000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71"/>
              <w:jc w:val="both"/>
              <w:rPr>
                <w:rFonts w:ascii="宋体" w:hAnsi="宋体" w:cs="宋体" w:eastAsia="宋体" w:hint="default"/>
                <w:sz w:val="18"/>
                <w:szCs w:val="18"/>
              </w:rPr>
            </w:pPr>
            <w:r>
              <w:rPr>
                <w:rFonts w:ascii="宋体" w:hAnsi="宋体" w:cs="宋体" w:eastAsia="宋体" w:hint="default"/>
                <w:sz w:val="18"/>
                <w:szCs w:val="18"/>
              </w:rPr>
              <w:t>巨潮资 讯网， 公告编 号：</w:t>
            </w:r>
          </w:p>
          <w:p>
            <w:pPr>
              <w:pStyle w:val="TableParagraph"/>
              <w:spacing w:line="240" w:lineRule="auto" w:before="61"/>
              <w:ind w:left="23" w:right="0"/>
              <w:jc w:val="both"/>
              <w:rPr>
                <w:rFonts w:ascii="Times New Roman" w:hAnsi="Times New Roman" w:cs="Times New Roman" w:eastAsia="Times New Roman" w:hint="default"/>
                <w:sz w:val="18"/>
                <w:szCs w:val="18"/>
              </w:rPr>
            </w:pPr>
            <w:r>
              <w:rPr>
                <w:rFonts w:ascii="Times New Roman"/>
                <w:sz w:val="18"/>
              </w:rPr>
              <w:t>2019-0</w:t>
            </w:r>
          </w:p>
          <w:p>
            <w:pPr>
              <w:pStyle w:val="TableParagraph"/>
              <w:spacing w:line="240" w:lineRule="auto" w:before="105"/>
              <w:ind w:left="23" w:right="0"/>
              <w:jc w:val="both"/>
              <w:rPr>
                <w:rFonts w:ascii="Times New Roman" w:hAnsi="Times New Roman" w:cs="Times New Roman" w:eastAsia="Times New Roman" w:hint="default"/>
                <w:sz w:val="18"/>
                <w:szCs w:val="18"/>
              </w:rPr>
            </w:pPr>
            <w:r>
              <w:rPr>
                <w:rFonts w:ascii="Times New Roman"/>
                <w:sz w:val="18"/>
              </w:rPr>
              <w:t>36</w:t>
            </w:r>
          </w:p>
        </w:tc>
      </w:tr>
      <w:tr>
        <w:trPr>
          <w:trHeight w:val="161" w:hRule="exact"/>
        </w:trPr>
        <w:tc>
          <w:tcPr>
            <w:tcW w:w="2857"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10" w:space="0" w:color="D2D2D2"/>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161,033</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.95</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200,000</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857"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71"/>
              <w:jc w:val="right"/>
              <w:rPr>
                <w:rFonts w:ascii="Times New Roman" w:hAnsi="Times New Roman" w:cs="Times New Roman" w:eastAsia="Times New Roman" w:hint="default"/>
                <w:sz w:val="18"/>
                <w:szCs w:val="18"/>
              </w:rPr>
            </w:pPr>
            <w:r>
              <w:rPr>
                <w:rFonts w:ascii="Times New Roman"/>
                <w:sz w:val="18"/>
              </w:rPr>
              <w:t>--</w:t>
            </w:r>
          </w:p>
        </w:tc>
        <w:tc>
          <w:tcPr>
            <w:tcW w:w="6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71"/>
              <w:jc w:val="right"/>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10" w:space="0" w:color="D2D2D2"/>
              <w:right w:val="single" w:sz="4" w:space="0" w:color="000000"/>
            </w:tcBorders>
          </w:tcPr>
          <w:p>
            <w:pPr/>
          </w:p>
        </w:tc>
        <w:tc>
          <w:tcPr>
            <w:tcW w:w="675"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2" w:type="dxa"/>
            <w:vMerge/>
            <w:tcBorders>
              <w:left w:val="single" w:sz="4" w:space="0" w:color="000000"/>
              <w:right w:val="single" w:sz="4" w:space="0" w:color="000000"/>
            </w:tcBorders>
            <w:shd w:val="clear" w:color="auto" w:fill="D2D2D2"/>
          </w:tcPr>
          <w:p>
            <w:pPr/>
          </w:p>
        </w:tc>
        <w:tc>
          <w:tcPr>
            <w:tcW w:w="675" w:type="dxa"/>
            <w:vMerge/>
            <w:tcBorders>
              <w:left w:val="single" w:sz="4" w:space="0" w:color="000000"/>
              <w:right w:val="single" w:sz="4" w:space="0" w:color="000000"/>
            </w:tcBorders>
            <w:shd w:val="clear" w:color="auto" w:fill="D2D2D2"/>
          </w:tcPr>
          <w:p>
            <w:pPr/>
          </w:p>
        </w:tc>
        <w:tc>
          <w:tcPr>
            <w:tcW w:w="670" w:type="dxa"/>
            <w:vMerge/>
            <w:tcBorders>
              <w:left w:val="single" w:sz="4" w:space="0" w:color="000000"/>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r>
      <w:tr>
        <w:trPr>
          <w:trHeight w:val="162" w:hRule="exact"/>
        </w:trPr>
        <w:tc>
          <w:tcPr>
            <w:tcW w:w="2857"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10" w:space="0" w:color="D2D2D2"/>
              <w:bottom w:val="single" w:sz="4" w:space="0" w:color="000000"/>
              <w:right w:val="single" w:sz="4" w:space="0" w:color="000000"/>
            </w:tcBorders>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2" w:type="dxa"/>
            <w:vMerge/>
            <w:tcBorders>
              <w:left w:val="single" w:sz="4" w:space="0" w:color="000000"/>
              <w:bottom w:val="single" w:sz="4" w:space="0" w:color="000000"/>
              <w:right w:val="single" w:sz="4" w:space="0" w:color="000000"/>
            </w:tcBorders>
            <w:shd w:val="clear" w:color="auto" w:fill="D2D2D2"/>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0" w:type="dxa"/>
            <w:vMerge/>
            <w:tcBorders>
              <w:left w:val="single" w:sz="4" w:space="0" w:color="000000"/>
              <w:bottom w:val="single" w:sz="4" w:space="0" w:color="000000"/>
              <w:right w:val="single" w:sz="4" w:space="0" w:color="000000"/>
            </w:tcBorders>
            <w:shd w:val="clear" w:color="auto" w:fill="D2D2D2"/>
          </w:tcPr>
          <w:p>
            <w:pPr/>
          </w:p>
        </w:tc>
        <w:tc>
          <w:tcPr>
            <w:tcW w:w="64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4"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5"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z w:val="18"/>
                <w:szCs w:val="18"/>
              </w:rPr>
              <w:t> 实际履行情况（如有）</w:t>
            </w:r>
          </w:p>
        </w:tc>
        <w:tc>
          <w:tcPr>
            <w:tcW w:w="6714"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21"/>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4"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74"/>
        <w:gridCol w:w="1073"/>
        <w:gridCol w:w="1078"/>
        <w:gridCol w:w="1224"/>
        <w:gridCol w:w="1080"/>
        <w:gridCol w:w="1349"/>
        <w:gridCol w:w="1349"/>
        <w:gridCol w:w="1342"/>
      </w:tblGrid>
      <w:tr>
        <w:trPr>
          <w:trHeight w:val="713" w:hRule="exact"/>
        </w:trPr>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66" w:right="80"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6" w:right="82"/>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9" w:right="36" w:hanging="89"/>
              <w:jc w:val="left"/>
              <w:rPr>
                <w:rFonts w:ascii="宋体" w:hAnsi="宋体" w:cs="宋体" w:eastAsia="宋体" w:hint="default"/>
                <w:sz w:val="18"/>
                <w:szCs w:val="18"/>
              </w:rPr>
            </w:pPr>
            <w:r>
              <w:rPr>
                <w:rFonts w:ascii="宋体" w:hAnsi="宋体" w:cs="宋体" w:eastAsia="宋体" w:hint="default"/>
                <w:sz w:val="18"/>
                <w:szCs w:val="18"/>
              </w:rPr>
              <w:t>被投资企业的总 资产（万元）</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9" w:right="39" w:hanging="92"/>
              <w:jc w:val="left"/>
              <w:rPr>
                <w:rFonts w:ascii="宋体" w:hAnsi="宋体" w:cs="宋体" w:eastAsia="宋体" w:hint="default"/>
                <w:sz w:val="18"/>
                <w:szCs w:val="18"/>
              </w:rPr>
            </w:pPr>
            <w:r>
              <w:rPr>
                <w:rFonts w:ascii="宋体" w:hAnsi="宋体" w:cs="宋体" w:eastAsia="宋体" w:hint="default"/>
                <w:sz w:val="18"/>
                <w:szCs w:val="18"/>
              </w:rPr>
              <w:t>被投资企业的净 资产（万元）</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7" w:right="35" w:hanging="92"/>
              <w:jc w:val="left"/>
              <w:rPr>
                <w:rFonts w:ascii="宋体" w:hAnsi="宋体" w:cs="宋体" w:eastAsia="宋体" w:hint="default"/>
                <w:sz w:val="18"/>
                <w:szCs w:val="18"/>
              </w:rPr>
            </w:pPr>
            <w:r>
              <w:rPr>
                <w:rFonts w:ascii="宋体" w:hAnsi="宋体" w:cs="宋体" w:eastAsia="宋体" w:hint="default"/>
                <w:sz w:val="18"/>
                <w:szCs w:val="18"/>
              </w:rPr>
              <w:t>被投资企业的净 利润（万元）</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76"/>
        <w:gridCol w:w="1073"/>
        <w:gridCol w:w="1078"/>
        <w:gridCol w:w="1224"/>
        <w:gridCol w:w="1080"/>
        <w:gridCol w:w="1349"/>
        <w:gridCol w:w="1349"/>
        <w:gridCol w:w="1342"/>
      </w:tblGrid>
      <w:tr>
        <w:trPr>
          <w:trHeight w:val="1337"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万波</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37"/>
              <w:jc w:val="left"/>
              <w:rPr>
                <w:rFonts w:ascii="宋体" w:hAnsi="宋体" w:cs="宋体" w:eastAsia="宋体" w:hint="default"/>
                <w:sz w:val="18"/>
                <w:szCs w:val="18"/>
              </w:rPr>
            </w:pPr>
            <w:r>
              <w:rPr>
                <w:rFonts w:ascii="宋体" w:hAnsi="宋体" w:cs="宋体" w:eastAsia="宋体" w:hint="default"/>
                <w:sz w:val="18"/>
                <w:szCs w:val="18"/>
              </w:rPr>
              <w:t>公司高级管 理人员</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140"/>
              <w:jc w:val="both"/>
              <w:rPr>
                <w:rFonts w:ascii="宋体" w:hAnsi="宋体" w:cs="宋体" w:eastAsia="宋体" w:hint="default"/>
                <w:sz w:val="18"/>
                <w:szCs w:val="18"/>
              </w:rPr>
            </w:pPr>
            <w:r>
              <w:rPr>
                <w:rFonts w:ascii="宋体" w:hAnsi="宋体" w:cs="宋体" w:eastAsia="宋体" w:hint="default"/>
                <w:sz w:val="18"/>
                <w:szCs w:val="18"/>
              </w:rPr>
              <w:t>深圳市云栖 信息科技有 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互联网软件相 关技术开发、 咨询和服务； 经营电子商务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33.23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-6.77</w:t>
            </w:r>
          </w:p>
        </w:tc>
      </w:tr>
      <w:tr>
        <w:trPr>
          <w:trHeight w:val="715" w:hRule="exact"/>
        </w:trPr>
        <w:tc>
          <w:tcPr>
            <w:tcW w:w="21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32"/>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2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8"/>
        <w:rPr>
          <w:rFonts w:ascii="宋体" w:hAnsi="宋体" w:cs="宋体" w:eastAsia="宋体" w:hint="default"/>
          <w:sz w:val="21"/>
          <w:szCs w:val="21"/>
        </w:rPr>
      </w:pPr>
    </w:p>
    <w:p>
      <w:pPr>
        <w:pStyle w:val="Heading3"/>
        <w:spacing w:line="240" w:lineRule="auto"/>
        <w:ind w:right="1133"/>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0" w:firstLine="360"/>
        <w:jc w:val="left"/>
      </w:pP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25</w:t>
      </w:r>
      <w:r>
        <w:rPr>
          <w:spacing w:val="-5"/>
        </w:rPr>
        <w:t>日，公司与上海清科创业投资管理有限公司（以下简称</w:t>
      </w:r>
      <w:r>
        <w:rPr>
          <w:rFonts w:ascii="Times New Roman" w:hAnsi="Times New Roman" w:cs="Times New Roman" w:eastAsia="Times New Roman" w:hint="default"/>
          <w:spacing w:val="-5"/>
        </w:rPr>
        <w:t>“</w:t>
      </w:r>
      <w:r>
        <w:rPr>
          <w:spacing w:val="-5"/>
        </w:rPr>
        <w:t>上海清科</w:t>
      </w:r>
      <w:r>
        <w:rPr>
          <w:rFonts w:ascii="Times New Roman" w:hAnsi="Times New Roman" w:cs="Times New Roman" w:eastAsia="Times New Roman" w:hint="default"/>
          <w:spacing w:val="-5"/>
        </w:rPr>
        <w:t>”</w:t>
      </w:r>
      <w:r>
        <w:rPr>
          <w:spacing w:val="-5"/>
        </w:rPr>
        <w:t>）、深圳市博通思创咨询有限公司（以</w:t>
      </w:r>
      <w:r>
        <w:rPr/>
        <w:t> </w:t>
      </w:r>
      <w:r>
        <w:rPr>
          <w:spacing w:val="-3"/>
        </w:rPr>
        <w:t>下简称</w:t>
      </w:r>
      <w:r>
        <w:rPr>
          <w:rFonts w:ascii="Times New Roman" w:hAnsi="Times New Roman" w:cs="Times New Roman" w:eastAsia="Times New Roman" w:hint="default"/>
          <w:spacing w:val="-3"/>
        </w:rPr>
        <w:t>“</w:t>
      </w:r>
      <w:r>
        <w:rPr>
          <w:spacing w:val="-3"/>
        </w:rPr>
        <w:t>博通思创</w:t>
      </w:r>
      <w:r>
        <w:rPr>
          <w:rFonts w:ascii="Times New Roman" w:hAnsi="Times New Roman" w:cs="Times New Roman" w:eastAsia="Times New Roman" w:hint="default"/>
          <w:spacing w:val="-3"/>
        </w:rPr>
        <w:t>”</w:t>
      </w:r>
      <w:r>
        <w:rPr>
          <w:spacing w:val="-3"/>
        </w:rPr>
        <w:t>）签署《杭州清科优博讯投资管理合伙企业（有限合伙）合伙协议》（以下简称</w:t>
      </w:r>
      <w:r>
        <w:rPr>
          <w:rFonts w:ascii="Times New Roman" w:hAnsi="Times New Roman" w:cs="Times New Roman" w:eastAsia="Times New Roman" w:hint="default"/>
          <w:spacing w:val="-3"/>
        </w:rPr>
        <w:t>“</w:t>
      </w:r>
      <w:r>
        <w:rPr>
          <w:spacing w:val="-3"/>
        </w:rPr>
        <w:t>合伙协议</w:t>
      </w:r>
      <w:r>
        <w:rPr>
          <w:rFonts w:ascii="Times New Roman" w:hAnsi="Times New Roman" w:cs="Times New Roman" w:eastAsia="Times New Roman" w:hint="default"/>
          <w:spacing w:val="-3"/>
        </w:rPr>
        <w:t>”</w:t>
      </w:r>
      <w:r>
        <w:rPr>
          <w:spacing w:val="-3"/>
        </w:rPr>
        <w:t>或</w:t>
      </w:r>
      <w:r>
        <w:rPr>
          <w:rFonts w:ascii="Times New Roman" w:hAnsi="Times New Roman" w:cs="Times New Roman" w:eastAsia="Times New Roman" w:hint="default"/>
          <w:spacing w:val="-3"/>
        </w:rPr>
        <w:t>“</w:t>
      </w:r>
      <w:r>
        <w:rPr>
          <w:spacing w:val="-3"/>
        </w:rPr>
        <w:t>本协议</w:t>
      </w:r>
      <w:r>
        <w:rPr>
          <w:rFonts w:ascii="Times New Roman" w:hAnsi="Times New Roman" w:cs="Times New Roman" w:eastAsia="Times New Roman" w:hint="default"/>
          <w:spacing w:val="-3"/>
        </w:rPr>
        <w:t>”</w:t>
      </w:r>
      <w:r>
        <w:rPr>
          <w:spacing w:val="-3"/>
        </w:rPr>
        <w:t>），</w:t>
      </w:r>
      <w:r>
        <w:rPr>
          <w:spacing w:val="-50"/>
        </w:rPr>
        <w:t> </w:t>
      </w:r>
      <w:r>
        <w:rPr/>
        <w:t>共同投资设立杭州清科优博讯投资管理合伙企业（有限合伙）（以下简称</w:t>
      </w:r>
      <w:r>
        <w:rPr>
          <w:rFonts w:ascii="Times New Roman" w:hAnsi="Times New Roman" w:cs="Times New Roman" w:eastAsia="Times New Roman" w:hint="default"/>
        </w:rPr>
        <w:t>“</w:t>
      </w:r>
      <w:r>
        <w:rPr/>
        <w:t>产业基金</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合伙企业</w:t>
      </w:r>
      <w:r>
        <w:rPr>
          <w:rFonts w:ascii="Times New Roman" w:hAnsi="Times New Roman" w:cs="Times New Roman" w:eastAsia="Times New Roman" w:hint="default"/>
        </w:rPr>
        <w:t>”</w:t>
      </w:r>
      <w:r>
        <w:rPr/>
        <w:t>）。产业基金的目标总认 </w:t>
      </w:r>
      <w:r>
        <w:rPr>
          <w:spacing w:val="-2"/>
        </w:rPr>
        <w:t>缴出资额为人民币</w:t>
      </w:r>
      <w:r>
        <w:rPr>
          <w:rFonts w:ascii="Times New Roman" w:hAnsi="Times New Roman" w:cs="Times New Roman" w:eastAsia="Times New Roman" w:hint="default"/>
          <w:spacing w:val="-2"/>
        </w:rPr>
        <w:t>2.05</w:t>
      </w:r>
      <w:r>
        <w:rPr>
          <w:spacing w:val="-2"/>
        </w:rPr>
        <w:t>亿元，其中本公司作为有限合伙人以自有资金认缴出资</w:t>
      </w:r>
      <w:r>
        <w:rPr>
          <w:rFonts w:ascii="Times New Roman" w:hAnsi="Times New Roman" w:cs="Times New Roman" w:eastAsia="Times New Roman" w:hint="default"/>
          <w:spacing w:val="-2"/>
        </w:rPr>
        <w:t>6,000</w:t>
      </w:r>
      <w:r>
        <w:rPr>
          <w:spacing w:val="-2"/>
        </w:rPr>
        <w:t>万元，博通思创作为有限合伙人认缴出资</w:t>
      </w:r>
      <w:r>
        <w:rPr>
          <w:spacing w:val="-58"/>
        </w:rPr>
        <w:t> </w:t>
      </w:r>
      <w:r>
        <w:rPr>
          <w:spacing w:val="-58"/>
        </w:rPr>
      </w:r>
      <w:r>
        <w:rPr>
          <w:rFonts w:ascii="Times New Roman" w:hAnsi="Times New Roman" w:cs="Times New Roman" w:eastAsia="Times New Roman" w:hint="default"/>
        </w:rPr>
        <w:t>1.4</w:t>
      </w:r>
      <w:r>
        <w:rPr/>
        <w:t>亿元，上海清科作为普通合伙人认缴出资</w:t>
      </w:r>
      <w:r>
        <w:rPr>
          <w:rFonts w:ascii="Times New Roman" w:hAnsi="Times New Roman" w:cs="Times New Roman" w:eastAsia="Times New Roman" w:hint="default"/>
        </w:rPr>
        <w:t>500</w:t>
      </w:r>
      <w:r>
        <w:rPr/>
        <w:t>万元。截止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日，本公司尚未出资。</w:t>
      </w:r>
    </w:p>
    <w:p>
      <w:pPr>
        <w:pStyle w:val="BodyText"/>
        <w:spacing w:line="300" w:lineRule="auto" w:before="13"/>
        <w:ind w:right="1039" w:firstLine="360"/>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27</w:t>
      </w:r>
      <w:r>
        <w:rPr>
          <w:spacing w:val="-2"/>
        </w:rPr>
        <w:t>日，公司召开第三届董事会第八次会议审议通过了《关于向公司参股子公司提供财务资助的议案》，同</w:t>
      </w:r>
      <w:r>
        <w:rPr/>
        <w:t> 意公司向持股</w:t>
      </w:r>
      <w:r>
        <w:rPr>
          <w:rFonts w:ascii="Times New Roman" w:hAnsi="Times New Roman" w:cs="Times New Roman" w:eastAsia="Times New Roman" w:hint="default"/>
        </w:rPr>
        <w:t>20%</w:t>
      </w:r>
      <w:r>
        <w:rPr/>
        <w:t>的参股子公司中世顺科技（北京）股份有限公司（以下简称</w:t>
      </w:r>
      <w:r>
        <w:rPr>
          <w:rFonts w:ascii="Times New Roman" w:hAnsi="Times New Roman" w:cs="Times New Roman" w:eastAsia="Times New Roman" w:hint="default"/>
        </w:rPr>
        <w:t>“</w:t>
      </w:r>
      <w:r>
        <w:rPr/>
        <w:t>中世顺</w:t>
      </w:r>
      <w:r>
        <w:rPr>
          <w:rFonts w:ascii="Times New Roman" w:hAnsi="Times New Roman" w:cs="Times New Roman" w:eastAsia="Times New Roman" w:hint="default"/>
        </w:rPr>
        <w:t>”</w:t>
      </w:r>
      <w:r>
        <w:rPr/>
        <w:t>）提供人民币</w:t>
      </w:r>
      <w:r>
        <w:rPr>
          <w:rFonts w:ascii="Times New Roman" w:hAnsi="Times New Roman" w:cs="Times New Roman" w:eastAsia="Times New Roman" w:hint="default"/>
        </w:rPr>
        <w:t>2,000</w:t>
      </w:r>
      <w:r>
        <w:rPr/>
        <w:t>万元的财务资助， 资助期限为</w:t>
      </w:r>
      <w:r>
        <w:rPr>
          <w:rFonts w:ascii="Times New Roman" w:hAnsi="Times New Roman" w:cs="Times New Roman" w:eastAsia="Times New Roman" w:hint="default"/>
        </w:rPr>
        <w:t>9</w:t>
      </w:r>
      <w:r>
        <w:rPr/>
        <w:t>个月，中世顺按照</w:t>
      </w:r>
      <w:r>
        <w:rPr>
          <w:rFonts w:ascii="Times New Roman" w:hAnsi="Times New Roman" w:cs="Times New Roman" w:eastAsia="Times New Roman" w:hint="default"/>
        </w:rPr>
        <w:t>6%</w:t>
      </w:r>
      <w:r>
        <w:rPr/>
        <w:t>的年利率向公司支付资金占用费。在资助期限内，公司累计向中世顺提供财务资助金额为 </w:t>
      </w:r>
      <w:r>
        <w:rPr>
          <w:spacing w:val="-3"/>
        </w:rPr>
        <w:t>人民币</w:t>
      </w:r>
      <w:r>
        <w:rPr>
          <w:rFonts w:ascii="Times New Roman" w:hAnsi="Times New Roman" w:cs="Times New Roman" w:eastAsia="Times New Roman" w:hint="default"/>
          <w:spacing w:val="-3"/>
        </w:rPr>
        <w:t>300</w:t>
      </w:r>
      <w:r>
        <w:rPr>
          <w:spacing w:val="-3"/>
        </w:rPr>
        <w:t>万元，公司已向中世顺收回上述借款本金，以及根据实际借款期间支付的借款利息共计人民币</w:t>
      </w:r>
      <w:r>
        <w:rPr>
          <w:rFonts w:ascii="Times New Roman" w:hAnsi="Times New Roman" w:cs="Times New Roman" w:eastAsia="Times New Roman" w:hint="default"/>
          <w:spacing w:val="-3"/>
        </w:rPr>
        <w:t>2.47</w:t>
      </w:r>
      <w:r>
        <w:rPr>
          <w:spacing w:val="-3"/>
        </w:rPr>
        <w:t>万元，截至</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日，公司此次审议的对中世顺提供财务资助事项的期限已届满，本次财务资助未出现逾期情况。</w:t>
      </w:r>
    </w:p>
    <w:p>
      <w:pPr>
        <w:pStyle w:val="BodyText"/>
        <w:spacing w:line="300" w:lineRule="auto" w:before="13"/>
        <w:ind w:right="1114" w:firstLine="360"/>
        <w:jc w:val="left"/>
      </w:pPr>
      <w:r>
        <w:rPr>
          <w:rFonts w:ascii="Times New Roman" w:hAnsi="Times New Roman" w:cs="Times New Roman" w:eastAsia="Times New Roman" w:hint="default"/>
        </w:rPr>
        <w:t>3</w:t>
      </w:r>
      <w:r>
        <w:rPr/>
        <w:t>、公司分别于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日召开第三届董事会第十一次会议、</w:t>
      </w:r>
      <w:r>
        <w:rPr>
          <w:rFonts w:ascii="Times New Roman" w:hAnsi="Times New Roman" w:cs="Times New Roman" w:eastAsia="Times New Roman" w:hint="default"/>
        </w:rPr>
        <w:t>2019</w:t>
      </w:r>
      <w:r>
        <w:rPr/>
        <w:t>年第一次临时股东大会，审议通 </w:t>
      </w:r>
      <w:r>
        <w:rPr>
          <w:spacing w:val="-2"/>
        </w:rPr>
        <w:t>过了《关于公司本次发行股份及支付现金购买资产并募集配套资金构成关联交易的议案》，公司拟向陈建辉等</w:t>
      </w:r>
      <w:r>
        <w:rPr>
          <w:rFonts w:ascii="Times New Roman" w:hAnsi="Times New Roman" w:cs="Times New Roman" w:eastAsia="Times New Roman" w:hint="default"/>
          <w:spacing w:val="-2"/>
        </w:rPr>
        <w:t>26</w:t>
      </w:r>
      <w:r>
        <w:rPr>
          <w:spacing w:val="-2"/>
        </w:rPr>
        <w:t>名交易对方</w:t>
      </w:r>
      <w:r>
        <w:rPr>
          <w:spacing w:val="-60"/>
        </w:rPr>
        <w:t> </w:t>
      </w:r>
      <w:r>
        <w:rPr>
          <w:spacing w:val="-60"/>
        </w:rPr>
      </w:r>
      <w:r>
        <w:rPr/>
        <w:t>发行股份及支付现金购买其合计持有的珠海佳博科技股份有限公司</w:t>
      </w:r>
      <w:r>
        <w:rPr>
          <w:rFonts w:ascii="Times New Roman" w:hAnsi="Times New Roman" w:cs="Times New Roman" w:eastAsia="Times New Roman" w:hint="default"/>
        </w:rPr>
        <w:t>100%</w:t>
      </w:r>
      <w:r>
        <w:rPr/>
        <w:t>股权。同时，本公司拟向包括深圳市博通思创咨询 </w:t>
      </w:r>
      <w:r>
        <w:rPr>
          <w:spacing w:val="-3"/>
        </w:rPr>
        <w:t>有限公司（以下简称</w:t>
      </w:r>
      <w:r>
        <w:rPr>
          <w:rFonts w:ascii="Times New Roman" w:hAnsi="Times New Roman" w:cs="Times New Roman" w:eastAsia="Times New Roman" w:hint="default"/>
          <w:spacing w:val="-3"/>
        </w:rPr>
        <w:t>“</w:t>
      </w:r>
      <w:r>
        <w:rPr>
          <w:spacing w:val="-3"/>
        </w:rPr>
        <w:t>博通思创</w:t>
      </w:r>
      <w:r>
        <w:rPr>
          <w:rFonts w:ascii="Times New Roman" w:hAnsi="Times New Roman" w:cs="Times New Roman" w:eastAsia="Times New Roman" w:hint="default"/>
          <w:spacing w:val="-3"/>
        </w:rPr>
        <w:t>”</w:t>
      </w:r>
      <w:r>
        <w:rPr>
          <w:spacing w:val="-3"/>
        </w:rPr>
        <w:t>）在内的不超过</w:t>
      </w:r>
      <w:r>
        <w:rPr>
          <w:rFonts w:ascii="Times New Roman" w:hAnsi="Times New Roman" w:cs="Times New Roman" w:eastAsia="Times New Roman" w:hint="default"/>
          <w:spacing w:val="-3"/>
        </w:rPr>
        <w:t>5</w:t>
      </w:r>
      <w:r>
        <w:rPr>
          <w:spacing w:val="-3"/>
        </w:rPr>
        <w:t>名特定投资者非公开发行股份募集配套资金，募集资金金额不超过</w:t>
      </w:r>
      <w:r>
        <w:rPr>
          <w:rFonts w:ascii="Times New Roman" w:hAnsi="Times New Roman" w:cs="Times New Roman" w:eastAsia="Times New Roman" w:hint="default"/>
          <w:spacing w:val="-3"/>
        </w:rPr>
        <w:t>35,000.00</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t>万元，用于支付本次交易的现金对价、支付发行费用及中介机构费用、补充上市公司流动资金。公司于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日收到 中国证券监督管理委员会于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日出具的《关于核准深圳市优博讯科技股份有限公司向陈建辉等发行股份购买资产 并募集配套资金的批复》（证监许可</w:t>
      </w:r>
      <w:r>
        <w:rPr>
          <w:rFonts w:ascii="Times New Roman" w:hAnsi="Times New Roman" w:cs="Times New Roman" w:eastAsia="Times New Roman" w:hint="default"/>
        </w:rPr>
        <w:t>[2019]2150</w:t>
      </w:r>
      <w:r>
        <w:rPr/>
        <w:t>号）；于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日完成了本次重大资产重组标的资产珠海佳博科技有 限公司（以下简称</w:t>
      </w:r>
      <w:r>
        <w:rPr>
          <w:rFonts w:ascii="Times New Roman" w:hAnsi="Times New Roman" w:cs="Times New Roman" w:eastAsia="Times New Roman" w:hint="default"/>
        </w:rPr>
        <w:t>“</w:t>
      </w:r>
      <w:r>
        <w:rPr/>
        <w:t>佳博科技</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股权过户手续及相关工商变更登记，公司现持有佳博科技</w:t>
      </w:r>
      <w:r>
        <w:rPr>
          <w:rFonts w:ascii="Times New Roman" w:hAnsi="Times New Roman" w:cs="Times New Roman" w:eastAsia="Times New Roman" w:hint="default"/>
        </w:rPr>
        <w:t>100%</w:t>
      </w:r>
      <w:r>
        <w:rPr/>
        <w:t>的股权；于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 </w:t>
      </w:r>
      <w:r>
        <w:rPr>
          <w:rFonts w:ascii="Times New Roman" w:hAnsi="Times New Roman" w:cs="Times New Roman" w:eastAsia="Times New Roman" w:hint="default"/>
        </w:rPr>
        <w:t>11</w:t>
      </w:r>
      <w:r>
        <w:rPr/>
        <w:t>日在中国证券登记结算有限责任公司深圳分公司办理完成本次重大资产重组中发行股份购买资产涉及的新增股份</w:t>
      </w:r>
    </w:p>
    <w:p>
      <w:pPr>
        <w:pStyle w:val="BodyText"/>
        <w:spacing w:line="319" w:lineRule="auto" w:before="13"/>
        <w:ind w:right="1133"/>
        <w:jc w:val="left"/>
      </w:pPr>
      <w:r>
        <w:rPr>
          <w:rFonts w:ascii="Times New Roman" w:hAnsi="Times New Roman" w:cs="Times New Roman" w:eastAsia="Times New Roman" w:hint="default"/>
          <w:spacing w:val="-2"/>
        </w:rPr>
        <w:t>32,665,317</w:t>
      </w:r>
      <w:r>
        <w:rPr>
          <w:spacing w:val="-2"/>
        </w:rPr>
        <w:t>股的登记手续，上市日期为</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27</w:t>
      </w:r>
      <w:r>
        <w:rPr>
          <w:spacing w:val="-2"/>
        </w:rPr>
        <w:t>日；于</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14</w:t>
      </w:r>
      <w:r>
        <w:rPr>
          <w:spacing w:val="-2"/>
        </w:rPr>
        <w:t>日在中国证券登记结算有限责任公司深圳分公司办理</w:t>
      </w:r>
      <w:r>
        <w:rPr>
          <w:spacing w:val="-52"/>
        </w:rPr>
        <w:t> </w:t>
      </w:r>
      <w:r>
        <w:rPr>
          <w:spacing w:val="-52"/>
        </w:rPr>
      </w:r>
      <w:r>
        <w:rPr/>
        <w:t>完成本次重大资产重组中募集配套资金涉及的新增股份</w:t>
      </w:r>
      <w:r>
        <w:rPr>
          <w:rFonts w:ascii="Times New Roman" w:hAnsi="Times New Roman" w:cs="Times New Roman" w:eastAsia="Times New Roman" w:hint="default"/>
        </w:rPr>
        <w:t>10,387,812</w:t>
      </w:r>
      <w:r>
        <w:rPr/>
        <w:t>股的登记手续，上市日期为</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 重大关联交易临时报告披露网站相关查询</w:t>
      </w:r>
    </w:p>
    <w:p>
      <w:pPr>
        <w:spacing w:line="240" w:lineRule="auto" w:before="8"/>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1"/>
      </w:tblGrid>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3"/>
              <w:jc w:val="left"/>
              <w:rPr>
                <w:rFonts w:ascii="宋体" w:hAnsi="宋体" w:cs="宋体" w:eastAsia="宋体" w:hint="default"/>
                <w:sz w:val="18"/>
                <w:szCs w:val="18"/>
              </w:rPr>
            </w:pPr>
            <w:r>
              <w:rPr>
                <w:rFonts w:ascii="宋体" w:hAnsi="宋体" w:cs="宋体" w:eastAsia="宋体" w:hint="default"/>
                <w:sz w:val="18"/>
                <w:szCs w:val="18"/>
              </w:rPr>
              <w:t>关于向参股子公司提供财务资助暨关联交 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巨潮资讯网，公告编号：</w:t>
            </w:r>
            <w:r>
              <w:rPr>
                <w:rFonts w:ascii="Times New Roman" w:hAnsi="Times New Roman" w:cs="Times New Roman" w:eastAsia="Times New Roman" w:hint="default"/>
                <w:sz w:val="18"/>
                <w:szCs w:val="18"/>
              </w:rPr>
              <w:t>2019-018</w:t>
            </w:r>
          </w:p>
        </w:tc>
      </w:tr>
      <w:tr>
        <w:trPr>
          <w:trHeight w:val="401"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第三届董事会第十一次会议决议公告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巨潮资讯网，公告编号：</w:t>
            </w:r>
            <w:r>
              <w:rPr>
                <w:rFonts w:ascii="Times New Roman" w:hAnsi="Times New Roman" w:cs="Times New Roman" w:eastAsia="Times New Roman" w:hint="default"/>
                <w:sz w:val="18"/>
                <w:szCs w:val="18"/>
              </w:rPr>
              <w:t>2019-066</w:t>
            </w:r>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巨潮资讯网，公告编号：</w:t>
            </w:r>
            <w:r>
              <w:rPr>
                <w:rFonts w:ascii="Times New Roman" w:hAnsi="Times New Roman" w:cs="Times New Roman" w:eastAsia="Times New Roman" w:hint="default"/>
                <w:sz w:val="18"/>
                <w:szCs w:val="18"/>
              </w:rPr>
              <w:t>2019-074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1"/>
      </w:tblGrid>
      <w:tr>
        <w:trPr>
          <w:trHeight w:val="102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83"/>
              <w:jc w:val="both"/>
              <w:rPr>
                <w:rFonts w:ascii="宋体" w:hAnsi="宋体" w:cs="宋体" w:eastAsia="宋体" w:hint="default"/>
                <w:sz w:val="18"/>
                <w:szCs w:val="18"/>
              </w:rPr>
            </w:pPr>
            <w:r>
              <w:rPr>
                <w:rFonts w:ascii="宋体" w:hAnsi="宋体" w:cs="宋体" w:eastAsia="宋体" w:hint="default"/>
                <w:sz w:val="18"/>
                <w:szCs w:val="18"/>
              </w:rPr>
              <w:t>关于发行股份及支付现金购买资产并募集 配套资金暨关联交易事项获得中国证监会 核准批文的公告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巨潮资讯网，公告编号：</w:t>
            </w:r>
            <w:r>
              <w:rPr>
                <w:rFonts w:ascii="Times New Roman" w:hAnsi="Times New Roman" w:cs="Times New Roman" w:eastAsia="Times New Roman" w:hint="default"/>
                <w:sz w:val="18"/>
                <w:szCs w:val="18"/>
              </w:rPr>
              <w:t>2019-133</w:t>
            </w:r>
          </w:p>
        </w:tc>
      </w:tr>
      <w:tr>
        <w:trPr>
          <w:trHeight w:val="71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3"/>
              <w:jc w:val="left"/>
              <w:rPr>
                <w:rFonts w:ascii="宋体" w:hAnsi="宋体" w:cs="宋体" w:eastAsia="宋体" w:hint="default"/>
                <w:sz w:val="18"/>
                <w:szCs w:val="18"/>
              </w:rPr>
            </w:pPr>
            <w:r>
              <w:rPr>
                <w:rFonts w:ascii="宋体" w:hAnsi="宋体" w:cs="宋体" w:eastAsia="宋体" w:hint="default"/>
                <w:sz w:val="18"/>
                <w:szCs w:val="18"/>
              </w:rPr>
              <w:t>关于向参股子公司提供财务资助暨关联交 易的进展公告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巨潮资讯网，公告编号：</w:t>
            </w:r>
            <w:r>
              <w:rPr>
                <w:rFonts w:ascii="Times New Roman" w:hAnsi="Times New Roman" w:cs="Times New Roman" w:eastAsia="Times New Roman" w:hint="default"/>
                <w:sz w:val="18"/>
                <w:szCs w:val="18"/>
              </w:rPr>
              <w:t>2019-126</w:t>
            </w:r>
          </w:p>
        </w:tc>
      </w:tr>
      <w:tr>
        <w:trPr>
          <w:trHeight w:val="71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关于发行股份及支付现金购买资产并募集 配套资金之标的资产过户完成的公告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巨潮资讯网，公告编号：</w:t>
            </w:r>
            <w:r>
              <w:rPr>
                <w:rFonts w:ascii="Times New Roman" w:hAnsi="Times New Roman" w:cs="Times New Roman" w:eastAsia="Times New Roman" w:hint="default"/>
                <w:sz w:val="18"/>
                <w:szCs w:val="18"/>
              </w:rPr>
              <w:t>2019-134</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租赁情况说明</w:t>
      </w:r>
    </w:p>
    <w:p>
      <w:pPr>
        <w:pStyle w:val="BodyText"/>
        <w:spacing w:line="240" w:lineRule="auto" w:before="43"/>
        <w:ind w:right="1133"/>
        <w:jc w:val="left"/>
      </w:pPr>
      <w:r>
        <w:rPr/>
        <w:t>（不含佳博科技及其子公司的租赁情况）</w:t>
      </w:r>
    </w:p>
    <w:p>
      <w:pPr>
        <w:spacing w:line="240" w:lineRule="auto" w:before="9"/>
        <w:rPr>
          <w:rFonts w:ascii="宋体" w:hAnsi="宋体" w:cs="宋体" w:eastAsia="宋体" w:hint="default"/>
          <w:sz w:val="8"/>
          <w:szCs w:val="8"/>
        </w:rPr>
      </w:pPr>
    </w:p>
    <w:tbl>
      <w:tblPr>
        <w:tblW w:w="0" w:type="auto"/>
        <w:jc w:val="left"/>
        <w:tblInd w:w="164" w:type="dxa"/>
        <w:tblLayout w:type="fixed"/>
        <w:tblCellMar>
          <w:top w:w="0" w:type="dxa"/>
          <w:left w:w="0" w:type="dxa"/>
          <w:bottom w:w="0" w:type="dxa"/>
          <w:right w:w="0" w:type="dxa"/>
        </w:tblCellMar>
        <w:tblLook w:val="01E0"/>
      </w:tblPr>
      <w:tblGrid>
        <w:gridCol w:w="548"/>
        <w:gridCol w:w="2129"/>
        <w:gridCol w:w="4251"/>
        <w:gridCol w:w="994"/>
        <w:gridCol w:w="1901"/>
      </w:tblGrid>
      <w:tr>
        <w:trPr>
          <w:trHeight w:val="653" w:hRule="exact"/>
        </w:trPr>
        <w:tc>
          <w:tcPr>
            <w:tcW w:w="5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3"/>
              <w:ind w:left="175" w:right="84" w:hanging="90"/>
              <w:jc w:val="left"/>
              <w:rPr>
                <w:rFonts w:ascii="宋体" w:hAnsi="宋体" w:cs="宋体" w:eastAsia="宋体" w:hint="default"/>
                <w:sz w:val="18"/>
                <w:szCs w:val="18"/>
              </w:rPr>
            </w:pPr>
            <w:r>
              <w:rPr>
                <w:rFonts w:ascii="宋体" w:hAnsi="宋体" w:cs="宋体" w:eastAsia="宋体" w:hint="default"/>
                <w:sz w:val="18"/>
                <w:szCs w:val="18"/>
              </w:rPr>
              <w:t>承租 方</w:t>
            </w:r>
          </w:p>
        </w:tc>
        <w:tc>
          <w:tcPr>
            <w:tcW w:w="21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出租方</w:t>
            </w:r>
          </w:p>
        </w:tc>
        <w:tc>
          <w:tcPr>
            <w:tcW w:w="42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租赁地点</w:t>
            </w:r>
          </w:p>
        </w:tc>
        <w:tc>
          <w:tcPr>
            <w:tcW w:w="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129" w:right="0"/>
              <w:jc w:val="left"/>
              <w:rPr>
                <w:rFonts w:ascii="宋体" w:hAnsi="宋体" w:cs="宋体" w:eastAsia="宋体" w:hint="default"/>
                <w:sz w:val="18"/>
                <w:szCs w:val="18"/>
              </w:rPr>
            </w:pPr>
            <w:r>
              <w:rPr>
                <w:rFonts w:ascii="宋体" w:hAnsi="宋体" w:cs="宋体" w:eastAsia="宋体" w:hint="default"/>
                <w:sz w:val="18"/>
                <w:szCs w:val="18"/>
              </w:rPr>
              <w:t>租赁面积</w:t>
            </w:r>
          </w:p>
          <w:p>
            <w:pPr>
              <w:pStyle w:val="TableParagraph"/>
              <w:spacing w:line="240" w:lineRule="auto" w:before="76"/>
              <w:ind w:left="40" w:right="0"/>
              <w:jc w:val="left"/>
              <w:rPr>
                <w:rFonts w:ascii="宋体" w:hAnsi="宋体" w:cs="宋体" w:eastAsia="宋体" w:hint="default"/>
                <w:sz w:val="18"/>
                <w:szCs w:val="18"/>
              </w:rPr>
            </w:pPr>
            <w:r>
              <w:rPr>
                <w:rFonts w:ascii="宋体" w:hAnsi="宋体" w:cs="宋体" w:eastAsia="宋体" w:hint="default"/>
                <w:sz w:val="18"/>
                <w:szCs w:val="18"/>
              </w:rPr>
              <w:t>（平方米）</w:t>
            </w:r>
          </w:p>
        </w:tc>
        <w:tc>
          <w:tcPr>
            <w:tcW w:w="19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租赁期限</w:t>
            </w:r>
          </w:p>
        </w:tc>
      </w:tr>
      <w:tr>
        <w:trPr>
          <w:trHeight w:val="348" w:hRule="exact"/>
        </w:trPr>
        <w:tc>
          <w:tcPr>
            <w:tcW w:w="548" w:type="dxa"/>
            <w:vMerge w:val="restart"/>
            <w:tcBorders>
              <w:top w:val="single" w:sz="6" w:space="0" w:color="000000"/>
              <w:left w:val="single" w:sz="6" w:space="0" w:color="000000"/>
              <w:right w:val="single" w:sz="6" w:space="0" w:color="000000"/>
            </w:tcBorders>
          </w:tcPr>
          <w:p>
            <w:pPr>
              <w:pStyle w:val="TableParagraph"/>
              <w:spacing w:line="316" w:lineRule="auto" w:before="20"/>
              <w:ind w:left="175" w:right="84" w:hanging="90"/>
              <w:jc w:val="left"/>
              <w:rPr>
                <w:rFonts w:ascii="宋体" w:hAnsi="宋体" w:cs="宋体" w:eastAsia="宋体" w:hint="default"/>
                <w:sz w:val="18"/>
                <w:szCs w:val="18"/>
              </w:rPr>
            </w:pPr>
            <w:r>
              <w:rPr>
                <w:rFonts w:ascii="宋体" w:hAnsi="宋体" w:cs="宋体" w:eastAsia="宋体" w:hint="default"/>
                <w:sz w:val="18"/>
                <w:szCs w:val="18"/>
              </w:rPr>
              <w:t>优博 讯</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深圳市科技评审管理中心</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深圳市南山区学府路</w:t>
            </w:r>
            <w:r>
              <w:rPr>
                <w:rFonts w:ascii="Times New Roman" w:hAnsi="Times New Roman" w:cs="Times New Roman" w:eastAsia="Times New Roman" w:hint="default"/>
                <w:sz w:val="18"/>
                <w:szCs w:val="18"/>
              </w:rPr>
              <w:t>63</w:t>
            </w:r>
            <w:r>
              <w:rPr>
                <w:rFonts w:ascii="宋体" w:hAnsi="宋体" w:cs="宋体" w:eastAsia="宋体" w:hint="default"/>
                <w:sz w:val="18"/>
                <w:szCs w:val="18"/>
              </w:rPr>
              <w:t>号高新区联合总部大厦</w:t>
            </w:r>
            <w:r>
              <w:rPr>
                <w:rFonts w:ascii="Times New Roman" w:hAnsi="Times New Roman" w:cs="Times New Roman" w:eastAsia="Times New Roman" w:hint="default"/>
                <w:sz w:val="18"/>
                <w:szCs w:val="18"/>
              </w:rPr>
              <w:t>36</w:t>
            </w:r>
            <w:r>
              <w:rPr>
                <w:rFonts w:ascii="宋体" w:hAnsi="宋体" w:cs="宋体" w:eastAsia="宋体" w:hint="default"/>
                <w:sz w:val="18"/>
                <w:szCs w:val="18"/>
              </w:rPr>
              <w:t>楼</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2101.14</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2018-2-1</w:t>
            </w:r>
            <w:r>
              <w:rPr>
                <w:rFonts w:ascii="宋体" w:hAnsi="宋体" w:cs="宋体" w:eastAsia="宋体" w:hint="default"/>
                <w:sz w:val="18"/>
                <w:szCs w:val="18"/>
              </w:rPr>
              <w:t>至</w:t>
            </w:r>
            <w:r>
              <w:rPr>
                <w:rFonts w:ascii="Times New Roman" w:hAnsi="Times New Roman" w:cs="Times New Roman" w:eastAsia="Times New Roman" w:hint="default"/>
                <w:sz w:val="18"/>
                <w:szCs w:val="18"/>
              </w:rPr>
              <w:t>2023-1-31</w:t>
            </w:r>
          </w:p>
        </w:tc>
      </w:tr>
      <w:tr>
        <w:trPr>
          <w:trHeight w:val="658" w:hRule="exact"/>
        </w:trPr>
        <w:tc>
          <w:tcPr>
            <w:tcW w:w="548" w:type="dxa"/>
            <w:vMerge/>
            <w:tcBorders>
              <w:left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28"/>
              <w:jc w:val="left"/>
              <w:rPr>
                <w:rFonts w:ascii="宋体" w:hAnsi="宋体" w:cs="宋体" w:eastAsia="宋体" w:hint="default"/>
                <w:sz w:val="18"/>
                <w:szCs w:val="18"/>
              </w:rPr>
            </w:pPr>
            <w:r>
              <w:rPr>
                <w:rFonts w:ascii="宋体" w:hAnsi="宋体" w:cs="宋体" w:eastAsia="宋体" w:hint="default"/>
                <w:sz w:val="18"/>
                <w:szCs w:val="18"/>
              </w:rPr>
              <w:t>深圳市恒昌荣投资有限公 司</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深圳市宝安区西乡街道黄田恒昌荣高新产业工业园第</w:t>
            </w:r>
          </w:p>
          <w:p>
            <w:pPr>
              <w:pStyle w:val="TableParagraph"/>
              <w:spacing w:line="240" w:lineRule="auto" w:before="7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栋第</w:t>
            </w:r>
            <w:r>
              <w:rPr>
                <w:rFonts w:ascii="Times New Roman" w:hAnsi="Times New Roman" w:cs="Times New Roman" w:eastAsia="Times New Roman" w:hint="default"/>
                <w:sz w:val="18"/>
                <w:szCs w:val="18"/>
              </w:rPr>
              <w:t>1</w:t>
            </w:r>
            <w:r>
              <w:rPr>
                <w:rFonts w:ascii="宋体" w:hAnsi="宋体" w:cs="宋体" w:eastAsia="宋体" w:hint="default"/>
                <w:sz w:val="18"/>
                <w:szCs w:val="18"/>
              </w:rPr>
              <w:t>层</w:t>
            </w:r>
            <w:r>
              <w:rPr>
                <w:rFonts w:ascii="Times New Roman" w:hAnsi="Times New Roman" w:cs="Times New Roman" w:eastAsia="Times New Roman" w:hint="default"/>
                <w:sz w:val="18"/>
                <w:szCs w:val="18"/>
              </w:rPr>
              <w:t>A</w:t>
            </w:r>
            <w:r>
              <w:rPr>
                <w:rFonts w:ascii="宋体" w:hAnsi="宋体" w:cs="宋体" w:eastAsia="宋体" w:hint="default"/>
                <w:sz w:val="18"/>
                <w:szCs w:val="18"/>
              </w:rPr>
              <w:t>区</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1600</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2018-6-1</w:t>
            </w:r>
            <w:r>
              <w:rPr>
                <w:rFonts w:ascii="宋体" w:hAnsi="宋体" w:cs="宋体" w:eastAsia="宋体" w:hint="default"/>
                <w:sz w:val="18"/>
                <w:szCs w:val="18"/>
              </w:rPr>
              <w:t>至</w:t>
            </w:r>
            <w:r>
              <w:rPr>
                <w:rFonts w:ascii="Times New Roman" w:hAnsi="Times New Roman" w:cs="Times New Roman" w:eastAsia="Times New Roman" w:hint="default"/>
                <w:sz w:val="18"/>
                <w:szCs w:val="18"/>
              </w:rPr>
              <w:t>2020-9-26</w:t>
            </w:r>
          </w:p>
        </w:tc>
      </w:tr>
      <w:tr>
        <w:trPr>
          <w:trHeight w:val="661" w:hRule="exact"/>
        </w:trPr>
        <w:tc>
          <w:tcPr>
            <w:tcW w:w="548" w:type="dxa"/>
            <w:vMerge/>
            <w:tcBorders>
              <w:left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128"/>
              <w:jc w:val="left"/>
              <w:rPr>
                <w:rFonts w:ascii="宋体" w:hAnsi="宋体" w:cs="宋体" w:eastAsia="宋体" w:hint="default"/>
                <w:sz w:val="18"/>
                <w:szCs w:val="18"/>
              </w:rPr>
            </w:pPr>
            <w:r>
              <w:rPr>
                <w:rFonts w:ascii="宋体" w:hAnsi="宋体" w:cs="宋体" w:eastAsia="宋体" w:hint="default"/>
                <w:sz w:val="18"/>
                <w:szCs w:val="18"/>
              </w:rPr>
              <w:t>深圳市恒昌荣投资有限公 司</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深圳市宝安区西乡街道黄田恒昌荣高新产业工业园第</w:t>
            </w:r>
          </w:p>
          <w:p>
            <w:pPr>
              <w:pStyle w:val="TableParagraph"/>
              <w:spacing w:line="240" w:lineRule="auto" w:before="7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栋第</w:t>
            </w:r>
            <w:r>
              <w:rPr>
                <w:rFonts w:ascii="Times New Roman" w:hAnsi="Times New Roman" w:cs="Times New Roman" w:eastAsia="Times New Roman" w:hint="default"/>
                <w:sz w:val="18"/>
                <w:szCs w:val="18"/>
              </w:rPr>
              <w:t>2</w:t>
            </w:r>
            <w:r>
              <w:rPr>
                <w:rFonts w:ascii="宋体" w:hAnsi="宋体" w:cs="宋体" w:eastAsia="宋体" w:hint="default"/>
                <w:sz w:val="18"/>
                <w:szCs w:val="18"/>
              </w:rPr>
              <w:t>层</w:t>
            </w:r>
            <w:r>
              <w:rPr>
                <w:rFonts w:ascii="Times New Roman" w:hAnsi="Times New Roman" w:cs="Times New Roman" w:eastAsia="Times New Roman" w:hint="default"/>
                <w:sz w:val="18"/>
                <w:szCs w:val="18"/>
              </w:rPr>
              <w:t>A</w:t>
            </w:r>
            <w:r>
              <w:rPr>
                <w:rFonts w:ascii="宋体" w:hAnsi="宋体" w:cs="宋体" w:eastAsia="宋体" w:hint="default"/>
                <w:sz w:val="18"/>
                <w:szCs w:val="18"/>
              </w:rPr>
              <w:t>区</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1530</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2018-9-27</w:t>
            </w:r>
            <w:r>
              <w:rPr>
                <w:rFonts w:ascii="宋体" w:hAnsi="宋体" w:cs="宋体" w:eastAsia="宋体" w:hint="default"/>
                <w:sz w:val="18"/>
                <w:szCs w:val="18"/>
              </w:rPr>
              <w:t>至</w:t>
            </w:r>
            <w:r>
              <w:rPr>
                <w:rFonts w:ascii="Times New Roman" w:hAnsi="Times New Roman" w:cs="Times New Roman" w:eastAsia="Times New Roman" w:hint="default"/>
                <w:sz w:val="18"/>
                <w:szCs w:val="18"/>
              </w:rPr>
              <w:t>2020-9-26</w:t>
            </w:r>
          </w:p>
        </w:tc>
      </w:tr>
      <w:tr>
        <w:trPr>
          <w:trHeight w:val="660" w:hRule="exact"/>
        </w:trPr>
        <w:tc>
          <w:tcPr>
            <w:tcW w:w="548" w:type="dxa"/>
            <w:vMerge/>
            <w:tcBorders>
              <w:left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28"/>
              <w:jc w:val="left"/>
              <w:rPr>
                <w:rFonts w:ascii="宋体" w:hAnsi="宋体" w:cs="宋体" w:eastAsia="宋体" w:hint="default"/>
                <w:sz w:val="18"/>
                <w:szCs w:val="18"/>
              </w:rPr>
            </w:pPr>
            <w:r>
              <w:rPr>
                <w:rFonts w:ascii="宋体" w:hAnsi="宋体" w:cs="宋体" w:eastAsia="宋体" w:hint="default"/>
                <w:sz w:val="18"/>
                <w:szCs w:val="18"/>
              </w:rPr>
              <w:t>深圳市恒昌荣投资有限公 司</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深圳市宝安区西乡街道黄田恒昌荣高新产业工业园第</w:t>
            </w:r>
          </w:p>
          <w:p>
            <w:pPr>
              <w:pStyle w:val="TableParagraph"/>
              <w:spacing w:line="240" w:lineRule="auto" w:before="7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栋第</w:t>
            </w:r>
            <w:r>
              <w:rPr>
                <w:rFonts w:ascii="Times New Roman" w:hAnsi="Times New Roman" w:cs="Times New Roman" w:eastAsia="Times New Roman" w:hint="default"/>
                <w:sz w:val="18"/>
                <w:szCs w:val="18"/>
              </w:rPr>
              <w:t>3</w:t>
            </w:r>
            <w:r>
              <w:rPr>
                <w:rFonts w:ascii="宋体" w:hAnsi="宋体" w:cs="宋体" w:eastAsia="宋体" w:hint="default"/>
                <w:sz w:val="18"/>
                <w:szCs w:val="18"/>
              </w:rPr>
              <w:t>层</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3060</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2018-7-1</w:t>
            </w:r>
            <w:r>
              <w:rPr>
                <w:rFonts w:ascii="宋体" w:hAnsi="宋体" w:cs="宋体" w:eastAsia="宋体" w:hint="default"/>
                <w:sz w:val="18"/>
                <w:szCs w:val="18"/>
              </w:rPr>
              <w:t>至</w:t>
            </w:r>
            <w:r>
              <w:rPr>
                <w:rFonts w:ascii="Times New Roman" w:hAnsi="Times New Roman" w:cs="Times New Roman" w:eastAsia="Times New Roman" w:hint="default"/>
                <w:sz w:val="18"/>
                <w:szCs w:val="18"/>
              </w:rPr>
              <w:t>2020-9-26</w:t>
            </w:r>
          </w:p>
        </w:tc>
      </w:tr>
      <w:tr>
        <w:trPr>
          <w:trHeight w:val="658" w:hRule="exact"/>
        </w:trPr>
        <w:tc>
          <w:tcPr>
            <w:tcW w:w="548" w:type="dxa"/>
            <w:vMerge/>
            <w:tcBorders>
              <w:left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28"/>
              <w:jc w:val="left"/>
              <w:rPr>
                <w:rFonts w:ascii="宋体" w:hAnsi="宋体" w:cs="宋体" w:eastAsia="宋体" w:hint="default"/>
                <w:sz w:val="18"/>
                <w:szCs w:val="18"/>
              </w:rPr>
            </w:pPr>
            <w:r>
              <w:rPr>
                <w:rFonts w:ascii="宋体" w:hAnsi="宋体" w:cs="宋体" w:eastAsia="宋体" w:hint="default"/>
                <w:sz w:val="18"/>
                <w:szCs w:val="18"/>
              </w:rPr>
              <w:t>深圳市恒昌荣投资有限公 司</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93"/>
              <w:jc w:val="left"/>
              <w:rPr>
                <w:rFonts w:ascii="宋体" w:hAnsi="宋体" w:cs="宋体" w:eastAsia="宋体" w:hint="default"/>
                <w:sz w:val="18"/>
                <w:szCs w:val="18"/>
              </w:rPr>
            </w:pPr>
            <w:r>
              <w:rPr>
                <w:rFonts w:ascii="宋体" w:hAnsi="宋体" w:cs="宋体" w:eastAsia="宋体" w:hint="default"/>
                <w:sz w:val="18"/>
                <w:szCs w:val="18"/>
              </w:rPr>
              <w:t>深圳市宝安区航城街道黄田恒昌荣高新产业科技园宿 舍楼</w:t>
            </w:r>
            <w:r>
              <w:rPr>
                <w:rFonts w:ascii="Times New Roman" w:hAnsi="Times New Roman" w:cs="Times New Roman" w:eastAsia="Times New Roman" w:hint="default"/>
                <w:sz w:val="18"/>
                <w:szCs w:val="18"/>
              </w:rPr>
              <w:t>640</w:t>
            </w:r>
            <w:r>
              <w:rPr>
                <w:rFonts w:ascii="宋体" w:hAnsi="宋体" w:cs="宋体" w:eastAsia="宋体" w:hint="default"/>
                <w:sz w:val="18"/>
                <w:szCs w:val="18"/>
              </w:rPr>
              <w:t>、</w:t>
            </w:r>
            <w:r>
              <w:rPr>
                <w:rFonts w:ascii="Times New Roman" w:hAnsi="Times New Roman" w:cs="Times New Roman" w:eastAsia="Times New Roman" w:hint="default"/>
                <w:sz w:val="18"/>
                <w:szCs w:val="18"/>
              </w:rPr>
              <w:t>642</w:t>
            </w:r>
            <w:r>
              <w:rPr>
                <w:rFonts w:ascii="宋体" w:hAnsi="宋体" w:cs="宋体" w:eastAsia="宋体" w:hint="default"/>
                <w:sz w:val="18"/>
                <w:szCs w:val="18"/>
              </w:rPr>
              <w:t>、</w:t>
            </w:r>
            <w:r>
              <w:rPr>
                <w:rFonts w:ascii="Times New Roman" w:hAnsi="Times New Roman" w:cs="Times New Roman" w:eastAsia="Times New Roman" w:hint="default"/>
                <w:sz w:val="18"/>
                <w:szCs w:val="18"/>
              </w:rPr>
              <w:t>741</w:t>
            </w:r>
            <w:r>
              <w:rPr>
                <w:rFonts w:ascii="宋体" w:hAnsi="宋体" w:cs="宋体" w:eastAsia="宋体" w:hint="default"/>
                <w:sz w:val="18"/>
                <w:szCs w:val="18"/>
              </w:rPr>
              <w:t>、</w:t>
            </w:r>
            <w:r>
              <w:rPr>
                <w:rFonts w:ascii="Times New Roman" w:hAnsi="Times New Roman" w:cs="Times New Roman" w:eastAsia="Times New Roman" w:hint="default"/>
                <w:sz w:val="18"/>
                <w:szCs w:val="18"/>
              </w:rPr>
              <w:t>744</w:t>
            </w:r>
            <w:r>
              <w:rPr>
                <w:rFonts w:ascii="宋体" w:hAnsi="宋体" w:cs="宋体" w:eastAsia="宋体" w:hint="default"/>
                <w:sz w:val="18"/>
                <w:szCs w:val="18"/>
              </w:rPr>
              <w:t>号</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200</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2019-9-1</w:t>
            </w:r>
            <w:r>
              <w:rPr>
                <w:rFonts w:ascii="宋体" w:hAnsi="宋体" w:cs="宋体" w:eastAsia="宋体" w:hint="default"/>
                <w:sz w:val="18"/>
                <w:szCs w:val="18"/>
              </w:rPr>
              <w:t>至</w:t>
            </w:r>
            <w:r>
              <w:rPr>
                <w:rFonts w:ascii="Times New Roman" w:hAnsi="Times New Roman" w:cs="Times New Roman" w:eastAsia="Times New Roman" w:hint="default"/>
                <w:sz w:val="18"/>
                <w:szCs w:val="18"/>
              </w:rPr>
              <w:t>2020-8-31</w:t>
            </w:r>
          </w:p>
        </w:tc>
      </w:tr>
      <w:tr>
        <w:trPr>
          <w:trHeight w:val="660" w:hRule="exact"/>
        </w:trPr>
        <w:tc>
          <w:tcPr>
            <w:tcW w:w="548" w:type="dxa"/>
            <w:vMerge/>
            <w:tcBorders>
              <w:left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28"/>
              <w:jc w:val="left"/>
              <w:rPr>
                <w:rFonts w:ascii="宋体" w:hAnsi="宋体" w:cs="宋体" w:eastAsia="宋体" w:hint="default"/>
                <w:sz w:val="18"/>
                <w:szCs w:val="18"/>
              </w:rPr>
            </w:pPr>
            <w:r>
              <w:rPr>
                <w:rFonts w:ascii="宋体" w:hAnsi="宋体" w:cs="宋体" w:eastAsia="宋体" w:hint="default"/>
                <w:sz w:val="18"/>
                <w:szCs w:val="18"/>
              </w:rPr>
              <w:t>深圳市南山区住房和建设 局</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深圳市南山区冠铭雅苑（住宅小区）</w:t>
            </w:r>
            <w:r>
              <w:rPr>
                <w:rFonts w:ascii="Times New Roman" w:hAnsi="Times New Roman" w:cs="Times New Roman" w:eastAsia="Times New Roman" w:hint="default"/>
                <w:sz w:val="18"/>
                <w:szCs w:val="18"/>
              </w:rPr>
              <w:t>3</w:t>
            </w:r>
            <w:r>
              <w:rPr>
                <w:rFonts w:ascii="宋体" w:hAnsi="宋体" w:cs="宋体" w:eastAsia="宋体" w:hint="default"/>
                <w:sz w:val="18"/>
                <w:szCs w:val="18"/>
              </w:rPr>
              <w:t>栋</w:t>
            </w:r>
            <w:r>
              <w:rPr>
                <w:rFonts w:ascii="Times New Roman" w:hAnsi="Times New Roman" w:cs="Times New Roman" w:eastAsia="Times New Roman" w:hint="default"/>
                <w:sz w:val="18"/>
                <w:szCs w:val="18"/>
              </w:rPr>
              <w:t>1112</w:t>
            </w:r>
            <w:r>
              <w:rPr>
                <w:rFonts w:ascii="宋体" w:hAnsi="宋体" w:cs="宋体" w:eastAsia="宋体" w:hint="default"/>
                <w:sz w:val="18"/>
                <w:szCs w:val="18"/>
              </w:rPr>
              <w:t>号与</w:t>
            </w:r>
            <w:r>
              <w:rPr>
                <w:rFonts w:ascii="Times New Roman" w:hAnsi="Times New Roman" w:cs="Times New Roman" w:eastAsia="Times New Roman" w:hint="default"/>
                <w:sz w:val="18"/>
                <w:szCs w:val="18"/>
              </w:rPr>
              <w:t>3</w:t>
            </w:r>
            <w:r>
              <w:rPr>
                <w:rFonts w:ascii="宋体" w:hAnsi="宋体" w:cs="宋体" w:eastAsia="宋体" w:hint="default"/>
                <w:sz w:val="18"/>
                <w:szCs w:val="18"/>
              </w:rPr>
              <w:t>栋</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1301</w:t>
            </w:r>
            <w:r>
              <w:rPr>
                <w:rFonts w:ascii="宋体" w:hAnsi="宋体" w:cs="宋体" w:eastAsia="宋体" w:hint="default"/>
                <w:sz w:val="18"/>
                <w:szCs w:val="18"/>
              </w:rPr>
              <w:t>号</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152.42</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2017-3-10</w:t>
            </w:r>
            <w:r>
              <w:rPr>
                <w:rFonts w:ascii="宋体" w:hAnsi="宋体" w:cs="宋体" w:eastAsia="宋体" w:hint="default"/>
                <w:sz w:val="18"/>
                <w:szCs w:val="18"/>
              </w:rPr>
              <w:t>至</w:t>
            </w:r>
            <w:r>
              <w:rPr>
                <w:rFonts w:ascii="Times New Roman" w:hAnsi="Times New Roman" w:cs="Times New Roman" w:eastAsia="Times New Roman" w:hint="default"/>
                <w:sz w:val="18"/>
                <w:szCs w:val="18"/>
              </w:rPr>
              <w:t>2020-3-9</w:t>
            </w:r>
          </w:p>
        </w:tc>
      </w:tr>
      <w:tr>
        <w:trPr>
          <w:trHeight w:val="660" w:hRule="exact"/>
        </w:trPr>
        <w:tc>
          <w:tcPr>
            <w:tcW w:w="548" w:type="dxa"/>
            <w:vMerge/>
            <w:tcBorders>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28"/>
              <w:jc w:val="left"/>
              <w:rPr>
                <w:rFonts w:ascii="宋体" w:hAnsi="宋体" w:cs="宋体" w:eastAsia="宋体" w:hint="default"/>
                <w:sz w:val="18"/>
                <w:szCs w:val="18"/>
              </w:rPr>
            </w:pPr>
            <w:r>
              <w:rPr>
                <w:rFonts w:ascii="宋体" w:hAnsi="宋体" w:cs="宋体" w:eastAsia="宋体" w:hint="default"/>
                <w:sz w:val="18"/>
                <w:szCs w:val="18"/>
              </w:rPr>
              <w:t>深圳市南山区住房和建设 局</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91"/>
              <w:jc w:val="left"/>
              <w:rPr>
                <w:rFonts w:ascii="宋体" w:hAnsi="宋体" w:cs="宋体" w:eastAsia="宋体" w:hint="default"/>
                <w:sz w:val="18"/>
                <w:szCs w:val="18"/>
              </w:rPr>
            </w:pPr>
            <w:r>
              <w:rPr>
                <w:rFonts w:ascii="宋体" w:hAnsi="宋体" w:cs="宋体" w:eastAsia="宋体" w:hint="default"/>
                <w:sz w:val="18"/>
                <w:szCs w:val="18"/>
              </w:rPr>
              <w:t>深圳市南山区崇文花园（住宅小区）</w:t>
            </w:r>
            <w:r>
              <w:rPr>
                <w:rFonts w:ascii="Times New Roman" w:hAnsi="Times New Roman" w:cs="Times New Roman" w:eastAsia="Times New Roman" w:hint="default"/>
                <w:sz w:val="18"/>
                <w:szCs w:val="18"/>
              </w:rPr>
              <w:t>13</w:t>
            </w:r>
            <w:r>
              <w:rPr>
                <w:rFonts w:ascii="宋体" w:hAnsi="宋体" w:cs="宋体" w:eastAsia="宋体" w:hint="default"/>
                <w:sz w:val="18"/>
                <w:szCs w:val="18"/>
              </w:rPr>
              <w:t>栋</w:t>
            </w:r>
            <w:r>
              <w:rPr>
                <w:rFonts w:ascii="Times New Roman" w:hAnsi="Times New Roman" w:cs="Times New Roman" w:eastAsia="Times New Roman" w:hint="default"/>
                <w:sz w:val="18"/>
                <w:szCs w:val="18"/>
              </w:rPr>
              <w:t>1105</w:t>
            </w:r>
            <w:r>
              <w:rPr>
                <w:rFonts w:ascii="宋体" w:hAnsi="宋体" w:cs="宋体" w:eastAsia="宋体" w:hint="default"/>
                <w:sz w:val="18"/>
                <w:szCs w:val="18"/>
              </w:rPr>
              <w:t>号与</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栋</w:t>
            </w:r>
            <w:r>
              <w:rPr>
                <w:rFonts w:ascii="Times New Roman" w:hAnsi="Times New Roman" w:cs="Times New Roman" w:eastAsia="Times New Roman" w:hint="default"/>
                <w:sz w:val="18"/>
                <w:szCs w:val="18"/>
              </w:rPr>
              <w:t>1111</w:t>
            </w:r>
            <w:r>
              <w:rPr>
                <w:rFonts w:ascii="宋体" w:hAnsi="宋体" w:cs="宋体" w:eastAsia="宋体" w:hint="default"/>
                <w:sz w:val="18"/>
                <w:szCs w:val="18"/>
              </w:rPr>
              <w:t>号</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97.03</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2017-3-10</w:t>
            </w:r>
            <w:r>
              <w:rPr>
                <w:rFonts w:ascii="宋体" w:hAnsi="宋体" w:cs="宋体" w:eastAsia="宋体" w:hint="default"/>
                <w:sz w:val="18"/>
                <w:szCs w:val="18"/>
              </w:rPr>
              <w:t>至</w:t>
            </w:r>
            <w:r>
              <w:rPr>
                <w:rFonts w:ascii="Times New Roman" w:hAnsi="Times New Roman" w:cs="Times New Roman" w:eastAsia="Times New Roman" w:hint="default"/>
                <w:sz w:val="18"/>
                <w:szCs w:val="18"/>
              </w:rPr>
              <w:t>2020-3-9</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4" w:type="dxa"/>
        <w:tblLayout w:type="fixed"/>
        <w:tblCellMar>
          <w:top w:w="0" w:type="dxa"/>
          <w:left w:w="0" w:type="dxa"/>
          <w:bottom w:w="0" w:type="dxa"/>
          <w:right w:w="0" w:type="dxa"/>
        </w:tblCellMar>
        <w:tblLook w:val="01E0"/>
      </w:tblPr>
      <w:tblGrid>
        <w:gridCol w:w="548"/>
        <w:gridCol w:w="2129"/>
        <w:gridCol w:w="4251"/>
        <w:gridCol w:w="994"/>
        <w:gridCol w:w="1901"/>
      </w:tblGrid>
      <w:tr>
        <w:trPr>
          <w:trHeight w:val="660" w:hRule="exact"/>
        </w:trPr>
        <w:tc>
          <w:tcPr>
            <w:tcW w:w="548" w:type="dxa"/>
            <w:vMerge w:val="restart"/>
            <w:tcBorders>
              <w:top w:val="single" w:sz="6" w:space="0" w:color="000000"/>
              <w:left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4" w:right="128"/>
              <w:jc w:val="left"/>
              <w:rPr>
                <w:rFonts w:ascii="宋体" w:hAnsi="宋体" w:cs="宋体" w:eastAsia="宋体" w:hint="default"/>
                <w:sz w:val="18"/>
                <w:szCs w:val="18"/>
              </w:rPr>
            </w:pPr>
            <w:r>
              <w:rPr>
                <w:rFonts w:ascii="宋体" w:hAnsi="宋体" w:cs="宋体" w:eastAsia="宋体" w:hint="default"/>
                <w:sz w:val="18"/>
                <w:szCs w:val="18"/>
              </w:rPr>
              <w:t>深圳市南山区住宅发展事 务中心</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1"/>
              <w:jc w:val="left"/>
              <w:rPr>
                <w:rFonts w:ascii="宋体" w:hAnsi="宋体" w:cs="宋体" w:eastAsia="宋体" w:hint="default"/>
                <w:sz w:val="18"/>
                <w:szCs w:val="18"/>
              </w:rPr>
            </w:pPr>
            <w:r>
              <w:rPr>
                <w:rFonts w:ascii="宋体" w:hAnsi="宋体" w:cs="宋体" w:eastAsia="宋体" w:hint="default"/>
                <w:sz w:val="18"/>
                <w:szCs w:val="18"/>
              </w:rPr>
              <w:t>深圳市南山区荔山集悦城内的（住宅小区）</w:t>
            </w:r>
            <w:r>
              <w:rPr>
                <w:rFonts w:ascii="Times New Roman" w:hAnsi="Times New Roman" w:cs="Times New Roman" w:eastAsia="Times New Roman" w:hint="default"/>
                <w:sz w:val="18"/>
                <w:szCs w:val="18"/>
              </w:rPr>
              <w:t>8</w:t>
            </w:r>
            <w:r>
              <w:rPr>
                <w:rFonts w:ascii="宋体" w:hAnsi="宋体" w:cs="宋体" w:eastAsia="宋体" w:hint="default"/>
                <w:sz w:val="18"/>
                <w:szCs w:val="18"/>
              </w:rPr>
              <w:t>栋</w:t>
            </w:r>
            <w:r>
              <w:rPr>
                <w:rFonts w:ascii="Times New Roman" w:hAnsi="Times New Roman" w:cs="Times New Roman" w:eastAsia="Times New Roman" w:hint="default"/>
                <w:sz w:val="18"/>
                <w:szCs w:val="18"/>
              </w:rPr>
              <w:t>0519</w:t>
            </w:r>
            <w:r>
              <w:rPr>
                <w:rFonts w:ascii="宋体" w:hAnsi="宋体" w:cs="宋体" w:eastAsia="宋体" w:hint="default"/>
                <w:sz w:val="18"/>
                <w:szCs w:val="18"/>
              </w:rPr>
              <w:t>号</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21.88</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2017-10-1</w:t>
            </w:r>
            <w:r>
              <w:rPr>
                <w:rFonts w:ascii="宋体" w:hAnsi="宋体" w:cs="宋体" w:eastAsia="宋体" w:hint="default"/>
                <w:sz w:val="18"/>
                <w:szCs w:val="18"/>
              </w:rPr>
              <w:t>至</w:t>
            </w:r>
            <w:r>
              <w:rPr>
                <w:rFonts w:ascii="Times New Roman" w:hAnsi="Times New Roman" w:cs="Times New Roman" w:eastAsia="Times New Roman" w:hint="default"/>
                <w:sz w:val="18"/>
                <w:szCs w:val="18"/>
              </w:rPr>
              <w:t>2020-4-30</w:t>
            </w:r>
          </w:p>
        </w:tc>
      </w:tr>
      <w:tr>
        <w:trPr>
          <w:trHeight w:val="658" w:hRule="exact"/>
        </w:trPr>
        <w:tc>
          <w:tcPr>
            <w:tcW w:w="548" w:type="dxa"/>
            <w:vMerge/>
            <w:tcBorders>
              <w:left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28"/>
              <w:jc w:val="left"/>
              <w:rPr>
                <w:rFonts w:ascii="宋体" w:hAnsi="宋体" w:cs="宋体" w:eastAsia="宋体" w:hint="default"/>
                <w:sz w:val="18"/>
                <w:szCs w:val="18"/>
              </w:rPr>
            </w:pPr>
            <w:r>
              <w:rPr>
                <w:rFonts w:ascii="宋体" w:hAnsi="宋体" w:cs="宋体" w:eastAsia="宋体" w:hint="default"/>
                <w:sz w:val="18"/>
                <w:szCs w:val="18"/>
              </w:rPr>
              <w:t>深圳市南山区住房和建设 局</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1"/>
              <w:jc w:val="left"/>
              <w:rPr>
                <w:rFonts w:ascii="宋体" w:hAnsi="宋体" w:cs="宋体" w:eastAsia="宋体" w:hint="default"/>
                <w:sz w:val="18"/>
                <w:szCs w:val="18"/>
              </w:rPr>
            </w:pPr>
            <w:r>
              <w:rPr>
                <w:rFonts w:ascii="宋体" w:hAnsi="宋体" w:cs="宋体" w:eastAsia="宋体" w:hint="default"/>
                <w:sz w:val="18"/>
                <w:szCs w:val="18"/>
              </w:rPr>
              <w:t>深圳市南山区众悦家园（住宅小区）</w:t>
            </w:r>
            <w:r>
              <w:rPr>
                <w:rFonts w:ascii="Times New Roman" w:hAnsi="Times New Roman" w:cs="Times New Roman" w:eastAsia="Times New Roman" w:hint="default"/>
                <w:sz w:val="18"/>
                <w:szCs w:val="18"/>
              </w:rPr>
              <w:t>3</w:t>
            </w:r>
            <w:r>
              <w:rPr>
                <w:rFonts w:ascii="宋体" w:hAnsi="宋体" w:cs="宋体" w:eastAsia="宋体" w:hint="default"/>
                <w:sz w:val="18"/>
                <w:szCs w:val="18"/>
              </w:rPr>
              <w:t>栋</w:t>
            </w:r>
            <w:r>
              <w:rPr>
                <w:rFonts w:ascii="Times New Roman" w:hAnsi="Times New Roman" w:cs="Times New Roman" w:eastAsia="Times New Roman" w:hint="default"/>
                <w:sz w:val="18"/>
                <w:szCs w:val="18"/>
              </w:rPr>
              <w:t>0906</w:t>
            </w:r>
            <w:r>
              <w:rPr>
                <w:rFonts w:ascii="宋体" w:hAnsi="宋体" w:cs="宋体" w:eastAsia="宋体" w:hint="default"/>
                <w:sz w:val="18"/>
                <w:szCs w:val="18"/>
              </w:rPr>
              <w:t>号和</w:t>
            </w:r>
            <w:r>
              <w:rPr>
                <w:rFonts w:ascii="Times New Roman" w:hAnsi="Times New Roman" w:cs="Times New Roman" w:eastAsia="Times New Roman" w:hint="default"/>
                <w:sz w:val="18"/>
                <w:szCs w:val="18"/>
              </w:rPr>
              <w:t>0907 </w:t>
            </w:r>
            <w:r>
              <w:rPr>
                <w:rFonts w:ascii="宋体" w:hAnsi="宋体" w:cs="宋体" w:eastAsia="宋体" w:hint="default"/>
                <w:sz w:val="18"/>
                <w:szCs w:val="18"/>
              </w:rPr>
              <w:t>号</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135.81</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2018-1-15</w:t>
            </w:r>
            <w:r>
              <w:rPr>
                <w:rFonts w:ascii="宋体" w:hAnsi="宋体" w:cs="宋体" w:eastAsia="宋体" w:hint="default"/>
                <w:sz w:val="18"/>
                <w:szCs w:val="18"/>
              </w:rPr>
              <w:t>至</w:t>
            </w:r>
            <w:r>
              <w:rPr>
                <w:rFonts w:ascii="Times New Roman" w:hAnsi="Times New Roman" w:cs="Times New Roman" w:eastAsia="Times New Roman" w:hint="default"/>
                <w:sz w:val="18"/>
                <w:szCs w:val="18"/>
              </w:rPr>
              <w:t>2021-1-14</w:t>
            </w:r>
          </w:p>
        </w:tc>
      </w:tr>
      <w:tr>
        <w:trPr>
          <w:trHeight w:val="660" w:hRule="exact"/>
        </w:trPr>
        <w:tc>
          <w:tcPr>
            <w:tcW w:w="548" w:type="dxa"/>
            <w:vMerge/>
            <w:tcBorders>
              <w:left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28"/>
              <w:jc w:val="left"/>
              <w:rPr>
                <w:rFonts w:ascii="宋体" w:hAnsi="宋体" w:cs="宋体" w:eastAsia="宋体" w:hint="default"/>
                <w:sz w:val="18"/>
                <w:szCs w:val="18"/>
              </w:rPr>
            </w:pPr>
            <w:r>
              <w:rPr>
                <w:rFonts w:ascii="宋体" w:hAnsi="宋体" w:cs="宋体" w:eastAsia="宋体" w:hint="default"/>
                <w:sz w:val="18"/>
                <w:szCs w:val="18"/>
              </w:rPr>
              <w:t>深圳市人才安居集团有限 公司</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49"/>
              <w:jc w:val="left"/>
              <w:rPr>
                <w:rFonts w:ascii="宋体" w:hAnsi="宋体" w:cs="宋体" w:eastAsia="宋体" w:hint="default"/>
                <w:sz w:val="18"/>
                <w:szCs w:val="18"/>
              </w:rPr>
            </w:pPr>
            <w:r>
              <w:rPr>
                <w:rFonts w:ascii="宋体" w:hAnsi="宋体" w:cs="宋体" w:eastAsia="宋体" w:hint="default"/>
                <w:sz w:val="18"/>
                <w:szCs w:val="18"/>
              </w:rPr>
              <w:t>深圳市南山区深圳湾科技生态园</w:t>
            </w:r>
            <w:r>
              <w:rPr>
                <w:rFonts w:ascii="Times New Roman" w:hAnsi="Times New Roman" w:cs="Times New Roman" w:eastAsia="Times New Roman" w:hint="default"/>
                <w:sz w:val="18"/>
                <w:szCs w:val="18"/>
              </w:rPr>
              <w:t>1</w:t>
            </w:r>
            <w:r>
              <w:rPr>
                <w:rFonts w:ascii="宋体" w:hAnsi="宋体" w:cs="宋体" w:eastAsia="宋体" w:hint="default"/>
                <w:sz w:val="18"/>
                <w:szCs w:val="18"/>
              </w:rPr>
              <w:t>栋</w:t>
            </w:r>
            <w:r>
              <w:rPr>
                <w:rFonts w:ascii="Times New Roman" w:hAnsi="Times New Roman" w:cs="Times New Roman" w:eastAsia="Times New Roman" w:hint="default"/>
                <w:sz w:val="18"/>
                <w:szCs w:val="18"/>
              </w:rPr>
              <w:t>A</w:t>
            </w:r>
            <w:r>
              <w:rPr>
                <w:rFonts w:ascii="宋体" w:hAnsi="宋体" w:cs="宋体" w:eastAsia="宋体" w:hint="default"/>
                <w:sz w:val="18"/>
                <w:szCs w:val="18"/>
              </w:rPr>
              <w:t>座</w:t>
            </w:r>
            <w:r>
              <w:rPr>
                <w:rFonts w:ascii="Times New Roman" w:hAnsi="Times New Roman" w:cs="Times New Roman" w:eastAsia="Times New Roman" w:hint="default"/>
                <w:sz w:val="18"/>
                <w:szCs w:val="18"/>
              </w:rPr>
              <w:t>1701</w:t>
            </w:r>
            <w:r>
              <w:rPr>
                <w:rFonts w:ascii="宋体" w:hAnsi="宋体" w:cs="宋体" w:eastAsia="宋体" w:hint="default"/>
                <w:sz w:val="18"/>
                <w:szCs w:val="18"/>
              </w:rPr>
              <w:t>号、</w:t>
            </w:r>
            <w:r>
              <w:rPr>
                <w:rFonts w:ascii="Times New Roman" w:hAnsi="Times New Roman" w:cs="Times New Roman" w:eastAsia="Times New Roman" w:hint="default"/>
                <w:sz w:val="18"/>
                <w:szCs w:val="18"/>
              </w:rPr>
              <w:t>2303 </w:t>
            </w:r>
            <w:r>
              <w:rPr>
                <w:rFonts w:ascii="宋体" w:hAnsi="宋体" w:cs="宋体" w:eastAsia="宋体" w:hint="default"/>
                <w:sz w:val="18"/>
                <w:szCs w:val="18"/>
              </w:rPr>
              <w:t>号、</w:t>
            </w:r>
            <w:r>
              <w:rPr>
                <w:rFonts w:ascii="Times New Roman" w:hAnsi="Times New Roman" w:cs="Times New Roman" w:eastAsia="Times New Roman" w:hint="default"/>
                <w:sz w:val="18"/>
                <w:szCs w:val="18"/>
              </w:rPr>
              <w:t>3109</w:t>
            </w:r>
            <w:r>
              <w:rPr>
                <w:rFonts w:ascii="宋体" w:hAnsi="宋体" w:cs="宋体" w:eastAsia="宋体" w:hint="default"/>
                <w:sz w:val="18"/>
                <w:szCs w:val="18"/>
              </w:rPr>
              <w:t>号</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172.02</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2019-9-1</w:t>
            </w:r>
            <w:r>
              <w:rPr>
                <w:rFonts w:ascii="宋体" w:hAnsi="宋体" w:cs="宋体" w:eastAsia="宋体" w:hint="default"/>
                <w:sz w:val="18"/>
                <w:szCs w:val="18"/>
              </w:rPr>
              <w:t>至</w:t>
            </w:r>
            <w:r>
              <w:rPr>
                <w:rFonts w:ascii="Times New Roman" w:hAnsi="Times New Roman" w:cs="Times New Roman" w:eastAsia="Times New Roman" w:hint="default"/>
                <w:sz w:val="18"/>
                <w:szCs w:val="18"/>
              </w:rPr>
              <w:t>2022-8-31</w:t>
            </w:r>
          </w:p>
        </w:tc>
      </w:tr>
      <w:tr>
        <w:trPr>
          <w:trHeight w:val="346" w:hRule="exact"/>
        </w:trPr>
        <w:tc>
          <w:tcPr>
            <w:tcW w:w="548" w:type="dxa"/>
            <w:vMerge/>
            <w:tcBorders>
              <w:left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成都蔡伦纸业有限公司</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成都市武侯区科华北路</w:t>
            </w:r>
            <w:r>
              <w:rPr>
                <w:rFonts w:ascii="Times New Roman" w:hAnsi="Times New Roman" w:cs="Times New Roman" w:eastAsia="Times New Roman" w:hint="default"/>
                <w:sz w:val="18"/>
                <w:szCs w:val="18"/>
              </w:rPr>
              <w:t>62</w:t>
            </w:r>
            <w:r>
              <w:rPr>
                <w:rFonts w:ascii="宋体" w:hAnsi="宋体" w:cs="宋体" w:eastAsia="宋体" w:hint="default"/>
                <w:sz w:val="18"/>
                <w:szCs w:val="18"/>
              </w:rPr>
              <w:t>号力宝大厦</w:t>
            </w:r>
            <w:r>
              <w:rPr>
                <w:rFonts w:ascii="Times New Roman" w:hAnsi="Times New Roman" w:cs="Times New Roman" w:eastAsia="Times New Roman" w:hint="default"/>
                <w:sz w:val="18"/>
                <w:szCs w:val="18"/>
              </w:rPr>
              <w:t>1</w:t>
            </w:r>
            <w:r>
              <w:rPr>
                <w:rFonts w:ascii="宋体" w:hAnsi="宋体" w:cs="宋体" w:eastAsia="宋体" w:hint="default"/>
                <w:sz w:val="18"/>
                <w:szCs w:val="18"/>
              </w:rPr>
              <w:t>栋</w:t>
            </w:r>
            <w:r>
              <w:rPr>
                <w:rFonts w:ascii="Times New Roman" w:hAnsi="Times New Roman" w:cs="Times New Roman" w:eastAsia="Times New Roman" w:hint="default"/>
                <w:sz w:val="18"/>
                <w:szCs w:val="18"/>
              </w:rPr>
              <w:t>11</w:t>
            </w:r>
            <w:r>
              <w:rPr>
                <w:rFonts w:ascii="宋体" w:hAnsi="宋体" w:cs="宋体" w:eastAsia="宋体" w:hint="default"/>
                <w:sz w:val="18"/>
                <w:szCs w:val="18"/>
              </w:rPr>
              <w:t>层</w:t>
            </w:r>
            <w:r>
              <w:rPr>
                <w:rFonts w:ascii="Times New Roman" w:hAnsi="Times New Roman" w:cs="Times New Roman" w:eastAsia="Times New Roman" w:hint="default"/>
                <w:sz w:val="18"/>
                <w:szCs w:val="18"/>
              </w:rPr>
              <w:t>16</w:t>
            </w:r>
            <w:r>
              <w:rPr>
                <w:rFonts w:ascii="宋体" w:hAnsi="宋体" w:cs="宋体" w:eastAsia="宋体" w:hint="default"/>
                <w:sz w:val="18"/>
                <w:szCs w:val="18"/>
              </w:rPr>
              <w:t>号</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203.36</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2017-5-1</w:t>
            </w:r>
            <w:r>
              <w:rPr>
                <w:rFonts w:ascii="宋体" w:hAnsi="宋体" w:cs="宋体" w:eastAsia="宋体" w:hint="default"/>
                <w:sz w:val="18"/>
                <w:szCs w:val="18"/>
              </w:rPr>
              <w:t>至</w:t>
            </w:r>
            <w:r>
              <w:rPr>
                <w:rFonts w:ascii="Times New Roman" w:hAnsi="Times New Roman" w:cs="Times New Roman" w:eastAsia="Times New Roman" w:hint="default"/>
                <w:sz w:val="18"/>
                <w:szCs w:val="18"/>
              </w:rPr>
              <w:t>2020-4-30</w:t>
            </w:r>
          </w:p>
        </w:tc>
      </w:tr>
      <w:tr>
        <w:trPr>
          <w:trHeight w:val="348" w:hRule="exact"/>
        </w:trPr>
        <w:tc>
          <w:tcPr>
            <w:tcW w:w="548" w:type="dxa"/>
            <w:vMerge/>
            <w:tcBorders>
              <w:left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王洪莉</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北京西城区西直门外大街</w:t>
            </w:r>
            <w:r>
              <w:rPr>
                <w:rFonts w:ascii="Times New Roman" w:hAnsi="Times New Roman" w:cs="Times New Roman" w:eastAsia="Times New Roman" w:hint="default"/>
                <w:sz w:val="18"/>
                <w:szCs w:val="18"/>
              </w:rPr>
              <w:t>1</w:t>
            </w:r>
            <w:r>
              <w:rPr>
                <w:rFonts w:ascii="宋体" w:hAnsi="宋体" w:cs="宋体" w:eastAsia="宋体" w:hint="default"/>
                <w:sz w:val="18"/>
                <w:szCs w:val="18"/>
              </w:rPr>
              <w:t>号嘉茂大厦</w:t>
            </w:r>
            <w:r>
              <w:rPr>
                <w:rFonts w:ascii="Times New Roman" w:hAnsi="Times New Roman" w:cs="Times New Roman" w:eastAsia="Times New Roman" w:hint="default"/>
                <w:sz w:val="18"/>
                <w:szCs w:val="18"/>
              </w:rPr>
              <w:t>16</w:t>
            </w:r>
            <w:r>
              <w:rPr>
                <w:rFonts w:ascii="宋体" w:hAnsi="宋体" w:cs="宋体" w:eastAsia="宋体" w:hint="default"/>
                <w:sz w:val="18"/>
                <w:szCs w:val="18"/>
              </w:rPr>
              <w:t>层</w:t>
            </w:r>
            <w:r>
              <w:rPr>
                <w:rFonts w:ascii="Times New Roman" w:hAnsi="Times New Roman" w:cs="Times New Roman" w:eastAsia="Times New Roman" w:hint="default"/>
                <w:sz w:val="18"/>
                <w:szCs w:val="18"/>
              </w:rPr>
              <w:t>C9</w:t>
            </w:r>
            <w:r>
              <w:rPr>
                <w:rFonts w:ascii="宋体" w:hAnsi="宋体" w:cs="宋体" w:eastAsia="宋体" w:hint="default"/>
                <w:sz w:val="18"/>
                <w:szCs w:val="18"/>
              </w:rPr>
              <w:t>室</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137.33</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2019-3-1</w:t>
            </w:r>
            <w:r>
              <w:rPr>
                <w:rFonts w:ascii="宋体" w:hAnsi="宋体" w:cs="宋体" w:eastAsia="宋体" w:hint="default"/>
                <w:sz w:val="18"/>
                <w:szCs w:val="18"/>
              </w:rPr>
              <w:t>至</w:t>
            </w:r>
            <w:r>
              <w:rPr>
                <w:rFonts w:ascii="Times New Roman" w:hAnsi="Times New Roman" w:cs="Times New Roman" w:eastAsia="Times New Roman" w:hint="default"/>
                <w:sz w:val="18"/>
                <w:szCs w:val="18"/>
              </w:rPr>
              <w:t>2020-2-28</w:t>
            </w:r>
          </w:p>
        </w:tc>
      </w:tr>
      <w:tr>
        <w:trPr>
          <w:trHeight w:val="346" w:hRule="exact"/>
        </w:trPr>
        <w:tc>
          <w:tcPr>
            <w:tcW w:w="548" w:type="dxa"/>
            <w:vMerge/>
            <w:tcBorders>
              <w:left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李顺增</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北京市海淀区田村街道办事处田村小区</w:t>
            </w:r>
            <w:r>
              <w:rPr>
                <w:rFonts w:ascii="Times New Roman" w:hAnsi="Times New Roman" w:cs="Times New Roman" w:eastAsia="Times New Roman" w:hint="default"/>
                <w:sz w:val="18"/>
                <w:szCs w:val="18"/>
              </w:rPr>
              <w:t>1</w:t>
            </w:r>
            <w:r>
              <w:rPr>
                <w:rFonts w:ascii="宋体" w:hAnsi="宋体" w:cs="宋体" w:eastAsia="宋体" w:hint="default"/>
                <w:sz w:val="18"/>
                <w:szCs w:val="18"/>
              </w:rPr>
              <w:t>号楼</w:t>
            </w:r>
            <w:r>
              <w:rPr>
                <w:rFonts w:ascii="Times New Roman" w:hAnsi="Times New Roman" w:cs="Times New Roman" w:eastAsia="Times New Roman" w:hint="default"/>
                <w:sz w:val="18"/>
                <w:szCs w:val="18"/>
              </w:rPr>
              <w:t>2</w:t>
            </w:r>
            <w:r>
              <w:rPr>
                <w:rFonts w:ascii="宋体" w:hAnsi="宋体" w:cs="宋体" w:eastAsia="宋体" w:hint="default"/>
                <w:sz w:val="18"/>
                <w:szCs w:val="18"/>
              </w:rPr>
              <w:t>门</w:t>
            </w:r>
            <w:r>
              <w:rPr>
                <w:rFonts w:ascii="Times New Roman" w:hAnsi="Times New Roman" w:cs="Times New Roman" w:eastAsia="Times New Roman" w:hint="default"/>
                <w:sz w:val="18"/>
                <w:szCs w:val="18"/>
              </w:rPr>
              <w:t>102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80.5</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2019-4-25</w:t>
            </w:r>
            <w:r>
              <w:rPr>
                <w:rFonts w:ascii="宋体" w:hAnsi="宋体" w:cs="宋体" w:eastAsia="宋体" w:hint="default"/>
                <w:sz w:val="18"/>
                <w:szCs w:val="18"/>
              </w:rPr>
              <w:t>至</w:t>
            </w:r>
            <w:r>
              <w:rPr>
                <w:rFonts w:ascii="Times New Roman" w:hAnsi="Times New Roman" w:cs="Times New Roman" w:eastAsia="Times New Roman" w:hint="default"/>
                <w:sz w:val="18"/>
                <w:szCs w:val="18"/>
              </w:rPr>
              <w:t>2021-4-24</w:t>
            </w:r>
          </w:p>
        </w:tc>
      </w:tr>
      <w:tr>
        <w:trPr>
          <w:trHeight w:val="348" w:hRule="exact"/>
        </w:trPr>
        <w:tc>
          <w:tcPr>
            <w:tcW w:w="548" w:type="dxa"/>
            <w:vMerge/>
            <w:tcBorders>
              <w:left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雷琴</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1"/>
              <w:jc w:val="left"/>
              <w:rPr>
                <w:rFonts w:ascii="宋体" w:hAnsi="宋体" w:cs="宋体" w:eastAsia="宋体" w:hint="default"/>
                <w:sz w:val="18"/>
                <w:szCs w:val="18"/>
              </w:rPr>
            </w:pPr>
            <w:r>
              <w:rPr>
                <w:rFonts w:ascii="宋体" w:hAnsi="宋体" w:cs="宋体" w:eastAsia="宋体" w:hint="default"/>
                <w:sz w:val="18"/>
                <w:szCs w:val="18"/>
              </w:rPr>
              <w:t>北京市海淀区田村半壁店南永景园小区</w:t>
            </w:r>
            <w:r>
              <w:rPr>
                <w:rFonts w:ascii="Times New Roman" w:hAnsi="Times New Roman" w:cs="Times New Roman" w:eastAsia="Times New Roman" w:hint="default"/>
                <w:sz w:val="18"/>
                <w:szCs w:val="18"/>
              </w:rPr>
              <w:t>5</w:t>
            </w:r>
            <w:r>
              <w:rPr>
                <w:rFonts w:ascii="宋体" w:hAnsi="宋体" w:cs="宋体" w:eastAsia="宋体" w:hint="default"/>
                <w:sz w:val="18"/>
                <w:szCs w:val="18"/>
              </w:rPr>
              <w:t>栋</w:t>
            </w:r>
            <w:r>
              <w:rPr>
                <w:rFonts w:ascii="Times New Roman" w:hAnsi="Times New Roman" w:cs="Times New Roman" w:eastAsia="Times New Roman" w:hint="default"/>
                <w:sz w:val="18"/>
                <w:szCs w:val="18"/>
              </w:rPr>
              <w:t>5</w:t>
            </w:r>
            <w:r>
              <w:rPr>
                <w:rFonts w:ascii="宋体" w:hAnsi="宋体" w:cs="宋体" w:eastAsia="宋体" w:hint="default"/>
                <w:sz w:val="18"/>
                <w:szCs w:val="18"/>
              </w:rPr>
              <w:t>单元</w:t>
            </w:r>
            <w:r>
              <w:rPr>
                <w:rFonts w:ascii="Times New Roman" w:hAnsi="Times New Roman" w:cs="Times New Roman" w:eastAsia="Times New Roman" w:hint="default"/>
                <w:sz w:val="18"/>
                <w:szCs w:val="18"/>
              </w:rPr>
              <w:t>501</w:t>
            </w:r>
            <w:r>
              <w:rPr>
                <w:rFonts w:ascii="宋体" w:hAnsi="宋体" w:cs="宋体" w:eastAsia="宋体" w:hint="default"/>
                <w:sz w:val="18"/>
                <w:szCs w:val="18"/>
              </w:rPr>
              <w:t>室</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96.76</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2019-8-10</w:t>
            </w:r>
            <w:r>
              <w:rPr>
                <w:rFonts w:ascii="宋体" w:hAnsi="宋体" w:cs="宋体" w:eastAsia="宋体" w:hint="default"/>
                <w:sz w:val="18"/>
                <w:szCs w:val="18"/>
              </w:rPr>
              <w:t>至</w:t>
            </w:r>
            <w:r>
              <w:rPr>
                <w:rFonts w:ascii="Times New Roman" w:hAnsi="Times New Roman" w:cs="Times New Roman" w:eastAsia="Times New Roman" w:hint="default"/>
                <w:sz w:val="18"/>
                <w:szCs w:val="18"/>
              </w:rPr>
              <w:t>2020-8-10</w:t>
            </w:r>
          </w:p>
        </w:tc>
      </w:tr>
      <w:tr>
        <w:trPr>
          <w:trHeight w:val="348" w:hRule="exact"/>
        </w:trPr>
        <w:tc>
          <w:tcPr>
            <w:tcW w:w="548" w:type="dxa"/>
            <w:vMerge/>
            <w:tcBorders>
              <w:left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旷英华</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北京市通州区新海南里</w:t>
            </w:r>
            <w:r>
              <w:rPr>
                <w:rFonts w:ascii="Times New Roman" w:hAnsi="Times New Roman" w:cs="Times New Roman" w:eastAsia="Times New Roman" w:hint="default"/>
                <w:sz w:val="18"/>
                <w:szCs w:val="18"/>
              </w:rPr>
              <w:t>276</w:t>
            </w:r>
            <w:r>
              <w:rPr>
                <w:rFonts w:ascii="宋体" w:hAnsi="宋体" w:cs="宋体" w:eastAsia="宋体" w:hint="default"/>
                <w:sz w:val="18"/>
                <w:szCs w:val="18"/>
              </w:rPr>
              <w:t>号楼</w:t>
            </w:r>
            <w:r>
              <w:rPr>
                <w:rFonts w:ascii="Times New Roman" w:hAnsi="Times New Roman" w:cs="Times New Roman" w:eastAsia="Times New Roman" w:hint="default"/>
                <w:sz w:val="18"/>
                <w:szCs w:val="18"/>
              </w:rPr>
              <w:t>9</w:t>
            </w:r>
            <w:r>
              <w:rPr>
                <w:rFonts w:ascii="宋体" w:hAnsi="宋体" w:cs="宋体" w:eastAsia="宋体" w:hint="default"/>
                <w:sz w:val="18"/>
                <w:szCs w:val="18"/>
              </w:rPr>
              <w:t>层</w:t>
            </w:r>
            <w:r>
              <w:rPr>
                <w:rFonts w:ascii="Times New Roman" w:hAnsi="Times New Roman" w:cs="Times New Roman" w:eastAsia="Times New Roman" w:hint="default"/>
                <w:sz w:val="18"/>
                <w:szCs w:val="18"/>
              </w:rPr>
              <w:t>2</w:t>
            </w:r>
            <w:r>
              <w:rPr>
                <w:rFonts w:ascii="宋体" w:hAnsi="宋体" w:cs="宋体" w:eastAsia="宋体" w:hint="default"/>
                <w:sz w:val="18"/>
                <w:szCs w:val="18"/>
              </w:rPr>
              <w:t>单元</w:t>
            </w:r>
            <w:r>
              <w:rPr>
                <w:rFonts w:ascii="Times New Roman" w:hAnsi="Times New Roman" w:cs="Times New Roman" w:eastAsia="Times New Roman" w:hint="default"/>
                <w:sz w:val="18"/>
                <w:szCs w:val="18"/>
              </w:rPr>
              <w:t>904</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90.59</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2019-6-5</w:t>
            </w:r>
            <w:r>
              <w:rPr>
                <w:rFonts w:ascii="宋体" w:hAnsi="宋体" w:cs="宋体" w:eastAsia="宋体" w:hint="default"/>
                <w:sz w:val="18"/>
                <w:szCs w:val="18"/>
              </w:rPr>
              <w:t>至</w:t>
            </w:r>
            <w:r>
              <w:rPr>
                <w:rFonts w:ascii="Times New Roman" w:hAnsi="Times New Roman" w:cs="Times New Roman" w:eastAsia="Times New Roman" w:hint="default"/>
                <w:sz w:val="18"/>
                <w:szCs w:val="18"/>
              </w:rPr>
              <w:t>2020-6-5</w:t>
            </w:r>
          </w:p>
        </w:tc>
      </w:tr>
      <w:tr>
        <w:trPr>
          <w:trHeight w:val="346" w:hRule="exact"/>
        </w:trPr>
        <w:tc>
          <w:tcPr>
            <w:tcW w:w="548" w:type="dxa"/>
            <w:vMerge/>
            <w:tcBorders>
              <w:left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杨虎</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上海市浦东新区孙耀路</w:t>
            </w:r>
            <w:r>
              <w:rPr>
                <w:rFonts w:ascii="Times New Roman" w:hAnsi="Times New Roman" w:cs="Times New Roman" w:eastAsia="Times New Roman" w:hint="default"/>
                <w:sz w:val="18"/>
                <w:szCs w:val="18"/>
              </w:rPr>
              <w:t>111</w:t>
            </w:r>
            <w:r>
              <w:rPr>
                <w:rFonts w:ascii="宋体" w:hAnsi="宋体" w:cs="宋体" w:eastAsia="宋体" w:hint="default"/>
                <w:sz w:val="18"/>
                <w:szCs w:val="18"/>
              </w:rPr>
              <w:t>弄</w:t>
            </w:r>
            <w:r>
              <w:rPr>
                <w:rFonts w:ascii="Times New Roman" w:hAnsi="Times New Roman" w:cs="Times New Roman" w:eastAsia="Times New Roman" w:hint="default"/>
                <w:sz w:val="18"/>
                <w:szCs w:val="18"/>
              </w:rPr>
              <w:t>74</w:t>
            </w:r>
            <w:r>
              <w:rPr>
                <w:rFonts w:ascii="宋体" w:hAnsi="宋体" w:cs="宋体" w:eastAsia="宋体" w:hint="default"/>
                <w:sz w:val="18"/>
                <w:szCs w:val="18"/>
              </w:rPr>
              <w:t>号</w:t>
            </w:r>
            <w:r>
              <w:rPr>
                <w:rFonts w:ascii="Times New Roman" w:hAnsi="Times New Roman" w:cs="Times New Roman" w:eastAsia="Times New Roman" w:hint="default"/>
                <w:sz w:val="18"/>
                <w:szCs w:val="18"/>
              </w:rPr>
              <w:t>302</w:t>
            </w:r>
            <w:r>
              <w:rPr>
                <w:rFonts w:ascii="宋体" w:hAnsi="宋体" w:cs="宋体" w:eastAsia="宋体" w:hint="default"/>
                <w:sz w:val="18"/>
                <w:szCs w:val="18"/>
              </w:rPr>
              <w:t>室</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85</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2019-9-15</w:t>
            </w:r>
            <w:r>
              <w:rPr>
                <w:rFonts w:ascii="宋体" w:hAnsi="宋体" w:cs="宋体" w:eastAsia="宋体" w:hint="default"/>
                <w:sz w:val="18"/>
                <w:szCs w:val="18"/>
              </w:rPr>
              <w:t>至</w:t>
            </w:r>
            <w:r>
              <w:rPr>
                <w:rFonts w:ascii="Times New Roman" w:hAnsi="Times New Roman" w:cs="Times New Roman" w:eastAsia="Times New Roman" w:hint="default"/>
                <w:sz w:val="18"/>
                <w:szCs w:val="18"/>
              </w:rPr>
              <w:t>2020-9-14</w:t>
            </w:r>
          </w:p>
        </w:tc>
      </w:tr>
      <w:tr>
        <w:trPr>
          <w:trHeight w:val="348" w:hRule="exact"/>
        </w:trPr>
        <w:tc>
          <w:tcPr>
            <w:tcW w:w="548" w:type="dxa"/>
            <w:vMerge/>
            <w:tcBorders>
              <w:left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胡宗华</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上海市松江区泗陈公路</w:t>
            </w:r>
            <w:r>
              <w:rPr>
                <w:rFonts w:ascii="Times New Roman" w:hAnsi="Times New Roman" w:cs="Times New Roman" w:eastAsia="Times New Roman" w:hint="default"/>
                <w:sz w:val="18"/>
                <w:szCs w:val="18"/>
              </w:rPr>
              <w:t>1888</w:t>
            </w:r>
            <w:r>
              <w:rPr>
                <w:rFonts w:ascii="宋体" w:hAnsi="宋体" w:cs="宋体" w:eastAsia="宋体" w:hint="default"/>
                <w:sz w:val="18"/>
                <w:szCs w:val="18"/>
              </w:rPr>
              <w:t>弄</w:t>
            </w:r>
            <w:r>
              <w:rPr>
                <w:rFonts w:ascii="Times New Roman" w:hAnsi="Times New Roman" w:cs="Times New Roman" w:eastAsia="Times New Roman" w:hint="default"/>
                <w:sz w:val="18"/>
                <w:szCs w:val="18"/>
              </w:rPr>
              <w:t>187</w:t>
            </w:r>
            <w:r>
              <w:rPr>
                <w:rFonts w:ascii="宋体" w:hAnsi="宋体" w:cs="宋体" w:eastAsia="宋体" w:hint="default"/>
                <w:sz w:val="18"/>
                <w:szCs w:val="18"/>
              </w:rPr>
              <w:t>号</w:t>
            </w:r>
            <w:r>
              <w:rPr>
                <w:rFonts w:ascii="Times New Roman" w:hAnsi="Times New Roman" w:cs="Times New Roman" w:eastAsia="Times New Roman" w:hint="default"/>
                <w:sz w:val="18"/>
                <w:szCs w:val="18"/>
              </w:rPr>
              <w:t>201</w:t>
            </w:r>
            <w:r>
              <w:rPr>
                <w:rFonts w:ascii="宋体" w:hAnsi="宋体" w:cs="宋体" w:eastAsia="宋体" w:hint="default"/>
                <w:sz w:val="18"/>
                <w:szCs w:val="18"/>
              </w:rPr>
              <w:t>室</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36</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2019-4-10</w:t>
            </w:r>
            <w:r>
              <w:rPr>
                <w:rFonts w:ascii="宋体" w:hAnsi="宋体" w:cs="宋体" w:eastAsia="宋体" w:hint="default"/>
                <w:sz w:val="18"/>
                <w:szCs w:val="18"/>
              </w:rPr>
              <w:t>至</w:t>
            </w:r>
            <w:r>
              <w:rPr>
                <w:rFonts w:ascii="Times New Roman" w:hAnsi="Times New Roman" w:cs="Times New Roman" w:eastAsia="Times New Roman" w:hint="default"/>
                <w:sz w:val="18"/>
                <w:szCs w:val="18"/>
              </w:rPr>
              <w:t>2020-4-9</w:t>
            </w:r>
          </w:p>
        </w:tc>
      </w:tr>
      <w:tr>
        <w:trPr>
          <w:trHeight w:val="346" w:hRule="exact"/>
        </w:trPr>
        <w:tc>
          <w:tcPr>
            <w:tcW w:w="548" w:type="dxa"/>
            <w:vMerge/>
            <w:tcBorders>
              <w:left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黄瑾</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上海市松江区泗泾镇横港路</w:t>
            </w:r>
            <w:r>
              <w:rPr>
                <w:rFonts w:ascii="Times New Roman" w:hAnsi="Times New Roman" w:cs="Times New Roman" w:eastAsia="Times New Roman" w:hint="default"/>
                <w:sz w:val="18"/>
                <w:szCs w:val="18"/>
              </w:rPr>
              <w:t>49</w:t>
            </w:r>
            <w:r>
              <w:rPr>
                <w:rFonts w:ascii="宋体" w:hAnsi="宋体" w:cs="宋体" w:eastAsia="宋体" w:hint="default"/>
                <w:sz w:val="18"/>
                <w:szCs w:val="18"/>
              </w:rPr>
              <w:t>弄</w:t>
            </w:r>
            <w:r>
              <w:rPr>
                <w:rFonts w:ascii="Times New Roman" w:hAnsi="Times New Roman" w:cs="Times New Roman" w:eastAsia="Times New Roman" w:hint="default"/>
                <w:sz w:val="18"/>
                <w:szCs w:val="18"/>
              </w:rPr>
              <w:t>59</w:t>
            </w:r>
            <w:r>
              <w:rPr>
                <w:rFonts w:ascii="宋体" w:hAnsi="宋体" w:cs="宋体" w:eastAsia="宋体" w:hint="default"/>
                <w:sz w:val="18"/>
                <w:szCs w:val="18"/>
              </w:rPr>
              <w:t>号</w:t>
            </w:r>
            <w:r>
              <w:rPr>
                <w:rFonts w:ascii="Times New Roman" w:hAnsi="Times New Roman" w:cs="Times New Roman" w:eastAsia="Times New Roman" w:hint="default"/>
                <w:sz w:val="18"/>
                <w:szCs w:val="18"/>
              </w:rPr>
              <w:t>101</w:t>
            </w:r>
            <w:r>
              <w:rPr>
                <w:rFonts w:ascii="宋体" w:hAnsi="宋体" w:cs="宋体" w:eastAsia="宋体" w:hint="default"/>
                <w:sz w:val="18"/>
                <w:szCs w:val="18"/>
              </w:rPr>
              <w:t>室</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100.81</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2019-6-15</w:t>
            </w:r>
            <w:r>
              <w:rPr>
                <w:rFonts w:ascii="宋体" w:hAnsi="宋体" w:cs="宋体" w:eastAsia="宋体" w:hint="default"/>
                <w:sz w:val="18"/>
                <w:szCs w:val="18"/>
              </w:rPr>
              <w:t>至</w:t>
            </w:r>
            <w:r>
              <w:rPr>
                <w:rFonts w:ascii="Times New Roman" w:hAnsi="Times New Roman" w:cs="Times New Roman" w:eastAsia="Times New Roman" w:hint="default"/>
                <w:sz w:val="18"/>
                <w:szCs w:val="18"/>
              </w:rPr>
              <w:t>2020-6-14</w:t>
            </w:r>
          </w:p>
        </w:tc>
      </w:tr>
      <w:tr>
        <w:trPr>
          <w:trHeight w:val="348" w:hRule="exact"/>
        </w:trPr>
        <w:tc>
          <w:tcPr>
            <w:tcW w:w="548" w:type="dxa"/>
            <w:vMerge/>
            <w:tcBorders>
              <w:left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林晓玲</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上海市松江区九亭镇涞坊路</w:t>
            </w:r>
            <w:r>
              <w:rPr>
                <w:rFonts w:ascii="Times New Roman" w:hAnsi="Times New Roman" w:cs="Times New Roman" w:eastAsia="Times New Roman" w:hint="default"/>
                <w:sz w:val="18"/>
                <w:szCs w:val="18"/>
              </w:rPr>
              <w:t>333</w:t>
            </w:r>
            <w:r>
              <w:rPr>
                <w:rFonts w:ascii="宋体" w:hAnsi="宋体" w:cs="宋体" w:eastAsia="宋体" w:hint="default"/>
                <w:sz w:val="18"/>
                <w:szCs w:val="18"/>
              </w:rPr>
              <w:t>弄</w:t>
            </w:r>
            <w:r>
              <w:rPr>
                <w:rFonts w:ascii="Times New Roman" w:hAnsi="Times New Roman" w:cs="Times New Roman" w:eastAsia="Times New Roman" w:hint="default"/>
                <w:sz w:val="18"/>
                <w:szCs w:val="18"/>
              </w:rPr>
              <w:t>9</w:t>
            </w:r>
            <w:r>
              <w:rPr>
                <w:rFonts w:ascii="宋体" w:hAnsi="宋体" w:cs="宋体" w:eastAsia="宋体" w:hint="default"/>
                <w:sz w:val="18"/>
                <w:szCs w:val="18"/>
              </w:rPr>
              <w:t>号</w:t>
            </w:r>
            <w:r>
              <w:rPr>
                <w:rFonts w:ascii="Times New Roman" w:hAnsi="Times New Roman" w:cs="Times New Roman" w:eastAsia="Times New Roman" w:hint="default"/>
                <w:sz w:val="18"/>
                <w:szCs w:val="18"/>
              </w:rPr>
              <w:t>602</w:t>
            </w:r>
            <w:r>
              <w:rPr>
                <w:rFonts w:ascii="宋体" w:hAnsi="宋体" w:cs="宋体" w:eastAsia="宋体" w:hint="default"/>
                <w:sz w:val="18"/>
                <w:szCs w:val="18"/>
              </w:rPr>
              <w:t>室</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107.34</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2019-7-10</w:t>
            </w:r>
            <w:r>
              <w:rPr>
                <w:rFonts w:ascii="宋体" w:hAnsi="宋体" w:cs="宋体" w:eastAsia="宋体" w:hint="default"/>
                <w:sz w:val="18"/>
                <w:szCs w:val="18"/>
              </w:rPr>
              <w:t>至</w:t>
            </w:r>
            <w:r>
              <w:rPr>
                <w:rFonts w:ascii="Times New Roman" w:hAnsi="Times New Roman" w:cs="Times New Roman" w:eastAsia="Times New Roman" w:hint="default"/>
                <w:sz w:val="18"/>
                <w:szCs w:val="18"/>
              </w:rPr>
              <w:t>2020-7-9</w:t>
            </w:r>
          </w:p>
        </w:tc>
      </w:tr>
      <w:tr>
        <w:trPr>
          <w:trHeight w:val="660" w:hRule="exact"/>
        </w:trPr>
        <w:tc>
          <w:tcPr>
            <w:tcW w:w="548" w:type="dxa"/>
            <w:vMerge/>
            <w:tcBorders>
              <w:left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28"/>
              <w:jc w:val="left"/>
              <w:rPr>
                <w:rFonts w:ascii="宋体" w:hAnsi="宋体" w:cs="宋体" w:eastAsia="宋体" w:hint="default"/>
                <w:sz w:val="18"/>
                <w:szCs w:val="18"/>
              </w:rPr>
            </w:pPr>
            <w:r>
              <w:rPr>
                <w:rFonts w:ascii="宋体" w:hAnsi="宋体" w:cs="宋体" w:eastAsia="宋体" w:hint="default"/>
                <w:sz w:val="18"/>
                <w:szCs w:val="18"/>
              </w:rPr>
              <w:t>上海家营物业管理有限公 司</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上海市松江区九亭镇涞坊路</w:t>
            </w:r>
            <w:r>
              <w:rPr>
                <w:rFonts w:ascii="Times New Roman" w:hAnsi="Times New Roman" w:cs="Times New Roman" w:eastAsia="Times New Roman" w:hint="default"/>
                <w:sz w:val="18"/>
                <w:szCs w:val="18"/>
              </w:rPr>
              <w:t>333</w:t>
            </w:r>
            <w:r>
              <w:rPr>
                <w:rFonts w:ascii="宋体" w:hAnsi="宋体" w:cs="宋体" w:eastAsia="宋体" w:hint="default"/>
                <w:sz w:val="18"/>
                <w:szCs w:val="18"/>
              </w:rPr>
              <w:t>弄</w:t>
            </w:r>
            <w:r>
              <w:rPr>
                <w:rFonts w:ascii="Times New Roman" w:hAnsi="Times New Roman" w:cs="Times New Roman" w:eastAsia="Times New Roman" w:hint="default"/>
                <w:sz w:val="18"/>
                <w:szCs w:val="18"/>
              </w:rPr>
              <w:t>3</w:t>
            </w:r>
            <w:r>
              <w:rPr>
                <w:rFonts w:ascii="宋体" w:hAnsi="宋体" w:cs="宋体" w:eastAsia="宋体" w:hint="default"/>
                <w:sz w:val="18"/>
                <w:szCs w:val="18"/>
              </w:rPr>
              <w:t>号</w:t>
            </w:r>
            <w:r>
              <w:rPr>
                <w:rFonts w:ascii="Times New Roman" w:hAnsi="Times New Roman" w:cs="Times New Roman" w:eastAsia="Times New Roman" w:hint="default"/>
                <w:sz w:val="18"/>
                <w:szCs w:val="18"/>
              </w:rPr>
              <w:t>202</w:t>
            </w:r>
            <w:r>
              <w:rPr>
                <w:rFonts w:ascii="宋体" w:hAnsi="宋体" w:cs="宋体" w:eastAsia="宋体" w:hint="default"/>
                <w:sz w:val="18"/>
                <w:szCs w:val="18"/>
              </w:rPr>
              <w:t>室</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92.84</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2019-10-27</w:t>
            </w:r>
            <w:r>
              <w:rPr>
                <w:rFonts w:ascii="宋体" w:hAnsi="宋体" w:cs="宋体" w:eastAsia="宋体" w:hint="default"/>
                <w:sz w:val="18"/>
                <w:szCs w:val="18"/>
              </w:rPr>
              <w:t>至</w:t>
            </w:r>
            <w:r>
              <w:rPr>
                <w:rFonts w:ascii="Times New Roman" w:hAnsi="Times New Roman" w:cs="Times New Roman" w:eastAsia="Times New Roman" w:hint="default"/>
                <w:sz w:val="18"/>
                <w:szCs w:val="18"/>
              </w:rPr>
              <w:t>2020-10-26</w:t>
            </w:r>
          </w:p>
        </w:tc>
      </w:tr>
      <w:tr>
        <w:trPr>
          <w:trHeight w:val="346" w:hRule="exact"/>
        </w:trPr>
        <w:tc>
          <w:tcPr>
            <w:tcW w:w="548" w:type="dxa"/>
            <w:vMerge/>
            <w:tcBorders>
              <w:left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戴娟娟</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上海市青浦区崧润路</w:t>
            </w:r>
            <w:r>
              <w:rPr>
                <w:rFonts w:ascii="Times New Roman" w:hAnsi="Times New Roman" w:cs="Times New Roman" w:eastAsia="Times New Roman" w:hint="default"/>
                <w:sz w:val="18"/>
                <w:szCs w:val="18"/>
              </w:rPr>
              <w:t>1176</w:t>
            </w:r>
            <w:r>
              <w:rPr>
                <w:rFonts w:ascii="宋体" w:hAnsi="宋体" w:cs="宋体" w:eastAsia="宋体" w:hint="default"/>
                <w:sz w:val="18"/>
                <w:szCs w:val="18"/>
              </w:rPr>
              <w:t>弄</w:t>
            </w:r>
            <w:r>
              <w:rPr>
                <w:rFonts w:ascii="Times New Roman" w:hAnsi="Times New Roman" w:cs="Times New Roman" w:eastAsia="Times New Roman" w:hint="default"/>
                <w:sz w:val="18"/>
                <w:szCs w:val="18"/>
              </w:rPr>
              <w:t>6</w:t>
            </w:r>
            <w:r>
              <w:rPr>
                <w:rFonts w:ascii="宋体" w:hAnsi="宋体" w:cs="宋体" w:eastAsia="宋体" w:hint="default"/>
                <w:sz w:val="18"/>
                <w:szCs w:val="18"/>
              </w:rPr>
              <w:t>号</w:t>
            </w:r>
            <w:r>
              <w:rPr>
                <w:rFonts w:ascii="Times New Roman" w:hAnsi="Times New Roman" w:cs="Times New Roman" w:eastAsia="Times New Roman" w:hint="default"/>
                <w:sz w:val="18"/>
                <w:szCs w:val="18"/>
              </w:rPr>
              <w:t>1101</w:t>
            </w:r>
            <w:r>
              <w:rPr>
                <w:rFonts w:ascii="宋体" w:hAnsi="宋体" w:cs="宋体" w:eastAsia="宋体" w:hint="default"/>
                <w:sz w:val="18"/>
                <w:szCs w:val="18"/>
              </w:rPr>
              <w:t>室</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80.16</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2019-3-28</w:t>
            </w:r>
            <w:r>
              <w:rPr>
                <w:rFonts w:ascii="宋体" w:hAnsi="宋体" w:cs="宋体" w:eastAsia="宋体" w:hint="default"/>
                <w:sz w:val="18"/>
                <w:szCs w:val="18"/>
              </w:rPr>
              <w:t>至</w:t>
            </w:r>
            <w:r>
              <w:rPr>
                <w:rFonts w:ascii="Times New Roman" w:hAnsi="Times New Roman" w:cs="Times New Roman" w:eastAsia="Times New Roman" w:hint="default"/>
                <w:sz w:val="18"/>
                <w:szCs w:val="18"/>
              </w:rPr>
              <w:t>2020-3-27</w:t>
            </w:r>
          </w:p>
        </w:tc>
      </w:tr>
      <w:tr>
        <w:trPr>
          <w:trHeight w:val="348" w:hRule="exact"/>
        </w:trPr>
        <w:tc>
          <w:tcPr>
            <w:tcW w:w="548" w:type="dxa"/>
            <w:vMerge/>
            <w:tcBorders>
              <w:left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梁庆丹</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广东省广州市黄埔区大沙地东</w:t>
            </w:r>
            <w:r>
              <w:rPr>
                <w:rFonts w:ascii="Times New Roman" w:hAnsi="Times New Roman" w:cs="Times New Roman" w:eastAsia="Times New Roman" w:hint="default"/>
                <w:sz w:val="18"/>
                <w:szCs w:val="18"/>
              </w:rPr>
              <w:t>599</w:t>
            </w:r>
            <w:r>
              <w:rPr>
                <w:rFonts w:ascii="宋体" w:hAnsi="宋体" w:cs="宋体" w:eastAsia="宋体" w:hint="default"/>
                <w:sz w:val="18"/>
                <w:szCs w:val="18"/>
              </w:rPr>
              <w:t>号大院</w:t>
            </w:r>
            <w:r>
              <w:rPr>
                <w:rFonts w:ascii="Times New Roman" w:hAnsi="Times New Roman" w:cs="Times New Roman" w:eastAsia="Times New Roman" w:hint="default"/>
                <w:sz w:val="18"/>
                <w:szCs w:val="18"/>
              </w:rPr>
              <w:t>36</w:t>
            </w:r>
            <w:r>
              <w:rPr>
                <w:rFonts w:ascii="宋体" w:hAnsi="宋体" w:cs="宋体" w:eastAsia="宋体" w:hint="default"/>
                <w:sz w:val="18"/>
                <w:szCs w:val="18"/>
              </w:rPr>
              <w:t>号</w:t>
            </w:r>
            <w:r>
              <w:rPr>
                <w:rFonts w:ascii="Times New Roman" w:hAnsi="Times New Roman" w:cs="Times New Roman" w:eastAsia="Times New Roman" w:hint="default"/>
                <w:sz w:val="18"/>
                <w:szCs w:val="18"/>
              </w:rPr>
              <w:t>1202</w:t>
            </w:r>
            <w:r>
              <w:rPr>
                <w:rFonts w:ascii="宋体" w:hAnsi="宋体" w:cs="宋体" w:eastAsia="宋体" w:hint="default"/>
                <w:sz w:val="18"/>
                <w:szCs w:val="18"/>
              </w:rPr>
              <w:t>房</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89.44</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2019-8-22</w:t>
            </w:r>
            <w:r>
              <w:rPr>
                <w:rFonts w:ascii="宋体" w:hAnsi="宋体" w:cs="宋体" w:eastAsia="宋体" w:hint="default"/>
                <w:sz w:val="18"/>
                <w:szCs w:val="18"/>
              </w:rPr>
              <w:t>至</w:t>
            </w:r>
            <w:r>
              <w:rPr>
                <w:rFonts w:ascii="Times New Roman" w:hAnsi="Times New Roman" w:cs="Times New Roman" w:eastAsia="Times New Roman" w:hint="default"/>
                <w:sz w:val="18"/>
                <w:szCs w:val="18"/>
              </w:rPr>
              <w:t>2020-8-21</w:t>
            </w:r>
          </w:p>
        </w:tc>
      </w:tr>
      <w:tr>
        <w:trPr>
          <w:trHeight w:val="658" w:hRule="exact"/>
        </w:trPr>
        <w:tc>
          <w:tcPr>
            <w:tcW w:w="548" w:type="dxa"/>
            <w:vMerge/>
            <w:tcBorders>
              <w:left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邹清玲</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1"/>
              <w:jc w:val="left"/>
              <w:rPr>
                <w:rFonts w:ascii="宋体" w:hAnsi="宋体" w:cs="宋体" w:eastAsia="宋体" w:hint="default"/>
                <w:sz w:val="18"/>
                <w:szCs w:val="18"/>
              </w:rPr>
            </w:pPr>
            <w:r>
              <w:rPr>
                <w:rFonts w:ascii="宋体" w:hAnsi="宋体" w:cs="宋体" w:eastAsia="宋体" w:hint="default"/>
                <w:sz w:val="18"/>
                <w:szCs w:val="18"/>
              </w:rPr>
              <w:t>广东省广州市天河区东圃城市假日园假日北街</w:t>
            </w:r>
            <w:r>
              <w:rPr>
                <w:rFonts w:ascii="Times New Roman" w:hAnsi="Times New Roman" w:cs="Times New Roman" w:eastAsia="Times New Roman" w:hint="default"/>
                <w:sz w:val="18"/>
                <w:szCs w:val="18"/>
              </w:rPr>
              <w:t>13</w:t>
            </w:r>
            <w:r>
              <w:rPr>
                <w:rFonts w:ascii="宋体" w:hAnsi="宋体" w:cs="宋体" w:eastAsia="宋体" w:hint="default"/>
                <w:sz w:val="18"/>
                <w:szCs w:val="18"/>
              </w:rPr>
              <w:t>号</w:t>
            </w:r>
            <w:r>
              <w:rPr>
                <w:rFonts w:ascii="Times New Roman" w:hAnsi="Times New Roman" w:cs="Times New Roman" w:eastAsia="Times New Roman" w:hint="default"/>
                <w:sz w:val="18"/>
                <w:szCs w:val="18"/>
              </w:rPr>
              <w:t>802 </w:t>
            </w:r>
            <w:r>
              <w:rPr>
                <w:rFonts w:ascii="宋体" w:hAnsi="宋体" w:cs="宋体" w:eastAsia="宋体" w:hint="default"/>
                <w:sz w:val="18"/>
                <w:szCs w:val="18"/>
              </w:rPr>
              <w:t>房</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82</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2019-9-4</w:t>
            </w:r>
            <w:r>
              <w:rPr>
                <w:rFonts w:ascii="宋体" w:hAnsi="宋体" w:cs="宋体" w:eastAsia="宋体" w:hint="default"/>
                <w:sz w:val="18"/>
                <w:szCs w:val="18"/>
              </w:rPr>
              <w:t>至</w:t>
            </w:r>
            <w:r>
              <w:rPr>
                <w:rFonts w:ascii="Times New Roman" w:hAnsi="Times New Roman" w:cs="Times New Roman" w:eastAsia="Times New Roman" w:hint="default"/>
                <w:sz w:val="18"/>
                <w:szCs w:val="18"/>
              </w:rPr>
              <w:t>2020-9-4</w:t>
            </w:r>
          </w:p>
        </w:tc>
      </w:tr>
      <w:tr>
        <w:trPr>
          <w:trHeight w:val="660" w:hRule="exact"/>
        </w:trPr>
        <w:tc>
          <w:tcPr>
            <w:tcW w:w="548" w:type="dxa"/>
            <w:vMerge/>
            <w:tcBorders>
              <w:left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王宽</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1"/>
              <w:jc w:val="left"/>
              <w:rPr>
                <w:rFonts w:ascii="宋体" w:hAnsi="宋体" w:cs="宋体" w:eastAsia="宋体" w:hint="default"/>
                <w:sz w:val="18"/>
                <w:szCs w:val="18"/>
              </w:rPr>
            </w:pPr>
            <w:r>
              <w:rPr>
                <w:rFonts w:ascii="宋体" w:hAnsi="宋体" w:cs="宋体" w:eastAsia="宋体" w:hint="default"/>
                <w:sz w:val="18"/>
                <w:szCs w:val="18"/>
              </w:rPr>
              <w:t>河南省郑州市郑东新区中洲大道东安平路南</w:t>
            </w:r>
            <w:r>
              <w:rPr>
                <w:rFonts w:ascii="Times New Roman" w:hAnsi="Times New Roman" w:cs="Times New Roman" w:eastAsia="Times New Roman" w:hint="default"/>
                <w:sz w:val="18"/>
                <w:szCs w:val="18"/>
              </w:rPr>
              <w:t>11</w:t>
            </w:r>
            <w:r>
              <w:rPr>
                <w:rFonts w:ascii="宋体" w:hAnsi="宋体" w:cs="宋体" w:eastAsia="宋体" w:hint="default"/>
                <w:sz w:val="18"/>
                <w:szCs w:val="18"/>
              </w:rPr>
              <w:t>号楼</w:t>
            </w:r>
            <w:r>
              <w:rPr>
                <w:rFonts w:ascii="Times New Roman" w:hAnsi="Times New Roman" w:cs="Times New Roman" w:eastAsia="Times New Roman" w:hint="default"/>
                <w:sz w:val="18"/>
                <w:szCs w:val="18"/>
              </w:rPr>
              <w:t>2</w:t>
            </w:r>
            <w:r>
              <w:rPr>
                <w:rFonts w:ascii="宋体" w:hAnsi="宋体" w:cs="宋体" w:eastAsia="宋体" w:hint="default"/>
                <w:sz w:val="18"/>
                <w:szCs w:val="18"/>
              </w:rPr>
              <w:t>单</w:t>
            </w:r>
            <w:r>
              <w:rPr>
                <w:rFonts w:ascii="宋体" w:hAnsi="宋体" w:cs="宋体" w:eastAsia="宋体" w:hint="default"/>
                <w:spacing w:val="-87"/>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11</w:t>
            </w:r>
            <w:r>
              <w:rPr>
                <w:rFonts w:ascii="宋体" w:hAnsi="宋体" w:cs="宋体" w:eastAsia="宋体" w:hint="default"/>
                <w:sz w:val="18"/>
                <w:szCs w:val="18"/>
              </w:rPr>
              <w:t>层</w:t>
            </w:r>
            <w:r>
              <w:rPr>
                <w:rFonts w:ascii="Times New Roman" w:hAnsi="Times New Roman" w:cs="Times New Roman" w:eastAsia="Times New Roman" w:hint="default"/>
                <w:sz w:val="18"/>
                <w:szCs w:val="18"/>
              </w:rPr>
              <w:t>1102</w:t>
            </w:r>
            <w:r>
              <w:rPr>
                <w:rFonts w:ascii="宋体" w:hAnsi="宋体" w:cs="宋体" w:eastAsia="宋体" w:hint="default"/>
                <w:sz w:val="18"/>
                <w:szCs w:val="18"/>
              </w:rPr>
              <w:t>室</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88.49</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2019-9-10</w:t>
            </w:r>
            <w:r>
              <w:rPr>
                <w:rFonts w:ascii="宋体" w:hAnsi="宋体" w:cs="宋体" w:eastAsia="宋体" w:hint="default"/>
                <w:sz w:val="18"/>
                <w:szCs w:val="18"/>
              </w:rPr>
              <w:t>至</w:t>
            </w:r>
            <w:r>
              <w:rPr>
                <w:rFonts w:ascii="Times New Roman" w:hAnsi="Times New Roman" w:cs="Times New Roman" w:eastAsia="Times New Roman" w:hint="default"/>
                <w:sz w:val="18"/>
                <w:szCs w:val="18"/>
              </w:rPr>
              <w:t>2020-9-9</w:t>
            </w:r>
          </w:p>
        </w:tc>
      </w:tr>
      <w:tr>
        <w:trPr>
          <w:trHeight w:val="346" w:hRule="exact"/>
        </w:trPr>
        <w:tc>
          <w:tcPr>
            <w:tcW w:w="548" w:type="dxa"/>
            <w:vMerge/>
            <w:tcBorders>
              <w:left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牛昊博</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武汉市东湖高新区碧桂园生态城依云</w:t>
            </w:r>
            <w:r>
              <w:rPr>
                <w:rFonts w:ascii="Times New Roman" w:hAnsi="Times New Roman" w:cs="Times New Roman" w:eastAsia="Times New Roman" w:hint="default"/>
                <w:sz w:val="18"/>
                <w:szCs w:val="18"/>
              </w:rPr>
              <w:t>2</w:t>
            </w:r>
            <w:r>
              <w:rPr>
                <w:rFonts w:ascii="宋体" w:hAnsi="宋体" w:cs="宋体" w:eastAsia="宋体" w:hint="default"/>
                <w:sz w:val="18"/>
                <w:szCs w:val="18"/>
              </w:rPr>
              <w:t>栋</w:t>
            </w:r>
            <w:r>
              <w:rPr>
                <w:rFonts w:ascii="Times New Roman" w:hAnsi="Times New Roman" w:cs="Times New Roman" w:eastAsia="Times New Roman" w:hint="default"/>
                <w:sz w:val="18"/>
                <w:szCs w:val="18"/>
              </w:rPr>
              <w:t>1</w:t>
            </w:r>
            <w:r>
              <w:rPr>
                <w:rFonts w:ascii="宋体" w:hAnsi="宋体" w:cs="宋体" w:eastAsia="宋体" w:hint="default"/>
                <w:sz w:val="18"/>
                <w:szCs w:val="18"/>
              </w:rPr>
              <w:t>单元</w:t>
            </w:r>
            <w:r>
              <w:rPr>
                <w:rFonts w:ascii="Times New Roman" w:hAnsi="Times New Roman" w:cs="Times New Roman" w:eastAsia="Times New Roman" w:hint="default"/>
                <w:sz w:val="18"/>
                <w:szCs w:val="18"/>
              </w:rPr>
              <w:t>1103</w:t>
            </w:r>
            <w:r>
              <w:rPr>
                <w:rFonts w:ascii="宋体" w:hAnsi="宋体" w:cs="宋体" w:eastAsia="宋体" w:hint="default"/>
                <w:sz w:val="18"/>
                <w:szCs w:val="18"/>
              </w:rPr>
              <w:t>室</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124</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2019-4-27</w:t>
            </w:r>
            <w:r>
              <w:rPr>
                <w:rFonts w:ascii="宋体" w:hAnsi="宋体" w:cs="宋体" w:eastAsia="宋体" w:hint="default"/>
                <w:sz w:val="18"/>
                <w:szCs w:val="18"/>
              </w:rPr>
              <w:t>至</w:t>
            </w:r>
            <w:r>
              <w:rPr>
                <w:rFonts w:ascii="Times New Roman" w:hAnsi="Times New Roman" w:cs="Times New Roman" w:eastAsia="Times New Roman" w:hint="default"/>
                <w:sz w:val="18"/>
                <w:szCs w:val="18"/>
              </w:rPr>
              <w:t>2021-4-26</w:t>
            </w:r>
          </w:p>
        </w:tc>
      </w:tr>
      <w:tr>
        <w:trPr>
          <w:trHeight w:val="660" w:hRule="exact"/>
        </w:trPr>
        <w:tc>
          <w:tcPr>
            <w:tcW w:w="548" w:type="dxa"/>
            <w:vMerge/>
            <w:tcBorders>
              <w:left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28"/>
              <w:jc w:val="left"/>
              <w:rPr>
                <w:rFonts w:ascii="宋体" w:hAnsi="宋体" w:cs="宋体" w:eastAsia="宋体" w:hint="default"/>
                <w:sz w:val="18"/>
                <w:szCs w:val="18"/>
              </w:rPr>
            </w:pPr>
            <w:r>
              <w:rPr>
                <w:rFonts w:ascii="宋体" w:hAnsi="宋体" w:cs="宋体" w:eastAsia="宋体" w:hint="default"/>
                <w:sz w:val="18"/>
                <w:szCs w:val="18"/>
              </w:rPr>
              <w:t>杭州奥通房地产代理有限 公司</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杭州市江干区新塘家园东区</w:t>
            </w:r>
            <w:r>
              <w:rPr>
                <w:rFonts w:ascii="Times New Roman" w:hAnsi="Times New Roman" w:cs="Times New Roman" w:eastAsia="Times New Roman" w:hint="default"/>
                <w:sz w:val="18"/>
                <w:szCs w:val="18"/>
              </w:rPr>
              <w:t>4-1-301</w:t>
            </w:r>
            <w:r>
              <w:rPr>
                <w:rFonts w:ascii="宋体" w:hAnsi="宋体" w:cs="宋体" w:eastAsia="宋体" w:hint="default"/>
                <w:sz w:val="18"/>
                <w:szCs w:val="18"/>
              </w:rPr>
              <w:t>室</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90</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2019-6-27</w:t>
            </w:r>
            <w:r>
              <w:rPr>
                <w:rFonts w:ascii="宋体" w:hAnsi="宋体" w:cs="宋体" w:eastAsia="宋体" w:hint="default"/>
                <w:sz w:val="18"/>
                <w:szCs w:val="18"/>
              </w:rPr>
              <w:t>至</w:t>
            </w:r>
            <w:r>
              <w:rPr>
                <w:rFonts w:ascii="Times New Roman" w:hAnsi="Times New Roman" w:cs="Times New Roman" w:eastAsia="Times New Roman" w:hint="default"/>
                <w:sz w:val="18"/>
                <w:szCs w:val="18"/>
              </w:rPr>
              <w:t>2020-6-26</w:t>
            </w:r>
          </w:p>
        </w:tc>
      </w:tr>
      <w:tr>
        <w:trPr>
          <w:trHeight w:val="660" w:hRule="exact"/>
        </w:trPr>
        <w:tc>
          <w:tcPr>
            <w:tcW w:w="548" w:type="dxa"/>
            <w:vMerge/>
            <w:tcBorders>
              <w:left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戴东澍</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湖南省长沙市芙蓉区解放东路</w:t>
            </w:r>
            <w:r>
              <w:rPr>
                <w:rFonts w:ascii="Times New Roman" w:hAnsi="Times New Roman" w:cs="Times New Roman" w:eastAsia="Times New Roman" w:hint="default"/>
                <w:spacing w:val="-4"/>
                <w:sz w:val="18"/>
                <w:szCs w:val="18"/>
              </w:rPr>
              <w:t>278</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259</w:t>
            </w:r>
            <w:r>
              <w:rPr>
                <w:rFonts w:ascii="宋体" w:hAnsi="宋体" w:cs="宋体" w:eastAsia="宋体" w:hint="default"/>
                <w:spacing w:val="-4"/>
                <w:sz w:val="18"/>
                <w:szCs w:val="18"/>
              </w:rPr>
              <w:t>号）西栋</w:t>
            </w:r>
            <w:r>
              <w:rPr>
                <w:rFonts w:ascii="Times New Roman" w:hAnsi="Times New Roman" w:cs="Times New Roman" w:eastAsia="Times New Roman" w:hint="default"/>
                <w:spacing w:val="-4"/>
                <w:sz w:val="18"/>
                <w:szCs w:val="18"/>
              </w:rPr>
              <w:t>2305</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室</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107.54</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2019-1-1</w:t>
            </w:r>
            <w:r>
              <w:rPr>
                <w:rFonts w:ascii="宋体" w:hAnsi="宋体" w:cs="宋体" w:eastAsia="宋体" w:hint="default"/>
                <w:sz w:val="18"/>
                <w:szCs w:val="18"/>
              </w:rPr>
              <w:t>至</w:t>
            </w:r>
            <w:r>
              <w:rPr>
                <w:rFonts w:ascii="Times New Roman" w:hAnsi="Times New Roman" w:cs="Times New Roman" w:eastAsia="Times New Roman" w:hint="default"/>
                <w:sz w:val="18"/>
                <w:szCs w:val="18"/>
              </w:rPr>
              <w:t>2021-1-1</w:t>
            </w:r>
          </w:p>
        </w:tc>
      </w:tr>
      <w:tr>
        <w:trPr>
          <w:trHeight w:val="658" w:hRule="exact"/>
        </w:trPr>
        <w:tc>
          <w:tcPr>
            <w:tcW w:w="548" w:type="dxa"/>
            <w:vMerge/>
            <w:tcBorders>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28"/>
              <w:jc w:val="left"/>
              <w:rPr>
                <w:rFonts w:ascii="宋体" w:hAnsi="宋体" w:cs="宋体" w:eastAsia="宋体" w:hint="default"/>
                <w:sz w:val="18"/>
                <w:szCs w:val="18"/>
              </w:rPr>
            </w:pPr>
            <w:r>
              <w:rPr>
                <w:rFonts w:ascii="宋体" w:hAnsi="宋体" w:cs="宋体" w:eastAsia="宋体" w:hint="default"/>
                <w:sz w:val="18"/>
                <w:szCs w:val="18"/>
              </w:rPr>
              <w:t>福建晟鹏企业管理有限公 司</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1"/>
              <w:jc w:val="left"/>
              <w:rPr>
                <w:rFonts w:ascii="宋体" w:hAnsi="宋体" w:cs="宋体" w:eastAsia="宋体" w:hint="default"/>
                <w:sz w:val="18"/>
                <w:szCs w:val="18"/>
              </w:rPr>
            </w:pPr>
            <w:r>
              <w:rPr>
                <w:rFonts w:ascii="宋体" w:hAnsi="宋体" w:cs="宋体" w:eastAsia="宋体" w:hint="default"/>
                <w:sz w:val="18"/>
                <w:szCs w:val="18"/>
              </w:rPr>
              <w:t>福建省福州市晋安区新店镇北三环路</w:t>
            </w:r>
            <w:r>
              <w:rPr>
                <w:rFonts w:ascii="Times New Roman" w:hAnsi="Times New Roman" w:cs="Times New Roman" w:eastAsia="Times New Roman" w:hint="default"/>
                <w:sz w:val="18"/>
                <w:szCs w:val="18"/>
              </w:rPr>
              <w:t>201</w:t>
            </w:r>
            <w:r>
              <w:rPr>
                <w:rFonts w:ascii="宋体" w:hAnsi="宋体" w:cs="宋体" w:eastAsia="宋体" w:hint="default"/>
                <w:sz w:val="18"/>
                <w:szCs w:val="18"/>
              </w:rPr>
              <w:t>号琴亭信和小</w:t>
            </w:r>
            <w:r>
              <w:rPr>
                <w:rFonts w:ascii="宋体" w:hAnsi="宋体" w:cs="宋体" w:eastAsia="宋体" w:hint="default"/>
                <w:spacing w:val="-87"/>
                <w:sz w:val="18"/>
                <w:szCs w:val="18"/>
              </w:rPr>
              <w:t> </w:t>
            </w:r>
            <w:r>
              <w:rPr>
                <w:rFonts w:ascii="宋体" w:hAnsi="宋体" w:cs="宋体" w:eastAsia="宋体" w:hint="default"/>
                <w:sz w:val="18"/>
                <w:szCs w:val="18"/>
              </w:rPr>
              <w:t>区</w:t>
            </w:r>
            <w:r>
              <w:rPr>
                <w:rFonts w:ascii="Times New Roman" w:hAnsi="Times New Roman" w:cs="Times New Roman" w:eastAsia="Times New Roman" w:hint="default"/>
                <w:sz w:val="18"/>
                <w:szCs w:val="18"/>
              </w:rPr>
              <w:t>1</w:t>
            </w:r>
            <w:r>
              <w:rPr>
                <w:rFonts w:ascii="宋体" w:hAnsi="宋体" w:cs="宋体" w:eastAsia="宋体" w:hint="default"/>
                <w:sz w:val="18"/>
                <w:szCs w:val="18"/>
              </w:rPr>
              <w:t>号楼</w:t>
            </w:r>
            <w:r>
              <w:rPr>
                <w:rFonts w:ascii="Times New Roman" w:hAnsi="Times New Roman" w:cs="Times New Roman" w:eastAsia="Times New Roman" w:hint="default"/>
                <w:sz w:val="18"/>
                <w:szCs w:val="18"/>
              </w:rPr>
              <w:t>201</w:t>
            </w:r>
            <w:r>
              <w:rPr>
                <w:rFonts w:ascii="宋体" w:hAnsi="宋体" w:cs="宋体" w:eastAsia="宋体" w:hint="default"/>
                <w:sz w:val="18"/>
                <w:szCs w:val="18"/>
              </w:rPr>
              <w:t>单元</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100</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2019-6-1</w:t>
            </w:r>
            <w:r>
              <w:rPr>
                <w:rFonts w:ascii="宋体" w:hAnsi="宋体" w:cs="宋体" w:eastAsia="宋体" w:hint="default"/>
                <w:sz w:val="18"/>
                <w:szCs w:val="18"/>
              </w:rPr>
              <w:t>至</w:t>
            </w:r>
            <w:r>
              <w:rPr>
                <w:rFonts w:ascii="Times New Roman" w:hAnsi="Times New Roman" w:cs="Times New Roman" w:eastAsia="Times New Roman" w:hint="default"/>
                <w:sz w:val="18"/>
                <w:szCs w:val="18"/>
              </w:rPr>
              <w:t>2020-5-31</w:t>
            </w:r>
          </w:p>
        </w:tc>
      </w:tr>
      <w:tr>
        <w:trPr>
          <w:trHeight w:val="660" w:hRule="exact"/>
        </w:trPr>
        <w:tc>
          <w:tcPr>
            <w:tcW w:w="548" w:type="dxa"/>
            <w:vMerge w:val="restart"/>
            <w:tcBorders>
              <w:top w:val="single" w:sz="6" w:space="0" w:color="000000"/>
              <w:left w:val="single" w:sz="6" w:space="0" w:color="000000"/>
              <w:right w:val="single" w:sz="6" w:space="0" w:color="000000"/>
            </w:tcBorders>
          </w:tcPr>
          <w:p>
            <w:pPr>
              <w:pStyle w:val="TableParagraph"/>
              <w:spacing w:line="316" w:lineRule="auto" w:before="20"/>
              <w:ind w:left="86" w:right="84"/>
              <w:jc w:val="both"/>
              <w:rPr>
                <w:rFonts w:ascii="宋体" w:hAnsi="宋体" w:cs="宋体" w:eastAsia="宋体" w:hint="default"/>
                <w:sz w:val="18"/>
                <w:szCs w:val="18"/>
              </w:rPr>
            </w:pPr>
            <w:r>
              <w:rPr>
                <w:rFonts w:ascii="宋体" w:hAnsi="宋体" w:cs="宋体" w:eastAsia="宋体" w:hint="default"/>
                <w:sz w:val="18"/>
                <w:szCs w:val="18"/>
              </w:rPr>
              <w:t>优博 讯软 件</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28"/>
              <w:jc w:val="left"/>
              <w:rPr>
                <w:rFonts w:ascii="宋体" w:hAnsi="宋体" w:cs="宋体" w:eastAsia="宋体" w:hint="default"/>
                <w:sz w:val="18"/>
                <w:szCs w:val="18"/>
              </w:rPr>
            </w:pPr>
            <w:r>
              <w:rPr>
                <w:rFonts w:ascii="宋体" w:hAnsi="宋体" w:cs="宋体" w:eastAsia="宋体" w:hint="default"/>
                <w:sz w:val="18"/>
                <w:szCs w:val="18"/>
              </w:rPr>
              <w:t>深圳市优博讯科技股份有 限公司</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深圳市南山区学府路</w:t>
            </w:r>
            <w:r>
              <w:rPr>
                <w:rFonts w:ascii="Times New Roman" w:hAnsi="Times New Roman" w:cs="Times New Roman" w:eastAsia="Times New Roman" w:hint="default"/>
                <w:sz w:val="18"/>
                <w:szCs w:val="18"/>
              </w:rPr>
              <w:t>63</w:t>
            </w:r>
            <w:r>
              <w:rPr>
                <w:rFonts w:ascii="宋体" w:hAnsi="宋体" w:cs="宋体" w:eastAsia="宋体" w:hint="default"/>
                <w:sz w:val="18"/>
                <w:szCs w:val="18"/>
              </w:rPr>
              <w:t>号高新区联合总部大厦</w:t>
            </w:r>
            <w:r>
              <w:rPr>
                <w:rFonts w:ascii="Times New Roman" w:hAnsi="Times New Roman" w:cs="Times New Roman" w:eastAsia="Times New Roman" w:hint="default"/>
                <w:sz w:val="18"/>
                <w:szCs w:val="18"/>
              </w:rPr>
              <w:t>36</w:t>
            </w:r>
            <w:r>
              <w:rPr>
                <w:rFonts w:ascii="宋体" w:hAnsi="宋体" w:cs="宋体" w:eastAsia="宋体" w:hint="default"/>
                <w:sz w:val="18"/>
                <w:szCs w:val="18"/>
              </w:rPr>
              <w:t>楼</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265</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2018-5-8</w:t>
            </w:r>
            <w:r>
              <w:rPr>
                <w:rFonts w:ascii="宋体" w:hAnsi="宋体" w:cs="宋体" w:eastAsia="宋体" w:hint="default"/>
                <w:sz w:val="18"/>
                <w:szCs w:val="18"/>
              </w:rPr>
              <w:t>至</w:t>
            </w:r>
            <w:r>
              <w:rPr>
                <w:rFonts w:ascii="Times New Roman" w:hAnsi="Times New Roman" w:cs="Times New Roman" w:eastAsia="Times New Roman" w:hint="default"/>
                <w:sz w:val="18"/>
                <w:szCs w:val="18"/>
              </w:rPr>
              <w:t>2023-1-31</w:t>
            </w:r>
          </w:p>
        </w:tc>
      </w:tr>
      <w:tr>
        <w:trPr>
          <w:trHeight w:val="658" w:hRule="exact"/>
        </w:trPr>
        <w:tc>
          <w:tcPr>
            <w:tcW w:w="548" w:type="dxa"/>
            <w:vMerge/>
            <w:tcBorders>
              <w:left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4" w:right="128"/>
              <w:jc w:val="left"/>
              <w:rPr>
                <w:rFonts w:ascii="宋体" w:hAnsi="宋体" w:cs="宋体" w:eastAsia="宋体" w:hint="default"/>
                <w:sz w:val="18"/>
                <w:szCs w:val="18"/>
              </w:rPr>
            </w:pPr>
            <w:r>
              <w:rPr>
                <w:rFonts w:ascii="宋体" w:hAnsi="宋体" w:cs="宋体" w:eastAsia="宋体" w:hint="default"/>
                <w:sz w:val="18"/>
                <w:szCs w:val="18"/>
              </w:rPr>
              <w:t>深圳市小豆公寓管理有限 公司</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59"/>
              <w:jc w:val="left"/>
              <w:rPr>
                <w:rFonts w:ascii="宋体" w:hAnsi="宋体" w:cs="宋体" w:eastAsia="宋体" w:hint="default"/>
                <w:sz w:val="18"/>
                <w:szCs w:val="18"/>
              </w:rPr>
            </w:pPr>
            <w:r>
              <w:rPr>
                <w:rFonts w:ascii="宋体" w:hAnsi="宋体" w:cs="宋体" w:eastAsia="宋体" w:hint="default"/>
                <w:sz w:val="18"/>
                <w:szCs w:val="18"/>
              </w:rPr>
              <w:t>深圳市南山区松坪山</w:t>
            </w:r>
            <w:r>
              <w:rPr>
                <w:rFonts w:ascii="Times New Roman" w:hAnsi="Times New Roman" w:cs="Times New Roman" w:eastAsia="Times New Roman" w:hint="default"/>
                <w:sz w:val="18"/>
                <w:szCs w:val="18"/>
              </w:rPr>
              <w:t>D13</w:t>
            </w:r>
            <w:r>
              <w:rPr>
                <w:rFonts w:ascii="宋体" w:hAnsi="宋体" w:cs="宋体" w:eastAsia="宋体" w:hint="default"/>
                <w:sz w:val="18"/>
                <w:szCs w:val="18"/>
              </w:rPr>
              <w:t>栋</w:t>
            </w:r>
            <w:r>
              <w:rPr>
                <w:rFonts w:ascii="Times New Roman" w:hAnsi="Times New Roman" w:cs="Times New Roman" w:eastAsia="Times New Roman" w:hint="default"/>
                <w:sz w:val="18"/>
                <w:szCs w:val="18"/>
              </w:rPr>
              <w:t>310</w:t>
            </w:r>
            <w:r>
              <w:rPr>
                <w:rFonts w:ascii="宋体" w:hAnsi="宋体" w:cs="宋体" w:eastAsia="宋体" w:hint="default"/>
                <w:sz w:val="18"/>
                <w:szCs w:val="18"/>
              </w:rPr>
              <w:t>房、</w:t>
            </w:r>
            <w:r>
              <w:rPr>
                <w:rFonts w:ascii="Times New Roman" w:hAnsi="Times New Roman" w:cs="Times New Roman" w:eastAsia="Times New Roman" w:hint="default"/>
                <w:sz w:val="18"/>
                <w:szCs w:val="18"/>
              </w:rPr>
              <w:t>D15</w:t>
            </w:r>
            <w:r>
              <w:rPr>
                <w:rFonts w:ascii="宋体" w:hAnsi="宋体" w:cs="宋体" w:eastAsia="宋体" w:hint="default"/>
                <w:sz w:val="18"/>
                <w:szCs w:val="18"/>
              </w:rPr>
              <w:t>栋</w:t>
            </w:r>
            <w:r>
              <w:rPr>
                <w:rFonts w:ascii="Times New Roman" w:hAnsi="Times New Roman" w:cs="Times New Roman" w:eastAsia="Times New Roman" w:hint="default"/>
                <w:sz w:val="18"/>
                <w:szCs w:val="18"/>
              </w:rPr>
              <w:t>605</w:t>
            </w:r>
            <w:r>
              <w:rPr>
                <w:rFonts w:ascii="宋体" w:hAnsi="宋体" w:cs="宋体" w:eastAsia="宋体" w:hint="default"/>
                <w:sz w:val="18"/>
                <w:szCs w:val="18"/>
              </w:rPr>
              <w:t>房、</w:t>
            </w:r>
            <w:r>
              <w:rPr>
                <w:rFonts w:ascii="Times New Roman" w:hAnsi="Times New Roman" w:cs="Times New Roman" w:eastAsia="Times New Roman" w:hint="default"/>
                <w:sz w:val="18"/>
                <w:szCs w:val="18"/>
              </w:rPr>
              <w:t>D14 </w:t>
            </w:r>
            <w:r>
              <w:rPr>
                <w:rFonts w:ascii="宋体" w:hAnsi="宋体" w:cs="宋体" w:eastAsia="宋体" w:hint="default"/>
                <w:sz w:val="18"/>
                <w:szCs w:val="18"/>
              </w:rPr>
              <w:t>栋</w:t>
            </w:r>
            <w:r>
              <w:rPr>
                <w:rFonts w:ascii="Times New Roman" w:hAnsi="Times New Roman" w:cs="Times New Roman" w:eastAsia="Times New Roman" w:hint="default"/>
                <w:sz w:val="18"/>
                <w:szCs w:val="18"/>
              </w:rPr>
              <w:t>708</w:t>
            </w:r>
            <w:r>
              <w:rPr>
                <w:rFonts w:ascii="宋体" w:hAnsi="宋体" w:cs="宋体" w:eastAsia="宋体" w:hint="default"/>
                <w:sz w:val="18"/>
                <w:szCs w:val="18"/>
              </w:rPr>
              <w:t>房、</w:t>
            </w:r>
            <w:r>
              <w:rPr>
                <w:rFonts w:ascii="Times New Roman" w:hAnsi="Times New Roman" w:cs="Times New Roman" w:eastAsia="Times New Roman" w:hint="default"/>
                <w:sz w:val="18"/>
                <w:szCs w:val="18"/>
              </w:rPr>
              <w:t>D14</w:t>
            </w:r>
            <w:r>
              <w:rPr>
                <w:rFonts w:ascii="宋体" w:hAnsi="宋体" w:cs="宋体" w:eastAsia="宋体" w:hint="default"/>
                <w:sz w:val="18"/>
                <w:szCs w:val="18"/>
              </w:rPr>
              <w:t>栋</w:t>
            </w:r>
            <w:r>
              <w:rPr>
                <w:rFonts w:ascii="Times New Roman" w:hAnsi="Times New Roman" w:cs="Times New Roman" w:eastAsia="Times New Roman" w:hint="default"/>
                <w:sz w:val="18"/>
                <w:szCs w:val="18"/>
              </w:rPr>
              <w:t>608</w:t>
            </w:r>
            <w:r>
              <w:rPr>
                <w:rFonts w:ascii="宋体" w:hAnsi="宋体" w:cs="宋体" w:eastAsia="宋体" w:hint="default"/>
                <w:sz w:val="18"/>
                <w:szCs w:val="18"/>
              </w:rPr>
              <w:t>房</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100</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2019-9-1</w:t>
            </w:r>
            <w:r>
              <w:rPr>
                <w:rFonts w:ascii="宋体" w:hAnsi="宋体" w:cs="宋体" w:eastAsia="宋体" w:hint="default"/>
                <w:sz w:val="18"/>
                <w:szCs w:val="18"/>
              </w:rPr>
              <w:t>至</w:t>
            </w:r>
            <w:r>
              <w:rPr>
                <w:rFonts w:ascii="Times New Roman" w:hAnsi="Times New Roman" w:cs="Times New Roman" w:eastAsia="Times New Roman" w:hint="default"/>
                <w:sz w:val="18"/>
                <w:szCs w:val="18"/>
              </w:rPr>
              <w:t>2020-8-31</w:t>
            </w:r>
          </w:p>
        </w:tc>
      </w:tr>
      <w:tr>
        <w:trPr>
          <w:trHeight w:val="348" w:hRule="exact"/>
        </w:trPr>
        <w:tc>
          <w:tcPr>
            <w:tcW w:w="548" w:type="dxa"/>
            <w:vMerge/>
            <w:tcBorders>
              <w:left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深圳市爱华电子有限公司</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深圳市科技园青梧路</w:t>
            </w:r>
            <w:r>
              <w:rPr>
                <w:rFonts w:ascii="Times New Roman" w:hAnsi="Times New Roman" w:cs="Times New Roman" w:eastAsia="Times New Roman" w:hint="default"/>
                <w:sz w:val="18"/>
                <w:szCs w:val="18"/>
              </w:rPr>
              <w:t>1</w:t>
            </w:r>
            <w:r>
              <w:rPr>
                <w:rFonts w:ascii="宋体" w:hAnsi="宋体" w:cs="宋体" w:eastAsia="宋体" w:hint="default"/>
                <w:sz w:val="18"/>
                <w:szCs w:val="18"/>
              </w:rPr>
              <w:t>号</w:t>
            </w:r>
            <w:r>
              <w:rPr>
                <w:rFonts w:ascii="Times New Roman" w:hAnsi="Times New Roman" w:cs="Times New Roman" w:eastAsia="Times New Roman" w:hint="default"/>
                <w:sz w:val="18"/>
                <w:szCs w:val="18"/>
              </w:rPr>
              <w:t>1-608</w:t>
            </w:r>
            <w:r>
              <w:rPr>
                <w:rFonts w:ascii="宋体" w:hAnsi="宋体" w:cs="宋体" w:eastAsia="宋体" w:hint="default"/>
                <w:sz w:val="18"/>
                <w:szCs w:val="18"/>
              </w:rPr>
              <w:t>、</w:t>
            </w:r>
            <w:r>
              <w:rPr>
                <w:rFonts w:ascii="Times New Roman" w:hAnsi="Times New Roman" w:cs="Times New Roman" w:eastAsia="Times New Roman" w:hint="default"/>
                <w:sz w:val="18"/>
                <w:szCs w:val="18"/>
              </w:rPr>
              <w:t>708</w:t>
            </w:r>
            <w:r>
              <w:rPr>
                <w:rFonts w:ascii="宋体" w:hAnsi="宋体" w:cs="宋体" w:eastAsia="宋体" w:hint="default"/>
                <w:sz w:val="18"/>
                <w:szCs w:val="18"/>
              </w:rPr>
              <w:t>房</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137.02</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2019-7-1</w:t>
            </w:r>
            <w:r>
              <w:rPr>
                <w:rFonts w:ascii="宋体" w:hAnsi="宋体" w:cs="宋体" w:eastAsia="宋体" w:hint="default"/>
                <w:sz w:val="18"/>
                <w:szCs w:val="18"/>
              </w:rPr>
              <w:t>至</w:t>
            </w:r>
            <w:r>
              <w:rPr>
                <w:rFonts w:ascii="Times New Roman" w:hAnsi="Times New Roman" w:cs="Times New Roman" w:eastAsia="Times New Roman" w:hint="default"/>
                <w:sz w:val="18"/>
                <w:szCs w:val="18"/>
              </w:rPr>
              <w:t>2020-6-30</w:t>
            </w:r>
          </w:p>
        </w:tc>
      </w:tr>
      <w:tr>
        <w:trPr>
          <w:trHeight w:val="348" w:hRule="exact"/>
        </w:trPr>
        <w:tc>
          <w:tcPr>
            <w:tcW w:w="548" w:type="dxa"/>
            <w:vMerge/>
            <w:tcBorders>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深圳市爱华电子有限公司</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深圳市科技园青梧路</w:t>
            </w:r>
            <w:r>
              <w:rPr>
                <w:rFonts w:ascii="Times New Roman" w:hAnsi="Times New Roman" w:cs="Times New Roman" w:eastAsia="Times New Roman" w:hint="default"/>
                <w:sz w:val="18"/>
                <w:szCs w:val="18"/>
              </w:rPr>
              <w:t>1</w:t>
            </w:r>
            <w:r>
              <w:rPr>
                <w:rFonts w:ascii="宋体" w:hAnsi="宋体" w:cs="宋体" w:eastAsia="宋体" w:hint="default"/>
                <w:sz w:val="18"/>
                <w:szCs w:val="18"/>
              </w:rPr>
              <w:t>号</w:t>
            </w:r>
            <w:r>
              <w:rPr>
                <w:rFonts w:ascii="Times New Roman" w:hAnsi="Times New Roman" w:cs="Times New Roman" w:eastAsia="Times New Roman" w:hint="default"/>
                <w:sz w:val="18"/>
                <w:szCs w:val="18"/>
              </w:rPr>
              <w:t>1-703</w:t>
            </w:r>
            <w:r>
              <w:rPr>
                <w:rFonts w:ascii="宋体" w:hAnsi="宋体" w:cs="宋体" w:eastAsia="宋体" w:hint="default"/>
                <w:sz w:val="18"/>
                <w:szCs w:val="18"/>
              </w:rPr>
              <w:t>、</w:t>
            </w:r>
            <w:r>
              <w:rPr>
                <w:rFonts w:ascii="Times New Roman" w:hAnsi="Times New Roman" w:cs="Times New Roman" w:eastAsia="Times New Roman" w:hint="default"/>
                <w:sz w:val="18"/>
                <w:szCs w:val="18"/>
              </w:rPr>
              <w:t>705</w:t>
            </w:r>
            <w:r>
              <w:rPr>
                <w:rFonts w:ascii="宋体" w:hAnsi="宋体" w:cs="宋体" w:eastAsia="宋体" w:hint="default"/>
                <w:sz w:val="18"/>
                <w:szCs w:val="18"/>
              </w:rPr>
              <w:t>房</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149.01</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2019-10-1</w:t>
            </w:r>
            <w:r>
              <w:rPr>
                <w:rFonts w:ascii="宋体" w:hAnsi="宋体" w:cs="宋体" w:eastAsia="宋体" w:hint="default"/>
                <w:sz w:val="18"/>
                <w:szCs w:val="18"/>
              </w:rPr>
              <w:t>至</w:t>
            </w:r>
            <w:r>
              <w:rPr>
                <w:rFonts w:ascii="Times New Roman" w:hAnsi="Times New Roman" w:cs="Times New Roman" w:eastAsia="Times New Roman" w:hint="default"/>
                <w:sz w:val="18"/>
                <w:szCs w:val="18"/>
              </w:rPr>
              <w:t>2020-9-30</w:t>
            </w:r>
          </w:p>
        </w:tc>
      </w:tr>
      <w:tr>
        <w:trPr>
          <w:trHeight w:val="658" w:hRule="exact"/>
        </w:trPr>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86" w:right="84"/>
              <w:jc w:val="left"/>
              <w:rPr>
                <w:rFonts w:ascii="宋体" w:hAnsi="宋体" w:cs="宋体" w:eastAsia="宋体" w:hint="default"/>
                <w:sz w:val="18"/>
                <w:szCs w:val="18"/>
              </w:rPr>
            </w:pPr>
            <w:r>
              <w:rPr>
                <w:rFonts w:ascii="宋体" w:hAnsi="宋体" w:cs="宋体" w:eastAsia="宋体" w:hint="default"/>
                <w:sz w:val="18"/>
                <w:szCs w:val="18"/>
              </w:rPr>
              <w:t>正达 资讯</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28"/>
              <w:jc w:val="left"/>
              <w:rPr>
                <w:rFonts w:ascii="宋体" w:hAnsi="宋体" w:cs="宋体" w:eastAsia="宋体" w:hint="default"/>
                <w:sz w:val="18"/>
                <w:szCs w:val="18"/>
              </w:rPr>
            </w:pPr>
            <w:r>
              <w:rPr>
                <w:rFonts w:ascii="宋体" w:hAnsi="宋体" w:cs="宋体" w:eastAsia="宋体" w:hint="default"/>
                <w:sz w:val="18"/>
                <w:szCs w:val="18"/>
              </w:rPr>
              <w:t>深圳市优博讯科技股份有 限公司</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深圳市南山区学府路</w:t>
            </w:r>
            <w:r>
              <w:rPr>
                <w:rFonts w:ascii="Times New Roman" w:hAnsi="Times New Roman" w:cs="Times New Roman" w:eastAsia="Times New Roman" w:hint="default"/>
                <w:sz w:val="18"/>
                <w:szCs w:val="18"/>
              </w:rPr>
              <w:t>63</w:t>
            </w:r>
            <w:r>
              <w:rPr>
                <w:rFonts w:ascii="宋体" w:hAnsi="宋体" w:cs="宋体" w:eastAsia="宋体" w:hint="default"/>
                <w:sz w:val="18"/>
                <w:szCs w:val="18"/>
              </w:rPr>
              <w:t>号高新区联合总部大厦</w:t>
            </w:r>
            <w:r>
              <w:rPr>
                <w:rFonts w:ascii="Times New Roman" w:hAnsi="Times New Roman" w:cs="Times New Roman" w:eastAsia="Times New Roman" w:hint="default"/>
                <w:sz w:val="18"/>
                <w:szCs w:val="18"/>
              </w:rPr>
              <w:t>36</w:t>
            </w:r>
            <w:r>
              <w:rPr>
                <w:rFonts w:ascii="宋体" w:hAnsi="宋体" w:cs="宋体" w:eastAsia="宋体" w:hint="default"/>
                <w:sz w:val="18"/>
                <w:szCs w:val="18"/>
              </w:rPr>
              <w:t>楼</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15</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2018-5-8</w:t>
            </w:r>
            <w:r>
              <w:rPr>
                <w:rFonts w:ascii="宋体" w:hAnsi="宋体" w:cs="宋体" w:eastAsia="宋体" w:hint="default"/>
                <w:sz w:val="18"/>
                <w:szCs w:val="18"/>
              </w:rPr>
              <w:t>至</w:t>
            </w:r>
            <w:r>
              <w:rPr>
                <w:rFonts w:ascii="Times New Roman" w:hAnsi="Times New Roman" w:cs="Times New Roman" w:eastAsia="Times New Roman" w:hint="default"/>
                <w:sz w:val="18"/>
                <w:szCs w:val="18"/>
              </w:rPr>
              <w:t>2023-1-31</w:t>
            </w:r>
          </w:p>
        </w:tc>
      </w:tr>
      <w:tr>
        <w:trPr>
          <w:trHeight w:val="660" w:hRule="exact"/>
        </w:trPr>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86" w:right="84"/>
              <w:jc w:val="left"/>
              <w:rPr>
                <w:rFonts w:ascii="宋体" w:hAnsi="宋体" w:cs="宋体" w:eastAsia="宋体" w:hint="default"/>
                <w:sz w:val="18"/>
                <w:szCs w:val="18"/>
              </w:rPr>
            </w:pPr>
            <w:r>
              <w:rPr>
                <w:rFonts w:ascii="宋体" w:hAnsi="宋体" w:cs="宋体" w:eastAsia="宋体" w:hint="default"/>
                <w:sz w:val="18"/>
                <w:szCs w:val="18"/>
              </w:rPr>
              <w:t>江南 正鼎</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28"/>
              <w:jc w:val="left"/>
              <w:rPr>
                <w:rFonts w:ascii="宋体" w:hAnsi="宋体" w:cs="宋体" w:eastAsia="宋体" w:hint="default"/>
                <w:sz w:val="18"/>
                <w:szCs w:val="18"/>
              </w:rPr>
            </w:pPr>
            <w:r>
              <w:rPr>
                <w:rFonts w:ascii="宋体" w:hAnsi="宋体" w:cs="宋体" w:eastAsia="宋体" w:hint="default"/>
                <w:sz w:val="18"/>
                <w:szCs w:val="18"/>
              </w:rPr>
              <w:t>深圳市优博讯科技股份有 限公司</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深圳市南山区学府路</w:t>
            </w:r>
            <w:r>
              <w:rPr>
                <w:rFonts w:ascii="Times New Roman" w:hAnsi="Times New Roman" w:cs="Times New Roman" w:eastAsia="Times New Roman" w:hint="default"/>
                <w:sz w:val="18"/>
                <w:szCs w:val="18"/>
              </w:rPr>
              <w:t>63</w:t>
            </w:r>
            <w:r>
              <w:rPr>
                <w:rFonts w:ascii="宋体" w:hAnsi="宋体" w:cs="宋体" w:eastAsia="宋体" w:hint="default"/>
                <w:sz w:val="18"/>
                <w:szCs w:val="18"/>
              </w:rPr>
              <w:t>号高新区联合总部大厦</w:t>
            </w:r>
            <w:r>
              <w:rPr>
                <w:rFonts w:ascii="Times New Roman" w:hAnsi="Times New Roman" w:cs="Times New Roman" w:eastAsia="Times New Roman" w:hint="default"/>
                <w:sz w:val="18"/>
                <w:szCs w:val="18"/>
              </w:rPr>
              <w:t>36</w:t>
            </w:r>
            <w:r>
              <w:rPr>
                <w:rFonts w:ascii="宋体" w:hAnsi="宋体" w:cs="宋体" w:eastAsia="宋体" w:hint="default"/>
                <w:sz w:val="18"/>
                <w:szCs w:val="18"/>
              </w:rPr>
              <w:t>楼</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50</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2018-5-8</w:t>
            </w:r>
            <w:r>
              <w:rPr>
                <w:rFonts w:ascii="宋体" w:hAnsi="宋体" w:cs="宋体" w:eastAsia="宋体" w:hint="default"/>
                <w:sz w:val="18"/>
                <w:szCs w:val="18"/>
              </w:rPr>
              <w:t>至</w:t>
            </w:r>
            <w:r>
              <w:rPr>
                <w:rFonts w:ascii="Times New Roman" w:hAnsi="Times New Roman" w:cs="Times New Roman" w:eastAsia="Times New Roman" w:hint="default"/>
                <w:sz w:val="18"/>
                <w:szCs w:val="18"/>
              </w:rPr>
              <w:t>2023-1-31</w:t>
            </w:r>
          </w:p>
        </w:tc>
      </w:tr>
      <w:tr>
        <w:trPr>
          <w:trHeight w:val="348" w:hRule="exact"/>
        </w:trPr>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86" w:right="0"/>
              <w:jc w:val="left"/>
              <w:rPr>
                <w:rFonts w:ascii="宋体" w:hAnsi="宋体" w:cs="宋体" w:eastAsia="宋体" w:hint="default"/>
                <w:sz w:val="18"/>
                <w:szCs w:val="18"/>
              </w:rPr>
            </w:pPr>
            <w:r>
              <w:rPr>
                <w:rFonts w:ascii="宋体" w:hAnsi="宋体" w:cs="宋体" w:eastAsia="宋体" w:hint="default"/>
                <w:sz w:val="18"/>
                <w:szCs w:val="18"/>
              </w:rPr>
              <w:t>蓝云</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深圳市优博讯科技股份有</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深圳市南山区学府路</w:t>
            </w:r>
            <w:r>
              <w:rPr>
                <w:rFonts w:ascii="Times New Roman" w:hAnsi="Times New Roman" w:cs="Times New Roman" w:eastAsia="Times New Roman" w:hint="default"/>
                <w:sz w:val="18"/>
                <w:szCs w:val="18"/>
              </w:rPr>
              <w:t>63</w:t>
            </w:r>
            <w:r>
              <w:rPr>
                <w:rFonts w:ascii="宋体" w:hAnsi="宋体" w:cs="宋体" w:eastAsia="宋体" w:hint="default"/>
                <w:sz w:val="18"/>
                <w:szCs w:val="18"/>
              </w:rPr>
              <w:t>号高新区联合总部大厦</w:t>
            </w:r>
            <w:r>
              <w:rPr>
                <w:rFonts w:ascii="Times New Roman" w:hAnsi="Times New Roman" w:cs="Times New Roman" w:eastAsia="Times New Roman" w:hint="default"/>
                <w:sz w:val="18"/>
                <w:szCs w:val="18"/>
              </w:rPr>
              <w:t>36</w:t>
            </w:r>
            <w:r>
              <w:rPr>
                <w:rFonts w:ascii="宋体" w:hAnsi="宋体" w:cs="宋体" w:eastAsia="宋体" w:hint="default"/>
                <w:sz w:val="18"/>
                <w:szCs w:val="18"/>
              </w:rPr>
              <w:t>楼</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15</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2018-5-8</w:t>
            </w:r>
            <w:r>
              <w:rPr>
                <w:rFonts w:ascii="宋体" w:hAnsi="宋体" w:cs="宋体" w:eastAsia="宋体" w:hint="default"/>
                <w:sz w:val="18"/>
                <w:szCs w:val="18"/>
              </w:rPr>
              <w:t>至</w:t>
            </w:r>
            <w:r>
              <w:rPr>
                <w:rFonts w:ascii="Times New Roman" w:hAnsi="Times New Roman" w:cs="Times New Roman" w:eastAsia="Times New Roman" w:hint="default"/>
                <w:sz w:val="18"/>
                <w:szCs w:val="18"/>
              </w:rPr>
              <w:t>2023-1-31</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4" w:type="dxa"/>
        <w:tblLayout w:type="fixed"/>
        <w:tblCellMar>
          <w:top w:w="0" w:type="dxa"/>
          <w:left w:w="0" w:type="dxa"/>
          <w:bottom w:w="0" w:type="dxa"/>
          <w:right w:w="0" w:type="dxa"/>
        </w:tblCellMar>
        <w:tblLook w:val="01E0"/>
      </w:tblPr>
      <w:tblGrid>
        <w:gridCol w:w="548"/>
        <w:gridCol w:w="2129"/>
        <w:gridCol w:w="4251"/>
        <w:gridCol w:w="994"/>
        <w:gridCol w:w="1901"/>
      </w:tblGrid>
      <w:tr>
        <w:trPr>
          <w:trHeight w:val="348" w:hRule="exact"/>
        </w:trPr>
        <w:tc>
          <w:tcPr>
            <w:tcW w:w="548" w:type="dxa"/>
            <w:vMerge w:val="restart"/>
            <w:tcBorders>
              <w:top w:val="single" w:sz="6" w:space="0" w:color="000000"/>
              <w:left w:val="single" w:sz="6" w:space="0" w:color="000000"/>
              <w:right w:val="single" w:sz="6" w:space="0" w:color="000000"/>
            </w:tcBorders>
          </w:tcPr>
          <w:p>
            <w:pPr>
              <w:pStyle w:val="TableParagraph"/>
              <w:spacing w:line="240" w:lineRule="auto" w:before="17"/>
              <w:ind w:left="175" w:right="0"/>
              <w:jc w:val="left"/>
              <w:rPr>
                <w:rFonts w:ascii="宋体" w:hAnsi="宋体" w:cs="宋体" w:eastAsia="宋体" w:hint="default"/>
                <w:sz w:val="18"/>
                <w:szCs w:val="18"/>
              </w:rPr>
            </w:pPr>
            <w:r>
              <w:rPr>
                <w:rFonts w:ascii="宋体" w:hAnsi="宋体" w:cs="宋体" w:eastAsia="宋体" w:hint="default"/>
                <w:sz w:val="18"/>
                <w:szCs w:val="18"/>
              </w:rPr>
              <w:t>达</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4251"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548" w:type="dxa"/>
            <w:vMerge/>
            <w:tcBorders>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胡倩倩</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山东省济南市历城区南湖花苑东区</w:t>
            </w:r>
            <w:r>
              <w:rPr>
                <w:rFonts w:ascii="Times New Roman" w:hAnsi="Times New Roman" w:cs="Times New Roman" w:eastAsia="Times New Roman" w:hint="default"/>
                <w:sz w:val="18"/>
                <w:szCs w:val="18"/>
              </w:rPr>
              <w:t>9</w:t>
            </w:r>
            <w:r>
              <w:rPr>
                <w:rFonts w:ascii="宋体" w:hAnsi="宋体" w:cs="宋体" w:eastAsia="宋体" w:hint="default"/>
                <w:sz w:val="18"/>
                <w:szCs w:val="18"/>
              </w:rPr>
              <w:t>号楼</w:t>
            </w:r>
            <w:r>
              <w:rPr>
                <w:rFonts w:ascii="Times New Roman" w:hAnsi="Times New Roman" w:cs="Times New Roman" w:eastAsia="Times New Roman" w:hint="default"/>
                <w:sz w:val="18"/>
                <w:szCs w:val="18"/>
              </w:rPr>
              <w:t>1903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98</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2019-11-14</w:t>
            </w:r>
            <w:r>
              <w:rPr>
                <w:rFonts w:ascii="宋体" w:hAnsi="宋体" w:cs="宋体" w:eastAsia="宋体" w:hint="default"/>
                <w:sz w:val="18"/>
                <w:szCs w:val="18"/>
              </w:rPr>
              <w:t>至</w:t>
            </w:r>
            <w:r>
              <w:rPr>
                <w:rFonts w:ascii="Times New Roman" w:hAnsi="Times New Roman" w:cs="Times New Roman" w:eastAsia="Times New Roman" w:hint="default"/>
                <w:sz w:val="18"/>
                <w:szCs w:val="18"/>
              </w:rPr>
              <w:t>2020-11-14</w:t>
            </w:r>
          </w:p>
        </w:tc>
      </w:tr>
      <w:tr>
        <w:trPr>
          <w:trHeight w:val="660" w:hRule="exact"/>
        </w:trPr>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86" w:right="84"/>
              <w:jc w:val="left"/>
              <w:rPr>
                <w:rFonts w:ascii="宋体" w:hAnsi="宋体" w:cs="宋体" w:eastAsia="宋体" w:hint="default"/>
                <w:sz w:val="18"/>
                <w:szCs w:val="18"/>
              </w:rPr>
            </w:pPr>
            <w:r>
              <w:rPr>
                <w:rFonts w:ascii="宋体" w:hAnsi="宋体" w:cs="宋体" w:eastAsia="宋体" w:hint="default"/>
                <w:sz w:val="18"/>
                <w:szCs w:val="18"/>
              </w:rPr>
              <w:t>优金 支付</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28"/>
              <w:jc w:val="left"/>
              <w:rPr>
                <w:rFonts w:ascii="宋体" w:hAnsi="宋体" w:cs="宋体" w:eastAsia="宋体" w:hint="default"/>
                <w:sz w:val="18"/>
                <w:szCs w:val="18"/>
              </w:rPr>
            </w:pPr>
            <w:r>
              <w:rPr>
                <w:rFonts w:ascii="宋体" w:hAnsi="宋体" w:cs="宋体" w:eastAsia="宋体" w:hint="default"/>
                <w:sz w:val="18"/>
                <w:szCs w:val="18"/>
              </w:rPr>
              <w:t>深圳市优博讯科技股份有 限公司</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深圳市南山区学府路</w:t>
            </w:r>
            <w:r>
              <w:rPr>
                <w:rFonts w:ascii="Times New Roman" w:hAnsi="Times New Roman" w:cs="Times New Roman" w:eastAsia="Times New Roman" w:hint="default"/>
                <w:sz w:val="18"/>
                <w:szCs w:val="18"/>
              </w:rPr>
              <w:t>63</w:t>
            </w:r>
            <w:r>
              <w:rPr>
                <w:rFonts w:ascii="宋体" w:hAnsi="宋体" w:cs="宋体" w:eastAsia="宋体" w:hint="default"/>
                <w:sz w:val="18"/>
                <w:szCs w:val="18"/>
              </w:rPr>
              <w:t>号高新区联合总部大厦</w:t>
            </w:r>
            <w:r>
              <w:rPr>
                <w:rFonts w:ascii="Times New Roman" w:hAnsi="Times New Roman" w:cs="Times New Roman" w:eastAsia="Times New Roman" w:hint="default"/>
                <w:sz w:val="18"/>
                <w:szCs w:val="18"/>
              </w:rPr>
              <w:t>36</w:t>
            </w:r>
            <w:r>
              <w:rPr>
                <w:rFonts w:ascii="宋体" w:hAnsi="宋体" w:cs="宋体" w:eastAsia="宋体" w:hint="default"/>
                <w:sz w:val="18"/>
                <w:szCs w:val="18"/>
              </w:rPr>
              <w:t>楼</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140</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2018-5-8</w:t>
            </w:r>
            <w:r>
              <w:rPr>
                <w:rFonts w:ascii="宋体" w:hAnsi="宋体" w:cs="宋体" w:eastAsia="宋体" w:hint="default"/>
                <w:sz w:val="18"/>
                <w:szCs w:val="18"/>
              </w:rPr>
              <w:t>至</w:t>
            </w:r>
            <w:r>
              <w:rPr>
                <w:rFonts w:ascii="Times New Roman" w:hAnsi="Times New Roman" w:cs="Times New Roman" w:eastAsia="Times New Roman" w:hint="default"/>
                <w:sz w:val="18"/>
                <w:szCs w:val="18"/>
              </w:rPr>
              <w:t>2023-1-31</w:t>
            </w:r>
          </w:p>
        </w:tc>
      </w:tr>
      <w:tr>
        <w:trPr>
          <w:trHeight w:val="658" w:hRule="exact"/>
        </w:trPr>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86" w:right="0"/>
              <w:jc w:val="left"/>
              <w:rPr>
                <w:rFonts w:ascii="宋体" w:hAnsi="宋体" w:cs="宋体" w:eastAsia="宋体" w:hint="default"/>
                <w:sz w:val="18"/>
                <w:szCs w:val="18"/>
              </w:rPr>
            </w:pPr>
            <w:r>
              <w:rPr>
                <w:rFonts w:ascii="宋体" w:hAnsi="宋体" w:cs="宋体" w:eastAsia="宋体" w:hint="default"/>
                <w:sz w:val="18"/>
                <w:szCs w:val="18"/>
              </w:rPr>
              <w:t>云栖</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深圳华中科技大学研究院</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深圳市南山区粤海街道粤兴三道</w:t>
            </w:r>
            <w:r>
              <w:rPr>
                <w:rFonts w:ascii="Times New Roman" w:hAnsi="Times New Roman" w:cs="Times New Roman" w:eastAsia="Times New Roman" w:hint="default"/>
                <w:sz w:val="18"/>
                <w:szCs w:val="18"/>
              </w:rPr>
              <w:t>9</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华中科技大学深 圳产学研基地</w:t>
            </w:r>
            <w:r>
              <w:rPr>
                <w:rFonts w:ascii="Times New Roman" w:hAnsi="Times New Roman" w:cs="Times New Roman" w:eastAsia="Times New Roman" w:hint="default"/>
                <w:sz w:val="18"/>
                <w:szCs w:val="18"/>
              </w:rPr>
              <w:t>”A</w:t>
            </w:r>
            <w:r>
              <w:rPr>
                <w:rFonts w:ascii="宋体" w:hAnsi="宋体" w:cs="宋体" w:eastAsia="宋体" w:hint="default"/>
                <w:sz w:val="18"/>
                <w:szCs w:val="18"/>
              </w:rPr>
              <w:t>座第</w:t>
            </w:r>
            <w:r>
              <w:rPr>
                <w:rFonts w:ascii="Times New Roman" w:hAnsi="Times New Roman" w:cs="Times New Roman" w:eastAsia="Times New Roman" w:hint="default"/>
                <w:sz w:val="18"/>
                <w:szCs w:val="18"/>
              </w:rPr>
              <w:t>7</w:t>
            </w:r>
            <w:r>
              <w:rPr>
                <w:rFonts w:ascii="宋体" w:hAnsi="宋体" w:cs="宋体" w:eastAsia="宋体" w:hint="default"/>
                <w:sz w:val="18"/>
                <w:szCs w:val="18"/>
              </w:rPr>
              <w:t>层</w:t>
            </w:r>
            <w:r>
              <w:rPr>
                <w:rFonts w:ascii="Times New Roman" w:hAnsi="Times New Roman" w:cs="Times New Roman" w:eastAsia="Times New Roman" w:hint="default"/>
                <w:sz w:val="18"/>
                <w:szCs w:val="18"/>
              </w:rPr>
              <w:t>A706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163.27</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2019-10-1</w:t>
            </w:r>
            <w:r>
              <w:rPr>
                <w:rFonts w:ascii="宋体" w:hAnsi="宋体" w:cs="宋体" w:eastAsia="宋体" w:hint="default"/>
                <w:sz w:val="18"/>
                <w:szCs w:val="18"/>
              </w:rPr>
              <w:t>至</w:t>
            </w:r>
            <w:r>
              <w:rPr>
                <w:rFonts w:ascii="Times New Roman" w:hAnsi="Times New Roman" w:cs="Times New Roman" w:eastAsia="Times New Roman" w:hint="default"/>
                <w:sz w:val="18"/>
                <w:szCs w:val="18"/>
              </w:rPr>
              <w:t>2020-9-30</w:t>
            </w:r>
          </w:p>
        </w:tc>
      </w:tr>
      <w:tr>
        <w:trPr>
          <w:trHeight w:val="660" w:hRule="exact"/>
        </w:trPr>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86" w:right="84"/>
              <w:jc w:val="left"/>
              <w:rPr>
                <w:rFonts w:ascii="宋体" w:hAnsi="宋体" w:cs="宋体" w:eastAsia="宋体" w:hint="default"/>
                <w:sz w:val="18"/>
                <w:szCs w:val="18"/>
              </w:rPr>
            </w:pPr>
            <w:r>
              <w:rPr>
                <w:rFonts w:ascii="宋体" w:hAnsi="宋体" w:cs="宋体" w:eastAsia="宋体" w:hint="default"/>
                <w:sz w:val="18"/>
                <w:szCs w:val="18"/>
              </w:rPr>
              <w:t>武汉 优软</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28"/>
              <w:jc w:val="left"/>
              <w:rPr>
                <w:rFonts w:ascii="宋体" w:hAnsi="宋体" w:cs="宋体" w:eastAsia="宋体" w:hint="default"/>
                <w:sz w:val="18"/>
                <w:szCs w:val="18"/>
              </w:rPr>
            </w:pPr>
            <w:r>
              <w:rPr>
                <w:rFonts w:ascii="宋体" w:hAnsi="宋体" w:cs="宋体" w:eastAsia="宋体" w:hint="default"/>
                <w:sz w:val="18"/>
                <w:szCs w:val="18"/>
              </w:rPr>
              <w:t>武汉东湖高新集团股份有 限公司</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湖北省武汉市东湖新技术开发区花城大道</w:t>
            </w:r>
            <w:r>
              <w:rPr>
                <w:rFonts w:ascii="Times New Roman" w:hAnsi="Times New Roman" w:cs="Times New Roman" w:eastAsia="Times New Roman" w:hint="default"/>
                <w:sz w:val="18"/>
                <w:szCs w:val="18"/>
              </w:rPr>
              <w:t>9</w:t>
            </w:r>
            <w:r>
              <w:rPr>
                <w:rFonts w:ascii="宋体" w:hAnsi="宋体" w:cs="宋体" w:eastAsia="宋体" w:hint="default"/>
                <w:sz w:val="18"/>
                <w:szCs w:val="18"/>
              </w:rPr>
              <w:t>号武汉软件 新城</w:t>
            </w:r>
            <w:r>
              <w:rPr>
                <w:rFonts w:ascii="Times New Roman" w:hAnsi="Times New Roman" w:cs="Times New Roman" w:eastAsia="Times New Roman" w:hint="default"/>
                <w:sz w:val="18"/>
                <w:szCs w:val="18"/>
              </w:rPr>
              <w:t>1.1</w:t>
            </w:r>
            <w:r>
              <w:rPr>
                <w:rFonts w:ascii="宋体" w:hAnsi="宋体" w:cs="宋体" w:eastAsia="宋体" w:hint="default"/>
                <w:sz w:val="18"/>
                <w:szCs w:val="18"/>
              </w:rPr>
              <w:t>期</w:t>
            </w:r>
            <w:r>
              <w:rPr>
                <w:rFonts w:ascii="Times New Roman" w:hAnsi="Times New Roman" w:cs="Times New Roman" w:eastAsia="Times New Roman" w:hint="default"/>
                <w:sz w:val="18"/>
                <w:szCs w:val="18"/>
              </w:rPr>
              <w:t>A2</w:t>
            </w:r>
            <w:r>
              <w:rPr>
                <w:rFonts w:ascii="宋体" w:hAnsi="宋体" w:cs="宋体" w:eastAsia="宋体" w:hint="default"/>
                <w:sz w:val="18"/>
                <w:szCs w:val="18"/>
              </w:rPr>
              <w:t>栋</w:t>
            </w:r>
            <w:r>
              <w:rPr>
                <w:rFonts w:ascii="Times New Roman" w:hAnsi="Times New Roman" w:cs="Times New Roman" w:eastAsia="Times New Roman" w:hint="default"/>
                <w:sz w:val="18"/>
                <w:szCs w:val="18"/>
              </w:rPr>
              <w:t>404</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606.96</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2019-9-10</w:t>
            </w:r>
            <w:r>
              <w:rPr>
                <w:rFonts w:ascii="宋体" w:hAnsi="宋体" w:cs="宋体" w:eastAsia="宋体" w:hint="default"/>
                <w:sz w:val="18"/>
                <w:szCs w:val="18"/>
              </w:rPr>
              <w:t>至</w:t>
            </w:r>
            <w:r>
              <w:rPr>
                <w:rFonts w:ascii="Times New Roman" w:hAnsi="Times New Roman" w:cs="Times New Roman" w:eastAsia="Times New Roman" w:hint="default"/>
                <w:sz w:val="18"/>
                <w:szCs w:val="18"/>
              </w:rPr>
              <w:t>2022-9-9</w:t>
            </w:r>
          </w:p>
        </w:tc>
      </w:tr>
      <w:tr>
        <w:trPr>
          <w:trHeight w:val="658" w:hRule="exact"/>
        </w:trPr>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175" w:right="84" w:hanging="90"/>
              <w:jc w:val="left"/>
              <w:rPr>
                <w:rFonts w:ascii="宋体" w:hAnsi="宋体" w:cs="宋体" w:eastAsia="宋体" w:hint="default"/>
                <w:sz w:val="18"/>
                <w:szCs w:val="18"/>
              </w:rPr>
            </w:pPr>
            <w:r>
              <w:rPr>
                <w:rFonts w:ascii="宋体" w:hAnsi="宋体" w:cs="宋体" w:eastAsia="宋体" w:hint="default"/>
                <w:sz w:val="18"/>
                <w:szCs w:val="18"/>
              </w:rPr>
              <w:t>瑞柏 泰</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诸明</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深圳市福田区深南大道中国有色大厦</w:t>
            </w:r>
            <w:r>
              <w:rPr>
                <w:rFonts w:ascii="Times New Roman" w:hAnsi="Times New Roman" w:cs="Times New Roman" w:eastAsia="Times New Roman" w:hint="default"/>
                <w:sz w:val="18"/>
                <w:szCs w:val="18"/>
              </w:rPr>
              <w:t>901</w:t>
            </w:r>
            <w:r>
              <w:rPr>
                <w:rFonts w:ascii="宋体" w:hAnsi="宋体" w:cs="宋体" w:eastAsia="宋体" w:hint="default"/>
                <w:sz w:val="18"/>
                <w:szCs w:val="18"/>
              </w:rPr>
              <w:t>、</w:t>
            </w:r>
            <w:r>
              <w:rPr>
                <w:rFonts w:ascii="Times New Roman" w:hAnsi="Times New Roman" w:cs="Times New Roman" w:eastAsia="Times New Roman" w:hint="default"/>
                <w:sz w:val="18"/>
                <w:szCs w:val="18"/>
              </w:rPr>
              <w:t>902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112.99</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2019-10-1</w:t>
            </w:r>
            <w:r>
              <w:rPr>
                <w:rFonts w:ascii="宋体" w:hAnsi="宋体" w:cs="宋体" w:eastAsia="宋体" w:hint="default"/>
                <w:sz w:val="18"/>
                <w:szCs w:val="18"/>
              </w:rPr>
              <w:t>至</w:t>
            </w:r>
            <w:r>
              <w:rPr>
                <w:rFonts w:ascii="Times New Roman" w:hAnsi="Times New Roman" w:cs="Times New Roman" w:eastAsia="Times New Roman" w:hint="default"/>
                <w:sz w:val="18"/>
                <w:szCs w:val="18"/>
              </w:rPr>
              <w:t>2022-10-1</w:t>
            </w:r>
          </w:p>
        </w:tc>
      </w:tr>
      <w:tr>
        <w:trPr>
          <w:trHeight w:val="661" w:hRule="exact"/>
        </w:trPr>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86" w:right="84"/>
              <w:jc w:val="left"/>
              <w:rPr>
                <w:rFonts w:ascii="宋体" w:hAnsi="宋体" w:cs="宋体" w:eastAsia="宋体" w:hint="default"/>
                <w:sz w:val="18"/>
                <w:szCs w:val="18"/>
              </w:rPr>
            </w:pPr>
            <w:r>
              <w:rPr>
                <w:rFonts w:ascii="宋体" w:hAnsi="宋体" w:cs="宋体" w:eastAsia="宋体" w:hint="default"/>
                <w:sz w:val="18"/>
                <w:szCs w:val="18"/>
              </w:rPr>
              <w:t>帕思 菲特</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诸萌</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深圳市福田区深南大道中国有色大厦</w:t>
            </w:r>
            <w:r>
              <w:rPr>
                <w:rFonts w:ascii="Times New Roman" w:hAnsi="Times New Roman" w:cs="Times New Roman" w:eastAsia="Times New Roman" w:hint="default"/>
                <w:sz w:val="18"/>
                <w:szCs w:val="18"/>
              </w:rPr>
              <w:t>903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85.11</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2019-10-1</w:t>
            </w:r>
            <w:r>
              <w:rPr>
                <w:rFonts w:ascii="宋体" w:hAnsi="宋体" w:cs="宋体" w:eastAsia="宋体" w:hint="default"/>
                <w:sz w:val="18"/>
                <w:szCs w:val="18"/>
              </w:rPr>
              <w:t>至</w:t>
            </w:r>
            <w:r>
              <w:rPr>
                <w:rFonts w:ascii="Times New Roman" w:hAnsi="Times New Roman" w:cs="Times New Roman" w:eastAsia="Times New Roman" w:hint="default"/>
                <w:sz w:val="18"/>
                <w:szCs w:val="18"/>
              </w:rPr>
              <w:t>2022-10-1</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p>
      <w:pPr>
        <w:pStyle w:val="BodyText"/>
        <w:spacing w:line="240" w:lineRule="auto"/>
        <w:ind w:right="1133"/>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133"/>
        <w:jc w:val="left"/>
      </w:pPr>
      <w:r>
        <w:rPr/>
        <w:t>公司报告期不存在为公司带来的损益达到公司报告期利润总额</w:t>
      </w:r>
      <w:r>
        <w:rPr>
          <w:spacing w:val="-43"/>
        </w:rPr>
        <w:t> </w:t>
      </w:r>
      <w:r>
        <w:rPr>
          <w:rFonts w:ascii="Times New Roman" w:hAnsi="Times New Roman" w:cs="Times New Roman" w:eastAsia="Times New Roman" w:hint="default"/>
        </w:rPr>
        <w:t>10%</w:t>
      </w:r>
      <w:r>
        <w:rPr/>
        <w:t>以上的租赁项目。</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8"/>
        <w:rPr>
          <w:rFonts w:ascii="宋体" w:hAnsi="宋体" w:cs="宋体" w:eastAsia="宋体" w:hint="default"/>
          <w:sz w:val="21"/>
          <w:szCs w:val="21"/>
        </w:rPr>
      </w:pPr>
    </w:p>
    <w:p>
      <w:pPr>
        <w:pStyle w:val="Heading3"/>
        <w:spacing w:line="240" w:lineRule="auto"/>
        <w:ind w:right="1133"/>
        <w:jc w:val="left"/>
        <w:rPr>
          <w:b w:val="0"/>
          <w:bCs w:val="0"/>
        </w:rPr>
      </w:pPr>
      <w:bookmarkStart w:name="3、委托他人进行现金资产管理情况" w:id="91"/>
      <w:bookmarkEnd w:id="91"/>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委托理财情况" w:id="92"/>
      <w:bookmarkEnd w:id="92"/>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3" w:space="6787"/>
            <w:col w:w="219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1"/>
        <w:gridCol w:w="1846"/>
      </w:tblGrid>
      <w:tr>
        <w:trPr>
          <w:trHeight w:val="403"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自有资金理财</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募集资金理财</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10,700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1133"/>
        <w:jc w:val="left"/>
      </w:pPr>
      <w:r>
        <w:rPr/>
        <w:t>单项金额重大或安全性较低、流动性较差、不保本的高风险委托理财具体情况</w:t>
      </w:r>
    </w:p>
    <w:p>
      <w:pPr>
        <w:pStyle w:val="BodyText"/>
        <w:spacing w:line="338" w:lineRule="auto" w:before="117"/>
        <w:ind w:right="5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委托理财出现预期无法收回本金或存在其他可能导致减值的情形</w:t>
      </w:r>
    </w:p>
    <w:p>
      <w:pPr>
        <w:pStyle w:val="BodyText"/>
        <w:spacing w:line="240" w:lineRule="auto" w:before="4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委托贷款情况" w:id="93"/>
      <w:bookmarkEnd w:id="93"/>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公司报告期不存在委托贷款。</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4、其他重大合同" w:id="94"/>
      <w:bookmarkEnd w:id="94"/>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十七、社会责任情况" w:id="95"/>
      <w:bookmarkEnd w:id="95"/>
      <w:r>
        <w:rPr>
          <w:b w:val="0"/>
          <w:bCs w:val="0"/>
        </w:rPr>
      </w: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履行社会责任情况" w:id="96"/>
      <w:bookmarkEnd w:id="96"/>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133" w:firstLine="360"/>
        <w:jc w:val="both"/>
      </w:pPr>
      <w:r>
        <w:rPr>
          <w:spacing w:val="-2"/>
        </w:rPr>
        <w:t>公司自成立以来，一直积极履行企业社会责任，建立健全公司内部管理和控制制度，组织协调各职能部门工作，持续深</w:t>
      </w:r>
      <w:r>
        <w:rPr/>
        <w:t> 入开展公司治理活动，促进了公司规范运作，提高了公司治理水平。</w:t>
      </w:r>
    </w:p>
    <w:p>
      <w:pPr>
        <w:pStyle w:val="BodyText"/>
        <w:spacing w:line="316" w:lineRule="auto" w:before="58"/>
        <w:ind w:right="1130" w:firstLine="360"/>
        <w:jc w:val="both"/>
      </w:pPr>
      <w:r>
        <w:rPr>
          <w:spacing w:val="-2"/>
        </w:rPr>
        <w:t>公司严格按照《公司法》、《深圳证券交易所创业板股票上市规则》、《上市公司信息披露管理办法》等相关法律法规</w:t>
      </w:r>
      <w:r>
        <w:rPr/>
        <w:t> </w:t>
      </w:r>
      <w:r>
        <w:rPr>
          <w:spacing w:val="-2"/>
        </w:rPr>
        <w:t>的要求，及时、准确、真实、完整地进行信息披露，通过投资者电话、电子邮箱、公司网站和投资者关系互动平台等多种方</w:t>
      </w:r>
      <w:r>
        <w:rPr>
          <w:spacing w:val="-70"/>
        </w:rPr>
        <w:t> </w:t>
      </w:r>
      <w:r>
        <w:rPr>
          <w:spacing w:val="-70"/>
        </w:rPr>
      </w:r>
      <w:r>
        <w:rPr>
          <w:spacing w:val="-2"/>
        </w:rPr>
        <w:t>式与投资者进行沟通交流，提高了公司的透明度和诚信度。公司非常重视对投资者的合理回报，制定了相对稳定的利润分配</w:t>
      </w:r>
      <w:r>
        <w:rPr>
          <w:spacing w:val="-63"/>
        </w:rPr>
        <w:t> </w:t>
      </w:r>
      <w:r>
        <w:rPr>
          <w:spacing w:val="-63"/>
        </w:rPr>
      </w:r>
      <w:r>
        <w:rPr/>
        <w:t>政策和分红方案以回报股东。</w:t>
      </w:r>
    </w:p>
    <w:p>
      <w:pPr>
        <w:pStyle w:val="BodyText"/>
        <w:spacing w:line="316" w:lineRule="auto" w:before="59"/>
        <w:ind w:right="1034" w:firstLine="360"/>
        <w:jc w:val="left"/>
      </w:pPr>
      <w:r>
        <w:rPr/>
        <w:t>报告期内，公司严格遵守《劳动法》等有关法律法规的规定，与所有员工签订《劳动合同》，为员工办理医疗、养老、 </w:t>
      </w:r>
      <w:r>
        <w:rPr>
          <w:spacing w:val="-2"/>
        </w:rPr>
        <w:t>失业、工伤、生育等社会保险，依法为员工缴纳保险费用。公司通过企业的发展，不断改善员工的工作环境、工作条件，通</w:t>
      </w:r>
      <w:r>
        <w:rPr>
          <w:spacing w:val="-73"/>
        </w:rPr>
        <w:t> </w:t>
      </w:r>
      <w:r>
        <w:rPr>
          <w:spacing w:val="-73"/>
        </w:rPr>
      </w:r>
      <w:r>
        <w:rPr>
          <w:spacing w:val="-2"/>
        </w:rPr>
        <w:t>过多种途径和渠道提高员工社会生存综合能力，为员工创造、提供广阔的发展平台和施展个人才华的机会，促进员工与企业</w:t>
      </w:r>
      <w:r>
        <w:rPr>
          <w:spacing w:val="-63"/>
        </w:rPr>
        <w:t> </w:t>
      </w:r>
      <w:r>
        <w:rPr>
          <w:spacing w:val="-63"/>
        </w:rPr>
      </w:r>
      <w:r>
        <w:rPr/>
        <w:t>的共同进步。</w:t>
      </w:r>
    </w:p>
    <w:p>
      <w:pPr>
        <w:pStyle w:val="BodyText"/>
        <w:spacing w:line="316" w:lineRule="auto" w:before="57"/>
        <w:ind w:right="1130" w:firstLine="360"/>
        <w:jc w:val="both"/>
      </w:pPr>
      <w:r>
        <w:rPr>
          <w:spacing w:val="-2"/>
        </w:rPr>
        <w:t>公司始终将依法经营作为公司运行的基本原则，注重企业经济效益与社会效益的同步共赢。公司严格遵守国家法律、法</w:t>
      </w:r>
      <w:r>
        <w:rPr/>
        <w:t> 规、政策的规定，始终依法经营，积极纳税，发展就业岗位，支持地方经济的发展。</w:t>
      </w:r>
    </w:p>
    <w:p>
      <w:pPr>
        <w:pStyle w:val="BodyText"/>
        <w:spacing w:line="309" w:lineRule="auto" w:before="60"/>
        <w:ind w:right="1131" w:firstLine="36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14</w:t>
      </w:r>
      <w:r>
        <w:rPr>
          <w:spacing w:val="-2"/>
        </w:rPr>
        <w:t>日至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18</w:t>
      </w:r>
      <w:r>
        <w:rPr>
          <w:spacing w:val="-2"/>
        </w:rPr>
        <w:t>日，在深圳市南山区委的组织和带领下，公司派出代表前往广西壮族自治区百色市田阳</w:t>
      </w:r>
      <w:r>
        <w:rPr/>
        <w:t> </w:t>
      </w:r>
      <w:r>
        <w:rPr>
          <w:spacing w:val="-2"/>
        </w:rPr>
        <w:t>县、德保县，对接产业合作及开展贫困村结对帮扶工作。走访期间，代表团深入田间地头、走访蔬菜果园基地、了解农林业</w:t>
      </w:r>
      <w:r>
        <w:rPr>
          <w:spacing w:val="-68"/>
        </w:rPr>
        <w:t> </w:t>
      </w:r>
      <w:r>
        <w:rPr>
          <w:spacing w:val="-68"/>
        </w:rPr>
      </w:r>
      <w:r>
        <w:rPr/>
        <w:t>生产情况、结对贫困村、慰问贫困家庭，共同协商帮扶对策。</w:t>
      </w:r>
    </w:p>
    <w:p>
      <w:pPr>
        <w:spacing w:line="240" w:lineRule="auto" w:before="3"/>
        <w:rPr>
          <w:rFonts w:ascii="宋体" w:hAnsi="宋体" w:cs="宋体" w:eastAsia="宋体" w:hint="default"/>
          <w:sz w:val="23"/>
          <w:szCs w:val="23"/>
        </w:rPr>
      </w:pPr>
    </w:p>
    <w:p>
      <w:pPr>
        <w:pStyle w:val="Heading3"/>
        <w:spacing w:line="240" w:lineRule="auto"/>
        <w:ind w:right="1133"/>
        <w:jc w:val="left"/>
        <w:rPr>
          <w:b w:val="0"/>
          <w:bCs w:val="0"/>
        </w:rPr>
      </w:pPr>
      <w:bookmarkStart w:name="2、履行精准扶贫社会责任情况" w:id="97"/>
      <w:bookmarkEnd w:id="97"/>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环境保护相关的情况" w:id="98"/>
      <w:bookmarkEnd w:id="98"/>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5714"/>
        <w:jc w:val="left"/>
      </w:pPr>
      <w:r>
        <w:rPr/>
        <w:t>上市公司及其子公司是否属于环境保护部门公布的重点排污单位 否</w:t>
      </w:r>
    </w:p>
    <w:p>
      <w:pPr>
        <w:pStyle w:val="BodyText"/>
        <w:spacing w:line="316" w:lineRule="auto" w:before="25"/>
        <w:ind w:right="0"/>
        <w:jc w:val="left"/>
      </w:pPr>
      <w:r>
        <w:rPr>
          <w:spacing w:val="-4"/>
        </w:rPr>
        <w:t>公司及子公司均不属于环保部门公布的重点排污单位。公司注重履行企业环境保护的职责，在生产经营活动中，无三废排放，</w:t>
      </w:r>
      <w:r>
        <w:rPr>
          <w:spacing w:val="-44"/>
        </w:rPr>
        <w:t> </w:t>
      </w:r>
      <w:r>
        <w:rPr>
          <w:spacing w:val="-44"/>
        </w:rPr>
      </w:r>
      <w:r>
        <w:rPr/>
        <w:t>不属于环境保护部门公布的重点排污单位。</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bookmarkStart w:name="十八、其他重大事项的说明" w:id="99"/>
      <w:bookmarkEnd w:id="99"/>
      <w:r>
        <w:rPr>
          <w:b w:val="0"/>
          <w:bCs w:val="0"/>
        </w:rPr>
      </w: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8"/>
        <w:rPr>
          <w:rFonts w:ascii="宋体" w:hAnsi="宋体" w:cs="宋体" w:eastAsia="宋体" w:hint="default"/>
          <w:sz w:val="8"/>
          <w:szCs w:val="8"/>
        </w:rPr>
      </w:pPr>
    </w:p>
    <w:tbl>
      <w:tblPr>
        <w:tblW w:w="0" w:type="auto"/>
        <w:jc w:val="left"/>
        <w:tblInd w:w="150" w:type="dxa"/>
        <w:tblLayout w:type="fixed"/>
        <w:tblCellMar>
          <w:top w:w="0" w:type="dxa"/>
          <w:left w:w="0" w:type="dxa"/>
          <w:bottom w:w="0" w:type="dxa"/>
          <w:right w:w="0" w:type="dxa"/>
        </w:tblCellMar>
        <w:tblLook w:val="01E0"/>
      </w:tblPr>
      <w:tblGrid>
        <w:gridCol w:w="5241"/>
        <w:gridCol w:w="1543"/>
        <w:gridCol w:w="2842"/>
      </w:tblGrid>
      <w:tr>
        <w:trPr>
          <w:trHeight w:val="324" w:hRule="exact"/>
        </w:trPr>
        <w:tc>
          <w:tcPr>
            <w:tcW w:w="52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1"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15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2" w:right="0"/>
              <w:jc w:val="center"/>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8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693" w:right="0"/>
              <w:jc w:val="left"/>
              <w:rPr>
                <w:rFonts w:ascii="宋体" w:hAnsi="宋体" w:cs="宋体" w:eastAsia="宋体" w:hint="default"/>
                <w:sz w:val="18"/>
                <w:szCs w:val="18"/>
              </w:rPr>
            </w:pPr>
            <w:r>
              <w:rPr>
                <w:rFonts w:ascii="宋体" w:hAnsi="宋体" w:cs="宋体" w:eastAsia="宋体" w:hint="default"/>
                <w:sz w:val="18"/>
                <w:szCs w:val="18"/>
              </w:rPr>
              <w:t>临时公告披露索引</w:t>
            </w:r>
          </w:p>
        </w:tc>
      </w:tr>
      <w:tr>
        <w:trPr>
          <w:trHeight w:val="353" w:hRule="exact"/>
        </w:trPr>
        <w:tc>
          <w:tcPr>
            <w:tcW w:w="5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关于对深圳证券交易所重组问询函的回复公告</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巨潮资讯网，公告编号：</w:t>
            </w:r>
            <w:r>
              <w:rPr>
                <w:rFonts w:ascii="Times New Roman" w:hAnsi="Times New Roman" w:cs="Times New Roman" w:eastAsia="Times New Roman" w:hint="default"/>
                <w:sz w:val="18"/>
                <w:szCs w:val="18"/>
              </w:rPr>
              <w:t>2019-003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50" w:type="dxa"/>
        <w:tblLayout w:type="fixed"/>
        <w:tblCellMar>
          <w:top w:w="0" w:type="dxa"/>
          <w:left w:w="0" w:type="dxa"/>
          <w:bottom w:w="0" w:type="dxa"/>
          <w:right w:w="0" w:type="dxa"/>
        </w:tblCellMar>
        <w:tblLook w:val="01E0"/>
      </w:tblPr>
      <w:tblGrid>
        <w:gridCol w:w="5241"/>
        <w:gridCol w:w="1543"/>
        <w:gridCol w:w="2842"/>
      </w:tblGrid>
      <w:tr>
        <w:trPr>
          <w:trHeight w:val="660" w:hRule="exact"/>
        </w:trPr>
        <w:tc>
          <w:tcPr>
            <w:tcW w:w="524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4" w:right="1"/>
              <w:jc w:val="left"/>
              <w:rPr>
                <w:rFonts w:ascii="宋体" w:hAnsi="宋体" w:cs="宋体" w:eastAsia="宋体" w:hint="default"/>
                <w:sz w:val="18"/>
                <w:szCs w:val="18"/>
              </w:rPr>
            </w:pPr>
            <w:r>
              <w:rPr>
                <w:rFonts w:ascii="宋体" w:hAnsi="宋体" w:cs="宋体" w:eastAsia="宋体" w:hint="default"/>
                <w:sz w:val="18"/>
                <w:szCs w:val="18"/>
              </w:rPr>
              <w:t>关于发行股份及支付现金购买资产并募集配套资金暨关联交易预案 修订说明的公告</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巨潮资讯网，公告编号：</w:t>
            </w:r>
            <w:r>
              <w:rPr>
                <w:rFonts w:ascii="Times New Roman" w:hAnsi="Times New Roman" w:cs="Times New Roman" w:eastAsia="Times New Roman" w:hint="default"/>
                <w:sz w:val="18"/>
                <w:szCs w:val="18"/>
              </w:rPr>
              <w:t>2019-004</w:t>
            </w:r>
          </w:p>
        </w:tc>
      </w:tr>
      <w:tr>
        <w:trPr>
          <w:trHeight w:val="346" w:hRule="exact"/>
        </w:trPr>
        <w:tc>
          <w:tcPr>
            <w:tcW w:w="5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关于获得政府补助的公告</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巨潮资讯网，公告编号：</w:t>
            </w:r>
            <w:r>
              <w:rPr>
                <w:rFonts w:ascii="Times New Roman" w:hAnsi="Times New Roman" w:cs="Times New Roman" w:eastAsia="Times New Roman" w:hint="default"/>
                <w:sz w:val="18"/>
                <w:szCs w:val="18"/>
              </w:rPr>
              <w:t>2019-006</w:t>
            </w:r>
          </w:p>
        </w:tc>
      </w:tr>
      <w:tr>
        <w:trPr>
          <w:trHeight w:val="348" w:hRule="exact"/>
        </w:trPr>
        <w:tc>
          <w:tcPr>
            <w:tcW w:w="5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关于持股</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以上股东股份减持计划的预披露公告</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巨潮资讯网，公告编号：</w:t>
            </w:r>
            <w:r>
              <w:rPr>
                <w:rFonts w:ascii="Times New Roman" w:hAnsi="Times New Roman" w:cs="Times New Roman" w:eastAsia="Times New Roman" w:hint="default"/>
                <w:sz w:val="18"/>
                <w:szCs w:val="18"/>
              </w:rPr>
              <w:t>2019-007</w:t>
            </w:r>
          </w:p>
        </w:tc>
      </w:tr>
      <w:tr>
        <w:trPr>
          <w:trHeight w:val="346" w:hRule="exact"/>
        </w:trPr>
        <w:tc>
          <w:tcPr>
            <w:tcW w:w="5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关于变更公司财务负责人的公告</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巨潮资讯网，公告编号：</w:t>
            </w:r>
            <w:r>
              <w:rPr>
                <w:rFonts w:ascii="Times New Roman" w:hAnsi="Times New Roman" w:cs="Times New Roman" w:eastAsia="Times New Roman" w:hint="default"/>
                <w:sz w:val="18"/>
                <w:szCs w:val="18"/>
              </w:rPr>
              <w:t>2019-011</w:t>
            </w:r>
          </w:p>
        </w:tc>
      </w:tr>
      <w:tr>
        <w:trPr>
          <w:trHeight w:val="348" w:hRule="exact"/>
        </w:trPr>
        <w:tc>
          <w:tcPr>
            <w:tcW w:w="5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关于持股</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以上股东减持比例达到</w:t>
            </w:r>
            <w:r>
              <w:rPr>
                <w:rFonts w:ascii="Times New Roman" w:hAnsi="Times New Roman" w:cs="Times New Roman" w:eastAsia="Times New Roman" w:hint="default"/>
                <w:sz w:val="18"/>
                <w:szCs w:val="18"/>
              </w:rPr>
              <w:t>1%</w:t>
            </w:r>
            <w:r>
              <w:rPr>
                <w:rFonts w:ascii="宋体" w:hAnsi="宋体" w:cs="宋体" w:eastAsia="宋体" w:hint="default"/>
                <w:sz w:val="18"/>
                <w:szCs w:val="18"/>
              </w:rPr>
              <w:t>的公告</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巨潮资讯网，公告编号：</w:t>
            </w:r>
            <w:r>
              <w:rPr>
                <w:rFonts w:ascii="Times New Roman" w:hAnsi="Times New Roman" w:cs="Times New Roman" w:eastAsia="Times New Roman" w:hint="default"/>
                <w:sz w:val="18"/>
                <w:szCs w:val="18"/>
              </w:rPr>
              <w:t>2019-012</w:t>
            </w:r>
          </w:p>
        </w:tc>
      </w:tr>
      <w:tr>
        <w:trPr>
          <w:trHeight w:val="346" w:hRule="exact"/>
        </w:trPr>
        <w:tc>
          <w:tcPr>
            <w:tcW w:w="5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关于公司股东股票质押式回购解除的公告</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巨潮资讯网，公告编号：</w:t>
            </w:r>
            <w:r>
              <w:rPr>
                <w:rFonts w:ascii="Times New Roman" w:hAnsi="Times New Roman" w:cs="Times New Roman" w:eastAsia="Times New Roman" w:hint="default"/>
                <w:sz w:val="18"/>
                <w:szCs w:val="18"/>
              </w:rPr>
              <w:t>2019-014</w:t>
            </w:r>
          </w:p>
        </w:tc>
      </w:tr>
      <w:tr>
        <w:trPr>
          <w:trHeight w:val="348" w:hRule="exact"/>
        </w:trPr>
        <w:tc>
          <w:tcPr>
            <w:tcW w:w="5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关于续聘公司</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年度审计机构的公告</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巨潮资讯网，公告编号：</w:t>
            </w:r>
            <w:r>
              <w:rPr>
                <w:rFonts w:ascii="Times New Roman" w:hAnsi="Times New Roman" w:cs="Times New Roman" w:eastAsia="Times New Roman" w:hint="default"/>
                <w:sz w:val="18"/>
                <w:szCs w:val="18"/>
              </w:rPr>
              <w:t>2019-034</w:t>
            </w:r>
          </w:p>
        </w:tc>
      </w:tr>
      <w:tr>
        <w:trPr>
          <w:trHeight w:val="348" w:hRule="exact"/>
        </w:trPr>
        <w:tc>
          <w:tcPr>
            <w:tcW w:w="5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关于公司与全资子公司为银行授信互相提供担保的公告</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巨潮资讯网，公告编号：</w:t>
            </w:r>
            <w:r>
              <w:rPr>
                <w:rFonts w:ascii="Times New Roman" w:hAnsi="Times New Roman" w:cs="Times New Roman" w:eastAsia="Times New Roman" w:hint="default"/>
                <w:sz w:val="18"/>
                <w:szCs w:val="18"/>
              </w:rPr>
              <w:t>2019-041</w:t>
            </w:r>
          </w:p>
        </w:tc>
      </w:tr>
      <w:tr>
        <w:trPr>
          <w:trHeight w:val="346" w:hRule="exact"/>
        </w:trPr>
        <w:tc>
          <w:tcPr>
            <w:tcW w:w="5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年度计提资产减值准备及资产核销的公告</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巨潮资讯网，公告编号：</w:t>
            </w:r>
            <w:r>
              <w:rPr>
                <w:rFonts w:ascii="Times New Roman" w:hAnsi="Times New Roman" w:cs="Times New Roman" w:eastAsia="Times New Roman" w:hint="default"/>
                <w:sz w:val="18"/>
                <w:szCs w:val="18"/>
              </w:rPr>
              <w:t>2019-042</w:t>
            </w:r>
          </w:p>
        </w:tc>
      </w:tr>
      <w:tr>
        <w:trPr>
          <w:trHeight w:val="348" w:hRule="exact"/>
        </w:trPr>
        <w:tc>
          <w:tcPr>
            <w:tcW w:w="5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关于公司会计政策变更的公告</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巨潮资讯网，公告编号：</w:t>
            </w:r>
            <w:r>
              <w:rPr>
                <w:rFonts w:ascii="Times New Roman" w:hAnsi="Times New Roman" w:cs="Times New Roman" w:eastAsia="Times New Roman" w:hint="default"/>
                <w:sz w:val="18"/>
                <w:szCs w:val="18"/>
              </w:rPr>
              <w:t>2019-053</w:t>
            </w:r>
          </w:p>
        </w:tc>
      </w:tr>
      <w:tr>
        <w:trPr>
          <w:trHeight w:val="346" w:hRule="exact"/>
        </w:trPr>
        <w:tc>
          <w:tcPr>
            <w:tcW w:w="5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关于持股</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以上股东股份减持计划实施进展的公告</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巨潮资讯网，公告编号：</w:t>
            </w:r>
            <w:r>
              <w:rPr>
                <w:rFonts w:ascii="Times New Roman" w:hAnsi="Times New Roman" w:cs="Times New Roman" w:eastAsia="Times New Roman" w:hint="default"/>
                <w:sz w:val="18"/>
                <w:szCs w:val="18"/>
              </w:rPr>
              <w:t>2019-055</w:t>
            </w:r>
          </w:p>
        </w:tc>
      </w:tr>
      <w:tr>
        <w:trPr>
          <w:trHeight w:val="348" w:hRule="exact"/>
        </w:trPr>
        <w:tc>
          <w:tcPr>
            <w:tcW w:w="5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关于深圳市瑞柏泰电子有限公司业绩承诺补偿完成的公告</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巨潮资讯网，公告编号：</w:t>
            </w:r>
            <w:r>
              <w:rPr>
                <w:rFonts w:ascii="Times New Roman" w:hAnsi="Times New Roman" w:cs="Times New Roman" w:eastAsia="Times New Roman" w:hint="default"/>
                <w:sz w:val="18"/>
                <w:szCs w:val="18"/>
              </w:rPr>
              <w:t>2019-057</w:t>
            </w:r>
          </w:p>
        </w:tc>
      </w:tr>
      <w:tr>
        <w:trPr>
          <w:trHeight w:val="348" w:hRule="exact"/>
        </w:trPr>
        <w:tc>
          <w:tcPr>
            <w:tcW w:w="5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关于持股</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以上股东减持比例达到</w:t>
            </w:r>
            <w:r>
              <w:rPr>
                <w:rFonts w:ascii="Times New Roman" w:hAnsi="Times New Roman" w:cs="Times New Roman" w:eastAsia="Times New Roman" w:hint="default"/>
                <w:sz w:val="18"/>
                <w:szCs w:val="18"/>
              </w:rPr>
              <w:t>1%</w:t>
            </w:r>
            <w:r>
              <w:rPr>
                <w:rFonts w:ascii="宋体" w:hAnsi="宋体" w:cs="宋体" w:eastAsia="宋体" w:hint="default"/>
                <w:sz w:val="18"/>
                <w:szCs w:val="18"/>
              </w:rPr>
              <w:t>的公告</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巨潮资讯网，公告编号：</w:t>
            </w:r>
            <w:r>
              <w:rPr>
                <w:rFonts w:ascii="Times New Roman" w:hAnsi="Times New Roman" w:cs="Times New Roman" w:eastAsia="Times New Roman" w:hint="default"/>
                <w:sz w:val="18"/>
                <w:szCs w:val="18"/>
              </w:rPr>
              <w:t>2019-062</w:t>
            </w:r>
          </w:p>
        </w:tc>
      </w:tr>
      <w:tr>
        <w:trPr>
          <w:trHeight w:val="346" w:hRule="exact"/>
        </w:trPr>
        <w:tc>
          <w:tcPr>
            <w:tcW w:w="5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第三届董事会第十一次会议决议公告</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巨潮资讯网，公告编号：</w:t>
            </w:r>
            <w:r>
              <w:rPr>
                <w:rFonts w:ascii="Times New Roman" w:hAnsi="Times New Roman" w:cs="Times New Roman" w:eastAsia="Times New Roman" w:hint="default"/>
                <w:sz w:val="18"/>
                <w:szCs w:val="18"/>
              </w:rPr>
              <w:t>2019-066</w:t>
            </w:r>
          </w:p>
        </w:tc>
      </w:tr>
      <w:tr>
        <w:trPr>
          <w:trHeight w:val="972" w:hRule="exact"/>
        </w:trPr>
        <w:tc>
          <w:tcPr>
            <w:tcW w:w="5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简式权益变动报告书（深圳市中洲创业投资有限公司）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20"/>
              <w:ind w:left="4" w:right="8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53">
              <w:r>
                <w:rPr>
                  <w:rFonts w:ascii="Times New Roman" w:hAnsi="Times New Roman" w:cs="Times New Roman" w:eastAsia="Times New Roman" w:hint="default"/>
                  <w:sz w:val="18"/>
                  <w:szCs w:val="18"/>
                </w:rPr>
                <w:t>http://static.cninfo.com.cn/finalpage/2</w:t>
              </w:r>
            </w:hyperlink>
            <w:r>
              <w:rPr>
                <w:rFonts w:ascii="Times New Roman" w:hAnsi="Times New Roman" w:cs="Times New Roman" w:eastAsia="Times New Roman" w:hint="default"/>
                <w:sz w:val="18"/>
                <w:szCs w:val="18"/>
              </w:rPr>
              <w:t> 019-06-13/1206349435.PDF</w:t>
            </w:r>
          </w:p>
        </w:tc>
      </w:tr>
      <w:tr>
        <w:trPr>
          <w:trHeight w:val="346" w:hRule="exact"/>
        </w:trPr>
        <w:tc>
          <w:tcPr>
            <w:tcW w:w="5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关于对深圳证券交易所重组问询函的回复公告</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巨潮资讯网，公告编号：</w:t>
            </w:r>
            <w:r>
              <w:rPr>
                <w:rFonts w:ascii="Times New Roman" w:hAnsi="Times New Roman" w:cs="Times New Roman" w:eastAsia="Times New Roman" w:hint="default"/>
                <w:sz w:val="18"/>
                <w:szCs w:val="18"/>
              </w:rPr>
              <w:t>2019-073</w:t>
            </w:r>
          </w:p>
        </w:tc>
      </w:tr>
      <w:tr>
        <w:trPr>
          <w:trHeight w:val="348" w:hRule="exact"/>
        </w:trPr>
        <w:tc>
          <w:tcPr>
            <w:tcW w:w="5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年第一次临时股东大会决议公告</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巨潮资讯网，公告编号：</w:t>
            </w:r>
            <w:r>
              <w:rPr>
                <w:rFonts w:ascii="Times New Roman" w:hAnsi="Times New Roman" w:cs="Times New Roman" w:eastAsia="Times New Roman" w:hint="default"/>
                <w:sz w:val="18"/>
                <w:szCs w:val="18"/>
              </w:rPr>
              <w:t>2019-074</w:t>
            </w:r>
          </w:p>
        </w:tc>
      </w:tr>
      <w:tr>
        <w:trPr>
          <w:trHeight w:val="346" w:hRule="exact"/>
        </w:trPr>
        <w:tc>
          <w:tcPr>
            <w:tcW w:w="5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关于持股</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以上股东股份减持计划期限届满的公告</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巨潮资讯网，公告编号：</w:t>
            </w:r>
            <w:r>
              <w:rPr>
                <w:rFonts w:ascii="Times New Roman" w:hAnsi="Times New Roman" w:cs="Times New Roman" w:eastAsia="Times New Roman" w:hint="default"/>
                <w:sz w:val="18"/>
                <w:szCs w:val="18"/>
              </w:rPr>
              <w:t>2019-084</w:t>
            </w:r>
          </w:p>
        </w:tc>
      </w:tr>
      <w:tr>
        <w:trPr>
          <w:trHeight w:val="348" w:hRule="exact"/>
        </w:trPr>
        <w:tc>
          <w:tcPr>
            <w:tcW w:w="5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首次公开发行前已发行股份上市流通提示性公告</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巨潮资讯网，公告编号：</w:t>
            </w:r>
            <w:r>
              <w:rPr>
                <w:rFonts w:ascii="Times New Roman" w:hAnsi="Times New Roman" w:cs="Times New Roman" w:eastAsia="Times New Roman" w:hint="default"/>
                <w:sz w:val="18"/>
                <w:szCs w:val="18"/>
              </w:rPr>
              <w:t>2019-086</w:t>
            </w:r>
          </w:p>
        </w:tc>
      </w:tr>
      <w:tr>
        <w:trPr>
          <w:trHeight w:val="348" w:hRule="exact"/>
        </w:trPr>
        <w:tc>
          <w:tcPr>
            <w:tcW w:w="5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关于公司会计政策变更的公告</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巨潮资讯网，公告编号：</w:t>
            </w:r>
            <w:r>
              <w:rPr>
                <w:rFonts w:ascii="Times New Roman" w:hAnsi="Times New Roman" w:cs="Times New Roman" w:eastAsia="Times New Roman" w:hint="default"/>
                <w:sz w:val="18"/>
                <w:szCs w:val="18"/>
              </w:rPr>
              <w:t>2019-093</w:t>
            </w:r>
          </w:p>
        </w:tc>
      </w:tr>
      <w:tr>
        <w:trPr>
          <w:trHeight w:val="346" w:hRule="exact"/>
        </w:trPr>
        <w:tc>
          <w:tcPr>
            <w:tcW w:w="5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1-6</w:t>
            </w:r>
            <w:r>
              <w:rPr>
                <w:rFonts w:ascii="宋体" w:hAnsi="宋体" w:cs="宋体" w:eastAsia="宋体" w:hint="default"/>
                <w:sz w:val="18"/>
                <w:szCs w:val="18"/>
              </w:rPr>
              <w:t>月计提资产减值准备及资产核销的公告</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巨潮资讯网，公告编号：</w:t>
            </w:r>
            <w:r>
              <w:rPr>
                <w:rFonts w:ascii="Times New Roman" w:hAnsi="Times New Roman" w:cs="Times New Roman" w:eastAsia="Times New Roman" w:hint="default"/>
                <w:sz w:val="18"/>
                <w:szCs w:val="18"/>
              </w:rPr>
              <w:t>2019-094</w:t>
            </w:r>
          </w:p>
        </w:tc>
      </w:tr>
      <w:tr>
        <w:trPr>
          <w:trHeight w:val="348" w:hRule="exact"/>
        </w:trPr>
        <w:tc>
          <w:tcPr>
            <w:tcW w:w="5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关于控股股东股份质押的公告</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巨潮资讯网，公告编号：</w:t>
            </w:r>
            <w:r>
              <w:rPr>
                <w:rFonts w:ascii="Times New Roman" w:hAnsi="Times New Roman" w:cs="Times New Roman" w:eastAsia="Times New Roman" w:hint="default"/>
                <w:sz w:val="18"/>
                <w:szCs w:val="18"/>
              </w:rPr>
              <w:t>2019-096</w:t>
            </w:r>
          </w:p>
        </w:tc>
      </w:tr>
      <w:tr>
        <w:trPr>
          <w:trHeight w:val="346" w:hRule="exact"/>
        </w:trPr>
        <w:tc>
          <w:tcPr>
            <w:tcW w:w="5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关于控股股东股份解除质押的公告</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巨潮资讯网，公告编号：</w:t>
            </w:r>
            <w:r>
              <w:rPr>
                <w:rFonts w:ascii="Times New Roman" w:hAnsi="Times New Roman" w:cs="Times New Roman" w:eastAsia="Times New Roman" w:hint="default"/>
                <w:sz w:val="18"/>
                <w:szCs w:val="18"/>
              </w:rPr>
              <w:t>2019-098</w:t>
            </w:r>
          </w:p>
        </w:tc>
      </w:tr>
      <w:tr>
        <w:trPr>
          <w:trHeight w:val="972" w:hRule="exact"/>
        </w:trPr>
        <w:tc>
          <w:tcPr>
            <w:tcW w:w="52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both"/>
              <w:rPr>
                <w:rFonts w:ascii="宋体" w:hAnsi="宋体" w:cs="宋体" w:eastAsia="宋体" w:hint="default"/>
                <w:sz w:val="18"/>
                <w:szCs w:val="18"/>
              </w:rPr>
            </w:pPr>
            <w:r>
              <w:rPr>
                <w:rFonts w:ascii="宋体" w:hAnsi="宋体" w:cs="宋体" w:eastAsia="宋体" w:hint="default"/>
                <w:sz w:val="18"/>
                <w:szCs w:val="18"/>
              </w:rPr>
              <w:t>关于公司发行股份及支付现金购买资产并募集配套资金暨关联交易 事项获得中国证监会上市公司并购重组审核委员会审核无条件通过 暨公司股票复牌的公告</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巨潮资讯网，公告编号：</w:t>
            </w:r>
            <w:r>
              <w:rPr>
                <w:rFonts w:ascii="Times New Roman" w:hAnsi="Times New Roman" w:cs="Times New Roman" w:eastAsia="Times New Roman" w:hint="default"/>
                <w:sz w:val="18"/>
                <w:szCs w:val="18"/>
              </w:rPr>
              <w:t>2019-111</w:t>
            </w:r>
          </w:p>
        </w:tc>
      </w:tr>
      <w:tr>
        <w:trPr>
          <w:trHeight w:val="348" w:hRule="exact"/>
        </w:trPr>
        <w:tc>
          <w:tcPr>
            <w:tcW w:w="5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关于中标农业银行传统有线及智能手持</w:t>
            </w:r>
            <w:r>
              <w:rPr>
                <w:rFonts w:ascii="Times New Roman" w:hAnsi="Times New Roman" w:cs="Times New Roman" w:eastAsia="Times New Roman" w:hint="default"/>
                <w:sz w:val="18"/>
                <w:szCs w:val="18"/>
              </w:rPr>
              <w:t>POS</w:t>
            </w:r>
            <w:r>
              <w:rPr>
                <w:rFonts w:ascii="宋体" w:hAnsi="宋体" w:cs="宋体" w:eastAsia="宋体" w:hint="default"/>
                <w:sz w:val="18"/>
                <w:szCs w:val="18"/>
              </w:rPr>
              <w:t>设备入围项目的公告</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巨潮资讯网，公告编号：</w:t>
            </w:r>
            <w:r>
              <w:rPr>
                <w:rFonts w:ascii="Times New Roman" w:hAnsi="Times New Roman" w:cs="Times New Roman" w:eastAsia="Times New Roman" w:hint="default"/>
                <w:sz w:val="18"/>
                <w:szCs w:val="18"/>
              </w:rPr>
              <w:t>2019-115</w:t>
            </w:r>
          </w:p>
        </w:tc>
      </w:tr>
      <w:tr>
        <w:trPr>
          <w:trHeight w:val="346" w:hRule="exact"/>
        </w:trPr>
        <w:tc>
          <w:tcPr>
            <w:tcW w:w="5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1-9</w:t>
            </w:r>
            <w:r>
              <w:rPr>
                <w:rFonts w:ascii="宋体" w:hAnsi="宋体" w:cs="宋体" w:eastAsia="宋体" w:hint="default"/>
                <w:sz w:val="18"/>
                <w:szCs w:val="18"/>
              </w:rPr>
              <w:t>月资产核销及计提资产减值准备的公告</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巨潮资讯网，公告编号：</w:t>
            </w:r>
            <w:r>
              <w:rPr>
                <w:rFonts w:ascii="Times New Roman" w:hAnsi="Times New Roman" w:cs="Times New Roman" w:eastAsia="Times New Roman" w:hint="default"/>
                <w:sz w:val="18"/>
                <w:szCs w:val="18"/>
              </w:rPr>
              <w:t>2019-121</w:t>
            </w:r>
          </w:p>
        </w:tc>
      </w:tr>
      <w:tr>
        <w:trPr>
          <w:trHeight w:val="348" w:hRule="exact"/>
        </w:trPr>
        <w:tc>
          <w:tcPr>
            <w:tcW w:w="5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关于公司会计政策变更的公告</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巨潮资讯网，公告编号：</w:t>
            </w:r>
            <w:r>
              <w:rPr>
                <w:rFonts w:ascii="Times New Roman" w:hAnsi="Times New Roman" w:cs="Times New Roman" w:eastAsia="Times New Roman" w:hint="default"/>
                <w:sz w:val="18"/>
                <w:szCs w:val="18"/>
              </w:rPr>
              <w:t>2019-122</w:t>
            </w:r>
          </w:p>
        </w:tc>
      </w:tr>
      <w:tr>
        <w:trPr>
          <w:trHeight w:val="346" w:hRule="exact"/>
        </w:trPr>
        <w:tc>
          <w:tcPr>
            <w:tcW w:w="5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关于获得政府补助的公告</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巨潮资讯网，公告编号：</w:t>
            </w:r>
            <w:r>
              <w:rPr>
                <w:rFonts w:ascii="Times New Roman" w:hAnsi="Times New Roman" w:cs="Times New Roman" w:eastAsia="Times New Roman" w:hint="default"/>
                <w:sz w:val="18"/>
                <w:szCs w:val="18"/>
              </w:rPr>
              <w:t>2019-124</w:t>
            </w:r>
          </w:p>
        </w:tc>
      </w:tr>
      <w:tr>
        <w:trPr>
          <w:trHeight w:val="660" w:hRule="exact"/>
        </w:trPr>
        <w:tc>
          <w:tcPr>
            <w:tcW w:w="52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z w:val="18"/>
                <w:szCs w:val="18"/>
              </w:rPr>
              <w:t>关于发行股份及支付现金购买资产并募集配套资金暨关联交易事项 获得中国证监会核准批文的公告</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巨潮资讯网，公告编号：</w:t>
            </w:r>
            <w:r>
              <w:rPr>
                <w:rFonts w:ascii="Times New Roman" w:hAnsi="Times New Roman" w:cs="Times New Roman" w:eastAsia="Times New Roman" w:hint="default"/>
                <w:sz w:val="18"/>
                <w:szCs w:val="18"/>
              </w:rPr>
              <w:t>2019-126</w:t>
            </w:r>
          </w:p>
        </w:tc>
      </w:tr>
      <w:tr>
        <w:trPr>
          <w:trHeight w:val="658" w:hRule="exact"/>
        </w:trPr>
        <w:tc>
          <w:tcPr>
            <w:tcW w:w="52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关于收到中国石化销售企业加油站手持防爆智能终端框架协议招标 项目入围通知书的公告</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巨潮资讯网，公告编号：</w:t>
            </w:r>
            <w:r>
              <w:rPr>
                <w:rFonts w:ascii="Times New Roman" w:hAnsi="Times New Roman" w:cs="Times New Roman" w:eastAsia="Times New Roman" w:hint="default"/>
                <w:sz w:val="18"/>
                <w:szCs w:val="18"/>
              </w:rPr>
              <w:t>2019-129</w:t>
            </w:r>
          </w:p>
        </w:tc>
      </w:tr>
      <w:tr>
        <w:trPr>
          <w:trHeight w:val="348" w:hRule="exact"/>
        </w:trPr>
        <w:tc>
          <w:tcPr>
            <w:tcW w:w="5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关于公司已中标项目签署框架协议的进展公告</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巨潮资讯网，公告编号：</w:t>
            </w:r>
            <w:r>
              <w:rPr>
                <w:rFonts w:ascii="Times New Roman" w:hAnsi="Times New Roman" w:cs="Times New Roman" w:eastAsia="Times New Roman" w:hint="default"/>
                <w:sz w:val="18"/>
                <w:szCs w:val="18"/>
              </w:rPr>
              <w:t>2019-132</w:t>
            </w:r>
          </w:p>
        </w:tc>
      </w:tr>
      <w:tr>
        <w:trPr>
          <w:trHeight w:val="660" w:hRule="exact"/>
        </w:trPr>
        <w:tc>
          <w:tcPr>
            <w:tcW w:w="52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z w:val="18"/>
                <w:szCs w:val="18"/>
              </w:rPr>
              <w:t>关于发行股份及支付现金购买资产并募集配套资金暨关联交易之标 的资产过户完成的公告</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巨潮资讯网，公告编号：</w:t>
            </w:r>
            <w:r>
              <w:rPr>
                <w:rFonts w:ascii="Times New Roman" w:hAnsi="Times New Roman" w:cs="Times New Roman" w:eastAsia="Times New Roman" w:hint="default"/>
                <w:sz w:val="18"/>
                <w:szCs w:val="18"/>
              </w:rPr>
              <w:t>2019-134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50" w:type="dxa"/>
        <w:tblLayout w:type="fixed"/>
        <w:tblCellMar>
          <w:top w:w="0" w:type="dxa"/>
          <w:left w:w="0" w:type="dxa"/>
          <w:bottom w:w="0" w:type="dxa"/>
          <w:right w:w="0" w:type="dxa"/>
        </w:tblCellMar>
        <w:tblLook w:val="01E0"/>
      </w:tblPr>
      <w:tblGrid>
        <w:gridCol w:w="5241"/>
        <w:gridCol w:w="1543"/>
        <w:gridCol w:w="2842"/>
      </w:tblGrid>
      <w:tr>
        <w:trPr>
          <w:trHeight w:val="348" w:hRule="exact"/>
        </w:trPr>
        <w:tc>
          <w:tcPr>
            <w:tcW w:w="5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关于股东股票质押式回购交易提前购回的公告</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73"/>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巨潮资讯网，公告编号：</w:t>
            </w:r>
            <w:r>
              <w:rPr>
                <w:rFonts w:ascii="Times New Roman" w:hAnsi="Times New Roman" w:cs="Times New Roman" w:eastAsia="Times New Roman" w:hint="default"/>
                <w:sz w:val="18"/>
                <w:szCs w:val="18"/>
              </w:rPr>
              <w:t>2019-135</w:t>
            </w:r>
          </w:p>
        </w:tc>
      </w:tr>
      <w:tr>
        <w:trPr>
          <w:trHeight w:val="970" w:hRule="exact"/>
        </w:trPr>
        <w:tc>
          <w:tcPr>
            <w:tcW w:w="5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简式权益变动报告书（香港优博讯科技控股集团有限公司）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3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26</w:t>
            </w:r>
            <w:r>
              <w:rPr>
                <w:rFonts w:ascii="宋体" w:hAnsi="宋体" w:cs="宋体" w:eastAsia="宋体" w:hint="default"/>
                <w:spacing w:val="-1"/>
                <w:sz w:val="18"/>
                <w:szCs w:val="18"/>
              </w:rPr>
              <w:t>日</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tabs>
                <w:tab w:pos="532" w:val="left" w:leader="none"/>
                <w:tab w:pos="1060" w:val="left" w:leader="none"/>
                <w:tab w:pos="1588" w:val="left" w:leader="none"/>
                <w:tab w:pos="2116" w:val="left" w:leader="none"/>
                <w:tab w:pos="2644" w:val="left" w:leader="none"/>
              </w:tabs>
              <w:spacing w:line="362" w:lineRule="auto" w:before="17"/>
              <w:ind w:left="4"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巨</w:t>
              <w:tab/>
              <w:t>潮</w:t>
              <w:tab/>
              <w:t>资</w:t>
              <w:tab/>
              <w:t>讯</w:t>
              <w:tab/>
              <w:t>网</w:t>
              <w:tab/>
              <w:t>： </w:t>
            </w:r>
            <w:hyperlink r:id="rId53">
              <w:r>
                <w:rPr>
                  <w:rFonts w:ascii="Times New Roman" w:hAnsi="Times New Roman" w:cs="Times New Roman" w:eastAsia="Times New Roman" w:hint="default"/>
                  <w:sz w:val="18"/>
                  <w:szCs w:val="18"/>
                </w:rPr>
                <w:t>http://static.cninfo.com.cn/finalpage/2</w:t>
              </w:r>
            </w:hyperlink>
            <w:r>
              <w:rPr>
                <w:rFonts w:ascii="Times New Roman" w:hAnsi="Times New Roman" w:cs="Times New Roman" w:eastAsia="Times New Roman" w:hint="default"/>
                <w:sz w:val="18"/>
                <w:szCs w:val="18"/>
              </w:rPr>
              <w:t> 019-12-26/1207194790.PDF</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1133"/>
        <w:jc w:val="left"/>
        <w:rPr>
          <w:b w:val="0"/>
          <w:bCs w:val="0"/>
        </w:rPr>
      </w:pPr>
      <w:bookmarkStart w:name="十九、公司子公司重大事项" w:id="100"/>
      <w:bookmarkEnd w:id="100"/>
      <w:r>
        <w:rPr>
          <w:b w:val="0"/>
          <w:bCs w:val="0"/>
        </w:rPr>
      </w: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33"/>
        <w:jc w:val="left"/>
        <w:rPr>
          <w:b w:val="0"/>
          <w:bCs w:val="0"/>
        </w:rPr>
      </w:pPr>
      <w:bookmarkStart w:name="第六节股份变动及股东情况" w:id="101"/>
      <w:bookmarkEnd w:id="101"/>
      <w:r>
        <w:rPr>
          <w:b w:val="0"/>
          <w:bCs w:val="0"/>
        </w:rPr>
      </w:r>
      <w:bookmarkStart w:name="_bookmark5" w:id="102"/>
      <w:bookmarkEnd w:id="102"/>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bookmarkStart w:name="一、股份变动情况" w:id="103"/>
      <w:bookmarkEnd w:id="103"/>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1、股份变动情况" w:id="104"/>
      <w:bookmarkEnd w:id="104"/>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4"/>
        <w:gridCol w:w="823"/>
        <w:gridCol w:w="823"/>
        <w:gridCol w:w="821"/>
        <w:gridCol w:w="823"/>
        <w:gridCol w:w="821"/>
        <w:gridCol w:w="824"/>
        <w:gridCol w:w="794"/>
        <w:gridCol w:w="792"/>
      </w:tblGrid>
      <w:tr>
        <w:trPr>
          <w:trHeight w:val="40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0"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158,004,0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56.43%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32,665,31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-158,004,</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000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-125,338,</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683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32,665,31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10.45%</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17,955,00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6.41%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32,665,31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-17,955,0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14,710,31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32,665,31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10.45%</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17,955,00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6.41%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3,963,229</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-17,955,0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-13,991,7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3,963,229</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1.27%</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28,702,08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28,702,08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28,702,08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9.18%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140,049,0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50.02%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-140,049,</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000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-140,049,</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000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0.00%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140,049,0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50.02%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-140,049,</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000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-140,049,</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000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121,996,0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43.57%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158,004,0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158,004,0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89.55%</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121,996,0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43.57%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158,004,0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158,004,0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89.55%</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32,665,31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32,665,31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312,665,3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17</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股份变动的原因</w:t>
      </w:r>
    </w:p>
    <w:p>
      <w:pPr>
        <w:pStyle w:val="BodyText"/>
        <w:spacing w:line="240" w:lineRule="auto" w:before="11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585"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9</w:t>
      </w:r>
      <w:r>
        <w:rPr/>
        <w:t>日，公司股东优博讯控股持有的</w:t>
      </w:r>
      <w:r>
        <w:rPr>
          <w:rFonts w:ascii="Times New Roman" w:hAnsi="Times New Roman" w:cs="Times New Roman" w:eastAsia="Times New Roman" w:hint="default"/>
        </w:rPr>
        <w:t>140,049,000</w:t>
      </w:r>
      <w:r>
        <w:rPr/>
        <w:t>股、博讯投资持有的</w:t>
      </w:r>
      <w:r>
        <w:rPr>
          <w:rFonts w:ascii="Times New Roman" w:hAnsi="Times New Roman" w:cs="Times New Roman" w:eastAsia="Times New Roman" w:hint="default"/>
        </w:rPr>
        <w:t>17,955,000</w:t>
      </w:r>
      <w:r>
        <w:rPr/>
        <w:t>股解除限售后流通上市，上</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述股东持有股份的股份性质由首发前限售股变更为无限售流通股。</w:t>
      </w:r>
    </w:p>
    <w:p>
      <w:pPr>
        <w:pStyle w:val="BodyText"/>
        <w:spacing w:line="300" w:lineRule="auto" w:before="117"/>
        <w:ind w:right="1175" w:firstLine="504"/>
        <w:jc w:val="both"/>
      </w:pPr>
      <w:r>
        <w:rPr>
          <w:rFonts w:ascii="Times New Roman" w:hAnsi="Times New Roman" w:cs="Times New Roman" w:eastAsia="Times New Roman" w:hint="default"/>
        </w:rPr>
        <w:t>2</w:t>
      </w:r>
      <w:r>
        <w:rPr/>
        <w:t>、经中国证券监督管理委员会《关于核准深圳市优博讯科技股份有限公司向陈建辉等发行股份购买资产并募集配套 资金的批复》（证监许可</w:t>
      </w:r>
      <w:r>
        <w:rPr>
          <w:rFonts w:ascii="Times New Roman" w:hAnsi="Times New Roman" w:cs="Times New Roman" w:eastAsia="Times New Roman" w:hint="default"/>
        </w:rPr>
        <w:t>[2019]2150</w:t>
      </w:r>
      <w:r>
        <w:rPr/>
        <w:t>号）核准，公司非公开发行股份购买资产涉及的新增股份</w:t>
      </w:r>
      <w:r>
        <w:rPr>
          <w:rFonts w:ascii="Times New Roman" w:hAnsi="Times New Roman" w:cs="Times New Roman" w:eastAsia="Times New Roman" w:hint="default"/>
        </w:rPr>
        <w:t>32,665,317</w:t>
      </w:r>
      <w:r>
        <w:rPr/>
        <w:t>股，于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 </w:t>
      </w:r>
      <w:r>
        <w:rPr>
          <w:rFonts w:ascii="Times New Roman" w:hAnsi="Times New Roman" w:cs="Times New Roman" w:eastAsia="Times New Roman" w:hint="default"/>
        </w:rPr>
        <w:t>11</w:t>
      </w:r>
      <w:r>
        <w:rPr/>
        <w:t>日取得了中国证券登记结算有限责任公司深圳分公司出具的《股份登记申请受理确认书》，本次新增股份上市日为</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日，本次发行的新增股份全部为有限售条件流通股，公司总股本由</w:t>
      </w:r>
      <w:r>
        <w:rPr>
          <w:rFonts w:ascii="Times New Roman" w:hAnsi="Times New Roman" w:cs="Times New Roman" w:eastAsia="Times New Roman" w:hint="default"/>
        </w:rPr>
        <w:t>280,000,000</w:t>
      </w:r>
      <w:r>
        <w:rPr/>
        <w:t>股增加至</w:t>
      </w:r>
      <w:r>
        <w:rPr>
          <w:rFonts w:ascii="Times New Roman" w:hAnsi="Times New Roman" w:cs="Times New Roman" w:eastAsia="Times New Roman" w:hint="default"/>
        </w:rPr>
        <w:t>312,665,317</w:t>
      </w:r>
      <w:r>
        <w:rPr/>
        <w:t>股。</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BodyText"/>
        <w:spacing w:line="240" w:lineRule="auto"/>
        <w:ind w:right="1133"/>
        <w:jc w:val="left"/>
      </w:pPr>
      <w:r>
        <w:rPr/>
        <w:t>股份变动的批准情况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132" w:firstLine="432"/>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9</w:t>
      </w:r>
      <w:r>
        <w:rPr>
          <w:spacing w:val="-2"/>
        </w:rPr>
        <w:t>日，公司部分首发股东的股份锁定承诺已履行完毕，根据相关规定上述股东申请解除其持有的首发前限</w:t>
      </w:r>
      <w:r>
        <w:rPr/>
        <w:t> 售股合计</w:t>
      </w:r>
      <w:r>
        <w:rPr>
          <w:rFonts w:ascii="Times New Roman" w:hAnsi="Times New Roman" w:cs="Times New Roman" w:eastAsia="Times New Roman" w:hint="default"/>
        </w:rPr>
        <w:t>158,004,000</w:t>
      </w:r>
      <w:r>
        <w:rPr/>
        <w:t>股。</w:t>
      </w:r>
    </w:p>
    <w:p>
      <w:pPr>
        <w:pStyle w:val="BodyText"/>
        <w:spacing w:line="300" w:lineRule="auto" w:before="53"/>
        <w:ind w:right="1131" w:firstLine="432"/>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7</w:t>
      </w:r>
      <w:r>
        <w:rPr>
          <w:spacing w:val="-2"/>
        </w:rPr>
        <w:t>日，公司收到中国证券监督管理委员会于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5</w:t>
      </w:r>
      <w:r>
        <w:rPr>
          <w:spacing w:val="-2"/>
        </w:rPr>
        <w:t>日出具的《关于核准深圳市优博讯科技股份有限</w:t>
      </w:r>
      <w:r>
        <w:rPr/>
        <w:t> </w:t>
      </w:r>
      <w:r>
        <w:rPr>
          <w:spacing w:val="-1"/>
        </w:rPr>
        <w:t>公司向陈建辉等发行股份购买资产并募集配套资金的批复》（证监许可</w:t>
      </w:r>
      <w:r>
        <w:rPr>
          <w:rFonts w:ascii="Times New Roman" w:hAnsi="Times New Roman" w:cs="Times New Roman" w:eastAsia="Times New Roman" w:hint="default"/>
          <w:spacing w:val="-1"/>
        </w:rPr>
        <w:t>[2019]2150</w:t>
      </w:r>
      <w:r>
        <w:rPr>
          <w:spacing w:val="-1"/>
        </w:rPr>
        <w:t>号），核准公司向陈建辉等交易对方发行</w:t>
      </w:r>
      <w:r>
        <w:rPr>
          <w:spacing w:val="-57"/>
        </w:rPr>
        <w:t> </w:t>
      </w:r>
      <w:r>
        <w:rPr>
          <w:spacing w:val="-57"/>
        </w:rPr>
      </w:r>
      <w:r>
        <w:rPr>
          <w:rFonts w:ascii="Times New Roman" w:hAnsi="Times New Roman" w:cs="Times New Roman" w:eastAsia="Times New Roman" w:hint="default"/>
        </w:rPr>
        <w:t>32,665,317</w:t>
      </w:r>
      <w:r>
        <w:rPr/>
        <w:t>股股份购买相关资产。同时，核准公司非公开发行股份募集配套资金不超过</w:t>
      </w:r>
      <w:r>
        <w:rPr>
          <w:rFonts w:ascii="Times New Roman" w:hAnsi="Times New Roman" w:cs="Times New Roman" w:eastAsia="Times New Roman" w:hint="default"/>
        </w:rPr>
        <w:t>35,000</w:t>
      </w:r>
      <w:r>
        <w:rPr/>
        <w:t>万元。经中国证券登记结算有 限责任公司深圳分公司、深圳证券交易所审核批准，公司非公开发行股份购买资产涉及的新增股份</w:t>
      </w:r>
      <w:r>
        <w:rPr>
          <w:rFonts w:ascii="Times New Roman" w:hAnsi="Times New Roman" w:cs="Times New Roman" w:eastAsia="Times New Roman" w:hint="default"/>
        </w:rPr>
        <w:t>32,665,317</w:t>
      </w:r>
      <w:r>
        <w:rPr/>
        <w:t>股已于</w:t>
      </w:r>
      <w:r>
        <w:rPr>
          <w:rFonts w:ascii="Times New Roman" w:hAnsi="Times New Roman" w:cs="Times New Roman" w:eastAsia="Times New Roman" w:hint="default"/>
        </w:rPr>
        <w:t>2019</w:t>
      </w:r>
      <w:r>
        <w:rPr/>
        <w:t>年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日上市。</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BodyText"/>
        <w:spacing w:line="240" w:lineRule="auto"/>
        <w:ind w:right="1133"/>
        <w:jc w:val="left"/>
      </w:pPr>
      <w:r>
        <w:rPr/>
        <w:t>股份变动的过户情况</w:t>
      </w:r>
    </w:p>
    <w:p>
      <w:pPr>
        <w:pStyle w:val="BodyText"/>
        <w:spacing w:line="319" w:lineRule="auto" w:before="117"/>
        <w:ind w:right="11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公司非公开发行股份购买资产的</w:t>
      </w:r>
      <w:r>
        <w:rPr>
          <w:rFonts w:ascii="Times New Roman" w:hAnsi="Times New Roman" w:cs="Times New Roman" w:eastAsia="Times New Roman" w:hint="default"/>
        </w:rPr>
        <w:t>32,665,317</w:t>
      </w:r>
      <w:r>
        <w:rPr/>
        <w:t>股股份已于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日在中国证券登记结算有限责任公司深圳分公司完成了 发行登记，并于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日在深圳证券交易所上市，发行完成后公司总股本为</w:t>
      </w:r>
      <w:r>
        <w:rPr>
          <w:rFonts w:ascii="Times New Roman" w:hAnsi="Times New Roman" w:cs="Times New Roman" w:eastAsia="Times New Roman" w:hint="default"/>
        </w:rPr>
        <w:t>312,665,317</w:t>
      </w:r>
      <w:r>
        <w:rPr/>
        <w:t>股。</w:t>
      </w:r>
    </w:p>
    <w:p>
      <w:pPr>
        <w:pStyle w:val="BodyText"/>
        <w:spacing w:line="240" w:lineRule="auto" w:before="38"/>
        <w:ind w:right="1133"/>
        <w:jc w:val="left"/>
      </w:pPr>
      <w:r>
        <w:rPr/>
        <w:t>股份回购的实施进展情况</w:t>
      </w:r>
    </w:p>
    <w:p>
      <w:pPr>
        <w:pStyle w:val="BodyText"/>
        <w:spacing w:line="340" w:lineRule="auto" w:before="115"/>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采用集中竞价方式减持回购股份的实施进展情况</w:t>
      </w:r>
    </w:p>
    <w:p>
      <w:pPr>
        <w:pStyle w:val="BodyText"/>
        <w:spacing w:line="340" w:lineRule="auto" w:before="39"/>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19" w:lineRule="auto" w:before="41"/>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1"/>
        </w:rPr>
        <w:t>报告期内，由于公司非公开发行股份购买资产的</w:t>
      </w:r>
      <w:r>
        <w:rPr>
          <w:rFonts w:ascii="Times New Roman" w:hAnsi="Times New Roman" w:cs="Times New Roman" w:eastAsia="Times New Roman" w:hint="default"/>
          <w:spacing w:val="-1"/>
        </w:rPr>
        <w:t>32,665,317</w:t>
      </w:r>
      <w:r>
        <w:rPr>
          <w:spacing w:val="-1"/>
        </w:rPr>
        <w:t>股，公司股本由</w:t>
      </w:r>
      <w:r>
        <w:rPr>
          <w:rFonts w:ascii="Times New Roman" w:hAnsi="Times New Roman" w:cs="Times New Roman" w:eastAsia="Times New Roman" w:hint="default"/>
          <w:spacing w:val="-1"/>
        </w:rPr>
        <w:t>280,000,000</w:t>
      </w:r>
      <w:r>
        <w:rPr>
          <w:spacing w:val="-1"/>
        </w:rPr>
        <w:t>股增加为</w:t>
      </w:r>
      <w:r>
        <w:rPr>
          <w:rFonts w:ascii="Times New Roman" w:hAnsi="Times New Roman" w:cs="Times New Roman" w:eastAsia="Times New Roman" w:hint="default"/>
          <w:spacing w:val="-1"/>
        </w:rPr>
        <w:t>312,665,317</w:t>
      </w:r>
      <w:r>
        <w:rPr>
          <w:spacing w:val="-1"/>
        </w:rPr>
        <w:t>股</w:t>
      </w:r>
      <w:r>
        <w:rPr>
          <w:rFonts w:ascii="Times New Roman" w:hAnsi="Times New Roman" w:cs="Times New Roman" w:eastAsia="Times New Roman" w:hint="default"/>
          <w:spacing w:val="-1"/>
        </w:rPr>
        <w:t>,</w:t>
      </w:r>
      <w:r>
        <w:rPr>
          <w:spacing w:val="-1"/>
        </w:rPr>
        <w:t>股份变动对相</w:t>
      </w:r>
      <w:r>
        <w:rPr>
          <w:spacing w:val="-67"/>
        </w:rPr>
        <w:t> </w:t>
      </w:r>
      <w:r>
        <w:rPr>
          <w:spacing w:val="-67"/>
        </w:rPr>
      </w:r>
      <w:r>
        <w:rPr/>
        <w:t>关指标影响如下：</w:t>
      </w:r>
    </w:p>
    <w:tbl>
      <w:tblPr>
        <w:tblW w:w="0" w:type="auto"/>
        <w:jc w:val="left"/>
        <w:tblInd w:w="145" w:type="dxa"/>
        <w:tblLayout w:type="fixed"/>
        <w:tblCellMar>
          <w:top w:w="0" w:type="dxa"/>
          <w:left w:w="0" w:type="dxa"/>
          <w:bottom w:w="0" w:type="dxa"/>
          <w:right w:w="0" w:type="dxa"/>
        </w:tblCellMar>
        <w:tblLook w:val="01E0"/>
      </w:tblPr>
      <w:tblGrid>
        <w:gridCol w:w="3536"/>
        <w:gridCol w:w="3044"/>
        <w:gridCol w:w="3046"/>
      </w:tblGrid>
      <w:tr>
        <w:trPr>
          <w:trHeight w:val="427" w:hRule="exact"/>
        </w:trPr>
        <w:tc>
          <w:tcPr>
            <w:tcW w:w="35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b/>
                <w:bCs/>
                <w:sz w:val="18"/>
                <w:szCs w:val="18"/>
              </w:rPr>
              <w:t>财务指标名称</w:t>
            </w:r>
            <w:r>
              <w:rPr>
                <w:rFonts w:ascii="宋体" w:hAnsi="宋体" w:cs="宋体" w:eastAsia="宋体" w:hint="default"/>
                <w:sz w:val="18"/>
                <w:szCs w:val="18"/>
              </w:rPr>
            </w:r>
          </w:p>
        </w:tc>
        <w:tc>
          <w:tcPr>
            <w:tcW w:w="30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4"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年度按新股本计算（元</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股）</w:t>
            </w:r>
            <w:r>
              <w:rPr>
                <w:rFonts w:ascii="宋体" w:hAnsi="宋体" w:cs="宋体" w:eastAsia="宋体" w:hint="default"/>
                <w:sz w:val="18"/>
                <w:szCs w:val="18"/>
              </w:rPr>
            </w:r>
          </w:p>
        </w:tc>
        <w:tc>
          <w:tcPr>
            <w:tcW w:w="30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年度按新股本计算（元</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股）</w:t>
            </w:r>
            <w:r>
              <w:rPr>
                <w:rFonts w:ascii="宋体" w:hAnsi="宋体" w:cs="宋体" w:eastAsia="宋体" w:hint="default"/>
                <w:sz w:val="18"/>
                <w:szCs w:val="18"/>
              </w:rPr>
            </w:r>
          </w:p>
        </w:tc>
      </w:tr>
      <w:tr>
        <w:trPr>
          <w:trHeight w:val="427" w:hRule="exact"/>
        </w:trPr>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sz w:val="18"/>
              </w:rPr>
              <w:t>0.18</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center"/>
              <w:rPr>
                <w:rFonts w:ascii="宋体" w:hAnsi="宋体" w:cs="宋体" w:eastAsia="宋体" w:hint="default"/>
                <w:sz w:val="18"/>
                <w:szCs w:val="18"/>
              </w:rPr>
            </w:pPr>
            <w:r>
              <w:rPr>
                <w:rFonts w:ascii="宋体"/>
                <w:sz w:val="18"/>
              </w:rPr>
              <w:t>0.42</w:t>
            </w:r>
          </w:p>
        </w:tc>
      </w:tr>
      <w:tr>
        <w:trPr>
          <w:trHeight w:val="427" w:hRule="exact"/>
        </w:trPr>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稀释每股收益</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宋体"/>
                <w:sz w:val="18"/>
              </w:rPr>
              <w:t>0.18</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center"/>
              <w:rPr>
                <w:rFonts w:ascii="宋体" w:hAnsi="宋体" w:cs="宋体" w:eastAsia="宋体" w:hint="default"/>
                <w:sz w:val="18"/>
                <w:szCs w:val="18"/>
              </w:rPr>
            </w:pPr>
            <w:r>
              <w:rPr>
                <w:rFonts w:ascii="宋体"/>
                <w:sz w:val="18"/>
              </w:rPr>
              <w:t>0.42</w:t>
            </w:r>
          </w:p>
        </w:tc>
      </w:tr>
      <w:tr>
        <w:trPr>
          <w:trHeight w:val="428" w:hRule="exact"/>
        </w:trPr>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归属于公司普通股股东的每股净资产</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sz w:val="18"/>
              </w:rPr>
              <w:t>4.39</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 w:right="0"/>
              <w:jc w:val="center"/>
              <w:rPr>
                <w:rFonts w:ascii="宋体" w:hAnsi="宋体" w:cs="宋体" w:eastAsia="宋体" w:hint="default"/>
                <w:sz w:val="18"/>
                <w:szCs w:val="18"/>
              </w:rPr>
            </w:pPr>
            <w:r>
              <w:rPr>
                <w:rFonts w:ascii="宋体"/>
                <w:sz w:val="18"/>
              </w:rPr>
              <w:t>2.51</w:t>
            </w:r>
          </w:p>
        </w:tc>
      </w:tr>
    </w:tbl>
    <w:p>
      <w:pPr>
        <w:spacing w:line="240" w:lineRule="auto" w:before="11"/>
        <w:rPr>
          <w:rFonts w:ascii="宋体" w:hAnsi="宋体" w:cs="宋体" w:eastAsia="宋体" w:hint="default"/>
          <w:sz w:val="24"/>
          <w:szCs w:val="24"/>
        </w:rPr>
      </w:pPr>
    </w:p>
    <w:p>
      <w:pPr>
        <w:pStyle w:val="BodyText"/>
        <w:spacing w:line="240" w:lineRule="auto" w:before="44"/>
        <w:ind w:right="1133"/>
        <w:jc w:val="left"/>
      </w:pPr>
      <w:r>
        <w:rPr/>
        <w:t>公司认为必要或证券监管机构要求披露的其他内容</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2、限售股份变动情况" w:id="105"/>
      <w:bookmarkEnd w:id="105"/>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单位：股</w:t>
      </w:r>
    </w:p>
    <w:p>
      <w:pPr>
        <w:spacing w:after="0" w:line="240" w:lineRule="auto"/>
        <w:jc w:val="right"/>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19"/>
        <w:gridCol w:w="991"/>
        <w:gridCol w:w="994"/>
        <w:gridCol w:w="991"/>
        <w:gridCol w:w="994"/>
        <w:gridCol w:w="2693"/>
        <w:gridCol w:w="1486"/>
      </w:tblGrid>
      <w:tr>
        <w:trPr>
          <w:trHeight w:val="71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00" w:right="38"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0" w:right="41"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0" w:right="38"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00" w:right="41"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10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3"/>
              <w:jc w:val="both"/>
              <w:rPr>
                <w:rFonts w:ascii="宋体" w:hAnsi="宋体" w:cs="宋体" w:eastAsia="宋体" w:hint="default"/>
                <w:sz w:val="18"/>
                <w:szCs w:val="18"/>
              </w:rPr>
            </w:pPr>
            <w:r>
              <w:rPr>
                <w:rFonts w:ascii="宋体" w:hAnsi="宋体" w:cs="宋体" w:eastAsia="宋体" w:hint="default"/>
                <w:sz w:val="18"/>
                <w:szCs w:val="18"/>
              </w:rPr>
              <w:t>香港优博讯科技 控股集团有限公 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140,049,000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140,049,000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深圳市博讯投资 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17,955,000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17,955,000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陈建辉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12,605,356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12,605,356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发行股份购买资产新增限售股份</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吴珠杨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5,094,295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5,094,295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发行股份购买资产新增限售股份</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施唯平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3,122,544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3,122,544</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发行股份购买资产新增限售股份</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2,395,654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2,395,654</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发行股份购买资产新增限售股份</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10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3"/>
              <w:jc w:val="left"/>
              <w:rPr>
                <w:rFonts w:ascii="宋体" w:hAnsi="宋体" w:cs="宋体" w:eastAsia="宋体" w:hint="default"/>
                <w:sz w:val="18"/>
                <w:szCs w:val="18"/>
              </w:rPr>
            </w:pPr>
            <w:r>
              <w:rPr>
                <w:rFonts w:ascii="宋体" w:hAnsi="宋体" w:cs="宋体" w:eastAsia="宋体" w:hint="default"/>
                <w:sz w:val="18"/>
                <w:szCs w:val="18"/>
              </w:rPr>
              <w:t>北京建环创享股 权投资管理中心</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1,921,566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1,921,566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发行股份购买资产新增限售股份</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李菁</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1,831,829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1,831,829</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发行股份购买资产新增限售股份</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10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3"/>
              <w:jc w:val="left"/>
              <w:rPr>
                <w:rFonts w:ascii="宋体" w:hAnsi="宋体" w:cs="宋体" w:eastAsia="宋体" w:hint="default"/>
                <w:sz w:val="18"/>
                <w:szCs w:val="18"/>
              </w:rPr>
            </w:pPr>
            <w:r>
              <w:rPr>
                <w:rFonts w:ascii="宋体" w:hAnsi="宋体" w:cs="宋体" w:eastAsia="宋体" w:hint="default"/>
                <w:sz w:val="18"/>
                <w:szCs w:val="18"/>
              </w:rPr>
              <w:t>宁波君度尚左股 权投资合伙企业</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1,321,076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1,321,076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发行股份购买资产新增限售股份</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both"/>
              <w:rPr>
                <w:rFonts w:ascii="宋体" w:hAnsi="宋体" w:cs="宋体" w:eastAsia="宋体" w:hint="default"/>
                <w:sz w:val="18"/>
                <w:szCs w:val="18"/>
              </w:rPr>
            </w:pPr>
            <w:r>
              <w:rPr>
                <w:rFonts w:ascii="宋体" w:hAnsi="宋体" w:cs="宋体" w:eastAsia="宋体" w:hint="default"/>
                <w:sz w:val="18"/>
                <w:szCs w:val="18"/>
              </w:rPr>
              <w:t>珠海申恩投资合 伙企业（有限合 伙）</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720,587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720,587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发行股份购买资产新增限售股份</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王春华</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604,724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604,724</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发行股份购买资产新增限售股份</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李晓波</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557,319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557,319</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发行股份购买资产新增限售股份</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仇海妹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532,665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532,665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发行股份购买资产新增限售股份</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丰德香</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480,391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480,391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发行股份购买资产新增限售股份</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许诺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458,489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458,489</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发行股份购买资产新增限售股份</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魏方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346,077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346,077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发行股份购买资产新增限售股份</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谭玎</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144,117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144,117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发行股份购买资产新增限售股份</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郑小春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96,078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发行股份购买资产新增限售股份</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40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许慧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96,078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96,078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发行股份购买资产新增限售股份</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张仙</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72,058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72,058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发行股份购买资产新增限售股份</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刘晓丽</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60,048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发行股份购买资产新增限售股份</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叶丽君</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60,048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发行股份购买资产新增限售股份</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候济发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49,307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49,307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发行股份购买资产新增限售股份</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黄加南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31,316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31,316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发行股份购买资产新增限售股份</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杜欣</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24,019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24,019</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发行股份购买资产新增限售股份</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19"/>
        <w:gridCol w:w="991"/>
        <w:gridCol w:w="994"/>
        <w:gridCol w:w="991"/>
        <w:gridCol w:w="994"/>
        <w:gridCol w:w="2693"/>
        <w:gridCol w:w="1486"/>
      </w:tblGrid>
      <w:tr>
        <w:trPr>
          <w:trHeight w:val="71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00" w:right="38"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0" w:right="41"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0" w:right="38"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00" w:right="41"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王小莉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15,658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15,658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3"/>
              <w:jc w:val="center"/>
              <w:rPr>
                <w:rFonts w:ascii="宋体" w:hAnsi="宋体" w:cs="宋体" w:eastAsia="宋体" w:hint="default"/>
                <w:sz w:val="18"/>
                <w:szCs w:val="18"/>
              </w:rPr>
            </w:pPr>
            <w:r>
              <w:rPr>
                <w:rFonts w:ascii="宋体" w:hAnsi="宋体" w:cs="宋体" w:eastAsia="宋体" w:hint="default"/>
                <w:sz w:val="18"/>
                <w:szCs w:val="18"/>
              </w:rPr>
              <w:t>发行股份购买资产新增限售股份</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李玥媚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12,009</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3"/>
              <w:jc w:val="center"/>
              <w:rPr>
                <w:rFonts w:ascii="宋体" w:hAnsi="宋体" w:cs="宋体" w:eastAsia="宋体" w:hint="default"/>
                <w:sz w:val="18"/>
                <w:szCs w:val="18"/>
              </w:rPr>
            </w:pPr>
            <w:r>
              <w:rPr>
                <w:rFonts w:ascii="宋体" w:hAnsi="宋体" w:cs="宋体" w:eastAsia="宋体" w:hint="default"/>
                <w:sz w:val="18"/>
                <w:szCs w:val="18"/>
              </w:rPr>
              <w:t>发行股份购买资产新增限售股份</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蒋瑞妮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12,009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12,009</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3"/>
              <w:jc w:val="center"/>
              <w:rPr>
                <w:rFonts w:ascii="宋体" w:hAnsi="宋体" w:cs="宋体" w:eastAsia="宋体" w:hint="default"/>
                <w:sz w:val="18"/>
                <w:szCs w:val="18"/>
              </w:rPr>
            </w:pPr>
            <w:r>
              <w:rPr>
                <w:rFonts w:ascii="宋体" w:hAnsi="宋体" w:cs="宋体" w:eastAsia="宋体" w:hint="default"/>
                <w:sz w:val="18"/>
                <w:szCs w:val="18"/>
              </w:rPr>
              <w:t>发行股份购买资产新增限售股份</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158,004,000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32,665,317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158,004,000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32,665,317</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1133"/>
        <w:jc w:val="left"/>
        <w:rPr>
          <w:b w:val="0"/>
          <w:bCs w:val="0"/>
        </w:rPr>
      </w:pPr>
      <w:bookmarkStart w:name="二、证券发行与上市情况" w:id="106"/>
      <w:bookmarkEnd w:id="106"/>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1、报告期内证券发行（不含优先股）情况" w:id="107"/>
      <w:bookmarkEnd w:id="107"/>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2"/>
        <w:gridCol w:w="1565"/>
        <w:gridCol w:w="1560"/>
        <w:gridCol w:w="101"/>
        <w:gridCol w:w="893"/>
        <w:gridCol w:w="1558"/>
        <w:gridCol w:w="1277"/>
        <w:gridCol w:w="1205"/>
      </w:tblGrid>
      <w:tr>
        <w:trPr>
          <w:trHeight w:val="714"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2" w:right="69"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pacing w:val="-4"/>
                <w:sz w:val="18"/>
                <w:szCs w:val="18"/>
              </w:rPr>
              <w:t>发行价格（或利率</w:t>
            </w:r>
          </w:p>
        </w:tc>
        <w:tc>
          <w:tcPr>
            <w:tcW w:w="10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8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53" w:right="9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9"/>
              <w:jc w:val="left"/>
              <w:rPr>
                <w:rFonts w:ascii="宋体" w:hAnsi="宋体" w:cs="宋体" w:eastAsia="宋体" w:hint="default"/>
                <w:sz w:val="18"/>
                <w:szCs w:val="18"/>
              </w:rPr>
            </w:pPr>
            <w:r>
              <w:rPr>
                <w:rFonts w:ascii="宋体" w:hAnsi="宋体" w:cs="宋体" w:eastAsia="宋体" w:hint="default"/>
                <w:spacing w:val="-5"/>
                <w:sz w:val="18"/>
                <w:szCs w:val="18"/>
              </w:rPr>
              <w:t>人民币普通股（</w:t>
            </w:r>
            <w:r>
              <w:rPr>
                <w:rFonts w:ascii="Times New Roman" w:hAnsi="Times New Roman" w:cs="Times New Roman" w:eastAsia="Times New Roman" w:hint="default"/>
                <w:spacing w:val="-5"/>
                <w:sz w:val="18"/>
                <w:szCs w:val="18"/>
              </w:rPr>
              <w:t>A</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股）股票</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14.97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32,665,317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32,665,317</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240" w:lineRule="auto" w:before="49"/>
        <w:ind w:right="1133"/>
        <w:jc w:val="left"/>
      </w:pPr>
      <w:r>
        <w:rPr/>
        <w:t>报告期内证券发行（不含优先股）情况的说明</w:t>
      </w:r>
    </w:p>
    <w:p>
      <w:pPr>
        <w:pStyle w:val="BodyText"/>
        <w:spacing w:line="300" w:lineRule="auto" w:before="115"/>
        <w:ind w:right="1129" w:firstLine="360"/>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7</w:t>
      </w:r>
      <w:r>
        <w:rPr>
          <w:spacing w:val="-2"/>
        </w:rPr>
        <w:t>日，公司收到中国证券监督管理委员会于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5</w:t>
      </w:r>
      <w:r>
        <w:rPr>
          <w:spacing w:val="-2"/>
        </w:rPr>
        <w:t>日出具的《关于核准深圳市优博讯科技股份有限公司</w:t>
      </w:r>
      <w:r>
        <w:rPr/>
        <w:t> 向陈建辉等发行股份购买资产并募集配套资金的批复》（证监许可</w:t>
      </w:r>
      <w:r>
        <w:rPr>
          <w:rFonts w:ascii="Times New Roman" w:hAnsi="Times New Roman" w:cs="Times New Roman" w:eastAsia="Times New Roman" w:hint="default"/>
        </w:rPr>
        <w:t>[2019]2150</w:t>
      </w:r>
      <w:r>
        <w:rPr/>
        <w:t>号），核准公司向陈建辉等交易对方发行 </w:t>
      </w:r>
      <w:r>
        <w:rPr>
          <w:rFonts w:ascii="Times New Roman" w:hAnsi="Times New Roman" w:cs="Times New Roman" w:eastAsia="Times New Roman" w:hint="default"/>
        </w:rPr>
        <w:t>32,665,317</w:t>
      </w:r>
      <w:r>
        <w:rPr/>
        <w:t>股普通股购买相关资产。同时，核准公司非公开发行股份募集配套资金不超过</w:t>
      </w:r>
      <w:r>
        <w:rPr>
          <w:rFonts w:ascii="Times New Roman" w:hAnsi="Times New Roman" w:cs="Times New Roman" w:eastAsia="Times New Roman" w:hint="default"/>
        </w:rPr>
        <w:t>35,000</w:t>
      </w:r>
      <w:r>
        <w:rPr/>
        <w:t>万元。</w:t>
      </w:r>
    </w:p>
    <w:p>
      <w:pPr>
        <w:pStyle w:val="BodyText"/>
        <w:spacing w:line="316" w:lineRule="auto" w:before="53"/>
        <w:ind w:right="1129" w:firstLine="360"/>
        <w:jc w:val="left"/>
      </w:pPr>
      <w:r>
        <w:rPr>
          <w:spacing w:val="-2"/>
        </w:rPr>
        <w:t>经中国证券登记结算有限责任公司深圳分公司、深圳证券交易所审核批准，公司非公开发行股份购买资产涉及的新增股</w:t>
      </w:r>
      <w:r>
        <w:rPr/>
        <w:t> 份</w:t>
      </w:r>
      <w:r>
        <w:rPr>
          <w:rFonts w:ascii="Times New Roman" w:hAnsi="Times New Roman" w:cs="Times New Roman" w:eastAsia="Times New Roman" w:hint="default"/>
        </w:rPr>
        <w:t>32,665,317</w:t>
      </w:r>
      <w:r>
        <w:rPr/>
        <w:t>股已于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日上市。</w:t>
      </w:r>
    </w:p>
    <w:p>
      <w:pPr>
        <w:spacing w:line="240" w:lineRule="auto" w:before="4"/>
        <w:rPr>
          <w:rFonts w:ascii="宋体" w:hAnsi="宋体" w:cs="宋体" w:eastAsia="宋体" w:hint="default"/>
          <w:sz w:val="21"/>
          <w:szCs w:val="21"/>
        </w:rPr>
      </w:pPr>
    </w:p>
    <w:p>
      <w:pPr>
        <w:pStyle w:val="Heading3"/>
        <w:spacing w:line="240" w:lineRule="auto"/>
        <w:ind w:right="1133"/>
        <w:jc w:val="left"/>
        <w:rPr>
          <w:b w:val="0"/>
          <w:bCs w:val="0"/>
        </w:rPr>
      </w:pPr>
      <w:bookmarkStart w:name="2、公司股份总数及股东结构的变动、公司资产和负债结构的变动情况说明" w:id="108"/>
      <w:bookmarkEnd w:id="10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132" w:firstLine="36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11</w:t>
      </w:r>
      <w:r>
        <w:rPr>
          <w:spacing w:val="-2"/>
        </w:rPr>
        <w:t>日，公司向中国证券登记结算有限责任公司深圳分公司办理完成本次重大资产重组中发行股份购买资产涉</w:t>
      </w:r>
      <w:r>
        <w:rPr/>
        <w:t> 及的新增股份</w:t>
      </w:r>
      <w:r>
        <w:rPr>
          <w:rFonts w:ascii="Times New Roman" w:hAnsi="Times New Roman" w:cs="Times New Roman" w:eastAsia="Times New Roman" w:hint="default"/>
        </w:rPr>
        <w:t>32,665,317</w:t>
      </w:r>
      <w:r>
        <w:rPr/>
        <w:t>股的登记手续，股份总数</w:t>
      </w:r>
      <w:r>
        <w:rPr>
          <w:rFonts w:ascii="Times New Roman" w:hAnsi="Times New Roman" w:cs="Times New Roman" w:eastAsia="Times New Roman" w:hint="default"/>
        </w:rPr>
        <w:t>280,000,000</w:t>
      </w:r>
      <w:r>
        <w:rPr/>
        <w:t>股增加至</w:t>
      </w:r>
      <w:r>
        <w:rPr>
          <w:rFonts w:ascii="Times New Roman" w:hAnsi="Times New Roman" w:cs="Times New Roman" w:eastAsia="Times New Roman" w:hint="default"/>
        </w:rPr>
        <w:t>312,665,317</w:t>
      </w:r>
      <w:r>
        <w:rPr/>
        <w:t>股。报告期初和报告期末资产、负债变动 情况详见下表：</w:t>
      </w:r>
    </w:p>
    <w:p>
      <w:pPr>
        <w:pStyle w:val="BodyText"/>
        <w:spacing w:line="240" w:lineRule="auto" w:before="73"/>
        <w:ind w:left="0" w:right="1131"/>
        <w:jc w:val="right"/>
      </w:pPr>
      <w:r>
        <w:rPr>
          <w:color w:val="333333"/>
        </w:rPr>
        <w:t>（单位：元）</w:t>
      </w:r>
      <w:r>
        <w:rPr/>
      </w:r>
    </w:p>
    <w:p>
      <w:pPr>
        <w:spacing w:line="240" w:lineRule="auto" w:before="8"/>
        <w:rPr>
          <w:rFonts w:ascii="宋体" w:hAnsi="宋体" w:cs="宋体" w:eastAsia="宋体" w:hint="default"/>
          <w:sz w:val="16"/>
          <w:szCs w:val="16"/>
        </w:rPr>
      </w:pPr>
    </w:p>
    <w:tbl>
      <w:tblPr>
        <w:tblW w:w="0" w:type="auto"/>
        <w:jc w:val="left"/>
        <w:tblInd w:w="145" w:type="dxa"/>
        <w:tblLayout w:type="fixed"/>
        <w:tblCellMar>
          <w:top w:w="0" w:type="dxa"/>
          <w:left w:w="0" w:type="dxa"/>
          <w:bottom w:w="0" w:type="dxa"/>
          <w:right w:w="0" w:type="dxa"/>
        </w:tblCellMar>
        <w:tblLook w:val="01E0"/>
      </w:tblPr>
      <w:tblGrid>
        <w:gridCol w:w="1872"/>
        <w:gridCol w:w="2041"/>
        <w:gridCol w:w="2609"/>
        <w:gridCol w:w="2552"/>
      </w:tblGrid>
      <w:tr>
        <w:trPr>
          <w:trHeight w:val="348" w:hRule="exact"/>
        </w:trPr>
        <w:tc>
          <w:tcPr>
            <w:tcW w:w="18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科目</w:t>
            </w:r>
          </w:p>
        </w:tc>
        <w:tc>
          <w:tcPr>
            <w:tcW w:w="20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6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日（追溯调整前）</w:t>
            </w:r>
          </w:p>
        </w:tc>
        <w:tc>
          <w:tcPr>
            <w:tcW w:w="25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本年比上年增减</w:t>
            </w:r>
          </w:p>
        </w:tc>
      </w:tr>
      <w:tr>
        <w:trPr>
          <w:trHeight w:val="348"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1,900,723,122.86</w:t>
            </w:r>
          </w:p>
        </w:tc>
        <w:tc>
          <w:tcPr>
            <w:tcW w:w="2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1,192,758,621.44</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59.36%</w:t>
            </w:r>
          </w:p>
        </w:tc>
      </w:tr>
      <w:tr>
        <w:trPr>
          <w:trHeight w:val="346"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总负债</w:t>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626,861,007.15</w:t>
            </w:r>
          </w:p>
        </w:tc>
        <w:tc>
          <w:tcPr>
            <w:tcW w:w="2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447,241,984.33</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40.16%</w:t>
            </w:r>
          </w:p>
        </w:tc>
      </w:tr>
      <w:tr>
        <w:trPr>
          <w:trHeight w:val="348"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所有者权益</w:t>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1,273,862,115.71</w:t>
            </w:r>
          </w:p>
        </w:tc>
        <w:tc>
          <w:tcPr>
            <w:tcW w:w="2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745,516,637.11</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70.87%</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3、现存的内部职工股情况" w:id="109"/>
      <w:bookmarkEnd w:id="109"/>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三、股东和实际控制人情况" w:id="110"/>
      <w:bookmarkEnd w:id="110"/>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公司股东数量及持股情况" w:id="111"/>
      <w:bookmarkEnd w:id="111"/>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pict>
          <v:shape style="position:absolute;margin-left:476.5pt;margin-top:70.677742pt;width:58.45pt;height:31.25pt;mso-position-horizontal-relative:page;mso-position-vertical-relative:paragraph;z-index:-1220920" type="#_x0000_t202" filled="false" stroked="false">
            <v:textbox inset="0,0,0,0">
              <w:txbxContent>
                <w:p>
                  <w:pPr>
                    <w:pStyle w:val="BodyText"/>
                    <w:spacing w:line="203" w:lineRule="exact"/>
                    <w:ind w:left="0" w:right="0"/>
                    <w:jc w:val="left"/>
                  </w:pPr>
                  <w:r>
                    <w:rPr/>
                    <w:t>）</w:t>
                  </w:r>
                </w:p>
              </w:txbxContent>
            </v:textbox>
            <w10:wrap type="none"/>
          </v:shape>
        </w:pict>
      </w:r>
      <w:r>
        <w:rPr/>
        <w:pict>
          <v:group style="position:absolute;margin-left:329.709991pt;margin-top:70.677742pt;width:45.75pt;height:31.25pt;mso-position-horizontal-relative:page;mso-position-vertical-relative:paragraph;z-index:-1220896" coordorigin="6594,1414" coordsize="915,625">
            <v:shape style="position:absolute;left:6594;top:1414;width:915;height:625" coordorigin="6594,1414" coordsize="915,625" path="m6594,2038l7509,2038,7509,1414,6594,1414,6594,2038xe" filled="true" fillcolor="#ffffff" stroked="false">
              <v:path arrowok="t"/>
              <v:fill type="solid"/>
            </v:shape>
            <w10:wrap type="none"/>
          </v:group>
        </w:pict>
      </w:r>
      <w:r>
        <w:rPr/>
        <w:pict>
          <v:group style="position:absolute;margin-left:482.5pt;margin-top:70.677742pt;width:52.45pt;height:31.25pt;mso-position-horizontal-relative:page;mso-position-vertical-relative:paragraph;z-index:-1220872" coordorigin="9650,1414" coordsize="1049,625">
            <v:shape style="position:absolute;left:9650;top:1414;width:1049;height:625" coordorigin="9650,1414" coordsize="1049,625" path="m9650,2038l10699,2038,10699,1414,9650,1414,9650,2038xe" filled="true" fillcolor="#ffffff" stroked="false">
              <v:path arrowok="t"/>
              <v:fill type="solid"/>
            </v:shape>
            <w10:wrap type="none"/>
          </v:group>
        </w:pict>
      </w: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1204"/>
        <w:gridCol w:w="918"/>
        <w:gridCol w:w="1075"/>
        <w:gridCol w:w="1052"/>
        <w:gridCol w:w="938"/>
        <w:gridCol w:w="985"/>
        <w:gridCol w:w="1135"/>
        <w:gridCol w:w="508"/>
        <w:gridCol w:w="556"/>
      </w:tblGrid>
      <w:tr>
        <w:trPr>
          <w:trHeight w:val="317"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1204" w:type="dxa"/>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64" w:right="0"/>
              <w:jc w:val="left"/>
              <w:rPr>
                <w:rFonts w:ascii="Times New Roman" w:hAnsi="Times New Roman" w:cs="Times New Roman" w:eastAsia="Times New Roman" w:hint="default"/>
                <w:sz w:val="18"/>
                <w:szCs w:val="18"/>
              </w:rPr>
            </w:pPr>
            <w:r>
              <w:rPr>
                <w:rFonts w:ascii="Times New Roman"/>
                <w:sz w:val="18"/>
              </w:rPr>
              <w:t>18,084</w:t>
            </w:r>
          </w:p>
        </w:tc>
        <w:tc>
          <w:tcPr>
            <w:tcW w:w="91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7" w:right="168"/>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075" w:type="dxa"/>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16,188</w:t>
            </w:r>
          </w:p>
        </w:tc>
        <w:tc>
          <w:tcPr>
            <w:tcW w:w="10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8" w:right="122"/>
              <w:jc w:val="both"/>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40" w:lineRule="auto" w:before="17"/>
              <w:ind w:left="18"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938" w:type="dxa"/>
            <w:vMerge w:val="restart"/>
            <w:tcBorders>
              <w:top w:val="single" w:sz="4" w:space="0" w:color="000000"/>
              <w:left w:val="single" w:sz="12"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63"/>
              <w:ind w:left="-146" w:right="0"/>
              <w:jc w:val="left"/>
              <w:rPr>
                <w:rFonts w:ascii="宋体" w:hAnsi="宋体" w:cs="宋体" w:eastAsia="宋体" w:hint="default"/>
                <w:sz w:val="18"/>
                <w:szCs w:val="18"/>
              </w:rPr>
            </w:pPr>
            <w:r>
              <w:rPr>
                <w:rFonts w:ascii="宋体" w:hAnsi="宋体" w:cs="宋体" w:eastAsia="宋体" w:hint="default"/>
                <w:sz w:val="18"/>
                <w:szCs w:val="18"/>
              </w:rPr>
              <w:t>）</w:t>
            </w:r>
          </w:p>
        </w:tc>
        <w:tc>
          <w:tcPr>
            <w:tcW w:w="212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508" w:type="dxa"/>
            <w:tcBorders>
              <w:top w:val="single" w:sz="4" w:space="0" w:color="000000"/>
              <w:left w:val="single" w:sz="4" w:space="0" w:color="000000"/>
              <w:bottom w:val="nil" w:sz="6" w:space="0" w:color="auto"/>
              <w:right w:val="nil" w:sz="6" w:space="0" w:color="auto"/>
            </w:tcBorders>
          </w:tcPr>
          <w:p>
            <w:pPr/>
          </w:p>
        </w:tc>
        <w:tc>
          <w:tcPr>
            <w:tcW w:w="556"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10" w:space="0" w:color="D2D2D2"/>
              <w:right w:val="single" w:sz="10" w:space="0" w:color="D2D2D2"/>
            </w:tcBorders>
          </w:tcPr>
          <w:p>
            <w:pPr/>
          </w:p>
        </w:tc>
        <w:tc>
          <w:tcPr>
            <w:tcW w:w="918"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938" w:type="dxa"/>
            <w:vMerge/>
            <w:tcBorders>
              <w:left w:val="single" w:sz="12" w:space="0" w:color="D2D2D2"/>
              <w:right w:val="single" w:sz="10" w:space="0" w:color="D2D2D2"/>
            </w:tcBorders>
          </w:tcPr>
          <w:p>
            <w:pPr/>
          </w:p>
        </w:tc>
        <w:tc>
          <w:tcPr>
            <w:tcW w:w="212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17" w:right="104"/>
              <w:jc w:val="both"/>
              <w:rPr>
                <w:rFonts w:ascii="Times New Roman" w:hAnsi="Times New Roman" w:cs="Times New Roman" w:eastAsia="Times New Roman" w:hint="default"/>
                <w:sz w:val="18"/>
                <w:szCs w:val="18"/>
              </w:rPr>
            </w:pPr>
            <w:r>
              <w:rPr>
                <w:rFonts w:ascii="宋体" w:hAnsi="宋体" w:cs="宋体" w:eastAsia="宋体" w:hint="default"/>
                <w:sz w:val="18"/>
                <w:szCs w:val="18"/>
              </w:rPr>
              <w:t>年度报告披露日前上一月 末表决权恢复的优先股股 </w:t>
            </w:r>
            <w:r>
              <w:rPr>
                <w:rFonts w:ascii="宋体" w:hAnsi="宋体" w:cs="宋体" w:eastAsia="宋体" w:hint="default"/>
                <w:spacing w:val="-12"/>
                <w:sz w:val="18"/>
                <w:szCs w:val="18"/>
              </w:rPr>
              <w:t>东总数（如有）（参见注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p>
        </w:tc>
        <w:tc>
          <w:tcPr>
            <w:tcW w:w="508" w:type="dxa"/>
            <w:vMerge w:val="restart"/>
            <w:tcBorders>
              <w:top w:val="nil" w:sz="6" w:space="0" w:color="auto"/>
              <w:left w:val="single" w:sz="12" w:space="0" w:color="D2D2D2"/>
              <w:right w:val="nil" w:sz="6" w:space="0" w:color="auto"/>
            </w:tcBorders>
          </w:tcPr>
          <w:p>
            <w:pPr/>
          </w:p>
        </w:tc>
        <w:tc>
          <w:tcPr>
            <w:tcW w:w="556" w:type="dxa"/>
            <w:tcBorders>
              <w:top w:val="nil" w:sz="6" w:space="0" w:color="auto"/>
              <w:left w:val="nil" w:sz="6" w:space="0" w:color="auto"/>
              <w:bottom w:val="nil" w:sz="6" w:space="0" w:color="auto"/>
              <w:right w:val="single" w:sz="4" w:space="0" w:color="000000"/>
            </w:tcBorders>
          </w:tcPr>
          <w:p>
            <w:pPr/>
          </w:p>
        </w:tc>
      </w:tr>
      <w:tr>
        <w:trPr>
          <w:trHeight w:val="706"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4" w:type="dxa"/>
            <w:vMerge/>
            <w:tcBorders>
              <w:left w:val="single" w:sz="10" w:space="0" w:color="D2D2D2"/>
              <w:right w:val="single" w:sz="10" w:space="0" w:color="D2D2D2"/>
            </w:tcBorders>
          </w:tcPr>
          <w:p>
            <w:pPr/>
          </w:p>
        </w:tc>
        <w:tc>
          <w:tcPr>
            <w:tcW w:w="918"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938" w:type="dxa"/>
            <w:vMerge/>
            <w:tcBorders>
              <w:left w:val="single" w:sz="12" w:space="0" w:color="D2D2D2"/>
              <w:right w:val="single" w:sz="10" w:space="0" w:color="D2D2D2"/>
            </w:tcBorders>
          </w:tcPr>
          <w:p>
            <w:pPr/>
          </w:p>
        </w:tc>
        <w:tc>
          <w:tcPr>
            <w:tcW w:w="2120" w:type="dxa"/>
            <w:gridSpan w:val="2"/>
            <w:vMerge/>
            <w:tcBorders>
              <w:left w:val="single" w:sz="4" w:space="0" w:color="000000"/>
              <w:right w:val="single" w:sz="4" w:space="0" w:color="000000"/>
            </w:tcBorders>
            <w:shd w:val="clear" w:color="auto" w:fill="D2D2D2"/>
          </w:tcPr>
          <w:p>
            <w:pPr/>
          </w:p>
        </w:tc>
        <w:tc>
          <w:tcPr>
            <w:tcW w:w="508" w:type="dxa"/>
            <w:vMerge/>
            <w:tcBorders>
              <w:left w:val="single" w:sz="12" w:space="0" w:color="D2D2D2"/>
              <w:right w:val="nil" w:sz="6" w:space="0" w:color="auto"/>
            </w:tcBorders>
          </w:tcPr>
          <w:p>
            <w:pPr/>
          </w:p>
        </w:tc>
        <w:tc>
          <w:tcPr>
            <w:tcW w:w="556"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1204" w:type="dxa"/>
            <w:vMerge/>
            <w:tcBorders>
              <w:left w:val="single" w:sz="10" w:space="0" w:color="D2D2D2"/>
              <w:right w:val="single" w:sz="10" w:space="0" w:color="D2D2D2"/>
            </w:tcBorders>
          </w:tcPr>
          <w:p>
            <w:pPr/>
          </w:p>
        </w:tc>
        <w:tc>
          <w:tcPr>
            <w:tcW w:w="918"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938" w:type="dxa"/>
            <w:vMerge/>
            <w:tcBorders>
              <w:left w:val="single" w:sz="12" w:space="0" w:color="D2D2D2"/>
              <w:right w:val="single" w:sz="10" w:space="0" w:color="D2D2D2"/>
            </w:tcBorders>
          </w:tcPr>
          <w:p>
            <w:pPr/>
          </w:p>
        </w:tc>
        <w:tc>
          <w:tcPr>
            <w:tcW w:w="2120" w:type="dxa"/>
            <w:gridSpan w:val="2"/>
            <w:vMerge/>
            <w:tcBorders>
              <w:left w:val="single" w:sz="4" w:space="0" w:color="000000"/>
              <w:bottom w:val="nil" w:sz="6" w:space="0" w:color="auto"/>
              <w:right w:val="single" w:sz="4" w:space="0" w:color="000000"/>
            </w:tcBorders>
            <w:shd w:val="clear" w:color="auto" w:fill="D2D2D2"/>
          </w:tcPr>
          <w:p>
            <w:pPr/>
          </w:p>
        </w:tc>
        <w:tc>
          <w:tcPr>
            <w:tcW w:w="508" w:type="dxa"/>
            <w:vMerge/>
            <w:tcBorders>
              <w:left w:val="single" w:sz="12" w:space="0" w:color="D2D2D2"/>
              <w:bottom w:val="nil" w:sz="6" w:space="0" w:color="auto"/>
              <w:right w:val="nil" w:sz="6" w:space="0" w:color="auto"/>
            </w:tcBorders>
          </w:tcPr>
          <w:p>
            <w:pPr/>
          </w:p>
        </w:tc>
        <w:tc>
          <w:tcPr>
            <w:tcW w:w="556" w:type="dxa"/>
            <w:tcBorders>
              <w:top w:val="nil" w:sz="6" w:space="0" w:color="auto"/>
              <w:left w:val="nil" w:sz="6" w:space="0" w:color="auto"/>
              <w:bottom w:val="nil" w:sz="6" w:space="0" w:color="auto"/>
              <w:right w:val="single" w:sz="4" w:space="0" w:color="000000"/>
            </w:tcBorders>
          </w:tcPr>
          <w:p>
            <w:pPr/>
          </w:p>
        </w:tc>
      </w:tr>
      <w:tr>
        <w:trPr>
          <w:trHeight w:val="322"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204" w:type="dxa"/>
            <w:vMerge/>
            <w:tcBorders>
              <w:left w:val="single" w:sz="10" w:space="0" w:color="D2D2D2"/>
              <w:bottom w:val="single" w:sz="4" w:space="0" w:color="000000"/>
              <w:right w:val="single" w:sz="10" w:space="0" w:color="D2D2D2"/>
            </w:tcBorders>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10" w:space="0" w:color="D2D2D2"/>
              <w:bottom w:val="single" w:sz="4" w:space="0" w:color="000000"/>
              <w:right w:val="single" w:sz="13" w:space="0" w:color="D2D2D2"/>
            </w:tcBorders>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938" w:type="dxa"/>
            <w:vMerge/>
            <w:tcBorders>
              <w:left w:val="single" w:sz="12" w:space="0" w:color="D2D2D2"/>
              <w:bottom w:val="single" w:sz="4" w:space="0" w:color="000000"/>
              <w:right w:val="single" w:sz="10" w:space="0" w:color="D2D2D2"/>
            </w:tcBorders>
          </w:tcPr>
          <w:p>
            <w:pPr/>
          </w:p>
        </w:tc>
        <w:tc>
          <w:tcPr>
            <w:tcW w:w="212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508" w:type="dxa"/>
            <w:tcBorders>
              <w:top w:val="nil" w:sz="6" w:space="0" w:color="auto"/>
              <w:left w:val="single" w:sz="4" w:space="0" w:color="000000"/>
              <w:bottom w:val="single" w:sz="4" w:space="0" w:color="000000"/>
              <w:right w:val="nil" w:sz="6" w:space="0" w:color="auto"/>
            </w:tcBorders>
          </w:tcPr>
          <w:p>
            <w:pPr/>
          </w:p>
        </w:tc>
        <w:tc>
          <w:tcPr>
            <w:tcW w:w="556"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9571"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1204" w:type="dxa"/>
            <w:vMerge w:val="restart"/>
            <w:tcBorders>
              <w:top w:val="single" w:sz="4" w:space="0" w:color="000000"/>
              <w:left w:val="single" w:sz="4" w:space="0" w:color="000000"/>
              <w:right w:val="single" w:sz="4" w:space="0" w:color="000000"/>
            </w:tcBorders>
            <w:shd w:val="clear" w:color="auto" w:fill="D2D2D2"/>
          </w:tcPr>
          <w:p>
            <w:pPr/>
          </w:p>
        </w:tc>
        <w:tc>
          <w:tcPr>
            <w:tcW w:w="918" w:type="dxa"/>
            <w:vMerge w:val="restart"/>
            <w:tcBorders>
              <w:top w:val="single" w:sz="4" w:space="0" w:color="000000"/>
              <w:left w:val="single" w:sz="4" w:space="0" w:color="000000"/>
              <w:right w:val="single" w:sz="4" w:space="0" w:color="000000"/>
            </w:tcBorders>
            <w:shd w:val="clear" w:color="auto" w:fill="D2D2D2"/>
          </w:tcPr>
          <w:p>
            <w:pPr/>
          </w:p>
        </w:tc>
        <w:tc>
          <w:tcPr>
            <w:tcW w:w="10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3" w:right="10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98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4" w:right="38"/>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1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66"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4" w:space="0" w:color="000000"/>
              <w:bottom w:val="nil" w:sz="6" w:space="0" w:color="auto"/>
              <w:right w:val="single" w:sz="4" w:space="0" w:color="000000"/>
            </w:tcBorders>
            <w:shd w:val="clear" w:color="auto" w:fill="D2D2D2"/>
          </w:tcPr>
          <w:p>
            <w:pPr/>
          </w:p>
        </w:tc>
        <w:tc>
          <w:tcPr>
            <w:tcW w:w="918" w:type="dxa"/>
            <w:vMerge/>
            <w:tcBorders>
              <w:left w:val="single" w:sz="4" w:space="0" w:color="000000"/>
              <w:bottom w:val="nil" w:sz="6" w:space="0" w:color="auto"/>
              <w:right w:val="single" w:sz="4" w:space="0" w:color="000000"/>
            </w:tcBorders>
            <w:shd w:val="clear" w:color="auto" w:fill="D2D2D2"/>
          </w:tcPr>
          <w:p>
            <w:pPr/>
          </w:p>
        </w:tc>
        <w:tc>
          <w:tcPr>
            <w:tcW w:w="107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62" w:right="8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0" w:right="69"/>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38" w:type="dxa"/>
            <w:vMerge/>
            <w:tcBorders>
              <w:left w:val="single" w:sz="4" w:space="0" w:color="000000"/>
              <w:right w:val="single" w:sz="4" w:space="0" w:color="000000"/>
            </w:tcBorders>
            <w:shd w:val="clear" w:color="auto" w:fill="D2D2D2"/>
          </w:tcPr>
          <w:p>
            <w:pPr/>
          </w:p>
        </w:tc>
        <w:tc>
          <w:tcPr>
            <w:tcW w:w="985" w:type="dxa"/>
            <w:vMerge/>
            <w:tcBorders>
              <w:left w:val="single" w:sz="4" w:space="0" w:color="000000"/>
              <w:right w:val="single" w:sz="4" w:space="0" w:color="000000"/>
            </w:tcBorders>
            <w:shd w:val="clear" w:color="auto" w:fill="D2D2D2"/>
          </w:tcPr>
          <w:p>
            <w:pPr/>
          </w:p>
        </w:tc>
        <w:tc>
          <w:tcPr>
            <w:tcW w:w="2199" w:type="dxa"/>
            <w:gridSpan w:val="3"/>
            <w:vMerge/>
            <w:tcBorders>
              <w:left w:val="single" w:sz="4" w:space="0" w:color="000000"/>
              <w:right w:val="single" w:sz="4" w:space="0" w:color="000000"/>
            </w:tcBorders>
            <w:shd w:val="clear" w:color="auto" w:fill="D2D2D2"/>
          </w:tcPr>
          <w:p>
            <w:pPr/>
          </w:p>
        </w:tc>
      </w:tr>
      <w:tr>
        <w:trPr>
          <w:trHeight w:val="142" w:hRule="exact"/>
        </w:trPr>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75"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938" w:type="dxa"/>
            <w:vMerge/>
            <w:tcBorders>
              <w:left w:val="single" w:sz="4" w:space="0" w:color="000000"/>
              <w:right w:val="single" w:sz="4" w:space="0" w:color="000000"/>
            </w:tcBorders>
            <w:shd w:val="clear" w:color="auto" w:fill="D2D2D2"/>
          </w:tcPr>
          <w:p>
            <w:pPr/>
          </w:p>
        </w:tc>
        <w:tc>
          <w:tcPr>
            <w:tcW w:w="985" w:type="dxa"/>
            <w:vMerge/>
            <w:tcBorders>
              <w:left w:val="single" w:sz="4" w:space="0" w:color="000000"/>
              <w:right w:val="single" w:sz="4" w:space="0" w:color="000000"/>
            </w:tcBorders>
            <w:shd w:val="clear" w:color="auto" w:fill="D2D2D2"/>
          </w:tcPr>
          <w:p>
            <w:pPr/>
          </w:p>
        </w:tc>
        <w:tc>
          <w:tcPr>
            <w:tcW w:w="2199"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4" w:space="0" w:color="000000"/>
              <w:bottom w:val="nil" w:sz="6" w:space="0" w:color="auto"/>
              <w:right w:val="single" w:sz="4" w:space="0" w:color="000000"/>
            </w:tcBorders>
            <w:shd w:val="clear" w:color="auto" w:fill="D2D2D2"/>
          </w:tcPr>
          <w:p>
            <w:pPr/>
          </w:p>
        </w:tc>
        <w:tc>
          <w:tcPr>
            <w:tcW w:w="918" w:type="dxa"/>
            <w:vMerge/>
            <w:tcBorders>
              <w:left w:val="single" w:sz="4" w:space="0" w:color="000000"/>
              <w:bottom w:val="nil" w:sz="6" w:space="0" w:color="auto"/>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938" w:type="dxa"/>
            <w:vMerge/>
            <w:tcBorders>
              <w:left w:val="single" w:sz="4" w:space="0" w:color="000000"/>
              <w:right w:val="single" w:sz="4" w:space="0" w:color="000000"/>
            </w:tcBorders>
            <w:shd w:val="clear" w:color="auto" w:fill="D2D2D2"/>
          </w:tcPr>
          <w:p>
            <w:pPr/>
          </w:p>
        </w:tc>
        <w:tc>
          <w:tcPr>
            <w:tcW w:w="985" w:type="dxa"/>
            <w:vMerge/>
            <w:tcBorders>
              <w:left w:val="single" w:sz="4" w:space="0" w:color="000000"/>
              <w:right w:val="single" w:sz="4" w:space="0" w:color="000000"/>
            </w:tcBorders>
            <w:shd w:val="clear" w:color="auto" w:fill="D2D2D2"/>
          </w:tcPr>
          <w:p>
            <w:pP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203"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35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1204" w:type="dxa"/>
            <w:vMerge w:val="restart"/>
            <w:tcBorders>
              <w:top w:val="nil" w:sz="6" w:space="0" w:color="auto"/>
              <w:left w:val="single" w:sz="4" w:space="0" w:color="000000"/>
              <w:right w:val="single" w:sz="4" w:space="0" w:color="000000"/>
            </w:tcBorders>
            <w:shd w:val="clear" w:color="auto" w:fill="D2D2D2"/>
          </w:tcPr>
          <w:p>
            <w:pPr/>
          </w:p>
        </w:tc>
        <w:tc>
          <w:tcPr>
            <w:tcW w:w="918" w:type="dxa"/>
            <w:vMerge w:val="restart"/>
            <w:tcBorders>
              <w:top w:val="nil" w:sz="6" w:space="0" w:color="auto"/>
              <w:left w:val="single" w:sz="4" w:space="0" w:color="000000"/>
              <w:right w:val="single" w:sz="4" w:space="0" w:color="000000"/>
            </w:tcBorders>
            <w:shd w:val="clear" w:color="auto" w:fill="D2D2D2"/>
          </w:tcPr>
          <w:p>
            <w:pPr/>
          </w:p>
        </w:tc>
        <w:tc>
          <w:tcPr>
            <w:tcW w:w="1075"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938" w:type="dxa"/>
            <w:vMerge/>
            <w:tcBorders>
              <w:left w:val="single" w:sz="4" w:space="0" w:color="000000"/>
              <w:right w:val="single" w:sz="4" w:space="0" w:color="000000"/>
            </w:tcBorders>
            <w:shd w:val="clear" w:color="auto" w:fill="D2D2D2"/>
          </w:tcPr>
          <w:p>
            <w:pPr/>
          </w:p>
        </w:tc>
        <w:tc>
          <w:tcPr>
            <w:tcW w:w="98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shd w:val="clear" w:color="auto" w:fill="D2D2D2"/>
          </w:tcPr>
          <w:p>
            <w:pPr/>
          </w:p>
        </w:tc>
        <w:tc>
          <w:tcPr>
            <w:tcW w:w="1064" w:type="dxa"/>
            <w:gridSpan w:val="2"/>
            <w:vMerge/>
            <w:tcBorders>
              <w:left w:val="single" w:sz="4" w:space="0" w:color="000000"/>
              <w:right w:val="single" w:sz="4" w:space="0" w:color="000000"/>
            </w:tcBorders>
            <w:shd w:val="clear" w:color="auto" w:fill="D2D2D2"/>
          </w:tcPr>
          <w:p>
            <w:pPr/>
          </w:p>
        </w:tc>
      </w:tr>
      <w:tr>
        <w:trPr>
          <w:trHeight w:val="161"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204" w:type="dxa"/>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0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8" w:type="dxa"/>
            <w:vMerge/>
            <w:tcBorders>
              <w:left w:val="single" w:sz="4" w:space="0" w:color="000000"/>
              <w:bottom w:val="single" w:sz="4" w:space="0" w:color="000000"/>
              <w:right w:val="single" w:sz="4" w:space="0" w:color="000000"/>
            </w:tcBorders>
            <w:shd w:val="clear" w:color="auto" w:fill="D2D2D2"/>
          </w:tcPr>
          <w:p>
            <w:pPr/>
          </w:p>
        </w:tc>
        <w:tc>
          <w:tcPr>
            <w:tcW w:w="985"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1064" w:type="dxa"/>
            <w:gridSpan w:val="2"/>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香港优博讯科 技控股集团有 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44.79%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140,049,000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140,049,000</w:t>
            </w:r>
          </w:p>
        </w:tc>
        <w:tc>
          <w:tcPr>
            <w:tcW w:w="1135"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4" w:type="dxa"/>
            <w:gridSpan w:val="2"/>
            <w:tcBorders>
              <w:top w:val="single" w:sz="44" w:space="0" w:color="D2D2D2"/>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20,500,000</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深圳市博讯投 资有限公司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85"/>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5.74%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17,955,000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17,955,000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064"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陈建辉</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4.03%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12,605,356</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12,605,356</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12,605,356</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064" w:type="dxa"/>
            <w:gridSpan w:val="2"/>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深圳市中洲创 业投资有限 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85"/>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3.48%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10,885,100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-6,284,900</w:t>
            </w:r>
          </w:p>
        </w:tc>
        <w:tc>
          <w:tcPr>
            <w:tcW w:w="938"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10,885,100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7,600,000</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斯隆新产品投 资有限公司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2.11%</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6,582,000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-600,000</w:t>
            </w:r>
          </w:p>
        </w:tc>
        <w:tc>
          <w:tcPr>
            <w:tcW w:w="938"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6,582,000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064"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吴珠杨</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1.63%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5,094,295</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5,094,295</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5,094,295</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064"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亚晟发展集团 有限公司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1.38%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w w:val="95"/>
                <w:sz w:val="18"/>
              </w:rPr>
              <w:t>4,311,593</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-6,698,307</w:t>
            </w:r>
          </w:p>
        </w:tc>
        <w:tc>
          <w:tcPr>
            <w:tcW w:w="938"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4,311,593</w:t>
            </w:r>
          </w:p>
        </w:tc>
        <w:tc>
          <w:tcPr>
            <w:tcW w:w="1135" w:type="dxa"/>
            <w:tcBorders>
              <w:top w:val="single" w:sz="4" w:space="0" w:color="000000"/>
              <w:left w:val="single" w:sz="4" w:space="0" w:color="000000"/>
              <w:bottom w:val="single" w:sz="4" w:space="0" w:color="000000"/>
              <w:right w:val="single" w:sz="4" w:space="0" w:color="000000"/>
            </w:tcBorders>
          </w:tcPr>
          <w:p>
            <w:pPr/>
          </w:p>
        </w:tc>
        <w:tc>
          <w:tcPr>
            <w:tcW w:w="1064" w:type="dxa"/>
            <w:gridSpan w:val="2"/>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施唯平</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3,122,544</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3,122,544</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3,122,544</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064"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胡琳</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0.77%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2,395,654</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2,395,654</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2,395,654</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064"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杨梅</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0.67%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2,100,000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2,100,000</w:t>
            </w:r>
          </w:p>
        </w:tc>
        <w:tc>
          <w:tcPr>
            <w:tcW w:w="938"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064"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4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8"/>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71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4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8"/>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67" w:type="dxa"/>
            <w:gridSpan w:val="8"/>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7" w:right="21"/>
              <w:jc w:val="left"/>
              <w:rPr>
                <w:rFonts w:ascii="宋体" w:hAnsi="宋体" w:cs="宋体" w:eastAsia="宋体" w:hint="default"/>
                <w:sz w:val="18"/>
                <w:szCs w:val="18"/>
              </w:rPr>
            </w:pPr>
            <w:r>
              <w:rPr>
                <w:rFonts w:ascii="宋体" w:hAnsi="宋体" w:cs="宋体" w:eastAsia="宋体" w:hint="default"/>
                <w:spacing w:val="-3"/>
                <w:sz w:val="18"/>
                <w:szCs w:val="18"/>
              </w:rPr>
              <w:t>上述持有有限售条件的股份的股东之间不存在一致行动关系。公司未知其余股东之间是否存</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在关联关系，也未知是否属于一致行动人。</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8"/>
        <w:gridCol w:w="4974"/>
        <w:gridCol w:w="1141"/>
        <w:gridCol w:w="1058"/>
      </w:tblGrid>
      <w:tr>
        <w:trPr>
          <w:trHeight w:val="402"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2" w:hRule="exact"/>
        </w:trPr>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9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3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1" w:hRule="exact"/>
        </w:trPr>
        <w:tc>
          <w:tcPr>
            <w:tcW w:w="2398" w:type="dxa"/>
            <w:vMerge/>
            <w:tcBorders>
              <w:left w:val="single" w:sz="4" w:space="0" w:color="000000"/>
              <w:bottom w:val="single" w:sz="4" w:space="0" w:color="000000"/>
              <w:right w:val="single" w:sz="4" w:space="0" w:color="000000"/>
            </w:tcBorders>
            <w:shd w:val="clear" w:color="auto" w:fill="D2D2D2"/>
          </w:tcPr>
          <w:p>
            <w:pPr/>
          </w:p>
        </w:tc>
        <w:tc>
          <w:tcPr>
            <w:tcW w:w="4974" w:type="dxa"/>
            <w:vMerge/>
            <w:tcBorders>
              <w:left w:val="single" w:sz="4" w:space="0" w:color="000000"/>
              <w:bottom w:val="single" w:sz="4" w:space="0" w:color="000000"/>
              <w:right w:val="single" w:sz="4" w:space="0" w:color="000000"/>
            </w:tcBorders>
            <w:shd w:val="clear" w:color="auto" w:fill="D2D2D2"/>
          </w:tcPr>
          <w:p>
            <w:pPr/>
          </w:p>
        </w:tc>
        <w:tc>
          <w:tcPr>
            <w:tcW w:w="1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香港优博讯科技控股集团有限 公司</w:t>
            </w:r>
          </w:p>
        </w:tc>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140,049,000</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140,049,000</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深圳市博讯投资有限公司</w:t>
            </w:r>
          </w:p>
        </w:tc>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17,955,000</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17,955,000</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深圳市中州创业投资有限公司</w:t>
            </w:r>
          </w:p>
        </w:tc>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10,885,100</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10,885,100</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斯隆新产品投资有限公司</w:t>
            </w:r>
          </w:p>
        </w:tc>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6,582,000</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6,582,000</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亚晟发展集团有限公司</w:t>
            </w:r>
          </w:p>
        </w:tc>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4,311,593</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4,311,593</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杨梅</w:t>
            </w:r>
          </w:p>
        </w:tc>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薛晓纯</w:t>
            </w:r>
          </w:p>
        </w:tc>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2,042,600</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2,042,600</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刘丽琳</w:t>
            </w:r>
          </w:p>
        </w:tc>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1,750,000</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1,750,000</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深圳市军屯投资企业（有限合 伙）</w:t>
            </w:r>
          </w:p>
        </w:tc>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1,630,000</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1,630,000</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张达杰</w:t>
            </w:r>
          </w:p>
        </w:tc>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1,612,800</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1,612,800</w:t>
            </w:r>
          </w:p>
        </w:tc>
      </w:tr>
      <w:tr>
        <w:trPr>
          <w:trHeight w:val="1339"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89"/>
                <w:sz w:val="18"/>
                <w:szCs w:val="18"/>
              </w:rPr>
              <w:t>，</w:t>
            </w: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w:t>
            </w:r>
          </w:p>
          <w:p>
            <w:pPr>
              <w:pStyle w:val="TableParagraph"/>
              <w:spacing w:line="300" w:lineRule="auto" w:before="63"/>
              <w:ind w:left="24" w:right="108"/>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 关系或一致行动的说明</w:t>
            </w:r>
          </w:p>
        </w:tc>
        <w:tc>
          <w:tcPr>
            <w:tcW w:w="71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公司未知上述无限售流通股股东之间是否存在关联关系，也未知是否属于一致行动人。</w:t>
            </w:r>
          </w:p>
        </w:tc>
      </w:tr>
      <w:tr>
        <w:trPr>
          <w:trHeight w:val="204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4" w:lineRule="auto"/>
              <w:ind w:left="24" w:right="22"/>
              <w:jc w:val="left"/>
              <w:rPr>
                <w:rFonts w:ascii="宋体" w:hAnsi="宋体" w:cs="宋体" w:eastAsia="宋体" w:hint="default"/>
                <w:sz w:val="18"/>
                <w:szCs w:val="18"/>
              </w:rPr>
            </w:pPr>
            <w:r>
              <w:rPr>
                <w:rFonts w:ascii="宋体" w:hAnsi="宋体" w:cs="宋体" w:eastAsia="宋体" w:hint="default"/>
                <w:sz w:val="18"/>
                <w:szCs w:val="18"/>
              </w:rPr>
              <w:t>参与融资融券业务股东情况说 </w:t>
            </w:r>
            <w:r>
              <w:rPr>
                <w:rFonts w:ascii="宋体" w:hAnsi="宋体" w:cs="宋体" w:eastAsia="宋体" w:hint="default"/>
                <w:spacing w:val="-11"/>
                <w:sz w:val="18"/>
                <w:szCs w:val="18"/>
              </w:rPr>
              <w:t>明（如有）（参见注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1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公司股东深圳市博讯投资有限公司，通过普通账户持有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7,425,000 </w:t>
            </w:r>
            <w:r>
              <w:rPr>
                <w:rFonts w:ascii="宋体" w:hAnsi="宋体" w:cs="宋体" w:eastAsia="宋体" w:hint="default"/>
                <w:sz w:val="18"/>
                <w:szCs w:val="18"/>
              </w:rPr>
              <w:t>股，通过广发证券股份</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有限公司客户信用交易担保证券账户持有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10,530,000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17,955,000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10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公司股东薛晓纯，通过国盛证券有限责任公司客户信用交易担保证券账户持有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2,042,600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40" w:lineRule="auto" w:before="11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公司股东张达杰，通过广发证券股份有限公司客户信用交易担保证券账户持有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1,612,800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w:t>
            </w:r>
          </w:p>
        </w:tc>
      </w:tr>
    </w:tbl>
    <w:p>
      <w:pPr>
        <w:pStyle w:val="BodyText"/>
        <w:spacing w:line="240" w:lineRule="auto" w:before="49"/>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公司控股股东情况" w:id="112"/>
      <w:bookmarkEnd w:id="11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8774"/>
        <w:jc w:val="left"/>
      </w:pPr>
      <w:r>
        <w:rPr/>
        <w:t>控股股东性质：外商控股 控股股东类型：法人</w:t>
      </w:r>
    </w:p>
    <w:tbl>
      <w:tblPr>
        <w:tblW w:w="0" w:type="auto"/>
        <w:jc w:val="left"/>
        <w:tblInd w:w="148" w:type="dxa"/>
        <w:tblLayout w:type="fixed"/>
        <w:tblCellMar>
          <w:top w:w="0" w:type="dxa"/>
          <w:left w:w="0" w:type="dxa"/>
          <w:bottom w:w="0" w:type="dxa"/>
          <w:right w:w="0" w:type="dxa"/>
        </w:tblCellMar>
        <w:tblLook w:val="01E0"/>
      </w:tblPr>
      <w:tblGrid>
        <w:gridCol w:w="2199"/>
        <w:gridCol w:w="1793"/>
        <w:gridCol w:w="1680"/>
        <w:gridCol w:w="1666"/>
        <w:gridCol w:w="2233"/>
      </w:tblGrid>
      <w:tr>
        <w:trPr>
          <w:trHeight w:val="713"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802" w:right="5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5"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3"/>
              <w:jc w:val="left"/>
              <w:rPr>
                <w:rFonts w:ascii="宋体" w:hAnsi="宋体" w:cs="宋体" w:eastAsia="宋体" w:hint="default"/>
                <w:sz w:val="18"/>
                <w:szCs w:val="18"/>
              </w:rPr>
            </w:pPr>
            <w:r>
              <w:rPr>
                <w:rFonts w:ascii="宋体" w:hAnsi="宋体" w:cs="宋体" w:eastAsia="宋体" w:hint="default"/>
                <w:sz w:val="18"/>
                <w:szCs w:val="18"/>
              </w:rPr>
              <w:t>香港优博讯科技控股集团 有限公司</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GUO</w:t>
            </w:r>
            <w:r>
              <w:rPr>
                <w:rFonts w:ascii="Times New Roman"/>
                <w:spacing w:val="-4"/>
                <w:sz w:val="18"/>
              </w:rPr>
              <w:t> </w:t>
            </w:r>
            <w:r>
              <w:rPr>
                <w:rFonts w:ascii="Times New Roman"/>
                <w:sz w:val="18"/>
              </w:rPr>
              <w:t>SONG</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1589503</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对外投资</w:t>
            </w:r>
          </w:p>
        </w:tc>
      </w:tr>
      <w:tr>
        <w:trPr>
          <w:trHeight w:val="401" w:hRule="exact"/>
        </w:trPr>
        <w:tc>
          <w:tcPr>
            <w:tcW w:w="56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控股股东报告期内控股和参股的其他境内外上市公司的股权情况</w:t>
            </w:r>
          </w:p>
        </w:tc>
        <w:tc>
          <w:tcPr>
            <w:tcW w:w="38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控股股东报告期内变更</w:t>
      </w:r>
    </w:p>
    <w:p>
      <w:pPr>
        <w:pStyle w:val="BodyText"/>
        <w:spacing w:line="338" w:lineRule="auto" w:before="117"/>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bookmarkStart w:name="3、公司实际控制人及其一致行动人" w:id="113"/>
      <w:bookmarkEnd w:id="113"/>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414"/>
        <w:jc w:val="left"/>
      </w:pPr>
      <w:r>
        <w:rPr/>
        <w:t>实际控制人性质：境外自然人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GUO</w:t>
            </w:r>
            <w:r>
              <w:rPr>
                <w:rFonts w:ascii="Times New Roman"/>
                <w:spacing w:val="-4"/>
                <w:sz w:val="18"/>
              </w:rPr>
              <w:t> </w:t>
            </w:r>
            <w:r>
              <w:rPr>
                <w:rFonts w:ascii="Times New Roman"/>
                <w:sz w:val="18"/>
              </w:rPr>
              <w:t>SONG</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LIU</w:t>
            </w:r>
            <w:r>
              <w:rPr>
                <w:rFonts w:ascii="Times New Roman"/>
                <w:spacing w:val="-4"/>
                <w:sz w:val="18"/>
              </w:rPr>
              <w:t> </w:t>
            </w:r>
            <w:r>
              <w:rPr>
                <w:rFonts w:ascii="Times New Roman"/>
                <w:sz w:val="18"/>
              </w:rPr>
              <w:t>DAN</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CHEN</w:t>
            </w:r>
            <w:r>
              <w:rPr>
                <w:rFonts w:ascii="Times New Roman"/>
                <w:spacing w:val="-10"/>
                <w:sz w:val="18"/>
              </w:rPr>
              <w:t> </w:t>
            </w:r>
            <w:r>
              <w:rPr>
                <w:rFonts w:ascii="Times New Roman"/>
                <w:sz w:val="18"/>
              </w:rPr>
              <w:t>YIHAN</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10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GUO SONG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先生现任公司董事长、总经理；</w:t>
            </w:r>
          </w:p>
          <w:p>
            <w:pPr>
              <w:pStyle w:val="TableParagraph"/>
              <w:spacing w:line="240" w:lineRule="auto" w:before="10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LIU DAN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女士现任公司副董事长、副总经理；</w:t>
            </w:r>
          </w:p>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CHEN</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YIHAN</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女士系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GUO SONG</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先生配偶，未在公司任职。</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right="1133"/>
        <w:jc w:val="left"/>
      </w:pPr>
      <w:r>
        <w:rPr/>
        <w:t>实际控制人报告期内变更</w:t>
      </w:r>
    </w:p>
    <w:p>
      <w:pPr>
        <w:pStyle w:val="BodyText"/>
        <w:spacing w:line="348"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5"/>
        <w:rPr>
          <w:rFonts w:ascii="宋体" w:hAnsi="宋体" w:cs="宋体" w:eastAsia="宋体" w:hint="default"/>
          <w:sz w:val="18"/>
          <w:szCs w:val="18"/>
        </w:rPr>
      </w:pPr>
    </w:p>
    <w:p>
      <w:pPr>
        <w:spacing w:line="3950" w:lineRule="exact"/>
        <w:ind w:left="2068" w:right="0" w:firstLine="0"/>
        <w:rPr>
          <w:rFonts w:ascii="宋体" w:hAnsi="宋体" w:cs="宋体" w:eastAsia="宋体" w:hint="default"/>
          <w:sz w:val="20"/>
          <w:szCs w:val="20"/>
        </w:rPr>
      </w:pPr>
      <w:r>
        <w:rPr>
          <w:rFonts w:ascii="宋体" w:hAnsi="宋体" w:cs="宋体" w:eastAsia="宋体" w:hint="default"/>
          <w:position w:val="-78"/>
          <w:sz w:val="20"/>
          <w:szCs w:val="20"/>
        </w:rPr>
        <w:drawing>
          <wp:inline distT="0" distB="0" distL="0" distR="0">
            <wp:extent cx="3688173" cy="2508313"/>
            <wp:effectExtent l="0" t="0" r="0" b="0"/>
            <wp:docPr id="61" name="image41.jpeg" descr=""/>
            <wp:cNvGraphicFramePr>
              <a:graphicFrameLocks noChangeAspect="1"/>
            </wp:cNvGraphicFramePr>
            <a:graphic>
              <a:graphicData uri="http://schemas.openxmlformats.org/drawingml/2006/picture">
                <pic:pic>
                  <pic:nvPicPr>
                    <pic:cNvPr id="62" name="image41.jpeg"/>
                    <pic:cNvPicPr/>
                  </pic:nvPicPr>
                  <pic:blipFill>
                    <a:blip r:embed="rId54" cstate="print"/>
                    <a:stretch>
                      <a:fillRect/>
                    </a:stretch>
                  </pic:blipFill>
                  <pic:spPr>
                    <a:xfrm>
                      <a:off x="0" y="0"/>
                      <a:ext cx="3688173" cy="2508313"/>
                    </a:xfrm>
                    <a:prstGeom prst="rect">
                      <a:avLst/>
                    </a:prstGeom>
                  </pic:spPr>
                </pic:pic>
              </a:graphicData>
            </a:graphic>
          </wp:inline>
        </w:drawing>
      </w:r>
      <w:r>
        <w:rPr>
          <w:rFonts w:ascii="宋体" w:hAnsi="宋体" w:cs="宋体" w:eastAsia="宋体" w:hint="default"/>
          <w:position w:val="-78"/>
          <w:sz w:val="20"/>
          <w:szCs w:val="20"/>
        </w:rPr>
      </w:r>
    </w:p>
    <w:p>
      <w:pPr>
        <w:spacing w:line="240" w:lineRule="auto" w:before="1"/>
        <w:rPr>
          <w:rFonts w:ascii="宋体" w:hAnsi="宋体" w:cs="宋体" w:eastAsia="宋体" w:hint="default"/>
          <w:sz w:val="20"/>
          <w:szCs w:val="20"/>
        </w:rPr>
      </w:pPr>
    </w:p>
    <w:p>
      <w:pPr>
        <w:pStyle w:val="BodyText"/>
        <w:spacing w:line="240" w:lineRule="auto"/>
        <w:ind w:right="1133"/>
        <w:jc w:val="left"/>
      </w:pPr>
      <w:r>
        <w:rPr/>
        <w:t>实际控制人通过信托或其他资产管理方式控制公司</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4、其他持股在10%以上的法人股东" w:id="114"/>
      <w:bookmarkEnd w:id="114"/>
      <w:r>
        <w:rPr>
          <w:b w:val="0"/>
          <w:bCs w:val="0"/>
        </w:rPr>
      </w: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5、控股股东、实际控制人、重组方及其他承诺主体股份限制减持情况" w:id="115"/>
      <w:bookmarkEnd w:id="115"/>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pStyle w:val="Heading1"/>
        <w:spacing w:line="240" w:lineRule="auto"/>
        <w:ind w:right="1479"/>
        <w:jc w:val="center"/>
        <w:rPr>
          <w:b w:val="0"/>
          <w:bCs w:val="0"/>
        </w:rPr>
      </w:pPr>
      <w:bookmarkStart w:name="第七节优先股相关情况" w:id="116"/>
      <w:bookmarkEnd w:id="116"/>
      <w:r>
        <w:rPr>
          <w:b w:val="0"/>
          <w:bCs w:val="0"/>
        </w:rPr>
      </w:r>
      <w:bookmarkStart w:name="_bookmark6" w:id="117"/>
      <w:bookmarkEnd w:id="117"/>
      <w:r>
        <w:rPr>
          <w:b w:val="0"/>
          <w:bCs w:val="0"/>
        </w:rPr>
      </w:r>
      <w:r>
        <w:rPr/>
        <w:t>第七节优先股相关情况</w:t>
      </w:r>
      <w:r>
        <w:rPr>
          <w:b w:val="0"/>
          <w:bCs w:val="0"/>
        </w:rPr>
      </w:r>
    </w:p>
    <w:p>
      <w:pPr>
        <w:spacing w:line="240" w:lineRule="auto" w:before="9"/>
        <w:rPr>
          <w:rFonts w:ascii="宋体" w:hAnsi="宋体" w:cs="宋体" w:eastAsia="宋体" w:hint="default"/>
          <w:b/>
          <w:bCs/>
          <w:sz w:val="42"/>
          <w:szCs w:val="42"/>
        </w:rPr>
      </w:pPr>
    </w:p>
    <w:p>
      <w:pPr>
        <w:pStyle w:val="BodyText"/>
        <w:spacing w:line="338" w:lineRule="auto"/>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6"/>
          <w:szCs w:val="16"/>
        </w:rPr>
      </w:pPr>
    </w:p>
    <w:p>
      <w:pPr>
        <w:pStyle w:val="Heading1"/>
        <w:spacing w:line="240" w:lineRule="auto"/>
        <w:ind w:right="1476"/>
        <w:jc w:val="center"/>
        <w:rPr>
          <w:b w:val="0"/>
          <w:bCs w:val="0"/>
        </w:rPr>
      </w:pPr>
      <w:bookmarkStart w:name="第八节可转换公司债券相关情况" w:id="118"/>
      <w:bookmarkEnd w:id="118"/>
      <w:r>
        <w:rPr>
          <w:b w:val="0"/>
          <w:bCs w:val="0"/>
        </w:rPr>
      </w:r>
      <w:bookmarkStart w:name="_bookmark7" w:id="119"/>
      <w:bookmarkEnd w:id="119"/>
      <w:r>
        <w:rPr>
          <w:b w:val="0"/>
          <w:bCs w:val="0"/>
        </w:rPr>
      </w:r>
      <w:r>
        <w:rPr/>
        <w:t>第八节可转换公司债券相关情况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报告期公司不存在可转换公司债券。</w:t>
      </w:r>
    </w:p>
    <w:p>
      <w:pPr>
        <w:spacing w:after="0" w:line="3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758" w:right="1133"/>
        <w:jc w:val="left"/>
        <w:rPr>
          <w:b w:val="0"/>
          <w:bCs w:val="0"/>
        </w:rPr>
      </w:pPr>
      <w:bookmarkStart w:name="第九节董事、监事、高级管理人员和员工情况" w:id="120"/>
      <w:bookmarkEnd w:id="120"/>
      <w:r>
        <w:rPr>
          <w:b w:val="0"/>
          <w:bCs w:val="0"/>
        </w:rPr>
      </w:r>
      <w:bookmarkStart w:name="_bookmark8" w:id="121"/>
      <w:bookmarkEnd w:id="121"/>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bookmarkStart w:name="一、董事、监事和高级管理人员持股变动" w:id="122"/>
      <w:bookmarkEnd w:id="122"/>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360" w:lineRule="auto"/>
              <w:ind w:left="24" w:right="274"/>
              <w:jc w:val="left"/>
              <w:rPr>
                <w:rFonts w:ascii="Times New Roman" w:hAnsi="Times New Roman" w:cs="Times New Roman" w:eastAsia="Times New Roman" w:hint="default"/>
                <w:sz w:val="18"/>
                <w:szCs w:val="18"/>
              </w:rPr>
            </w:pPr>
            <w:r>
              <w:rPr>
                <w:rFonts w:ascii="Times New Roman"/>
                <w:sz w:val="18"/>
              </w:rPr>
              <w:t>GUO</w:t>
            </w:r>
            <w:r>
              <w:rPr>
                <w:rFonts w:ascii="Times New Roman"/>
                <w:w w:val="99"/>
                <w:sz w:val="18"/>
              </w:rPr>
              <w:t> </w:t>
            </w:r>
            <w:r>
              <w:rPr>
                <w:rFonts w:ascii="Times New Roman"/>
                <w:sz w:val="18"/>
              </w:rPr>
              <w:t>SONG</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LIU</w:t>
            </w:r>
            <w:r>
              <w:rPr>
                <w:rFonts w:ascii="Times New Roman"/>
                <w:spacing w:val="-4"/>
                <w:sz w:val="18"/>
              </w:rPr>
              <w:t> </w:t>
            </w:r>
            <w:r>
              <w:rPr>
                <w:rFonts w:ascii="Times New Roman"/>
                <w:sz w:val="18"/>
              </w:rPr>
              <w:t>DAN</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副董事 长、副总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仝文定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董事、董 事会秘书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申成文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王仁东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徐先达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高海军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郭雳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于雪磊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7"/>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7"/>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郁小娇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徐宁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34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万波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副总经 理、优博 讯研究院 院长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33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张玉洁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副总经 理、上海 分公司负 责人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张晔</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副总经 理、财务 负责人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二、公司董事、监事、高级管理人员变动情况" w:id="123"/>
      <w:bookmarkEnd w:id="123"/>
      <w:r>
        <w:rPr>
          <w:b w:val="0"/>
          <w:bCs w:val="0"/>
        </w:rPr>
      </w: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2216"/>
        <w:gridCol w:w="1274"/>
        <w:gridCol w:w="1702"/>
        <w:gridCol w:w="3046"/>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2"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王滨</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副总经理、财务负责人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三、任职情况" w:id="124"/>
      <w:bookmarkEnd w:id="124"/>
      <w:r>
        <w:rPr>
          <w:b w:val="0"/>
          <w:bCs w:val="0"/>
        </w:rPr>
      </w:r>
      <w:r>
        <w:rPr/>
        <w:t>三、任职情况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公司现任董事、监事、高级管理人员专业背景、主要工作经历以及目前在公司的主要职责</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136"/>
        <w:gridCol w:w="1561"/>
        <w:gridCol w:w="6944"/>
      </w:tblGrid>
      <w:tr>
        <w:trPr>
          <w:trHeight w:val="427" w:hRule="exact"/>
        </w:trPr>
        <w:tc>
          <w:tcPr>
            <w:tcW w:w="11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69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1348"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Times New Roman" w:hAnsi="Times New Roman" w:cs="Times New Roman" w:eastAsia="Times New Roman" w:hint="default"/>
                <w:sz w:val="18"/>
                <w:szCs w:val="18"/>
              </w:rPr>
              <w:t>5</w:t>
            </w:r>
            <w:r>
              <w:rPr>
                <w:rFonts w:ascii="宋体" w:hAnsi="宋体" w:cs="宋体" w:eastAsia="宋体" w:hint="default"/>
                <w:sz w:val="18"/>
                <w:szCs w:val="18"/>
              </w:rPr>
              <w:t>年主要工作经历和在其他单位的任职或兼职情况</w:t>
            </w:r>
          </w:p>
        </w:tc>
      </w:tr>
      <w:tr>
        <w:trPr>
          <w:trHeight w:val="1946" w:hRule="exact"/>
        </w:trPr>
        <w:tc>
          <w:tcPr>
            <w:tcW w:w="113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6"/>
              <w:ind w:left="4" w:right="0"/>
              <w:jc w:val="left"/>
              <w:rPr>
                <w:rFonts w:ascii="Times New Roman" w:hAnsi="Times New Roman" w:cs="Times New Roman" w:eastAsia="Times New Roman" w:hint="default"/>
                <w:sz w:val="18"/>
                <w:szCs w:val="18"/>
              </w:rPr>
            </w:pPr>
            <w:r>
              <w:rPr>
                <w:rFonts w:ascii="Times New Roman"/>
                <w:sz w:val="18"/>
              </w:rPr>
              <w:t>GUO</w:t>
            </w:r>
            <w:r>
              <w:rPr>
                <w:rFonts w:ascii="Times New Roman"/>
                <w:spacing w:val="-4"/>
                <w:sz w:val="18"/>
              </w:rPr>
              <w:t> </w:t>
            </w:r>
            <w:r>
              <w:rPr>
                <w:rFonts w:ascii="Times New Roman"/>
                <w:sz w:val="18"/>
              </w:rPr>
              <w:t>SONG</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694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1965</w:t>
            </w:r>
            <w:r>
              <w:rPr>
                <w:rFonts w:ascii="宋体" w:hAnsi="宋体" w:cs="宋体" w:eastAsia="宋体" w:hint="default"/>
                <w:sz w:val="18"/>
                <w:szCs w:val="18"/>
              </w:rPr>
              <w:t>年出生，华中科技大学信息工程专业工学学士、新加坡国立大学电子工程系硕士， 深圳市</w:t>
            </w:r>
            <w:r>
              <w:rPr>
                <w:rFonts w:ascii="Times New Roman" w:hAnsi="Times New Roman" w:cs="Times New Roman" w:eastAsia="Times New Roman" w:hint="default"/>
                <w:sz w:val="18"/>
                <w:szCs w:val="18"/>
              </w:rPr>
              <w:t>“</w:t>
            </w:r>
            <w:r>
              <w:rPr>
                <w:rFonts w:ascii="宋体" w:hAnsi="宋体" w:cs="宋体" w:eastAsia="宋体" w:hint="default"/>
                <w:sz w:val="18"/>
                <w:szCs w:val="18"/>
              </w:rPr>
              <w:t>孔雀计划</w:t>
            </w:r>
            <w:r>
              <w:rPr>
                <w:rFonts w:ascii="Times New Roman" w:hAnsi="Times New Roman" w:cs="Times New Roman" w:eastAsia="Times New Roman" w:hint="default"/>
                <w:sz w:val="18"/>
                <w:szCs w:val="18"/>
              </w:rPr>
              <w:t>”</w:t>
            </w:r>
            <w:r>
              <w:rPr>
                <w:rFonts w:ascii="宋体" w:hAnsi="宋体" w:cs="宋体" w:eastAsia="宋体" w:hint="default"/>
                <w:sz w:val="18"/>
                <w:szCs w:val="18"/>
              </w:rPr>
              <w:t>海外高层次人才，被评为</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年度中国物流技术装备行业创新人物； </w:t>
            </w:r>
            <w:r>
              <w:rPr>
                <w:rFonts w:ascii="Times New Roman" w:hAnsi="Times New Roman" w:cs="Times New Roman" w:eastAsia="Times New Roman" w:hint="default"/>
                <w:sz w:val="18"/>
                <w:szCs w:val="18"/>
              </w:rPr>
              <w:t>2002</w:t>
            </w:r>
            <w:r>
              <w:rPr>
                <w:rFonts w:ascii="宋体" w:hAnsi="宋体" w:cs="宋体" w:eastAsia="宋体" w:hint="default"/>
                <w:sz w:val="18"/>
                <w:szCs w:val="18"/>
              </w:rPr>
              <w:t>年至今任深圳市正达资讯技术有限公司执行董事、总经理；</w:t>
            </w:r>
            <w:r>
              <w:rPr>
                <w:rFonts w:ascii="Times New Roman" w:hAnsi="Times New Roman" w:cs="Times New Roman" w:eastAsia="Times New Roman" w:hint="default"/>
                <w:sz w:val="18"/>
                <w:szCs w:val="18"/>
              </w:rPr>
              <w:t>2010</w:t>
            </w:r>
            <w:r>
              <w:rPr>
                <w:rFonts w:ascii="宋体" w:hAnsi="宋体" w:cs="宋体" w:eastAsia="宋体" w:hint="default"/>
                <w:sz w:val="18"/>
                <w:szCs w:val="18"/>
              </w:rPr>
              <w:t>年至今任深圳市蓝 云达智能科技有限公司执行董事、总经理；</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月至今任香港优博讯科技控股集团有 限公司董事；</w:t>
            </w:r>
            <w:r>
              <w:rPr>
                <w:rFonts w:ascii="Times New Roman" w:hAnsi="Times New Roman" w:cs="Times New Roman" w:eastAsia="Times New Roman" w:hint="default"/>
                <w:sz w:val="18"/>
                <w:szCs w:val="18"/>
              </w:rPr>
              <w:t>2012</w:t>
            </w:r>
            <w:r>
              <w:rPr>
                <w:rFonts w:ascii="宋体" w:hAnsi="宋体" w:cs="宋体" w:eastAsia="宋体" w:hint="default"/>
                <w:sz w:val="18"/>
                <w:szCs w:val="18"/>
              </w:rPr>
              <w:t>年至今任深圳市江南正鼎信息技术有限公司执行董事、总经理，香港 优博讯科技有限公司董事；</w:t>
            </w:r>
            <w:r>
              <w:rPr>
                <w:rFonts w:ascii="Times New Roman" w:hAnsi="Times New Roman" w:cs="Times New Roman" w:eastAsia="Times New Roman" w:hint="default"/>
                <w:sz w:val="18"/>
                <w:szCs w:val="18"/>
              </w:rPr>
              <w:t>2013</w:t>
            </w:r>
            <w:r>
              <w:rPr>
                <w:rFonts w:ascii="宋体" w:hAnsi="宋体" w:cs="宋体" w:eastAsia="宋体" w:hint="default"/>
                <w:sz w:val="18"/>
                <w:szCs w:val="18"/>
              </w:rPr>
              <w:t>年至今任深圳市优博讯软件技术有限公司执行董事、总</w:t>
            </w:r>
          </w:p>
        </w:tc>
      </w:tr>
    </w:tbl>
    <w:p>
      <w:pPr>
        <w:spacing w:after="0" w:line="30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r>
        <w:rPr/>
        <w:pict>
          <v:shape style="position:absolute;margin-left:56.279999pt;margin-top:71.999985pt;width:483.1pt;height:697.45pt;mso-position-horizontal-relative:page;mso-position-vertical-relative:page;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6"/>
                    <w:gridCol w:w="1561"/>
                    <w:gridCol w:w="6944"/>
                  </w:tblGrid>
                  <w:tr>
                    <w:trPr>
                      <w:trHeight w:val="428" w:hRule="exact"/>
                    </w:trPr>
                    <w:tc>
                      <w:tcPr>
                        <w:tcW w:w="11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69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1348"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Times New Roman" w:hAnsi="Times New Roman" w:cs="Times New Roman" w:eastAsia="Times New Roman" w:hint="default"/>
                            <w:sz w:val="18"/>
                            <w:szCs w:val="18"/>
                          </w:rPr>
                          <w:t>5</w:t>
                        </w:r>
                        <w:r>
                          <w:rPr>
                            <w:rFonts w:ascii="宋体" w:hAnsi="宋体" w:cs="宋体" w:eastAsia="宋体" w:hint="default"/>
                            <w:sz w:val="18"/>
                            <w:szCs w:val="18"/>
                          </w:rPr>
                          <w:t>年主要工作经历和在其他单位的任职或兼职情况</w:t>
                        </w:r>
                      </w:p>
                    </w:tc>
                  </w:tr>
                  <w:tr>
                    <w:trPr>
                      <w:trHeight w:val="1010" w:hRule="exact"/>
                    </w:trPr>
                    <w:tc>
                      <w:tcPr>
                        <w:tcW w:w="113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694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84"/>
                          <w:jc w:val="both"/>
                          <w:rPr>
                            <w:rFonts w:ascii="宋体" w:hAnsi="宋体" w:cs="宋体" w:eastAsia="宋体" w:hint="default"/>
                            <w:sz w:val="18"/>
                            <w:szCs w:val="18"/>
                          </w:rPr>
                        </w:pPr>
                        <w:r>
                          <w:rPr>
                            <w:rFonts w:ascii="宋体" w:hAnsi="宋体" w:cs="宋体" w:eastAsia="宋体" w:hint="default"/>
                            <w:sz w:val="18"/>
                            <w:szCs w:val="18"/>
                          </w:rPr>
                          <w:t>经理；</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年至今任寰泰发展有限公司董事，深圳市博通思创咨询有限公司董事长、总 经理；</w:t>
                        </w:r>
                        <w:r>
                          <w:rPr>
                            <w:rFonts w:ascii="Times New Roman" w:hAnsi="Times New Roman" w:cs="Times New Roman" w:eastAsia="Times New Roman" w:hint="default"/>
                            <w:sz w:val="18"/>
                            <w:szCs w:val="18"/>
                          </w:rPr>
                          <w:t>2017</w:t>
                        </w:r>
                        <w:r>
                          <w:rPr>
                            <w:rFonts w:ascii="宋体" w:hAnsi="宋体" w:cs="宋体" w:eastAsia="宋体" w:hint="default"/>
                            <w:sz w:val="18"/>
                            <w:szCs w:val="18"/>
                          </w:rPr>
                          <w:t>年至今任宏泰实业有限公司董事，博远企业有限公司董事，深圳市博通智能 科技有限公司董事长、总经理；</w:t>
                        </w:r>
                        <w:r>
                          <w:rPr>
                            <w:rFonts w:ascii="Times New Roman" w:hAnsi="Times New Roman" w:cs="Times New Roman" w:eastAsia="Times New Roman" w:hint="default"/>
                            <w:sz w:val="18"/>
                            <w:szCs w:val="18"/>
                          </w:rPr>
                          <w:t>2006</w:t>
                        </w:r>
                        <w:r>
                          <w:rPr>
                            <w:rFonts w:ascii="宋体" w:hAnsi="宋体" w:cs="宋体" w:eastAsia="宋体" w:hint="default"/>
                            <w:sz w:val="18"/>
                            <w:szCs w:val="18"/>
                          </w:rPr>
                          <w:t>年至今历任公司副总经理、总经理。</w:t>
                        </w:r>
                      </w:p>
                    </w:tc>
                  </w:tr>
                  <w:tr>
                    <w:trPr>
                      <w:trHeight w:val="190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LIU</w:t>
                        </w:r>
                        <w:r>
                          <w:rPr>
                            <w:rFonts w:ascii="Times New Roman"/>
                            <w:spacing w:val="-4"/>
                            <w:sz w:val="18"/>
                          </w:rPr>
                          <w:t> </w:t>
                        </w:r>
                        <w:r>
                          <w:rPr>
                            <w:rFonts w:ascii="Times New Roman"/>
                            <w:sz w:val="18"/>
                          </w:rPr>
                          <w:t>DAN</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副董事长</w:t>
                        </w:r>
                        <w:r>
                          <w:rPr>
                            <w:rFonts w:ascii="宋体" w:hAnsi="宋体" w:cs="宋体" w:eastAsia="宋体" w:hint="default"/>
                            <w:spacing w:val="-80"/>
                            <w:sz w:val="18"/>
                            <w:szCs w:val="18"/>
                          </w:rPr>
                          <w:t>、</w:t>
                        </w:r>
                        <w:r>
                          <w:rPr>
                            <w:rFonts w:ascii="宋体" w:hAnsi="宋体" w:cs="宋体" w:eastAsia="宋体" w:hint="default"/>
                            <w:sz w:val="18"/>
                            <w:szCs w:val="18"/>
                          </w:rPr>
                          <w:t>副总经理</w:t>
                        </w:r>
                      </w:p>
                    </w:tc>
                    <w:tc>
                      <w:tcPr>
                        <w:tcW w:w="6944"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20"/>
                          <w:ind w:left="2" w:right="83"/>
                          <w:jc w:val="both"/>
                          <w:rPr>
                            <w:rFonts w:ascii="宋体" w:hAnsi="宋体" w:cs="宋体" w:eastAsia="宋体" w:hint="default"/>
                            <w:sz w:val="18"/>
                            <w:szCs w:val="18"/>
                          </w:rPr>
                        </w:pPr>
                        <w:r>
                          <w:rPr>
                            <w:rFonts w:ascii="Times New Roman" w:hAnsi="Times New Roman" w:cs="Times New Roman" w:eastAsia="Times New Roman" w:hint="default"/>
                            <w:sz w:val="18"/>
                            <w:szCs w:val="18"/>
                          </w:rPr>
                          <w:t>1968</w:t>
                        </w:r>
                        <w:r>
                          <w:rPr>
                            <w:rFonts w:ascii="宋体" w:hAnsi="宋体" w:cs="宋体" w:eastAsia="宋体" w:hint="default"/>
                            <w:sz w:val="18"/>
                            <w:szCs w:val="18"/>
                          </w:rPr>
                          <w:t>年出生，上海交通大学计算机软件专业工学硕士；</w:t>
                        </w:r>
                        <w:r>
                          <w:rPr>
                            <w:rFonts w:ascii="Times New Roman" w:hAnsi="Times New Roman" w:cs="Times New Roman" w:eastAsia="Times New Roman" w:hint="default"/>
                            <w:sz w:val="18"/>
                            <w:szCs w:val="18"/>
                          </w:rPr>
                          <w:t>2002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月至今任深圳市正达资 讯技术有限公司副总经理；</w:t>
                        </w:r>
                        <w:r>
                          <w:rPr>
                            <w:rFonts w:ascii="Times New Roman" w:hAnsi="Times New Roman" w:cs="Times New Roman" w:eastAsia="Times New Roman" w:hint="default"/>
                            <w:sz w:val="18"/>
                            <w:szCs w:val="18"/>
                          </w:rPr>
                          <w:t>2015</w:t>
                        </w:r>
                        <w:r>
                          <w:rPr>
                            <w:rFonts w:ascii="宋体" w:hAnsi="宋体" w:cs="宋体" w:eastAsia="宋体" w:hint="default"/>
                            <w:sz w:val="18"/>
                            <w:szCs w:val="18"/>
                          </w:rPr>
                          <w:t>年至今任深圳市优金支付科技有限公司执行董事、总经 理；</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年至今任卓泰实业有限公司董事，深圳市博通思创咨询有限公司董事；</w:t>
                        </w:r>
                        <w:r>
                          <w:rPr>
                            <w:rFonts w:ascii="Times New Roman" w:hAnsi="Times New Roman" w:cs="Times New Roman" w:eastAsia="Times New Roman" w:hint="default"/>
                            <w:sz w:val="18"/>
                            <w:szCs w:val="18"/>
                          </w:rPr>
                          <w:t>2017</w:t>
                        </w:r>
                        <w:r>
                          <w:rPr>
                            <w:rFonts w:ascii="宋体" w:hAnsi="宋体" w:cs="宋体" w:eastAsia="宋体" w:hint="default"/>
                            <w:sz w:val="18"/>
                            <w:szCs w:val="18"/>
                          </w:rPr>
                          <w:t>年 至今任深圳市瑞柏泰电子有限公司董事，深圳市天眼智通科技有限公司董事，深圳市博 通智能科技有限公司董事；</w:t>
                        </w:r>
                        <w:r>
                          <w:rPr>
                            <w:rFonts w:ascii="Times New Roman" w:hAnsi="Times New Roman" w:cs="Times New Roman" w:eastAsia="Times New Roman" w:hint="default"/>
                            <w:sz w:val="18"/>
                            <w:szCs w:val="18"/>
                          </w:rPr>
                          <w:t>2019</w:t>
                        </w:r>
                        <w:r>
                          <w:rPr>
                            <w:rFonts w:ascii="宋体" w:hAnsi="宋体" w:cs="宋体" w:eastAsia="宋体" w:hint="default"/>
                            <w:sz w:val="18"/>
                            <w:szCs w:val="18"/>
                          </w:rPr>
                          <w:t>年至今任深圳市云栖信息科技有限公司执行董事，珠海 佳博科技有限公司董事；</w:t>
                        </w:r>
                        <w:r>
                          <w:rPr>
                            <w:rFonts w:ascii="Times New Roman" w:hAnsi="Times New Roman" w:cs="Times New Roman" w:eastAsia="Times New Roman" w:hint="default"/>
                            <w:sz w:val="18"/>
                            <w:szCs w:val="18"/>
                          </w:rPr>
                          <w:t>2006</w:t>
                        </w:r>
                        <w:r>
                          <w:rPr>
                            <w:rFonts w:ascii="宋体" w:hAnsi="宋体" w:cs="宋体" w:eastAsia="宋体" w:hint="default"/>
                            <w:sz w:val="18"/>
                            <w:szCs w:val="18"/>
                          </w:rPr>
                          <w:t>年至今担任公司副总经理。</w:t>
                        </w:r>
                      </w:p>
                    </w:tc>
                  </w:tr>
                  <w:tr>
                    <w:trPr>
                      <w:trHeight w:val="74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仝文定</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6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1978</w:t>
                        </w:r>
                        <w:r>
                          <w:rPr>
                            <w:rFonts w:ascii="宋体" w:hAnsi="宋体" w:cs="宋体" w:eastAsia="宋体" w:hint="default"/>
                            <w:sz w:val="18"/>
                            <w:szCs w:val="18"/>
                          </w:rPr>
                          <w:t>年出生，郑州大学计算机信息管理专业学士，长江商学院工商管理硕士研究生毕业</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年至今任珠海佳博科技有限公司董事；</w:t>
                        </w:r>
                        <w:r>
                          <w:rPr>
                            <w:rFonts w:ascii="Times New Roman" w:hAnsi="Times New Roman" w:cs="Times New Roman" w:eastAsia="Times New Roman" w:hint="default"/>
                            <w:sz w:val="18"/>
                            <w:szCs w:val="18"/>
                          </w:rPr>
                          <w:t>2007</w:t>
                        </w:r>
                        <w:r>
                          <w:rPr>
                            <w:rFonts w:ascii="宋体" w:hAnsi="宋体" w:cs="宋体" w:eastAsia="宋体" w:hint="default"/>
                            <w:sz w:val="18"/>
                            <w:szCs w:val="18"/>
                          </w:rPr>
                          <w:t>年至今历任公司销售部总监、副总经理</w:t>
                        </w:r>
                      </w:p>
                    </w:tc>
                  </w:tr>
                  <w:tr>
                    <w:trPr>
                      <w:trHeight w:val="65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刘镇</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董事、董事会秘书</w:t>
                        </w:r>
                      </w:p>
                    </w:tc>
                    <w:tc>
                      <w:tcPr>
                        <w:tcW w:w="6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1985</w:t>
                        </w:r>
                        <w:r>
                          <w:rPr>
                            <w:rFonts w:ascii="宋体" w:hAnsi="宋体" w:cs="宋体" w:eastAsia="宋体" w:hint="default"/>
                            <w:sz w:val="18"/>
                            <w:szCs w:val="18"/>
                          </w:rPr>
                          <w:t>年出生，北京大学金融学硕士；</w:t>
                        </w:r>
                        <w:r>
                          <w:rPr>
                            <w:rFonts w:ascii="Times New Roman" w:hAnsi="Times New Roman" w:cs="Times New Roman" w:eastAsia="Times New Roman" w:hint="default"/>
                            <w:sz w:val="18"/>
                            <w:szCs w:val="18"/>
                          </w:rPr>
                          <w:t>2017</w:t>
                        </w:r>
                        <w:r>
                          <w:rPr>
                            <w:rFonts w:ascii="宋体" w:hAnsi="宋体" w:cs="宋体" w:eastAsia="宋体" w:hint="default"/>
                            <w:sz w:val="18"/>
                            <w:szCs w:val="18"/>
                          </w:rPr>
                          <w:t>年至今任深圳市天眼智通科技有限公司董事；</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年至今担任公司董事会秘书。</w:t>
                        </w:r>
                      </w:p>
                    </w:tc>
                  </w:tr>
                  <w:tr>
                    <w:trPr>
                      <w:trHeight w:val="4716"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申成文</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1962</w:t>
                        </w:r>
                        <w:r>
                          <w:rPr>
                            <w:rFonts w:ascii="宋体" w:hAnsi="宋体" w:cs="宋体" w:eastAsia="宋体" w:hint="default"/>
                            <w:sz w:val="18"/>
                            <w:szCs w:val="18"/>
                          </w:rPr>
                          <w:t>年出生，山东大学经济学硕士；</w:t>
                        </w:r>
                        <w:r>
                          <w:rPr>
                            <w:rFonts w:ascii="Times New Roman" w:hAnsi="Times New Roman" w:cs="Times New Roman" w:eastAsia="Times New Roman" w:hint="default"/>
                            <w:sz w:val="18"/>
                            <w:szCs w:val="18"/>
                          </w:rPr>
                          <w:t>2010</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2015</w:t>
                        </w:r>
                        <w:r>
                          <w:rPr>
                            <w:rFonts w:ascii="宋体" w:hAnsi="宋体" w:cs="宋体" w:eastAsia="宋体" w:hint="default"/>
                            <w:sz w:val="18"/>
                            <w:szCs w:val="18"/>
                          </w:rPr>
                          <w:t>年任深圳市贝尔信科技有限公司董事</w:t>
                        </w:r>
                      </w:p>
                      <w:p>
                        <w:pPr>
                          <w:pStyle w:val="TableParagraph"/>
                          <w:spacing w:line="304" w:lineRule="auto" w:before="63"/>
                          <w:ind w:left="2"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月任成都中洲投资有限公司董事；</w:t>
                        </w:r>
                        <w:r>
                          <w:rPr>
                            <w:rFonts w:ascii="Times New Roman" w:hAnsi="Times New Roman" w:cs="Times New Roman" w:eastAsia="Times New Roman" w:hint="default"/>
                            <w:sz w:val="18"/>
                            <w:szCs w:val="18"/>
                          </w:rPr>
                          <w:t>2012</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月任深圳市中洲科 技有限公司董事长；</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月任深圳市甘美科技有限公司执行（常务）董 事；</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月任深圳市中洲创业投资有限公司执行（常务）董事、总经理 </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月任深圳市阳光之路生物材料科技有限公司董事；</w:t>
                        </w:r>
                        <w:r>
                          <w:rPr>
                            <w:rFonts w:ascii="Times New Roman" w:hAnsi="Times New Roman" w:cs="Times New Roman" w:eastAsia="Times New Roman" w:hint="default"/>
                            <w:sz w:val="18"/>
                            <w:szCs w:val="18"/>
                          </w:rPr>
                          <w:t>2010</w:t>
                        </w:r>
                        <w:r>
                          <w:rPr>
                            <w:rFonts w:ascii="宋体" w:hAnsi="宋体" w:cs="宋体" w:eastAsia="宋体" w:hint="default"/>
                            <w:sz w:val="18"/>
                            <w:szCs w:val="18"/>
                          </w:rPr>
                          <w:t>年至今任湖 北红土创业投资有限公司董事；</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月任深圳中洲集团有限公司副总裁 副董事长，</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月至今任深圳中洲集团有限公司副总裁、董事；</w:t>
                        </w:r>
                        <w:r>
                          <w:rPr>
                            <w:rFonts w:ascii="Times New Roman" w:hAnsi="Times New Roman" w:cs="Times New Roman" w:eastAsia="Times New Roman" w:hint="default"/>
                            <w:sz w:val="18"/>
                            <w:szCs w:val="18"/>
                          </w:rPr>
                          <w:t>2013</w:t>
                        </w:r>
                        <w:r>
                          <w:rPr>
                            <w:rFonts w:ascii="宋体" w:hAnsi="宋体" w:cs="宋体" w:eastAsia="宋体" w:hint="default"/>
                            <w:sz w:val="18"/>
                            <w:szCs w:val="18"/>
                          </w:rPr>
                          <w:t>年至今任深圳市 中洲商业管理有限公司执行董事，深圳市中洲投资控股股份有限公司董事；</w:t>
                        </w:r>
                        <w:r>
                          <w:rPr>
                            <w:rFonts w:ascii="Times New Roman" w:hAnsi="Times New Roman" w:cs="Times New Roman" w:eastAsia="Times New Roman" w:hint="default"/>
                            <w:sz w:val="18"/>
                            <w:szCs w:val="18"/>
                          </w:rPr>
                          <w:t>2014</w:t>
                        </w:r>
                        <w:r>
                          <w:rPr>
                            <w:rFonts w:ascii="宋体" w:hAnsi="宋体" w:cs="宋体" w:eastAsia="宋体" w:hint="default"/>
                            <w:sz w:val="18"/>
                            <w:szCs w:val="18"/>
                          </w:rPr>
                          <w:t>年至今 任深圳协利纸业有限公司副董事长，深圳市中洲装饰工程有限公司执行董事、总经理， 深圳市前海阳诚实业发展有限公司执行董事、总经理；</w:t>
                        </w:r>
                        <w:r>
                          <w:rPr>
                            <w:rFonts w:ascii="Times New Roman" w:hAnsi="Times New Roman" w:cs="Times New Roman" w:eastAsia="Times New Roman" w:hint="default"/>
                            <w:sz w:val="18"/>
                            <w:szCs w:val="18"/>
                          </w:rPr>
                          <w:t>2015</w:t>
                        </w:r>
                        <w:r>
                          <w:rPr>
                            <w:rFonts w:ascii="宋体" w:hAnsi="宋体" w:cs="宋体" w:eastAsia="宋体" w:hint="default"/>
                            <w:sz w:val="18"/>
                            <w:szCs w:val="18"/>
                          </w:rPr>
                          <w:t>年至今任深圳市中洲投资有 限公司董事长、总经理，惠莞高速公路（惠州）投资有限公司监事；</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年至今任深圳 天常发展有限公司执行董事、总经理，深圳天常股权投资管理有限公司执行董事、总经 理，深圳中洲产业投资管理有限公司董事，青岛市源洲投资有限公司董事长兼总经理； </w:t>
                        </w:r>
                        <w:r>
                          <w:rPr>
                            <w:rFonts w:ascii="Times New Roman" w:hAnsi="Times New Roman" w:cs="Times New Roman" w:eastAsia="Times New Roman" w:hint="default"/>
                            <w:sz w:val="18"/>
                            <w:szCs w:val="18"/>
                          </w:rPr>
                          <w:t>2017</w:t>
                        </w:r>
                        <w:r>
                          <w:rPr>
                            <w:rFonts w:ascii="宋体" w:hAnsi="宋体" w:cs="宋体" w:eastAsia="宋体" w:hint="default"/>
                            <w:sz w:val="18"/>
                            <w:szCs w:val="18"/>
                          </w:rPr>
                          <w:t>年至今任深圳中洲股权投资基金管理有限公司董事，深圳中洲金控投资有限公司董 事；</w:t>
                        </w:r>
                        <w:r>
                          <w:rPr>
                            <w:rFonts w:ascii="Times New Roman" w:hAnsi="Times New Roman" w:cs="Times New Roman" w:eastAsia="Times New Roman" w:hint="default"/>
                            <w:sz w:val="18"/>
                            <w:szCs w:val="18"/>
                          </w:rPr>
                          <w:t>2011</w:t>
                        </w:r>
                        <w:r>
                          <w:rPr>
                            <w:rFonts w:ascii="宋体" w:hAnsi="宋体" w:cs="宋体" w:eastAsia="宋体" w:hint="default"/>
                            <w:sz w:val="18"/>
                            <w:szCs w:val="18"/>
                          </w:rPr>
                          <w:t>年至今任公司董事。</w:t>
                        </w:r>
                      </w:p>
                    </w:tc>
                  </w:tr>
                  <w:tr>
                    <w:trPr>
                      <w:trHeight w:val="1282"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王仁东</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944"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7"/>
                          <w:ind w:left="2" w:right="82"/>
                          <w:jc w:val="both"/>
                          <w:rPr>
                            <w:rFonts w:ascii="宋体" w:hAnsi="宋体" w:cs="宋体" w:eastAsia="宋体" w:hint="default"/>
                            <w:sz w:val="18"/>
                            <w:szCs w:val="18"/>
                          </w:rPr>
                        </w:pPr>
                        <w:r>
                          <w:rPr>
                            <w:rFonts w:ascii="Times New Roman" w:hAnsi="Times New Roman" w:cs="Times New Roman" w:eastAsia="Times New Roman" w:hint="default"/>
                            <w:sz w:val="18"/>
                            <w:szCs w:val="18"/>
                          </w:rPr>
                          <w:t>1961</w:t>
                        </w:r>
                        <w:r>
                          <w:rPr>
                            <w:rFonts w:ascii="宋体" w:hAnsi="宋体" w:cs="宋体" w:eastAsia="宋体" w:hint="default"/>
                            <w:sz w:val="18"/>
                            <w:szCs w:val="18"/>
                          </w:rPr>
                          <w:t>年出生，华中科技大学工学硕士；</w:t>
                        </w:r>
                        <w:r>
                          <w:rPr>
                            <w:rFonts w:ascii="Times New Roman" w:hAnsi="Times New Roman" w:cs="Times New Roman" w:eastAsia="Times New Roman" w:hint="default"/>
                            <w:sz w:val="18"/>
                            <w:szCs w:val="18"/>
                          </w:rPr>
                          <w:t>1989</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年底历任深圳南山热电股份有限公 司开发部部长、工程部长、技改办主任、副总工程师、公司监事、总工程师、环保总监 </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月至今任深圳市资产管理学会监事长；</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月至今任深圳南山热电股份有限 公司南山热电厂顾问；</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日起担任公司董事。</w:t>
                        </w:r>
                      </w:p>
                    </w:tc>
                  </w:tr>
                  <w:tr>
                    <w:trPr>
                      <w:trHeight w:val="1285"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徐先达</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94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3"/>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1964</w:t>
                        </w:r>
                        <w:r>
                          <w:rPr>
                            <w:rFonts w:ascii="宋体" w:hAnsi="宋体" w:cs="宋体" w:eastAsia="宋体" w:hint="default"/>
                            <w:spacing w:val="-2"/>
                            <w:sz w:val="18"/>
                            <w:szCs w:val="18"/>
                          </w:rPr>
                          <w:t>年出生，清华大学高级管理人员工商管理硕士（</w:t>
                        </w:r>
                        <w:r>
                          <w:rPr>
                            <w:rFonts w:ascii="Times New Roman" w:hAnsi="Times New Roman" w:cs="Times New Roman" w:eastAsia="Times New Roman" w:hint="default"/>
                            <w:spacing w:val="-2"/>
                            <w:sz w:val="18"/>
                            <w:szCs w:val="18"/>
                          </w:rPr>
                          <w:t>EMBA</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月任</w:t>
                        </w:r>
                        <w:r>
                          <w:rPr>
                            <w:rFonts w:ascii="宋体" w:hAnsi="宋体" w:cs="宋体" w:eastAsia="宋体" w:hint="default"/>
                            <w:spacing w:val="-80"/>
                            <w:sz w:val="18"/>
                            <w:szCs w:val="18"/>
                          </w:rPr>
                          <w:t> </w:t>
                        </w:r>
                        <w:r>
                          <w:rPr>
                            <w:rFonts w:ascii="宋体" w:hAnsi="宋体" w:cs="宋体" w:eastAsia="宋体" w:hint="default"/>
                            <w:sz w:val="18"/>
                            <w:szCs w:val="18"/>
                          </w:rPr>
                          <w:t>广亿贸易（深圳）有限公司执行董事、总经理；</w:t>
                        </w:r>
                        <w:r>
                          <w:rPr>
                            <w:rFonts w:ascii="Times New Roman" w:hAnsi="Times New Roman" w:cs="Times New Roman" w:eastAsia="Times New Roman" w:hint="default"/>
                            <w:sz w:val="18"/>
                            <w:szCs w:val="18"/>
                          </w:rPr>
                          <w:t>2001</w:t>
                        </w:r>
                        <w:r>
                          <w:rPr>
                            <w:rFonts w:ascii="宋体" w:hAnsi="宋体" w:cs="宋体" w:eastAsia="宋体" w:hint="default"/>
                            <w:sz w:val="18"/>
                            <w:szCs w:val="18"/>
                          </w:rPr>
                          <w:t>年至今任深圳市百利达投资有限公 司董事；</w:t>
                        </w:r>
                        <w:r>
                          <w:rPr>
                            <w:rFonts w:ascii="Times New Roman" w:hAnsi="Times New Roman" w:cs="Times New Roman" w:eastAsia="Times New Roman" w:hint="default"/>
                            <w:sz w:val="18"/>
                            <w:szCs w:val="18"/>
                          </w:rPr>
                          <w:t>2005</w:t>
                        </w:r>
                        <w:r>
                          <w:rPr>
                            <w:rFonts w:ascii="宋体" w:hAnsi="宋体" w:cs="宋体" w:eastAsia="宋体" w:hint="default"/>
                            <w:sz w:val="18"/>
                            <w:szCs w:val="18"/>
                          </w:rPr>
                          <w:t>年至今任百丽国际控股有限公司副总经理；</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月至今任深圳市百利达 投资管理有限公司执行董事；</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日起担任公司独立董事。</w:t>
                        </w:r>
                      </w:p>
                    </w:tc>
                  </w:tr>
                  <w:tr>
                    <w:trPr>
                      <w:trHeight w:val="190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高海军</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944"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17"/>
                          <w:ind w:left="2"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1969</w:t>
                        </w:r>
                        <w:r>
                          <w:rPr>
                            <w:rFonts w:ascii="宋体" w:hAnsi="宋体" w:cs="宋体" w:eastAsia="宋体" w:hint="default"/>
                            <w:sz w:val="18"/>
                            <w:szCs w:val="18"/>
                          </w:rPr>
                          <w:t>年出生，注册会计师；</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月任深圳市精密达机械有限公司副总经 理、董事会秘书、财务总监；</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月任深圳瑞和建筑装饰股份有限公司 副总经理兼投资总监；</w:t>
                        </w:r>
                        <w:r>
                          <w:rPr>
                            <w:rFonts w:ascii="Times New Roman" w:hAnsi="Times New Roman" w:cs="Times New Roman" w:eastAsia="Times New Roman" w:hint="default"/>
                            <w:sz w:val="18"/>
                            <w:szCs w:val="18"/>
                          </w:rPr>
                          <w:t>2017</w:t>
                        </w:r>
                        <w:r>
                          <w:rPr>
                            <w:rFonts w:ascii="宋体" w:hAnsi="宋体" w:cs="宋体" w:eastAsia="宋体" w:hint="default"/>
                            <w:sz w:val="18"/>
                            <w:szCs w:val="18"/>
                          </w:rPr>
                          <w:t>年至今任深圳市中幼国际教育科技有限公司副总裁兼财务中 心总经理，宁波圣莱达电器股份有限公司独立董事，深圳市英唐智能控制股份有限公司 独立董事；</w:t>
                        </w:r>
                        <w:r>
                          <w:rPr>
                            <w:rFonts w:ascii="Times New Roman" w:hAnsi="Times New Roman" w:cs="Times New Roman" w:eastAsia="Times New Roman" w:hint="default"/>
                            <w:sz w:val="18"/>
                            <w:szCs w:val="18"/>
                          </w:rPr>
                          <w:t>2018</w:t>
                        </w:r>
                        <w:r>
                          <w:rPr>
                            <w:rFonts w:ascii="宋体" w:hAnsi="宋体" w:cs="宋体" w:eastAsia="宋体" w:hint="default"/>
                            <w:sz w:val="18"/>
                            <w:szCs w:val="18"/>
                          </w:rPr>
                          <w:t>年至今任广东佳兆业佳云科技股份有限公司独立董事；</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月至今任 深圳信隆健康产业发展股份有限公司独立董事；</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日起担任公司独立董事。</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BodyText"/>
        <w:spacing w:line="240" w:lineRule="auto" w:before="44"/>
        <w:ind w:left="0" w:right="1050"/>
        <w:jc w:val="right"/>
      </w:pPr>
      <w:r>
        <w:rPr/>
        <w:t>；</w:t>
      </w:r>
    </w:p>
    <w:p>
      <w:pPr>
        <w:pStyle w:val="BodyText"/>
        <w:spacing w:line="240" w:lineRule="auto" w:before="77"/>
        <w:ind w:left="0" w:right="105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BodyText"/>
        <w:spacing w:line="240" w:lineRule="auto" w:before="44"/>
        <w:ind w:left="0" w:right="105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0" w:right="1050"/>
        <w:jc w:val="right"/>
      </w:pPr>
      <w:r>
        <w:rPr/>
        <w:t>；</w:t>
      </w:r>
    </w:p>
    <w:p>
      <w:pPr>
        <w:spacing w:line="240" w:lineRule="auto" w:before="4"/>
        <w:rPr>
          <w:rFonts w:ascii="宋体" w:hAnsi="宋体" w:cs="宋体" w:eastAsia="宋体" w:hint="default"/>
          <w:sz w:val="26"/>
          <w:szCs w:val="26"/>
        </w:rPr>
      </w:pPr>
    </w:p>
    <w:p>
      <w:pPr>
        <w:pStyle w:val="BodyText"/>
        <w:spacing w:line="240" w:lineRule="auto" w:before="44"/>
        <w:ind w:left="0" w:right="105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before="44"/>
        <w:ind w:left="0" w:right="1050"/>
        <w:jc w:val="right"/>
      </w:pPr>
      <w:r>
        <w:rPr/>
        <w:t>；</w:t>
      </w:r>
    </w:p>
    <w:p>
      <w:pPr>
        <w:spacing w:after="0" w:line="240" w:lineRule="auto"/>
        <w:jc w:val="righ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BodyText"/>
        <w:spacing w:line="240" w:lineRule="auto" w:before="44"/>
        <w:ind w:left="0" w:right="1047"/>
        <w:jc w:val="right"/>
      </w:pPr>
      <w:r>
        <w:rPr/>
        <w:pict>
          <v:shape style="position:absolute;margin-left:56.279999pt;margin-top:-182.068268pt;width:483.1pt;height:362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6"/>
                    <w:gridCol w:w="1561"/>
                    <w:gridCol w:w="6944"/>
                  </w:tblGrid>
                  <w:tr>
                    <w:trPr>
                      <w:trHeight w:val="428" w:hRule="exact"/>
                    </w:trPr>
                    <w:tc>
                      <w:tcPr>
                        <w:tcW w:w="11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69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1348"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Times New Roman" w:hAnsi="Times New Roman" w:cs="Times New Roman" w:eastAsia="Times New Roman" w:hint="default"/>
                            <w:sz w:val="18"/>
                            <w:szCs w:val="18"/>
                          </w:rPr>
                          <w:t>5</w:t>
                        </w:r>
                        <w:r>
                          <w:rPr>
                            <w:rFonts w:ascii="宋体" w:hAnsi="宋体" w:cs="宋体" w:eastAsia="宋体" w:hint="default"/>
                            <w:sz w:val="18"/>
                            <w:szCs w:val="18"/>
                          </w:rPr>
                          <w:t>年主要工作经历和在其他单位的任职或兼职情况</w:t>
                        </w:r>
                      </w:p>
                    </w:tc>
                  </w:tr>
                  <w:tr>
                    <w:trPr>
                      <w:trHeight w:val="97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郭雳</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94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1979</w:t>
                        </w:r>
                        <w:r>
                          <w:rPr>
                            <w:rFonts w:ascii="宋体" w:hAnsi="宋体" w:cs="宋体" w:eastAsia="宋体" w:hint="default"/>
                            <w:sz w:val="18"/>
                            <w:szCs w:val="18"/>
                          </w:rPr>
                          <w:t>年出生，中国政法大学法学硕士；</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月任深圳市金和动迁投资 管理有限公司监事；</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月至今任北京德恒（深圳）律师事务所合伙人、执业律师， 深圳市悟童教育发展有限公司监事；</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日起担任公司独立董事。</w:t>
                        </w:r>
                      </w:p>
                    </w:tc>
                  </w:tr>
                  <w:tr>
                    <w:trPr>
                      <w:trHeight w:val="1284"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于雪磊</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6944"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0"/>
                          <w:ind w:left="2" w:right="83"/>
                          <w:jc w:val="both"/>
                          <w:rPr>
                            <w:rFonts w:ascii="宋体" w:hAnsi="宋体" w:cs="宋体" w:eastAsia="宋体" w:hint="default"/>
                            <w:sz w:val="18"/>
                            <w:szCs w:val="18"/>
                          </w:rPr>
                        </w:pPr>
                        <w:r>
                          <w:rPr>
                            <w:rFonts w:ascii="Times New Roman" w:hAnsi="Times New Roman" w:cs="Times New Roman" w:eastAsia="Times New Roman" w:hint="default"/>
                            <w:sz w:val="18"/>
                            <w:szCs w:val="18"/>
                          </w:rPr>
                          <w:t>1981</w:t>
                        </w:r>
                        <w:r>
                          <w:rPr>
                            <w:rFonts w:ascii="宋体" w:hAnsi="宋体" w:cs="宋体" w:eastAsia="宋体" w:hint="default"/>
                            <w:sz w:val="18"/>
                            <w:szCs w:val="18"/>
                          </w:rPr>
                          <w:t>年出生，中专学历；</w:t>
                        </w:r>
                        <w:r>
                          <w:rPr>
                            <w:rFonts w:ascii="Times New Roman" w:hAnsi="Times New Roman" w:cs="Times New Roman" w:eastAsia="Times New Roman" w:hint="default"/>
                            <w:sz w:val="18"/>
                            <w:szCs w:val="18"/>
                          </w:rPr>
                          <w:t>2011</w:t>
                        </w:r>
                        <w:r>
                          <w:rPr>
                            <w:rFonts w:ascii="宋体" w:hAnsi="宋体" w:cs="宋体" w:eastAsia="宋体" w:hint="default"/>
                            <w:sz w:val="18"/>
                            <w:szCs w:val="18"/>
                          </w:rPr>
                          <w:t>年至今任云南博讯企业管理有限公司监事，</w:t>
                        </w:r>
                        <w:r>
                          <w:rPr>
                            <w:rFonts w:ascii="Times New Roman" w:hAnsi="Times New Roman" w:cs="Times New Roman" w:eastAsia="Times New Roman" w:hint="default"/>
                            <w:sz w:val="18"/>
                            <w:szCs w:val="18"/>
                          </w:rPr>
                          <w:t>2013</w:t>
                        </w:r>
                        <w:r>
                          <w:rPr>
                            <w:rFonts w:ascii="宋体" w:hAnsi="宋体" w:cs="宋体" w:eastAsia="宋体" w:hint="default"/>
                            <w:sz w:val="18"/>
                            <w:szCs w:val="18"/>
                          </w:rPr>
                          <w:t>年至今任 深圳市正达资讯技术有限公司监事，深圳市江南正鼎信息技术有限公司监事，深圳市蓝 云达智能科技有限公司监事，深圳市优博讯软件技术有限公司监事；</w:t>
                        </w:r>
                        <w:r>
                          <w:rPr>
                            <w:rFonts w:ascii="Times New Roman" w:hAnsi="Times New Roman" w:cs="Times New Roman" w:eastAsia="Times New Roman" w:hint="default"/>
                            <w:sz w:val="18"/>
                            <w:szCs w:val="18"/>
                          </w:rPr>
                          <w:t>2006</w:t>
                        </w:r>
                        <w:r>
                          <w:rPr>
                            <w:rFonts w:ascii="宋体" w:hAnsi="宋体" w:cs="宋体" w:eastAsia="宋体" w:hint="default"/>
                            <w:sz w:val="18"/>
                            <w:szCs w:val="18"/>
                          </w:rPr>
                          <w:t>年至今任宝安 生产基地负责人、公司技术支持部总监。</w:t>
                        </w:r>
                      </w:p>
                    </w:tc>
                  </w:tr>
                  <w:tr>
                    <w:trPr>
                      <w:trHeight w:val="66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郁小娇</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694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84"/>
                          <w:jc w:val="left"/>
                          <w:rPr>
                            <w:rFonts w:ascii="宋体" w:hAnsi="宋体" w:cs="宋体" w:eastAsia="宋体" w:hint="default"/>
                            <w:sz w:val="18"/>
                            <w:szCs w:val="18"/>
                          </w:rPr>
                        </w:pPr>
                        <w:r>
                          <w:rPr>
                            <w:rFonts w:ascii="Times New Roman" w:hAnsi="Times New Roman" w:cs="Times New Roman" w:eastAsia="Times New Roman" w:hint="default"/>
                            <w:sz w:val="18"/>
                            <w:szCs w:val="18"/>
                          </w:rPr>
                          <w:t>1981</w:t>
                        </w:r>
                        <w:r>
                          <w:rPr>
                            <w:rFonts w:ascii="宋体" w:hAnsi="宋体" w:cs="宋体" w:eastAsia="宋体" w:hint="default"/>
                            <w:sz w:val="18"/>
                            <w:szCs w:val="18"/>
                          </w:rPr>
                          <w:t>年出生，重庆大学计算机通信工程学士；</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月起至今在本公司工作，现任公 司采购工程师。</w:t>
                        </w:r>
                      </w:p>
                    </w:tc>
                  </w:tr>
                  <w:tr>
                    <w:trPr>
                      <w:trHeight w:val="65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徐宁</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94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1978</w:t>
                        </w:r>
                        <w:r>
                          <w:rPr>
                            <w:rFonts w:ascii="宋体" w:hAnsi="宋体" w:cs="宋体" w:eastAsia="宋体" w:hint="default"/>
                            <w:sz w:val="18"/>
                            <w:szCs w:val="18"/>
                          </w:rPr>
                          <w:t>年出生，深圳大学会计学专业学士；</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月至今任惠州市领尚电子科技有限公司 </w:t>
                        </w:r>
                        <w:r>
                          <w:rPr>
                            <w:rFonts w:ascii="宋体" w:hAnsi="宋体" w:cs="宋体" w:eastAsia="宋体" w:hint="default"/>
                            <w:spacing w:val="-3"/>
                            <w:sz w:val="18"/>
                            <w:szCs w:val="18"/>
                          </w:rPr>
                          <w:t>监事；</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月至今任深圳市云栖信息科技有限公司监事；</w:t>
                        </w:r>
                        <w:r>
                          <w:rPr>
                            <w:rFonts w:ascii="Times New Roman" w:hAnsi="Times New Roman" w:cs="Times New Roman" w:eastAsia="Times New Roman" w:hint="default"/>
                            <w:spacing w:val="-3"/>
                            <w:sz w:val="18"/>
                            <w:szCs w:val="18"/>
                          </w:rPr>
                          <w:t>2011</w:t>
                        </w:r>
                        <w:r>
                          <w:rPr>
                            <w:rFonts w:ascii="宋体" w:hAnsi="宋体" w:cs="宋体" w:eastAsia="宋体" w:hint="default"/>
                            <w:spacing w:val="-3"/>
                            <w:sz w:val="18"/>
                            <w:szCs w:val="18"/>
                          </w:rPr>
                          <w:t>年至今任公司财务经理</w:t>
                        </w:r>
                      </w:p>
                    </w:tc>
                  </w:tr>
                  <w:tr>
                    <w:trPr>
                      <w:trHeight w:val="1284"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万波</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6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1979</w:t>
                        </w:r>
                        <w:r>
                          <w:rPr>
                            <w:rFonts w:ascii="宋体" w:hAnsi="宋体" w:cs="宋体" w:eastAsia="宋体" w:hint="default"/>
                            <w:sz w:val="18"/>
                            <w:szCs w:val="18"/>
                          </w:rPr>
                          <w:t>年出生，上海交通大学安泰经济与管理学院高级管理人员工商管理硕士（</w:t>
                        </w:r>
                        <w:r>
                          <w:rPr>
                            <w:rFonts w:ascii="Times New Roman" w:hAnsi="Times New Roman" w:cs="Times New Roman" w:eastAsia="Times New Roman" w:hint="default"/>
                            <w:sz w:val="18"/>
                            <w:szCs w:val="18"/>
                          </w:rPr>
                          <w:t>EMBA</w:t>
                        </w:r>
                        <w:r>
                          <w:rPr>
                            <w:rFonts w:ascii="宋体" w:hAnsi="宋体" w:cs="宋体" w:eastAsia="宋体" w:hint="default"/>
                            <w:sz w:val="18"/>
                            <w:szCs w:val="18"/>
                          </w:rPr>
                          <w:t>）</w:t>
                        </w:r>
                      </w:p>
                      <w:p>
                        <w:pPr>
                          <w:pStyle w:val="TableParagraph"/>
                          <w:spacing w:line="300" w:lineRule="auto" w:before="63"/>
                          <w:ind w:left="2"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月至今任中世顺科技（北京）股份有限公司董事；</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月至今任深圳市云 栖信息科技有限公司总经理；</w:t>
                        </w:r>
                        <w:r>
                          <w:rPr>
                            <w:rFonts w:ascii="Times New Roman" w:hAnsi="Times New Roman" w:cs="Times New Roman" w:eastAsia="Times New Roman" w:hint="default"/>
                            <w:sz w:val="18"/>
                            <w:szCs w:val="18"/>
                          </w:rPr>
                          <w:t>2006</w:t>
                        </w:r>
                        <w:r>
                          <w:rPr>
                            <w:rFonts w:ascii="宋体" w:hAnsi="宋体" w:cs="宋体" w:eastAsia="宋体" w:hint="default"/>
                            <w:sz w:val="18"/>
                            <w:szCs w:val="18"/>
                          </w:rPr>
                          <w:t>年至今担任公司研究院院长，</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日起担任公 司副总经理。</w:t>
                        </w:r>
                      </w:p>
                    </w:tc>
                  </w:tr>
                  <w:tr>
                    <w:trPr>
                      <w:trHeight w:val="65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张玉洁</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6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1981</w:t>
                        </w:r>
                        <w:r>
                          <w:rPr>
                            <w:rFonts w:ascii="宋体" w:hAnsi="宋体" w:cs="宋体" w:eastAsia="宋体" w:hint="default"/>
                            <w:sz w:val="18"/>
                            <w:szCs w:val="18"/>
                          </w:rPr>
                          <w:t>年出生，中欧国际工商管理学院工商管理硕士；</w:t>
                        </w:r>
                        <w:r>
                          <w:rPr>
                            <w:rFonts w:ascii="Times New Roman" w:hAnsi="Times New Roman" w:cs="Times New Roman" w:eastAsia="Times New Roman" w:hint="default"/>
                            <w:sz w:val="18"/>
                            <w:szCs w:val="18"/>
                          </w:rPr>
                          <w:t>2011</w:t>
                        </w:r>
                        <w:r>
                          <w:rPr>
                            <w:rFonts w:ascii="宋体" w:hAnsi="宋体" w:cs="宋体" w:eastAsia="宋体" w:hint="default"/>
                            <w:sz w:val="18"/>
                            <w:szCs w:val="18"/>
                          </w:rPr>
                          <w:t>年至今任公司大客户部总经理</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日起担任公司副总经理，</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日起担任公司上海分公司负责人。</w:t>
                        </w:r>
                      </w:p>
                    </w:tc>
                  </w:tr>
                  <w:tr>
                    <w:trPr>
                      <w:trHeight w:val="1284"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张晔</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694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1967</w:t>
                        </w:r>
                        <w:r>
                          <w:rPr>
                            <w:rFonts w:ascii="宋体" w:hAnsi="宋体" w:cs="宋体" w:eastAsia="宋体" w:hint="default"/>
                            <w:sz w:val="18"/>
                            <w:szCs w:val="18"/>
                          </w:rPr>
                          <w:t>年出生，陕西财经学院会计专业学士，拥有会计师、中国注册会计师资格；</w:t>
                        </w:r>
                        <w:r>
                          <w:rPr>
                            <w:rFonts w:ascii="Times New Roman" w:hAnsi="Times New Roman" w:cs="Times New Roman" w:eastAsia="Times New Roman" w:hint="default"/>
                            <w:sz w:val="18"/>
                            <w:szCs w:val="18"/>
                          </w:rPr>
                          <w:t>2011</w:t>
                        </w:r>
                        <w:r>
                          <w:rPr>
                            <w:rFonts w:ascii="宋体" w:hAnsi="宋体" w:cs="宋体" w:eastAsia="宋体" w:hint="default"/>
                            <w:sz w:val="18"/>
                            <w:szCs w:val="18"/>
                          </w:rPr>
                          <w:t>年 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年，历任深圳市兴飞科技有限公司副总经理兼财务负责人及顾问等职务；</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 </w:t>
                        </w:r>
                        <w:r>
                          <w:rPr>
                            <w:rFonts w:ascii="宋体" w:hAnsi="宋体" w:cs="宋体" w:eastAsia="宋体" w:hint="default"/>
                            <w:sz w:val="18"/>
                            <w:szCs w:val="18"/>
                          </w:rPr>
                          <w:t>月至今任深圳市瑞柏泰电子有限公司董事；</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月至今任珠海佳博科技有限公司董 事；</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日起担任公司财务负责人。</w:t>
                        </w:r>
                      </w:p>
                    </w:tc>
                  </w:tr>
                </w:tbl>
                <w:p>
                  <w:pPr/>
                </w:p>
              </w:txbxContent>
            </v:textbox>
            <w10:wrap type="none"/>
          </v:shape>
        </w:pict>
      </w:r>
      <w:r>
        <w:rPr/>
        <w:t>。</w:t>
      </w:r>
    </w:p>
    <w:p>
      <w:pPr>
        <w:pStyle w:val="BodyText"/>
        <w:spacing w:line="240" w:lineRule="auto" w:before="113"/>
        <w:ind w:left="0" w:right="106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44"/>
        <w:ind w:left="0" w:right="105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40" w:lineRule="auto" w:before="44"/>
        <w:ind w:right="1133"/>
        <w:jc w:val="left"/>
      </w:pPr>
      <w:r>
        <w:rPr/>
        <w:t>在股东单位任职情况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9"/>
        <w:gridCol w:w="3190"/>
        <w:gridCol w:w="1066"/>
        <w:gridCol w:w="1490"/>
        <w:gridCol w:w="1036"/>
        <w:gridCol w:w="1588"/>
      </w:tblGrid>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22" w:right="62"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7"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1" w:hRule="exact"/>
        </w:trPr>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GUO</w:t>
            </w:r>
            <w:r>
              <w:rPr>
                <w:rFonts w:ascii="Times New Roman"/>
                <w:spacing w:val="-4"/>
                <w:sz w:val="18"/>
              </w:rPr>
              <w:t> </w:t>
            </w:r>
            <w:r>
              <w:rPr>
                <w:rFonts w:ascii="Times New Roman"/>
                <w:sz w:val="18"/>
              </w:rPr>
              <w:t>SONG</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香港优博讯科技控股集团有限公司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36"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33"/>
        <w:jc w:val="left"/>
      </w:pPr>
      <w:r>
        <w:rPr/>
        <w:t>在其他单位任职情况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632"/>
        <w:gridCol w:w="1561"/>
        <w:gridCol w:w="922"/>
      </w:tblGrid>
      <w:tr>
        <w:trPr>
          <w:trHeight w:val="1339"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6" w:right="95"/>
              <w:jc w:val="center"/>
              <w:rPr>
                <w:rFonts w:ascii="宋体" w:hAnsi="宋体" w:cs="宋体" w:eastAsia="宋体" w:hint="default"/>
                <w:sz w:val="18"/>
                <w:szCs w:val="18"/>
              </w:rPr>
            </w:pPr>
            <w:r>
              <w:rPr>
                <w:rFonts w:ascii="宋体" w:hAnsi="宋体" w:cs="宋体" w:eastAsia="宋体" w:hint="default"/>
                <w:sz w:val="18"/>
                <w:szCs w:val="18"/>
              </w:rPr>
              <w:t>在其他单 位是否领 取报酬津 贴</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GUO</w:t>
            </w:r>
            <w:r>
              <w:rPr>
                <w:rFonts w:ascii="Times New Roman"/>
                <w:spacing w:val="-4"/>
                <w:sz w:val="18"/>
              </w:rPr>
              <w:t> </w:t>
            </w:r>
            <w:r>
              <w:rPr>
                <w:rFonts w:ascii="Times New Roman"/>
                <w:sz w:val="18"/>
              </w:rPr>
              <w:t>SONG</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寰泰发展有限公司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GUO</w:t>
            </w:r>
            <w:r>
              <w:rPr>
                <w:rFonts w:ascii="Times New Roman"/>
                <w:spacing w:val="-4"/>
                <w:sz w:val="18"/>
              </w:rPr>
              <w:t> </w:t>
            </w:r>
            <w:r>
              <w:rPr>
                <w:rFonts w:ascii="Times New Roman"/>
                <w:sz w:val="18"/>
              </w:rPr>
              <w:t>SONG</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深圳市博通思创咨询有限公司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pacing w:val="-12"/>
                <w:sz w:val="18"/>
                <w:szCs w:val="18"/>
              </w:rPr>
              <w:t>董事长、总经</w:t>
            </w:r>
            <w:r>
              <w:rPr>
                <w:rFonts w:ascii="宋体" w:hAnsi="宋体" w:cs="宋体" w:eastAsia="宋体" w:hint="default"/>
                <w:sz w:val="18"/>
                <w:szCs w:val="18"/>
              </w:rPr>
              <w:t> 理</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GUO</w:t>
            </w:r>
            <w:r>
              <w:rPr>
                <w:rFonts w:ascii="Times New Roman"/>
                <w:spacing w:val="-4"/>
                <w:sz w:val="18"/>
              </w:rPr>
              <w:t> </w:t>
            </w:r>
            <w:r>
              <w:rPr>
                <w:rFonts w:ascii="Times New Roman"/>
                <w:sz w:val="18"/>
              </w:rPr>
              <w:t>SONG</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宏泰实业有限公司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GUO</w:t>
            </w:r>
            <w:r>
              <w:rPr>
                <w:rFonts w:ascii="Times New Roman"/>
                <w:spacing w:val="-4"/>
                <w:sz w:val="18"/>
              </w:rPr>
              <w:t> </w:t>
            </w:r>
            <w:r>
              <w:rPr>
                <w:rFonts w:ascii="Times New Roman"/>
                <w:sz w:val="18"/>
              </w:rPr>
              <w:t>SONG</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博远企业有限公司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GUO</w:t>
            </w:r>
            <w:r>
              <w:rPr>
                <w:rFonts w:ascii="Times New Roman"/>
                <w:spacing w:val="-4"/>
                <w:sz w:val="18"/>
              </w:rPr>
              <w:t> </w:t>
            </w:r>
            <w:r>
              <w:rPr>
                <w:rFonts w:ascii="Times New Roman"/>
                <w:sz w:val="18"/>
              </w:rPr>
              <w:t>SONG</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深圳市博通智能科技有限公司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12"/>
                <w:sz w:val="18"/>
                <w:szCs w:val="18"/>
              </w:rPr>
              <w:t>董事长、总经</w:t>
            </w:r>
            <w:r>
              <w:rPr>
                <w:rFonts w:ascii="宋体" w:hAnsi="宋体" w:cs="宋体" w:eastAsia="宋体" w:hint="default"/>
                <w:sz w:val="18"/>
                <w:szCs w:val="18"/>
              </w:rPr>
              <w:t> 理</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632"/>
        <w:gridCol w:w="1561"/>
        <w:gridCol w:w="922"/>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LIU</w:t>
            </w:r>
            <w:r>
              <w:rPr>
                <w:rFonts w:ascii="Times New Roman"/>
                <w:spacing w:val="-4"/>
                <w:sz w:val="18"/>
              </w:rPr>
              <w:t> </w:t>
            </w:r>
            <w:r>
              <w:rPr>
                <w:rFonts w:ascii="Times New Roman"/>
                <w:sz w:val="18"/>
              </w:rPr>
              <w:t>DAN</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卓泰实业有限公司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LIU</w:t>
            </w:r>
            <w:r>
              <w:rPr>
                <w:rFonts w:ascii="Times New Roman"/>
                <w:spacing w:val="-4"/>
                <w:sz w:val="18"/>
              </w:rPr>
              <w:t> </w:t>
            </w:r>
            <w:r>
              <w:rPr>
                <w:rFonts w:ascii="Times New Roman"/>
                <w:sz w:val="18"/>
              </w:rPr>
              <w:t>DAN</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深圳市博通思创咨询有限公司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LIU</w:t>
            </w:r>
            <w:r>
              <w:rPr>
                <w:rFonts w:ascii="Times New Roman"/>
                <w:spacing w:val="-4"/>
                <w:sz w:val="18"/>
              </w:rPr>
              <w:t> </w:t>
            </w:r>
            <w:r>
              <w:rPr>
                <w:rFonts w:ascii="Times New Roman"/>
                <w:sz w:val="18"/>
              </w:rPr>
              <w:t>DAN</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深圳市天眼智通科技有限公司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LIU</w:t>
            </w:r>
            <w:r>
              <w:rPr>
                <w:rFonts w:ascii="Times New Roman"/>
                <w:spacing w:val="-4"/>
                <w:sz w:val="18"/>
              </w:rPr>
              <w:t> </w:t>
            </w:r>
            <w:r>
              <w:rPr>
                <w:rFonts w:ascii="Times New Roman"/>
                <w:sz w:val="18"/>
              </w:rPr>
              <w:t>DAN</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深圳市博通智能科技有限公司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深圳市天眼智通科技有限公司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申成文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湖北红土创业投资有限公司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申成文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深圳中洲集团有限公司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2"/>
                <w:sz w:val="18"/>
                <w:szCs w:val="18"/>
              </w:rPr>
              <w:t>副总裁、董事</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申成文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深圳市中洲商业管理有限公司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申成文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深圳市中洲投资控股股份有限公司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申成文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深圳协利纸业有限公司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申成文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深圳市中洲装饰工程有限公司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申成文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深圳市前海阳诚实业发展有限公司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申成文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深圳市中洲投资有限公司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12"/>
                <w:sz w:val="18"/>
                <w:szCs w:val="18"/>
              </w:rPr>
              <w:t>董事长、总经</w:t>
            </w:r>
            <w:r>
              <w:rPr>
                <w:rFonts w:ascii="宋体" w:hAnsi="宋体" w:cs="宋体" w:eastAsia="宋体" w:hint="default"/>
                <w:sz w:val="18"/>
                <w:szCs w:val="18"/>
              </w:rPr>
              <w:t> 理</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申成文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惠莞高速公路（惠州）投资有限公司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申成文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深圳天常发展有限公司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申成文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深圳天常股权投资管理有限公司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申成文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深圳中洲产业投资管理有限公司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申成文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青岛市源洲投资有限公司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申成文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深圳中洲股权投资基金管理有限公司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申成文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深圳中洲金控投资有限公司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王仁东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深圳市资产管理学会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王仁东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深圳南山热电股份有限公司南山热电厂</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顾问</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徐先达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深圳市百利达投资有限公司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徐先达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百丽国际控股有限公司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徐先达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广亿贸易（深圳）有限公司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徐先达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深圳市百利达投资管理有限公司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高海军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深圳市中幼国际教育科技有限公司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高海军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宁波圣莱达电器股份有限公司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高海军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深圳市英唐智能控制股份有限公司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632"/>
        <w:gridCol w:w="1561"/>
        <w:gridCol w:w="922"/>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高海军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广东佳兆业佳云科技股份有限公司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高海军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深圳信隆健康产业发展股份有限公司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深圳市金和动迁投资管理有限公司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北京德恒（深圳）律师事务所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pacing w:val="-12"/>
                <w:sz w:val="18"/>
                <w:szCs w:val="18"/>
              </w:rPr>
              <w:t>合伙人、执业</w:t>
            </w:r>
            <w:r>
              <w:rPr>
                <w:rFonts w:ascii="宋体" w:hAnsi="宋体" w:cs="宋体" w:eastAsia="宋体" w:hint="default"/>
                <w:sz w:val="18"/>
                <w:szCs w:val="18"/>
              </w:rPr>
              <w:t> 律师</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深圳市悟童教育发展有限公司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于雪磊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云南博讯企业管理有限公司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惠州市领尚电子科技有限公司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万波</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中世顺科技（北京）股份有限公司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33"/>
        <w:jc w:val="left"/>
      </w:pPr>
      <w:r>
        <w:rPr/>
        <w:t>公司现任及报告期内离任董事、监事和高级管理人员近三年证券监管机构处罚的情况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四、董事、监事、高级管理人员报酬情况" w:id="125"/>
      <w:bookmarkEnd w:id="125"/>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董事、监事、高级管理人员报酬的决策程序、确定依据、实际支付情况</w:t>
      </w:r>
    </w:p>
    <w:p>
      <w:pPr>
        <w:pStyle w:val="BodyText"/>
        <w:spacing w:line="300" w:lineRule="auto" w:before="117"/>
        <w:ind w:left="513" w:right="1129"/>
        <w:jc w:val="left"/>
      </w:pPr>
      <w:r>
        <w:rPr>
          <w:rFonts w:ascii="Times New Roman" w:hAnsi="Times New Roman" w:cs="Times New Roman" w:eastAsia="Times New Roman" w:hint="default"/>
        </w:rPr>
        <w:t>1</w:t>
      </w:r>
      <w:r>
        <w:rPr/>
        <w:t>、董事、监事、高级管理人员报酬的决策程序 </w:t>
      </w:r>
      <w:r>
        <w:rPr>
          <w:spacing w:val="-2"/>
        </w:rPr>
        <w:t>由公司董事会薪酬与考核委员会研究制订公司董事、监事和高级管理人员的薪酬政策、方案，股东大会审议董事、监事</w:t>
      </w:r>
    </w:p>
    <w:p>
      <w:pPr>
        <w:pStyle w:val="BodyText"/>
        <w:spacing w:line="316" w:lineRule="auto" w:before="31"/>
        <w:ind w:right="1133"/>
        <w:jc w:val="left"/>
      </w:pPr>
      <w:r>
        <w:rPr>
          <w:spacing w:val="-2"/>
        </w:rPr>
        <w:t>薪酬，董事会审议高级管理人员薪酬，公司人力资源部、财务部配合董事会薪酬与考核委员会进行公司董事、监事、高级管</w:t>
      </w:r>
      <w:r>
        <w:rPr>
          <w:spacing w:val="-67"/>
        </w:rPr>
        <w:t> </w:t>
      </w:r>
      <w:r>
        <w:rPr>
          <w:spacing w:val="-67"/>
        </w:rPr>
      </w:r>
      <w:r>
        <w:rPr/>
        <w:t>理人员薪酬方案的具体实施。</w:t>
      </w:r>
    </w:p>
    <w:p>
      <w:pPr>
        <w:pStyle w:val="BodyText"/>
        <w:spacing w:line="300" w:lineRule="auto" w:before="19"/>
        <w:ind w:left="513" w:right="1129"/>
        <w:jc w:val="left"/>
      </w:pPr>
      <w:r>
        <w:rPr>
          <w:rFonts w:ascii="Times New Roman" w:hAnsi="Times New Roman" w:cs="Times New Roman" w:eastAsia="Times New Roman" w:hint="default"/>
        </w:rPr>
        <w:t>2</w:t>
      </w:r>
      <w:r>
        <w:rPr/>
        <w:t>、董事、监事、高级管理人员报酬的确立依据 </w:t>
      </w:r>
      <w:r>
        <w:rPr>
          <w:spacing w:val="-2"/>
        </w:rPr>
        <w:t>根据公司内部董事、内部监事与高级管理人员所承担的责任、风险、压力等，确定不同的薪酬标准，基础薪酬按照其在</w:t>
      </w:r>
    </w:p>
    <w:p>
      <w:pPr>
        <w:pStyle w:val="BodyText"/>
        <w:spacing w:line="316" w:lineRule="auto" w:before="32"/>
        <w:ind w:right="1129"/>
        <w:jc w:val="left"/>
      </w:pPr>
      <w:r>
        <w:rPr>
          <w:spacing w:val="-2"/>
        </w:rPr>
        <w:t>公司内部担任的职务，根据岗位责任等级、能力等级确定，每月发放；绩效年薪以公司年度经营目标和个人年度绩效考核目</w:t>
      </w:r>
      <w:r>
        <w:rPr>
          <w:spacing w:val="-64"/>
        </w:rPr>
        <w:t> </w:t>
      </w:r>
      <w:r>
        <w:rPr>
          <w:spacing w:val="-64"/>
        </w:rPr>
      </w:r>
      <w:r>
        <w:rPr/>
        <w:t>标指标完成情况为考核基础。独立董事津贴数额由公司股东大会审议决定。</w:t>
      </w:r>
    </w:p>
    <w:p>
      <w:pPr>
        <w:pStyle w:val="BodyText"/>
        <w:spacing w:line="300" w:lineRule="auto" w:before="19"/>
        <w:ind w:left="513" w:right="2473"/>
        <w:jc w:val="left"/>
      </w:pPr>
      <w:r>
        <w:rPr>
          <w:rFonts w:ascii="Times New Roman" w:hAnsi="Times New Roman" w:cs="Times New Roman" w:eastAsia="Times New Roman" w:hint="default"/>
        </w:rPr>
        <w:t>3</w:t>
      </w:r>
      <w:r>
        <w:rPr/>
        <w:t>、董事、监事和高级管理人员报酬的实际支付情况 公司按照董事、监事、高级管理人员薪酬的决策程序与确定依据支付薪酬，实际支付情况详见下表。</w:t>
      </w:r>
    </w:p>
    <w:p>
      <w:pPr>
        <w:spacing w:line="240" w:lineRule="auto" w:before="13"/>
        <w:rPr>
          <w:rFonts w:ascii="宋体" w:hAnsi="宋体" w:cs="宋体" w:eastAsia="宋体" w:hint="default"/>
          <w:sz w:val="25"/>
          <w:szCs w:val="25"/>
        </w:rPr>
      </w:pPr>
    </w:p>
    <w:p>
      <w:pPr>
        <w:pStyle w:val="BodyText"/>
        <w:spacing w:line="240" w:lineRule="auto" w:before="44"/>
        <w:ind w:right="1133"/>
        <w:jc w:val="left"/>
      </w:pPr>
      <w:r>
        <w:rPr/>
        <w:t>公司报告期内董事、监事和高级管理人员报酬情况</w:t>
      </w:r>
    </w:p>
    <w:p>
      <w:pPr>
        <w:pStyle w:val="BodyText"/>
        <w:spacing w:line="240" w:lineRule="auto" w:before="115"/>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GUO</w:t>
            </w:r>
            <w:r>
              <w:rPr>
                <w:rFonts w:ascii="Times New Roman"/>
                <w:spacing w:val="-4"/>
                <w:sz w:val="18"/>
              </w:rPr>
              <w:t> </w:t>
            </w:r>
            <w:r>
              <w:rPr>
                <w:rFonts w:ascii="Times New Roman"/>
                <w:sz w:val="18"/>
              </w:rPr>
              <w:t>SONG</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LIU</w:t>
            </w:r>
            <w:r>
              <w:rPr>
                <w:rFonts w:ascii="Times New Roman"/>
                <w:spacing w:val="-4"/>
                <w:sz w:val="18"/>
              </w:rPr>
              <w:t> </w:t>
            </w:r>
            <w:r>
              <w:rPr>
                <w:rFonts w:ascii="Times New Roman"/>
                <w:sz w:val="18"/>
              </w:rPr>
              <w:t>DAN</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副董事长、副总 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仝文定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董事、董事会秘 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申成文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王仁东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徐先达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高海军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于雪磊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25.83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郁小娇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27.56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万波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副总经理、优博 讯研究院院长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张玉洁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副总经理、上海 分公司负责人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张晔</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副总经理、财务 负责人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97"/>
              <w:jc w:val="righ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427.64</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1133"/>
        <w:jc w:val="left"/>
      </w:pPr>
      <w:r>
        <w:rPr/>
        <w:t>公司董事、高级管理人员报告期内被授予的股权激励情况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五、公司员工情况" w:id="126"/>
      <w:bookmarkEnd w:id="126"/>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员工数量、专业构成及教育程度" w:id="127"/>
      <w:bookmarkEnd w:id="127"/>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507</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627</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627</w:t>
            </w:r>
          </w:p>
        </w:tc>
      </w:tr>
      <w:tr>
        <w:trPr>
          <w:trHeight w:val="40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w:t>
            </w:r>
          </w:p>
        </w:tc>
      </w:tr>
      <w:tr>
        <w:trPr>
          <w:trHeight w:val="406"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627</w:t>
            </w:r>
          </w:p>
        </w:tc>
      </w:tr>
      <w:tr>
        <w:trPr>
          <w:trHeight w:val="398"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博士研究生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硕士研究生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263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大专及大专以下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627</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bookmarkStart w:name="2、薪酬政策" w:id="128"/>
      <w:bookmarkEnd w:id="128"/>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034" w:firstLine="360"/>
        <w:jc w:val="left"/>
      </w:pPr>
      <w:r>
        <w:rPr>
          <w:spacing w:val="-2"/>
        </w:rPr>
        <w:t>公司根据员工从事的工作岗位、责任、能力、贡献、职称确定薪资标准，按月向员工发放薪酬。薪资构成包括：基本工</w:t>
      </w:r>
      <w:r>
        <w:rPr/>
        <w:t> 资、绩效工资、岗位工资、地域补贴、年终奖、住房公积金和其他。公司每年根据员工的工作技能和工作绩效、知识积累、 </w:t>
      </w:r>
      <w:r>
        <w:rPr>
          <w:spacing w:val="-2"/>
        </w:rPr>
        <w:t>成果表现、公司上一年经营状况，核发年终奖励和专项奖励，保持公司的薪酬竞争力。公司对经营活动中为公司创造成绩显</w:t>
      </w:r>
      <w:r>
        <w:rPr>
          <w:spacing w:val="-64"/>
        </w:rPr>
        <w:t> </w:t>
      </w:r>
      <w:r>
        <w:rPr>
          <w:spacing w:val="-64"/>
        </w:rPr>
      </w:r>
      <w:r>
        <w:rPr>
          <w:spacing w:val="-2"/>
        </w:rPr>
        <w:t>著者、促进公司经营管理，提高经济效益方面成绩突出者或做出其他重大贡献者，公司会进行特别奖励或根据岗位的需求晋</w:t>
      </w:r>
      <w:r>
        <w:rPr>
          <w:spacing w:val="-66"/>
        </w:rPr>
        <w:t> </w:t>
      </w:r>
      <w:r>
        <w:rPr>
          <w:spacing w:val="-66"/>
        </w:rPr>
      </w:r>
      <w:r>
        <w:rPr>
          <w:spacing w:val="-2"/>
        </w:rPr>
        <w:t>升。对不同类别的岗位，公司采取有差异的薪酬结构；对于某些特殊的岗位采用特殊的处理方式；公司适当向能力突出的优</w:t>
      </w:r>
      <w:r>
        <w:rPr>
          <w:spacing w:val="-64"/>
        </w:rPr>
        <w:t> </w:t>
      </w:r>
      <w:r>
        <w:rPr>
          <w:spacing w:val="-64"/>
        </w:rPr>
      </w:r>
      <w:r>
        <w:rPr/>
        <w:t>秀人才和责任重大、技术含量高的关键岗位倾斜。</w:t>
      </w:r>
    </w:p>
    <w:p>
      <w:pPr>
        <w:spacing w:line="240" w:lineRule="auto" w:before="6"/>
        <w:rPr>
          <w:rFonts w:ascii="宋体" w:hAnsi="宋体" w:cs="宋体" w:eastAsia="宋体" w:hint="default"/>
          <w:sz w:val="22"/>
          <w:szCs w:val="22"/>
        </w:rPr>
      </w:pPr>
    </w:p>
    <w:p>
      <w:pPr>
        <w:pStyle w:val="Heading3"/>
        <w:spacing w:line="240" w:lineRule="auto"/>
        <w:ind w:right="1133"/>
        <w:jc w:val="left"/>
        <w:rPr>
          <w:b w:val="0"/>
          <w:bCs w:val="0"/>
        </w:rPr>
      </w:pPr>
      <w:bookmarkStart w:name="3、培训计划" w:id="129"/>
      <w:bookmarkEnd w:id="129"/>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9" w:firstLine="360"/>
        <w:jc w:val="left"/>
      </w:pPr>
      <w:r>
        <w:rPr>
          <w:spacing w:val="-2"/>
        </w:rPr>
        <w:t>根据公司人力资源发展战略，在持续开展常规培训的同时，进一步加大关键人才培养和知识积累力度，确保员工的素质</w:t>
      </w:r>
      <w:r>
        <w:rPr/>
        <w:t> 和技能水平能够满足公司业务发展需要。</w:t>
      </w:r>
    </w:p>
    <w:p>
      <w:pPr>
        <w:pStyle w:val="BodyText"/>
        <w:spacing w:line="319" w:lineRule="auto" w:before="59"/>
        <w:ind w:right="0" w:firstLine="360"/>
        <w:jc w:val="left"/>
      </w:pPr>
      <w:r>
        <w:rPr>
          <w:spacing w:val="-4"/>
        </w:rPr>
        <w:t>通过全面的培训需求调查，制定各级培训计划并按计划实施。公司培训按照分层分类开展，从层级上分为：公司级培训、</w:t>
      </w:r>
      <w:r>
        <w:rPr/>
        <w:t> 部门级培训、项目级培训；从类别上分为： 管理类培训、技术类培训、专业类培训、新员工培训。针对关键人才，重点开</w:t>
      </w:r>
      <w:r>
        <w:rPr>
          <w:spacing w:val="-83"/>
        </w:rPr>
        <w:t> </w:t>
      </w:r>
      <w:r>
        <w:rPr>
          <w:spacing w:val="-83"/>
        </w:rPr>
      </w:r>
      <w:r>
        <w:rPr>
          <w:spacing w:val="-2"/>
        </w:rPr>
        <w:t>展了管理干部培养、导师培养、校招生培养等项目，有效提高公司员工整体素质，并进一步推动了公司人才梯队建设，为公</w:t>
      </w:r>
      <w:r>
        <w:rPr>
          <w:spacing w:val="-67"/>
        </w:rPr>
        <w:t> </w:t>
      </w:r>
      <w:r>
        <w:rPr>
          <w:spacing w:val="-67"/>
        </w:rPr>
      </w:r>
      <w:r>
        <w:rPr/>
        <w:t>司发展储备优秀人才。</w:t>
      </w:r>
    </w:p>
    <w:p>
      <w:pPr>
        <w:pStyle w:val="BodyText"/>
        <w:spacing w:line="240" w:lineRule="auto" w:before="58"/>
        <w:ind w:left="513" w:right="1133"/>
        <w:jc w:val="left"/>
      </w:pPr>
      <w:r>
        <w:rPr/>
        <w:t>同时大力开展知识积累工作，优化公司级、部门级知识库，为公司体系化、流程化提供支持。</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4、劳务外包情况" w:id="130"/>
      <w:bookmarkEnd w:id="130"/>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473"/>
        <w:jc w:val="center"/>
        <w:rPr>
          <w:b w:val="0"/>
          <w:bCs w:val="0"/>
        </w:rPr>
      </w:pPr>
      <w:bookmarkStart w:name="第十节公司治理" w:id="131"/>
      <w:bookmarkEnd w:id="131"/>
      <w:r>
        <w:rPr>
          <w:b w:val="0"/>
          <w:bCs w:val="0"/>
        </w:rPr>
      </w:r>
      <w:bookmarkStart w:name="_bookmark9" w:id="132"/>
      <w:bookmarkEnd w:id="132"/>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bookmarkStart w:name="一、公司治理的基本状况" w:id="133"/>
      <w:bookmarkEnd w:id="133"/>
      <w:r>
        <w:rPr>
          <w:b w:val="0"/>
          <w:bCs w:val="0"/>
        </w:rPr>
      </w: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spacing w:val="-4"/>
        </w:rPr>
        <w:t>报告期内，公司严格按照《公司法》、《证券法》、《上市公司治理准则》、《深圳证券交易所创业板股票上市规则》、</w:t>
      </w:r>
    </w:p>
    <w:p>
      <w:pPr>
        <w:pStyle w:val="BodyText"/>
        <w:spacing w:line="316" w:lineRule="auto" w:before="76"/>
        <w:ind w:right="1034"/>
        <w:jc w:val="left"/>
      </w:pPr>
      <w:r>
        <w:rPr/>
        <w:t>《深圳证券交易所创业板上市公司规范运作指引》和其他有关法律、法规、规范性文件的要求，不断地完善公司治理结构， </w:t>
      </w:r>
      <w:r>
        <w:rPr>
          <w:spacing w:val="-2"/>
        </w:rPr>
        <w:t>建立健全公司内部控制制度，以进一步提高公司治理水平。公司治理的实际状况符合中国证监会、深圳证券交易所等发布的</w:t>
      </w:r>
      <w:r>
        <w:rPr>
          <w:spacing w:val="-63"/>
        </w:rPr>
        <w:t> </w:t>
      </w:r>
      <w:r>
        <w:rPr>
          <w:spacing w:val="-63"/>
        </w:rPr>
      </w:r>
      <w:r>
        <w:rPr/>
        <w:t>有关法规、规范性文件的要求。</w:t>
      </w:r>
    </w:p>
    <w:p>
      <w:pPr>
        <w:pStyle w:val="BodyText"/>
        <w:spacing w:line="316" w:lineRule="auto" w:before="19"/>
        <w:ind w:left="513" w:right="1129"/>
        <w:jc w:val="left"/>
      </w:pPr>
      <w:r>
        <w:rPr/>
        <w:t>（一）关于股东与股东大会 </w:t>
      </w:r>
      <w:r>
        <w:rPr>
          <w:spacing w:val="-2"/>
        </w:rPr>
        <w:t>公司严格按照《公司法》、《上市公司股东大会规则》、《公司章程》、《股东大会议事规则》和深圳证券交易所创业</w:t>
      </w:r>
    </w:p>
    <w:p>
      <w:pPr>
        <w:pStyle w:val="BodyText"/>
        <w:spacing w:line="316" w:lineRule="auto" w:before="19"/>
        <w:ind w:right="1131"/>
        <w:jc w:val="both"/>
      </w:pPr>
      <w:r>
        <w:rPr>
          <w:spacing w:val="-2"/>
        </w:rPr>
        <w:t>板的相关规定和要求，规范股东大会的召集、召开和表决程序。报告期内，公司召开了一次年度股东大会和两次临时股东大</w:t>
      </w:r>
      <w:r>
        <w:rPr>
          <w:spacing w:val="-64"/>
        </w:rPr>
        <w:t> </w:t>
      </w:r>
      <w:r>
        <w:rPr>
          <w:spacing w:val="-64"/>
        </w:rPr>
      </w:r>
      <w:r>
        <w:rPr>
          <w:spacing w:val="-2"/>
        </w:rPr>
        <w:t>会，均由公司董事会召集召开，董事长主持，部分董监高列席会议，邀请见证律师进行现场见证并出具了法律意见书。在股</w:t>
      </w:r>
      <w:r>
        <w:rPr>
          <w:spacing w:val="-67"/>
        </w:rPr>
        <w:t> </w:t>
      </w:r>
      <w:r>
        <w:rPr>
          <w:spacing w:val="-67"/>
        </w:rPr>
      </w:r>
      <w:r>
        <w:rPr/>
        <w:t>东大会上能够保证各位股东有充分的发言权，确保全体股东特别是中小股东享有平等地位，充分行使自己的权力。</w:t>
      </w:r>
    </w:p>
    <w:p>
      <w:pPr>
        <w:pStyle w:val="BodyText"/>
        <w:spacing w:line="312" w:lineRule="auto" w:before="19"/>
        <w:ind w:right="1129" w:firstLine="360"/>
        <w:jc w:val="both"/>
      </w:pPr>
      <w:r>
        <w:rPr>
          <w:spacing w:val="-2"/>
        </w:rPr>
        <w:t>报告期内，本公司召开的股东大会不存在违反《上市公司股东大会规则》的情形，公司未发生单独或合并持有本公司有</w:t>
      </w:r>
      <w:r>
        <w:rPr/>
        <w:t> </w:t>
      </w:r>
      <w:r>
        <w:rPr>
          <w:spacing w:val="-1"/>
        </w:rPr>
        <w:t>表决权股份总数</w:t>
      </w:r>
      <w:r>
        <w:rPr>
          <w:rFonts w:ascii="Times New Roman" w:hAnsi="Times New Roman" w:cs="Times New Roman" w:eastAsia="Times New Roman" w:hint="default"/>
          <w:spacing w:val="-1"/>
        </w:rPr>
        <w:t>10%</w:t>
      </w:r>
      <w:r>
        <w:rPr>
          <w:spacing w:val="-1"/>
        </w:rPr>
        <w:t>以上的股东请求召开临时股东大会的情形，也无应监事会提议召开的股东大会。按照《公司法》、《公</w:t>
      </w:r>
      <w:r>
        <w:rPr/>
        <w:t> </w:t>
      </w:r>
      <w:r>
        <w:rPr>
          <w:spacing w:val="-2"/>
        </w:rPr>
        <w:t>司章程》的规定应由股东大会审议的重大事项，本公司均通过股东大会审议，不存在绕过股东大会的情况，也不存在先实施</w:t>
      </w:r>
      <w:r>
        <w:rPr>
          <w:spacing w:val="-65"/>
        </w:rPr>
        <w:t> </w:t>
      </w:r>
      <w:r>
        <w:rPr>
          <w:spacing w:val="-65"/>
        </w:rPr>
      </w:r>
      <w:r>
        <w:rPr/>
        <w:t>后审议的情况。</w:t>
      </w:r>
    </w:p>
    <w:p>
      <w:pPr>
        <w:pStyle w:val="BodyText"/>
        <w:spacing w:line="316" w:lineRule="auto" w:before="22"/>
        <w:ind w:left="513" w:right="0"/>
        <w:jc w:val="left"/>
      </w:pPr>
      <w:r>
        <w:rPr/>
        <w:t>（二）关于公司与控股股东及实际控制人 </w:t>
      </w:r>
      <w:r>
        <w:rPr>
          <w:spacing w:val="-2"/>
        </w:rPr>
        <w:t>公司控股股东、实际控制人严格按照《上市公司治理准则》、《深圳证券交易所创业板股票上市规则》、《深圳证券交</w:t>
      </w:r>
    </w:p>
    <w:p>
      <w:pPr>
        <w:pStyle w:val="BodyText"/>
        <w:spacing w:line="319" w:lineRule="auto" w:before="19"/>
        <w:ind w:right="1034"/>
        <w:jc w:val="left"/>
      </w:pPr>
      <w:r>
        <w:rPr>
          <w:spacing w:val="-2"/>
        </w:rPr>
        <w:t>易所创业板上市公司规范运作指引》、《公司章程》等规定和要求，规范自己的行为，不存在超越股东大会直接或间接干预</w:t>
      </w:r>
      <w:r>
        <w:rPr>
          <w:spacing w:val="-67"/>
        </w:rPr>
        <w:t> </w:t>
      </w:r>
      <w:r>
        <w:rPr>
          <w:spacing w:val="-67"/>
        </w:rPr>
      </w:r>
      <w:r>
        <w:rPr>
          <w:spacing w:val="-2"/>
        </w:rPr>
        <w:t>公司的决策和经营活动的行为，不存在损害公司及其他股东的利益的情形，不存在控股股东和实际控制人占用公司资金的现</w:t>
      </w:r>
      <w:r>
        <w:rPr>
          <w:spacing w:val="-64"/>
        </w:rPr>
        <w:t> </w:t>
      </w:r>
      <w:r>
        <w:rPr>
          <w:spacing w:val="-64"/>
        </w:rPr>
      </w:r>
      <w:r>
        <w:rPr/>
        <w:t>象，公司亦无为控股股东和实际控制人提供担保的情形。公司拥有独立完整的业务和自主经营能力，在业务、人员、资产、 机构、财务上独立于控股股东，公司董事会、监事会和内部机构独立运作。</w:t>
      </w:r>
    </w:p>
    <w:p>
      <w:pPr>
        <w:pStyle w:val="BodyText"/>
        <w:spacing w:line="316" w:lineRule="auto" w:before="17"/>
        <w:ind w:left="513" w:right="1133"/>
        <w:jc w:val="left"/>
      </w:pPr>
      <w:r>
        <w:rPr/>
        <w:t>（三）关于董事和董事会 </w:t>
      </w:r>
      <w:r>
        <w:rPr>
          <w:spacing w:val="-2"/>
        </w:rPr>
        <w:t>公司董事会设董事</w:t>
      </w:r>
      <w:r>
        <w:rPr>
          <w:rFonts w:ascii="Times New Roman" w:hAnsi="Times New Roman" w:cs="Times New Roman" w:eastAsia="Times New Roman" w:hint="default"/>
          <w:spacing w:val="-2"/>
        </w:rPr>
        <w:t>9</w:t>
      </w:r>
      <w:r>
        <w:rPr>
          <w:spacing w:val="-2"/>
        </w:rPr>
        <w:t>名，其中独立董事</w:t>
      </w:r>
      <w:r>
        <w:rPr>
          <w:rFonts w:ascii="Times New Roman" w:hAnsi="Times New Roman" w:cs="Times New Roman" w:eastAsia="Times New Roman" w:hint="default"/>
          <w:spacing w:val="-2"/>
        </w:rPr>
        <w:t>3</w:t>
      </w:r>
      <w:r>
        <w:rPr>
          <w:spacing w:val="-2"/>
        </w:rPr>
        <w:t>名，董事会的人数及人员构成符合有关法律、法规和《公司章程》的要求，各位</w:t>
      </w:r>
    </w:p>
    <w:p>
      <w:pPr>
        <w:pStyle w:val="BodyText"/>
        <w:spacing w:line="316" w:lineRule="auto"/>
        <w:ind w:right="1133"/>
        <w:jc w:val="both"/>
      </w:pPr>
      <w:r>
        <w:rPr>
          <w:spacing w:val="-2"/>
        </w:rPr>
        <w:t>董事具有履行职务所必需的知识、技能和素质，能够严格按照公司《董事会议事规则》、《独立董事工作制度》等有关规定</w:t>
      </w:r>
      <w:r>
        <w:rPr>
          <w:spacing w:val="-69"/>
        </w:rPr>
        <w:t> </w:t>
      </w:r>
      <w:r>
        <w:rPr>
          <w:spacing w:val="-69"/>
        </w:rPr>
      </w:r>
      <w:r>
        <w:rPr>
          <w:spacing w:val="-2"/>
        </w:rPr>
        <w:t>开展工作，出席董事会、董事会专门委员会和股东大会，勤勉尽责地履行职责和义务，同时积极参加相关培训，熟悉相关法</w:t>
      </w:r>
      <w:r>
        <w:rPr>
          <w:spacing w:val="-67"/>
        </w:rPr>
        <w:t> </w:t>
      </w:r>
      <w:r>
        <w:rPr>
          <w:spacing w:val="-67"/>
        </w:rPr>
      </w:r>
      <w:r>
        <w:rPr/>
        <w:t>律法规。</w:t>
      </w:r>
    </w:p>
    <w:p>
      <w:pPr>
        <w:pStyle w:val="BodyText"/>
        <w:spacing w:line="316" w:lineRule="auto" w:before="19"/>
        <w:ind w:right="1130" w:firstLine="360"/>
        <w:jc w:val="both"/>
      </w:pPr>
      <w:r>
        <w:rPr>
          <w:spacing w:val="-2"/>
        </w:rPr>
        <w:t>公司董事会下设有战略委员会、薪酬与考核委员会、审计委员会和提名委员会四个专门委员会。专门委员会成员全部由</w:t>
      </w:r>
      <w:r>
        <w:rPr/>
        <w:t> </w:t>
      </w:r>
      <w:r>
        <w:rPr>
          <w:spacing w:val="-2"/>
        </w:rPr>
        <w:t>董事组成，除战略委员会由董事长担任主任委员以外，其他专门委员会均由独立董事担任主任委员；各委员会为董事会的决</w:t>
      </w:r>
      <w:r>
        <w:rPr>
          <w:spacing w:val="-63"/>
        </w:rPr>
        <w:t> </w:t>
      </w:r>
      <w:r>
        <w:rPr>
          <w:spacing w:val="-63"/>
        </w:rPr>
      </w:r>
      <w:r>
        <w:rPr>
          <w:spacing w:val="-2"/>
        </w:rPr>
        <w:t>策提供了科学和专业的意见和参考。各委员会依据《公司章程》和各委员会工作细则的规定履行职权，不受公司任何其他部</w:t>
      </w:r>
      <w:r>
        <w:rPr>
          <w:spacing w:val="-64"/>
        </w:rPr>
        <w:t> </w:t>
      </w:r>
      <w:r>
        <w:rPr>
          <w:spacing w:val="-64"/>
        </w:rPr>
      </w:r>
      <w:r>
        <w:rPr/>
        <w:t>门和个人的干预。</w:t>
      </w:r>
    </w:p>
    <w:p>
      <w:pPr>
        <w:pStyle w:val="BodyText"/>
        <w:spacing w:line="319" w:lineRule="auto" w:before="19"/>
        <w:ind w:left="513" w:right="1123"/>
        <w:jc w:val="left"/>
      </w:pPr>
      <w:r>
        <w:rPr/>
        <w:t>（四）关于监事和监事会 </w:t>
      </w:r>
      <w:r>
        <w:rPr>
          <w:spacing w:val="-5"/>
        </w:rPr>
        <w:t>公司监事会设监事</w:t>
      </w:r>
      <w:r>
        <w:rPr>
          <w:rFonts w:ascii="Times New Roman" w:hAnsi="Times New Roman" w:cs="Times New Roman" w:eastAsia="Times New Roman" w:hint="default"/>
          <w:spacing w:val="-5"/>
        </w:rPr>
        <w:t>3</w:t>
      </w:r>
      <w:r>
        <w:rPr>
          <w:spacing w:val="-5"/>
        </w:rPr>
        <w:t>名，其中职工代表监事</w:t>
      </w:r>
      <w:r>
        <w:rPr>
          <w:rFonts w:ascii="Times New Roman" w:hAnsi="Times New Roman" w:cs="Times New Roman" w:eastAsia="Times New Roman" w:hint="default"/>
          <w:spacing w:val="-5"/>
        </w:rPr>
        <w:t>1</w:t>
      </w:r>
      <w:r>
        <w:rPr>
          <w:spacing w:val="-5"/>
        </w:rPr>
        <w:t>名，监事会的人数和构成符合法律、法规的要求。各位监事能够严格按照《公</w:t>
      </w:r>
    </w:p>
    <w:p>
      <w:pPr>
        <w:pStyle w:val="BodyText"/>
        <w:spacing w:line="316" w:lineRule="auto"/>
        <w:ind w:right="1130"/>
        <w:jc w:val="both"/>
      </w:pPr>
      <w:r>
        <w:rPr>
          <w:spacing w:val="-2"/>
        </w:rPr>
        <w:t>司章程》、《监事会议事规则》等要求，认真履行自己的职责，对公司重大事项、财务状况以及公司董事、高级管理人员履</w:t>
      </w:r>
      <w:r>
        <w:rPr>
          <w:spacing w:val="-65"/>
        </w:rPr>
        <w:t> </w:t>
      </w:r>
      <w:r>
        <w:rPr>
          <w:spacing w:val="-65"/>
        </w:rPr>
      </w:r>
      <w:r>
        <w:rPr>
          <w:spacing w:val="-2"/>
        </w:rPr>
        <w:t>行职责的合法合规性进行有效监督，维护公司及股东的合法权益。公司也采取了有效措施保障监事的知情权，保证各位监事</w:t>
      </w:r>
      <w:r>
        <w:rPr>
          <w:spacing w:val="-63"/>
        </w:rPr>
        <w:t> </w:t>
      </w:r>
      <w:r>
        <w:rPr>
          <w:spacing w:val="-63"/>
        </w:rPr>
      </w:r>
      <w:r>
        <w:rPr/>
        <w:t>能够独立有效地行使对董事、高级管理人员监督权。</w:t>
      </w:r>
    </w:p>
    <w:p>
      <w:pPr>
        <w:pStyle w:val="BodyText"/>
        <w:spacing w:line="316" w:lineRule="auto" w:before="19"/>
        <w:ind w:left="513" w:right="1129"/>
        <w:jc w:val="left"/>
      </w:pPr>
      <w:r>
        <w:rPr/>
        <w:t>（五）关于绩效评价与激励约束机制 </w:t>
      </w:r>
      <w:r>
        <w:rPr>
          <w:spacing w:val="-2"/>
        </w:rPr>
        <w:t>公司不断完善公正、透明的高级管理人员的绩效考核标准和激励约束机制。公司高级管理人员的聘任公开、透明，符合</w:t>
      </w:r>
    </w:p>
    <w:p>
      <w:pPr>
        <w:pStyle w:val="BodyText"/>
        <w:spacing w:line="240" w:lineRule="auto" w:before="19"/>
        <w:ind w:right="0"/>
        <w:jc w:val="both"/>
      </w:pPr>
      <w:r>
        <w:rPr/>
        <w:t>有关法律、法规的规定。</w:t>
      </w:r>
    </w:p>
    <w:p>
      <w:pPr>
        <w:pStyle w:val="BodyText"/>
        <w:spacing w:line="316" w:lineRule="auto" w:before="76"/>
        <w:ind w:left="513" w:right="1129"/>
        <w:jc w:val="left"/>
      </w:pPr>
      <w:r>
        <w:rPr/>
        <w:t>（六）关于信息披露与透明度 </w:t>
      </w:r>
      <w:r>
        <w:rPr>
          <w:spacing w:val="-2"/>
        </w:rPr>
        <w:t>公司高度重视信息披露与投资者关系管理工作，严格按照《上市公司信息披露管理办法》、深圳证券交易所创业板上市</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公司的信息披露格式指引等规定的要求</w:t>
      </w:r>
      <w:r>
        <w:rPr>
          <w:spacing w:val="-36"/>
        </w:rPr>
        <w:t>，</w:t>
      </w:r>
      <w:r>
        <w:rPr/>
        <w:t>真实</w:t>
      </w:r>
      <w:r>
        <w:rPr>
          <w:spacing w:val="-36"/>
        </w:rPr>
        <w:t>、</w:t>
      </w:r>
      <w:r>
        <w:rPr/>
        <w:t>准确</w:t>
      </w:r>
      <w:r>
        <w:rPr>
          <w:spacing w:val="-36"/>
        </w:rPr>
        <w:t>、</w:t>
      </w:r>
      <w:r>
        <w:rPr/>
        <w:t>及时</w:t>
      </w:r>
      <w:r>
        <w:rPr>
          <w:spacing w:val="-34"/>
        </w:rPr>
        <w:t>、</w:t>
      </w:r>
      <w:r>
        <w:rPr/>
        <w:t>完整地披露有关信息</w:t>
      </w:r>
      <w:r>
        <w:rPr>
          <w:spacing w:val="-36"/>
        </w:rPr>
        <w:t>。</w:t>
      </w:r>
      <w:r>
        <w:rPr/>
        <w:t>公司指</w:t>
      </w:r>
      <w:r>
        <w:rPr>
          <w:spacing w:val="-36"/>
        </w:rPr>
        <w:t>定</w:t>
      </w:r>
      <w:r>
        <w:rPr/>
        <w:t>《证券时报</w:t>
      </w:r>
      <w:r>
        <w:rPr>
          <w:spacing w:val="-36"/>
        </w:rPr>
        <w:t>》</w:t>
      </w:r>
      <w:r>
        <w:rPr>
          <w:spacing w:val="-72"/>
        </w:rPr>
        <w:t>、</w:t>
      </w:r>
      <w:r>
        <w:rPr/>
        <w:t>《上海证券</w:t>
      </w:r>
      <w:r>
        <w:rPr>
          <w:spacing w:val="2"/>
        </w:rPr>
        <w:t>报</w:t>
      </w:r>
      <w:r>
        <w:rPr>
          <w:spacing w:val="-36"/>
        </w:rPr>
        <w:t>》</w:t>
      </w:r>
      <w:r>
        <w:rPr/>
        <w:t>、</w:t>
      </w:r>
    </w:p>
    <w:p>
      <w:pPr>
        <w:pStyle w:val="BodyText"/>
        <w:spacing w:line="309" w:lineRule="auto" w:before="77"/>
        <w:ind w:right="0"/>
        <w:jc w:val="left"/>
      </w:pPr>
      <w:r>
        <w:rPr>
          <w:spacing w:val="-1"/>
        </w:rPr>
        <w:t>《中国证券报》为信息披露报纸，巨潮资讯网（</w:t>
      </w:r>
      <w:hyperlink r:id="rId13">
        <w:r>
          <w:rPr>
            <w:rFonts w:ascii="Times New Roman" w:hAnsi="Times New Roman" w:cs="Times New Roman" w:eastAsia="Times New Roman" w:hint="default"/>
            <w:spacing w:val="-1"/>
          </w:rPr>
          <w:t>www.cninfo.com.cn</w:t>
        </w:r>
      </w:hyperlink>
      <w:r>
        <w:rPr>
          <w:spacing w:val="-1"/>
        </w:rPr>
        <w:t>）为信息披露网站。公司上市以来，不断尝试更加有效、</w:t>
      </w:r>
      <w:r>
        <w:rPr>
          <w:spacing w:val="-51"/>
        </w:rPr>
        <w:t> </w:t>
      </w:r>
      <w:r>
        <w:rPr>
          <w:spacing w:val="-51"/>
        </w:rPr>
      </w:r>
      <w:r>
        <w:rPr>
          <w:spacing w:val="-2"/>
        </w:rPr>
        <w:t>充分地投资者关系管理工作，通过现场参观、投资者电话、电子邮箱、公司网站和投资者关系互动平台等多种方式与投资者</w:t>
      </w:r>
      <w:r>
        <w:rPr>
          <w:spacing w:val="-64"/>
        </w:rPr>
        <w:t> </w:t>
      </w:r>
      <w:r>
        <w:rPr>
          <w:spacing w:val="-64"/>
        </w:rPr>
      </w:r>
      <w:r>
        <w:rPr/>
        <w:t>进行沟通交流，提高公司的透明度和诚信度，保障全体股东的合法权益。</w:t>
      </w:r>
    </w:p>
    <w:p>
      <w:pPr>
        <w:pStyle w:val="BodyText"/>
        <w:spacing w:line="316" w:lineRule="auto" w:before="24"/>
        <w:ind w:left="513" w:right="0"/>
        <w:jc w:val="left"/>
      </w:pPr>
      <w:r>
        <w:rPr/>
        <w:t>（七）关于相关利益者 </w:t>
      </w:r>
      <w:r>
        <w:rPr>
          <w:spacing w:val="-4"/>
        </w:rPr>
        <w:t>公司充分尊重和维护相关利益者的合法权益，重视公司的社会责任，积极与相关利益者合作，加强与各方的沟通和交流，</w:t>
      </w:r>
    </w:p>
    <w:p>
      <w:pPr>
        <w:pStyle w:val="BodyText"/>
        <w:spacing w:line="240" w:lineRule="auto" w:before="19"/>
        <w:ind w:right="1133"/>
        <w:jc w:val="left"/>
      </w:pPr>
      <w:r>
        <w:rPr/>
        <w:t>实现股东、员工、社会等各方利益的协调平衡，共同推动公司持续、健康的发展。</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right="1133"/>
        <w:jc w:val="left"/>
      </w:pPr>
      <w:r>
        <w:rPr/>
        <w:t>公司治理的实际状况与中国证监会发布的有关上市公司治理的规范性文件是否存在重大差异</w:t>
      </w:r>
    </w:p>
    <w:p>
      <w:pPr>
        <w:pStyle w:val="BodyText"/>
        <w:spacing w:line="340" w:lineRule="auto" w:before="115"/>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7"/>
        <w:rPr>
          <w:rFonts w:ascii="宋体" w:hAnsi="宋体" w:cs="宋体" w:eastAsia="宋体" w:hint="default"/>
          <w:sz w:val="19"/>
          <w:szCs w:val="19"/>
        </w:rPr>
      </w:pPr>
    </w:p>
    <w:p>
      <w:pPr>
        <w:pStyle w:val="Heading2"/>
        <w:spacing w:line="240" w:lineRule="auto"/>
        <w:ind w:right="1133"/>
        <w:jc w:val="left"/>
        <w:rPr>
          <w:b w:val="0"/>
          <w:bCs w:val="0"/>
        </w:rPr>
      </w:pPr>
      <w:bookmarkStart w:name="二、公司相对于控股股东在业务、人员、资产、机构、财务等方面的独立情况" w:id="134"/>
      <w:bookmarkEnd w:id="134"/>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6" w:firstLine="360"/>
        <w:jc w:val="both"/>
      </w:pPr>
      <w:r>
        <w:rPr>
          <w:spacing w:val="-2"/>
        </w:rPr>
        <w:t>为防止控股股东及关联方占用公司资金，杜绝控股股东及关联方资金占用行为的发生，公司严格按照《公司法》、《证</w:t>
      </w:r>
      <w:r>
        <w:rPr/>
        <w:t> </w:t>
      </w:r>
      <w:r>
        <w:rPr>
          <w:spacing w:val="-5"/>
        </w:rPr>
        <w:t>券法》、《深圳证券交易所创业板股票上市规则》、《深圳证券交易所创业板上市公司规范运作指引》等有关法律法规和《公</w:t>
      </w:r>
      <w:r>
        <w:rPr>
          <w:spacing w:val="-83"/>
        </w:rPr>
        <w:t> </w:t>
      </w:r>
      <w:r>
        <w:rPr>
          <w:spacing w:val="-83"/>
        </w:rPr>
      </w:r>
      <w:r>
        <w:rPr>
          <w:spacing w:val="-2"/>
        </w:rPr>
        <w:t>司章程》的要求规范运作，在业务、人员、资产、机构和财务等方面与公司股东完全分开，具有独立完整的资产、业务体系</w:t>
      </w:r>
      <w:r>
        <w:rPr>
          <w:spacing w:val="-73"/>
        </w:rPr>
        <w:t> </w:t>
      </w:r>
      <w:r>
        <w:rPr>
          <w:spacing w:val="-73"/>
        </w:rPr>
      </w:r>
      <w:r>
        <w:rPr/>
        <w:t>及面向市场自主经营的能力。</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bookmarkStart w:name="三、同业竞争情况" w:id="135"/>
      <w:bookmarkEnd w:id="135"/>
      <w:r>
        <w:rPr>
          <w:b w:val="0"/>
          <w:bCs w:val="0"/>
        </w:rPr>
      </w: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四、报告期内召开的年度股东大会和临时股东大会的有关情况" w:id="136"/>
      <w:bookmarkEnd w:id="136"/>
      <w:r>
        <w:rPr>
          <w:b w:val="0"/>
          <w:bCs w:val="0"/>
        </w:rPr>
      </w: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本报告期股东大会情况" w:id="137"/>
      <w:bookmarkEnd w:id="137"/>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346"/>
        <w:gridCol w:w="1702"/>
        <w:gridCol w:w="1736"/>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
              <w:jc w:val="right"/>
              <w:rPr>
                <w:rFonts w:ascii="宋体" w:hAnsi="宋体" w:cs="宋体" w:eastAsia="宋体" w:hint="default"/>
                <w:sz w:val="18"/>
                <w:szCs w:val="18"/>
              </w:rPr>
            </w:pPr>
            <w:r>
              <w:rPr>
                <w:rFonts w:ascii="宋体" w:hAnsi="宋体" w:cs="宋体" w:eastAsia="宋体" w:hint="default"/>
                <w:sz w:val="18"/>
                <w:szCs w:val="18"/>
              </w:rPr>
              <w:t>投资者参与比例</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70.91%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巨潮资讯网，公告编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2019-060</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70.29%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巨潮资讯网，公告编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2019-074</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68.70%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巨潮资讯网，公告编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2019-112</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bookmarkStart w:name="2、表决权恢复的优先股股东请求召开临时股东大会" w:id="138"/>
      <w:bookmarkEnd w:id="138"/>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五、报告期内独立董事履行职责的情况" w:id="139"/>
      <w:bookmarkEnd w:id="139"/>
      <w:r>
        <w:rPr>
          <w:b w:val="0"/>
          <w:bCs w:val="0"/>
        </w:rPr>
      </w: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独立董事出席董事会及股东大会的情况" w:id="140"/>
      <w:bookmarkEnd w:id="140"/>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徐先达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高海军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1133"/>
        <w:jc w:val="left"/>
      </w:pPr>
      <w:r>
        <w:rPr/>
        <w:t>连续两次未亲自出席董事会的说明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独立董事对公司有关事项提出异议的情况" w:id="141"/>
      <w:bookmarkEnd w:id="141"/>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独立董事对公司有关事项是否提出异议</w:t>
      </w:r>
    </w:p>
    <w:p>
      <w:pPr>
        <w:pStyle w:val="BodyText"/>
        <w:spacing w:line="338" w:lineRule="auto" w:before="117"/>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bookmarkStart w:name="3、独立董事履行职责的其他说明" w:id="142"/>
      <w:bookmarkEnd w:id="142"/>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独立董事对公司有关建议是否被采纳</w:t>
      </w:r>
    </w:p>
    <w:p>
      <w:pPr>
        <w:pStyle w:val="BodyText"/>
        <w:spacing w:line="340" w:lineRule="auto" w:before="115"/>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240" w:lineRule="auto" w:before="41"/>
        <w:ind w:left="513" w:right="0"/>
        <w:jc w:val="left"/>
      </w:pPr>
      <w:r>
        <w:rPr>
          <w:spacing w:val="-7"/>
        </w:rPr>
        <w:t>报告期内，公司独立董事严格按照《公司法》、《证券法》、《股票上市规则》、《公司章程》、《独立董事工作制度》、</w:t>
      </w:r>
    </w:p>
    <w:p>
      <w:pPr>
        <w:pStyle w:val="BodyText"/>
        <w:spacing w:line="316" w:lineRule="auto" w:before="76"/>
        <w:ind w:right="1130"/>
        <w:jc w:val="both"/>
      </w:pPr>
      <w:r>
        <w:rPr>
          <w:spacing w:val="-2"/>
        </w:rPr>
        <w:t>《上市公司治理准则》及《深圳证券交易所创业板上市公司规范运作指引》及相关法律、法规等有关规定和要求，忠实、勤</w:t>
      </w:r>
      <w:r>
        <w:rPr>
          <w:spacing w:val="-68"/>
        </w:rPr>
        <w:t> </w:t>
      </w:r>
      <w:r>
        <w:rPr>
          <w:spacing w:val="-68"/>
        </w:rPr>
      </w:r>
      <w:r>
        <w:rPr>
          <w:spacing w:val="-2"/>
        </w:rPr>
        <w:t>勉地履行其职责，积极出席相关会议，利用自已的专业知识和经验对公司的战略发展、内部控制、重大经营决策、制度完善</w:t>
      </w:r>
      <w:r>
        <w:rPr>
          <w:spacing w:val="-66"/>
        </w:rPr>
        <w:t> </w:t>
      </w:r>
      <w:r>
        <w:rPr>
          <w:spacing w:val="-66"/>
        </w:rPr>
      </w:r>
      <w:r>
        <w:rPr>
          <w:spacing w:val="-2"/>
        </w:rPr>
        <w:t>等提供了专业性意见，对公司财务及生产经营活动、信息披露工作进行有效监督，为公司未来发展和规范运作及提升管理水</w:t>
      </w:r>
      <w:r>
        <w:rPr>
          <w:spacing w:val="-63"/>
        </w:rPr>
        <w:t> </w:t>
      </w:r>
      <w:r>
        <w:rPr>
          <w:spacing w:val="-63"/>
        </w:rPr>
      </w:r>
      <w:r>
        <w:rPr>
          <w:spacing w:val="-2"/>
        </w:rPr>
        <w:t>平起到了积极作用。对报告期内需要独立董事发表意见的事项出具了独立、公正意见，对公司董事会审议事项及其他事项未</w:t>
      </w:r>
      <w:r>
        <w:rPr>
          <w:spacing w:val="-66"/>
        </w:rPr>
        <w:t> </w:t>
      </w:r>
      <w:r>
        <w:rPr>
          <w:spacing w:val="-66"/>
        </w:rPr>
      </w:r>
      <w:r>
        <w:rPr/>
        <w:t>提出过异议。</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bookmarkStart w:name="六、董事会下设专门委员会在报告期内履行职责情况" w:id="143"/>
      <w:bookmarkEnd w:id="143"/>
      <w:r>
        <w:rPr>
          <w:b w:val="0"/>
          <w:bCs w:val="0"/>
        </w:rPr>
      </w:r>
      <w:r>
        <w:rPr/>
        <w:t>六、董事会下设专门委员会在报告期内履行职责情况</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73" w:right="1133"/>
        <w:jc w:val="left"/>
      </w:pPr>
      <w:r>
        <w:rPr>
          <w:rFonts w:ascii="Times New Roman" w:hAnsi="Times New Roman" w:cs="Times New Roman" w:eastAsia="Times New Roman" w:hint="default"/>
        </w:rPr>
        <w:t>1</w:t>
      </w:r>
      <w:r>
        <w:rPr/>
        <w:t>、审计委员会的履职情况 报告期内，董事会审计委员会严格按照相关法律法规及《公司章程》、《审计委员会工作细则》的有关规定积极开展</w:t>
      </w:r>
    </w:p>
    <w:p>
      <w:pPr>
        <w:pStyle w:val="BodyText"/>
        <w:spacing w:line="316" w:lineRule="auto" w:before="31"/>
        <w:ind w:right="0"/>
        <w:jc w:val="left"/>
      </w:pPr>
      <w:r>
        <w:rPr>
          <w:spacing w:val="-4"/>
        </w:rPr>
        <w:t>相关工作，认真履行职责，持续关注公司情况和重大事项进展，指导公司审计部在内部审计过程中应重点关注和检查的事项，</w:t>
      </w:r>
      <w:r>
        <w:rPr>
          <w:spacing w:val="-43"/>
        </w:rPr>
        <w:t> </w:t>
      </w:r>
      <w:r>
        <w:rPr>
          <w:spacing w:val="-43"/>
        </w:rPr>
      </w:r>
      <w:r>
        <w:rPr>
          <w:spacing w:val="-2"/>
        </w:rPr>
        <w:t>督促公司内部控制的有效执行。报告期内，审计委员会共召开了五次会议，对公司定期财务报告、内部控制情况、聘任审计</w:t>
      </w:r>
      <w:r>
        <w:rPr>
          <w:spacing w:val="-67"/>
        </w:rPr>
        <w:t> </w:t>
      </w:r>
      <w:r>
        <w:rPr>
          <w:spacing w:val="-67"/>
        </w:rPr>
      </w:r>
      <w:r>
        <w:rPr/>
        <w:t>机构、募集资金存放与使用等专项报告进行了审议，并审议了审计部提交的工作总结及工作计划。</w:t>
      </w:r>
    </w:p>
    <w:p>
      <w:pPr>
        <w:pStyle w:val="BodyText"/>
        <w:spacing w:line="300" w:lineRule="auto" w:before="19"/>
        <w:ind w:left="573" w:right="1133"/>
        <w:jc w:val="left"/>
      </w:pPr>
      <w:r>
        <w:rPr>
          <w:rFonts w:ascii="Times New Roman" w:hAnsi="Times New Roman" w:cs="Times New Roman" w:eastAsia="Times New Roman" w:hint="default"/>
        </w:rPr>
        <w:t>2</w:t>
      </w:r>
      <w:r>
        <w:rPr/>
        <w:t>、提名委员会履职情况 报告期内，提名委员会按照《提名委员会工作细则》的规定积极开展工作，认真履行职责。报告期内，提名委员会召</w:t>
      </w:r>
    </w:p>
    <w:p>
      <w:pPr>
        <w:pStyle w:val="BodyText"/>
        <w:spacing w:line="240" w:lineRule="auto" w:before="31"/>
        <w:ind w:right="1133"/>
        <w:jc w:val="left"/>
      </w:pPr>
      <w:r>
        <w:rPr/>
        <w:t>开了一次会议，对于公司聘任财务负责人进行了资格审查，并提交董事会审议。</w:t>
      </w:r>
    </w:p>
    <w:p>
      <w:pPr>
        <w:pStyle w:val="BodyText"/>
        <w:spacing w:line="240" w:lineRule="auto" w:before="76"/>
        <w:ind w:left="573" w:right="1133"/>
        <w:jc w:val="left"/>
      </w:pPr>
      <w:r>
        <w:rPr>
          <w:rFonts w:ascii="Times New Roman" w:hAnsi="Times New Roman" w:cs="Times New Roman" w:eastAsia="Times New Roman" w:hint="default"/>
        </w:rPr>
        <w:t>3</w:t>
      </w:r>
      <w:r>
        <w:rPr/>
        <w:t>、薪酬与考核委员会履职情况</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0" w:firstLine="420"/>
        <w:jc w:val="left"/>
      </w:pPr>
      <w:r>
        <w:rPr/>
        <w:t>报告期内，薪酬与考核委员会严格按照相关法律法规及《公司章程》、《薪酬与考核委员会工作细则》的有关规定积 </w:t>
      </w:r>
      <w:r>
        <w:rPr>
          <w:spacing w:val="-4"/>
        </w:rPr>
        <w:t>极开展相关工作，认真履行职责。报告期内，薪酬与考核委员会共召开了两次会议，听取了公司董事会和高管人员工作报告，</w:t>
      </w:r>
      <w:r>
        <w:rPr>
          <w:spacing w:val="-46"/>
        </w:rPr>
        <w:t> </w:t>
      </w:r>
      <w:r>
        <w:rPr>
          <w:spacing w:val="-46"/>
        </w:rPr>
      </w:r>
      <w:r>
        <w:rPr/>
        <w:t>认为其薪酬标准和年度薪酬总额的确定符合公司相关薪酬管理制度的规定。</w:t>
      </w:r>
    </w:p>
    <w:p>
      <w:pPr>
        <w:pStyle w:val="BodyText"/>
        <w:spacing w:line="328" w:lineRule="auto" w:before="17"/>
        <w:ind w:right="1129" w:firstLine="420"/>
        <w:jc w:val="left"/>
      </w:pPr>
      <w:r>
        <w:rPr>
          <w:rFonts w:ascii="Times New Roman" w:hAnsi="Times New Roman" w:cs="Times New Roman" w:eastAsia="Times New Roman" w:hint="default"/>
        </w:rPr>
        <w:t>4</w:t>
      </w:r>
      <w:r>
        <w:rPr/>
        <w:t>、战略委员会履职情况 </w:t>
      </w:r>
      <w:r>
        <w:rPr>
          <w:spacing w:val="-2"/>
        </w:rPr>
        <w:t>报告期内，战略委员会严格按照相关法律法规及《公司章程》、《战略委员会工作细则》的有关规定积极开展相关工作，认</w:t>
      </w:r>
      <w:r>
        <w:rPr>
          <w:spacing w:val="-68"/>
        </w:rPr>
        <w:t> </w:t>
      </w:r>
      <w:r>
        <w:rPr>
          <w:spacing w:val="-68"/>
        </w:rPr>
      </w:r>
      <w:r>
        <w:rPr/>
        <w:t>真履行职责。报告期内，战略委员会委员在其职责权限范围内协助董事会开展相关工作。</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3"/>
        <w:ind w:right="1133"/>
        <w:jc w:val="left"/>
        <w:rPr>
          <w:b w:val="0"/>
          <w:bCs w:val="0"/>
        </w:rPr>
      </w:pPr>
      <w:bookmarkStart w:name="七、监事会工作情况" w:id="144"/>
      <w:bookmarkEnd w:id="144"/>
      <w:r>
        <w:rPr>
          <w:b w:val="0"/>
          <w:bCs w:val="0"/>
        </w:rPr>
      </w: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监事会在报告期内的监督活动中发现公司是否存在风险</w:t>
      </w:r>
    </w:p>
    <w:p>
      <w:pPr>
        <w:pStyle w:val="BodyText"/>
        <w:spacing w:line="338" w:lineRule="auto" w:before="117"/>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八、高级管理人员的考评及激励情况" w:id="145"/>
      <w:bookmarkEnd w:id="145"/>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29" w:firstLine="360"/>
        <w:jc w:val="left"/>
      </w:pPr>
      <w:r>
        <w:rPr>
          <w:spacing w:val="-2"/>
        </w:rPr>
        <w:t>公司高级管理人员均由董事会聘任，董事会薪酬与考核委员会负责对公司高级管理人员的工作能力、履职情况、责任目</w:t>
      </w:r>
      <w:r>
        <w:rPr/>
        <w:t> 标完成情况等进行考评。</w:t>
      </w:r>
    </w:p>
    <w:p>
      <w:pPr>
        <w:spacing w:line="240" w:lineRule="auto" w:before="9"/>
        <w:rPr>
          <w:rFonts w:ascii="宋体" w:hAnsi="宋体" w:cs="宋体" w:eastAsia="宋体" w:hint="default"/>
          <w:sz w:val="20"/>
          <w:szCs w:val="20"/>
        </w:rPr>
      </w:pPr>
    </w:p>
    <w:p>
      <w:pPr>
        <w:pStyle w:val="Heading2"/>
        <w:spacing w:line="240" w:lineRule="auto"/>
        <w:ind w:right="1133"/>
        <w:jc w:val="left"/>
        <w:rPr>
          <w:b w:val="0"/>
          <w:bCs w:val="0"/>
        </w:rPr>
      </w:pPr>
      <w:bookmarkStart w:name="九、内部控制评价报告" w:id="146"/>
      <w:bookmarkEnd w:id="146"/>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报告期内发现的内部控制重大缺陷的具体情况" w:id="147"/>
      <w:bookmarkEnd w:id="147"/>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2、内控自我评价报告" w:id="148"/>
      <w:bookmarkEnd w:id="148"/>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78"/>
        <w:gridCol w:w="3408"/>
        <w:gridCol w:w="3472"/>
      </w:tblGrid>
      <w:tr>
        <w:trPr>
          <w:trHeight w:val="403"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88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161" w:hRule="exact"/>
        </w:trPr>
        <w:tc>
          <w:tcPr>
            <w:tcW w:w="2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881" w:type="dxa"/>
            <w:gridSpan w:val="2"/>
            <w:vMerge w:val="restart"/>
            <w:tcBorders>
              <w:top w:val="single" w:sz="4" w:space="0" w:color="000000"/>
              <w:left w:val="single" w:sz="10" w:space="0" w:color="D2D2D2"/>
              <w:right w:val="single" w:sz="4" w:space="0" w:color="000000"/>
            </w:tcBorders>
          </w:tcPr>
          <w:p>
            <w:pPr>
              <w:pStyle w:val="TableParagraph"/>
              <w:spacing w:line="300" w:lineRule="auto" w:before="49"/>
              <w:ind w:left="22" w:right="17"/>
              <w:jc w:val="left"/>
              <w:rPr>
                <w:rFonts w:ascii="宋体" w:hAnsi="宋体" w:cs="宋体" w:eastAsia="宋体" w:hint="default"/>
                <w:sz w:val="18"/>
                <w:szCs w:val="18"/>
              </w:rPr>
            </w:pPr>
            <w:r>
              <w:rPr>
                <w:rFonts w:ascii="宋体" w:hAnsi="宋体" w:cs="宋体" w:eastAsia="宋体" w:hint="default"/>
                <w:spacing w:val="-3"/>
                <w:sz w:val="18"/>
                <w:szCs w:val="18"/>
              </w:rPr>
              <w:t>参见公司指定信息披露网站巨潮资讯网（</w:t>
            </w:r>
            <w:hyperlink r:id="rId13">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）上披露的《</w:t>
            </w:r>
            <w:r>
              <w:rPr>
                <w:rFonts w:ascii="Times New Roman" w:hAnsi="Times New Roman" w:cs="Times New Roman" w:eastAsia="Times New Roman" w:hint="default"/>
                <w:spacing w:val="-3"/>
                <w:sz w:val="18"/>
                <w:szCs w:val="18"/>
              </w:rPr>
              <w:t>2019 </w:t>
            </w:r>
            <w:r>
              <w:rPr>
                <w:rFonts w:ascii="宋体" w:hAnsi="宋体" w:cs="宋体" w:eastAsia="宋体" w:hint="default"/>
                <w:sz w:val="18"/>
                <w:szCs w:val="18"/>
              </w:rPr>
              <w:t>年度内部</w:t>
            </w:r>
            <w:r>
              <w:rPr>
                <w:rFonts w:ascii="宋体" w:hAnsi="宋体" w:cs="宋体" w:eastAsia="宋体" w:hint="default"/>
                <w:spacing w:val="-50"/>
                <w:sz w:val="18"/>
                <w:szCs w:val="18"/>
              </w:rPr>
              <w:t> </w:t>
            </w:r>
            <w:r>
              <w:rPr>
                <w:rFonts w:ascii="宋体" w:hAnsi="宋体" w:cs="宋体" w:eastAsia="宋体" w:hint="default"/>
                <w:sz w:val="18"/>
                <w:szCs w:val="18"/>
              </w:rPr>
              <w:t>控制自我评价报告》</w:t>
            </w:r>
          </w:p>
        </w:tc>
      </w:tr>
      <w:tr>
        <w:trPr>
          <w:trHeight w:val="391" w:hRule="exact"/>
        </w:trPr>
        <w:tc>
          <w:tcPr>
            <w:tcW w:w="26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22"/>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881" w:type="dxa"/>
            <w:gridSpan w:val="2"/>
            <w:vMerge/>
            <w:tcBorders>
              <w:left w:val="single" w:sz="10" w:space="0" w:color="D2D2D2"/>
              <w:right w:val="single" w:sz="4" w:space="0" w:color="000000"/>
            </w:tcBorders>
          </w:tcPr>
          <w:p>
            <w:pPr/>
          </w:p>
        </w:tc>
      </w:tr>
      <w:tr>
        <w:trPr>
          <w:trHeight w:val="161" w:hRule="exact"/>
        </w:trPr>
        <w:tc>
          <w:tcPr>
            <w:tcW w:w="2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881" w:type="dxa"/>
            <w:gridSpan w:val="2"/>
            <w:vMerge/>
            <w:tcBorders>
              <w:left w:val="single" w:sz="10" w:space="0" w:color="D2D2D2"/>
              <w:bottom w:val="single" w:sz="4" w:space="0" w:color="000000"/>
              <w:right w:val="single" w:sz="4" w:space="0" w:color="000000"/>
            </w:tcBorders>
          </w:tcPr>
          <w:p>
            <w:pPr/>
          </w:p>
        </w:tc>
      </w:tr>
      <w:tr>
        <w:trPr>
          <w:trHeight w:val="715"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3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 司合并财务报表资产总额的比例</w:t>
            </w:r>
          </w:p>
        </w:tc>
        <w:tc>
          <w:tcPr>
            <w:tcW w:w="688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4"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 司合并财务报表营业收入的比例</w:t>
            </w:r>
          </w:p>
        </w:tc>
        <w:tc>
          <w:tcPr>
            <w:tcW w:w="688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7" w:hRule="exact"/>
        </w:trPr>
        <w:tc>
          <w:tcPr>
            <w:tcW w:w="95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2"/>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类别</w:t>
            </w:r>
          </w:p>
        </w:tc>
        <w:tc>
          <w:tcPr>
            <w:tcW w:w="3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非财务报告</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spacing w:line="312" w:lineRule="exact"/>
        <w:ind w:left="627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70.8pt;height:15.6pt;mso-position-horizontal-relative:char;mso-position-vertical-relative:line" coordorigin="0,0" coordsize="3416,312">
            <v:group style="position:absolute;left:0;top:0;width:3416;height:312" coordorigin="0,0" coordsize="3416,312">
              <v:shape style="position:absolute;left:0;top:0;width:3416;height:312" coordorigin="0,0" coordsize="3416,312" path="m0,312l3416,312,3416,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spacing w:line="312" w:lineRule="exact"/>
        <w:ind w:left="627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70.8pt;height:15.6pt;mso-position-horizontal-relative:char;mso-position-vertical-relative:line" coordorigin="0,0" coordsize="3416,312">
            <v:group style="position:absolute;left:0;top:0;width:3416;height:312" coordorigin="0,0" coordsize="3416,312">
              <v:shape style="position:absolute;left:0;top:0;width:3416;height:312" coordorigin="0,0" coordsize="3416,312" path="m0,312l3416,312,3416,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p>
      <w:pPr>
        <w:pStyle w:val="BodyText"/>
        <w:spacing w:line="240" w:lineRule="auto" w:before="44"/>
        <w:ind w:left="0" w:right="1138"/>
        <w:jc w:val="right"/>
      </w:pPr>
      <w:r>
        <w:rPr/>
        <w:pict>
          <v:shape style="position:absolute;margin-left:56.459999pt;margin-top:-262.618286pt;width:479.2pt;height:448.75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5"/>
                    <w:gridCol w:w="3401"/>
                    <w:gridCol w:w="3473"/>
                  </w:tblGrid>
                  <w:tr>
                    <w:trPr>
                      <w:trHeight w:val="3521" w:hRule="exact"/>
                    </w:trPr>
                    <w:tc>
                      <w:tcPr>
                        <w:tcW w:w="2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401" w:type="dxa"/>
                        <w:tcBorders>
                          <w:top w:val="single" w:sz="4" w:space="0" w:color="000000"/>
                          <w:left w:val="single" w:sz="4" w:space="0" w:color="000000"/>
                          <w:bottom w:val="single" w:sz="4" w:space="0" w:color="000000"/>
                          <w:right w:val="single" w:sz="13" w:space="0" w:color="FFFFFF"/>
                        </w:tcBorders>
                      </w:tcPr>
                      <w:p>
                        <w:pPr>
                          <w:pStyle w:val="TableParagraph"/>
                          <w:spacing w:line="304"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A</w:t>
                        </w:r>
                        <w:r>
                          <w:rPr>
                            <w:rFonts w:ascii="宋体" w:hAnsi="宋体" w:cs="宋体" w:eastAsia="宋体" w:hint="default"/>
                            <w:sz w:val="18"/>
                            <w:szCs w:val="18"/>
                          </w:rPr>
                          <w:t>、公司董事、监事和高级管理 人员舞弊并给企业造成重要损失和不利影 </w:t>
                        </w:r>
                        <w:r>
                          <w:rPr>
                            <w:rFonts w:ascii="宋体" w:hAnsi="宋体" w:cs="宋体" w:eastAsia="宋体" w:hint="default"/>
                            <w:spacing w:val="-5"/>
                            <w:sz w:val="18"/>
                            <w:szCs w:val="18"/>
                          </w:rPr>
                          <w:t>响；</w:t>
                        </w:r>
                        <w:r>
                          <w:rPr>
                            <w:rFonts w:ascii="Times New Roman" w:hAnsi="Times New Roman" w:cs="Times New Roman" w:eastAsia="Times New Roman" w:hint="default"/>
                            <w:spacing w:val="-5"/>
                            <w:sz w:val="18"/>
                            <w:szCs w:val="18"/>
                          </w:rPr>
                          <w:t>B</w:t>
                        </w:r>
                        <w:r>
                          <w:rPr>
                            <w:rFonts w:ascii="宋体" w:hAnsi="宋体" w:cs="宋体" w:eastAsia="宋体" w:hint="default"/>
                            <w:spacing w:val="-5"/>
                            <w:sz w:val="18"/>
                            <w:szCs w:val="18"/>
                          </w:rPr>
                          <w:t>、控制环境无效；</w:t>
                        </w:r>
                        <w:r>
                          <w:rPr>
                            <w:rFonts w:ascii="Times New Roman" w:hAnsi="Times New Roman" w:cs="Times New Roman" w:eastAsia="Times New Roman" w:hint="default"/>
                            <w:spacing w:val="-5"/>
                            <w:sz w:val="18"/>
                            <w:szCs w:val="18"/>
                          </w:rPr>
                          <w:t>C</w:t>
                        </w:r>
                        <w:r>
                          <w:rPr>
                            <w:rFonts w:ascii="宋体" w:hAnsi="宋体" w:cs="宋体" w:eastAsia="宋体" w:hint="default"/>
                            <w:spacing w:val="-5"/>
                            <w:sz w:val="18"/>
                            <w:szCs w:val="18"/>
                          </w:rPr>
                          <w:t>、内部监督无效；</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Times New Roman" w:hAnsi="Times New Roman" w:cs="Times New Roman" w:eastAsia="Times New Roman" w:hint="default"/>
                            <w:sz w:val="18"/>
                            <w:szCs w:val="18"/>
                          </w:rPr>
                          <w:t>D</w:t>
                        </w:r>
                        <w:r>
                          <w:rPr>
                            <w:rFonts w:ascii="宋体" w:hAnsi="宋体" w:cs="宋体" w:eastAsia="宋体" w:hint="default"/>
                            <w:sz w:val="18"/>
                            <w:szCs w:val="18"/>
                          </w:rPr>
                          <w:t>、外部审计发现重大错报，而公司内部控 制过程中未发现该错报；重要缺陷：</w:t>
                        </w:r>
                        <w:r>
                          <w:rPr>
                            <w:rFonts w:ascii="Times New Roman" w:hAnsi="Times New Roman" w:cs="Times New Roman" w:eastAsia="Times New Roman" w:hint="default"/>
                            <w:sz w:val="18"/>
                            <w:szCs w:val="18"/>
                          </w:rPr>
                          <w:t>A</w:t>
                        </w:r>
                        <w:r>
                          <w:rPr>
                            <w:rFonts w:ascii="宋体" w:hAnsi="宋体" w:cs="宋体" w:eastAsia="宋体" w:hint="default"/>
                            <w:sz w:val="18"/>
                            <w:szCs w:val="18"/>
                          </w:rPr>
                          <w:t>、重</w:t>
                        </w:r>
                        <w:r>
                          <w:rPr>
                            <w:rFonts w:ascii="宋体" w:hAnsi="宋体" w:cs="宋体" w:eastAsia="宋体" w:hint="default"/>
                            <w:spacing w:val="-8"/>
                            <w:sz w:val="18"/>
                            <w:szCs w:val="18"/>
                          </w:rPr>
                          <w:t> </w:t>
                        </w:r>
                        <w:r>
                          <w:rPr>
                            <w:rFonts w:ascii="宋体" w:hAnsi="宋体" w:cs="宋体" w:eastAsia="宋体" w:hint="default"/>
                            <w:sz w:val="18"/>
                            <w:szCs w:val="18"/>
                          </w:rPr>
                          <w:t>要财务控制程序的缺失或失效；</w:t>
                        </w:r>
                        <w:r>
                          <w:rPr>
                            <w:rFonts w:ascii="Times New Roman" w:hAnsi="Times New Roman" w:cs="Times New Roman" w:eastAsia="Times New Roman" w:hint="default"/>
                            <w:sz w:val="18"/>
                            <w:szCs w:val="18"/>
                          </w:rPr>
                          <w:t>B</w:t>
                        </w:r>
                        <w:r>
                          <w:rPr>
                            <w:rFonts w:ascii="宋体" w:hAnsi="宋体" w:cs="宋体" w:eastAsia="宋体" w:hint="default"/>
                            <w:sz w:val="18"/>
                            <w:szCs w:val="18"/>
                          </w:rPr>
                          <w:t>、外部审 </w:t>
                        </w:r>
                        <w:r>
                          <w:rPr>
                            <w:rFonts w:ascii="宋体" w:hAnsi="宋体" w:cs="宋体" w:eastAsia="宋体" w:hint="default"/>
                            <w:spacing w:val="-4"/>
                            <w:sz w:val="18"/>
                            <w:szCs w:val="18"/>
                          </w:rPr>
                          <w:t>计发现重要错报，而公司内部控制过程中未</w:t>
                        </w:r>
                        <w:r>
                          <w:rPr>
                            <w:rFonts w:ascii="宋体" w:hAnsi="宋体" w:cs="宋体" w:eastAsia="宋体" w:hint="default"/>
                            <w:sz w:val="18"/>
                            <w:szCs w:val="18"/>
                          </w:rPr>
                          <w:t> 发现该错报；</w:t>
                        </w:r>
                        <w:r>
                          <w:rPr>
                            <w:rFonts w:ascii="Times New Roman" w:hAnsi="Times New Roman" w:cs="Times New Roman" w:eastAsia="Times New Roman" w:hint="default"/>
                            <w:sz w:val="18"/>
                            <w:szCs w:val="18"/>
                          </w:rPr>
                          <w:t>C</w:t>
                        </w:r>
                        <w:r>
                          <w:rPr>
                            <w:rFonts w:ascii="宋体" w:hAnsi="宋体" w:cs="宋体" w:eastAsia="宋体" w:hint="default"/>
                            <w:sz w:val="18"/>
                            <w:szCs w:val="18"/>
                          </w:rPr>
                          <w:t>、报告期内提交的财务报告 错误频出；</w:t>
                        </w:r>
                        <w:r>
                          <w:rPr>
                            <w:rFonts w:ascii="Times New Roman" w:hAnsi="Times New Roman" w:cs="Times New Roman" w:eastAsia="Times New Roman" w:hint="default"/>
                            <w:sz w:val="18"/>
                            <w:szCs w:val="18"/>
                          </w:rPr>
                          <w:t>D</w:t>
                        </w:r>
                        <w:r>
                          <w:rPr>
                            <w:rFonts w:ascii="宋体" w:hAnsi="宋体" w:cs="宋体" w:eastAsia="宋体" w:hint="default"/>
                            <w:sz w:val="18"/>
                            <w:szCs w:val="18"/>
                          </w:rPr>
                          <w:t>、其他可能影响报表使用者正 </w:t>
                        </w:r>
                        <w:r>
                          <w:rPr>
                            <w:rFonts w:ascii="宋体" w:hAnsi="宋体" w:cs="宋体" w:eastAsia="宋体" w:hint="default"/>
                            <w:spacing w:val="-10"/>
                            <w:sz w:val="18"/>
                            <w:szCs w:val="18"/>
                          </w:rPr>
                          <w:t>确判断的重要缺陷；一般缺陷：除重大缺陷、</w:t>
                        </w:r>
                        <w:r>
                          <w:rPr>
                            <w:rFonts w:ascii="宋体" w:hAnsi="宋体" w:cs="宋体" w:eastAsia="宋体" w:hint="default"/>
                            <w:spacing w:val="-36"/>
                            <w:sz w:val="18"/>
                            <w:szCs w:val="18"/>
                          </w:rPr>
                          <w:t> </w:t>
                        </w:r>
                        <w:r>
                          <w:rPr>
                            <w:rFonts w:ascii="宋体" w:hAnsi="宋体" w:cs="宋体" w:eastAsia="宋体" w:hint="default"/>
                            <w:sz w:val="18"/>
                            <w:szCs w:val="18"/>
                          </w:rPr>
                          <w:t>重要缺陷以外的其他内部控制缺陷。</w:t>
                        </w:r>
                      </w:p>
                    </w:tc>
                    <w:tc>
                      <w:tcPr>
                        <w:tcW w:w="3473" w:type="dxa"/>
                        <w:tcBorders>
                          <w:top w:val="single" w:sz="4" w:space="0" w:color="000000"/>
                          <w:left w:val="single" w:sz="13" w:space="0" w:color="FFFFFF"/>
                          <w:bottom w:val="single" w:sz="4" w:space="0" w:color="000000"/>
                          <w:right w:val="single" w:sz="4" w:space="0" w:color="000000"/>
                        </w:tcBorders>
                      </w:tcPr>
                      <w:p>
                        <w:pPr>
                          <w:pStyle w:val="TableParagraph"/>
                          <w:spacing w:line="302" w:lineRule="auto" w:before="49"/>
                          <w:ind w:left="11" w:right="-41"/>
                          <w:jc w:val="left"/>
                          <w:rPr>
                            <w:rFonts w:ascii="宋体" w:hAnsi="宋体" w:cs="宋体" w:eastAsia="宋体"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A</w:t>
                        </w:r>
                        <w:r>
                          <w:rPr>
                            <w:rFonts w:ascii="宋体" w:hAnsi="宋体" w:cs="宋体" w:eastAsia="宋体" w:hint="default"/>
                            <w:sz w:val="18"/>
                            <w:szCs w:val="18"/>
                          </w:rPr>
                          <w:t>、关键业务的决策程序导致重 大的决策失误；</w:t>
                        </w:r>
                        <w:r>
                          <w:rPr>
                            <w:rFonts w:ascii="Times New Roman" w:hAnsi="Times New Roman" w:cs="Times New Roman" w:eastAsia="Times New Roman" w:hint="default"/>
                            <w:sz w:val="18"/>
                            <w:szCs w:val="18"/>
                          </w:rPr>
                          <w:t>B</w:t>
                        </w:r>
                        <w:r>
                          <w:rPr>
                            <w:rFonts w:ascii="宋体" w:hAnsi="宋体" w:cs="宋体" w:eastAsia="宋体" w:hint="default"/>
                            <w:sz w:val="18"/>
                            <w:szCs w:val="18"/>
                          </w:rPr>
                          <w:t>、严重违反国家法律、法 规；</w:t>
                        </w:r>
                        <w:r>
                          <w:rPr>
                            <w:rFonts w:ascii="Times New Roman" w:hAnsi="Times New Roman" w:cs="Times New Roman" w:eastAsia="Times New Roman" w:hint="default"/>
                            <w:sz w:val="18"/>
                            <w:szCs w:val="18"/>
                          </w:rPr>
                          <w:t>C</w:t>
                        </w:r>
                        <w:r>
                          <w:rPr>
                            <w:rFonts w:ascii="宋体" w:hAnsi="宋体" w:cs="宋体" w:eastAsia="宋体" w:hint="default"/>
                            <w:sz w:val="18"/>
                            <w:szCs w:val="18"/>
                          </w:rPr>
                          <w:t>、中高级层面的管理人员或关键技术 岗位人员流失严重；</w:t>
                        </w:r>
                        <w:r>
                          <w:rPr>
                            <w:rFonts w:ascii="Times New Roman" w:hAnsi="Times New Roman" w:cs="Times New Roman" w:eastAsia="Times New Roman" w:hint="default"/>
                            <w:sz w:val="18"/>
                            <w:szCs w:val="18"/>
                          </w:rPr>
                          <w:t>D</w:t>
                        </w:r>
                        <w:r>
                          <w:rPr>
                            <w:rFonts w:ascii="宋体" w:hAnsi="宋体" w:cs="宋体" w:eastAsia="宋体" w:hint="default"/>
                            <w:sz w:val="18"/>
                            <w:szCs w:val="18"/>
                          </w:rPr>
                          <w:t>、内部控制评价中发 现的重大或重要缺陷未得到整改；</w:t>
                        </w:r>
                        <w:r>
                          <w:rPr>
                            <w:rFonts w:ascii="Times New Roman" w:hAnsi="Times New Roman" w:cs="Times New Roman" w:eastAsia="Times New Roman" w:hint="default"/>
                            <w:sz w:val="18"/>
                            <w:szCs w:val="18"/>
                          </w:rPr>
                          <w:t>E</w:t>
                        </w:r>
                        <w:r>
                          <w:rPr>
                            <w:rFonts w:ascii="宋体" w:hAnsi="宋体" w:cs="宋体" w:eastAsia="宋体" w:hint="default"/>
                            <w:sz w:val="18"/>
                            <w:szCs w:val="18"/>
                          </w:rPr>
                          <w:t>、其他 对公司产生重大负面影响的情形；重要缺 陷：</w:t>
                        </w:r>
                        <w:r>
                          <w:rPr>
                            <w:rFonts w:ascii="Times New Roman" w:hAnsi="Times New Roman" w:cs="Times New Roman" w:eastAsia="Times New Roman" w:hint="default"/>
                            <w:sz w:val="18"/>
                            <w:szCs w:val="18"/>
                          </w:rPr>
                          <w:t>A</w:t>
                        </w:r>
                        <w:r>
                          <w:rPr>
                            <w:rFonts w:ascii="宋体" w:hAnsi="宋体" w:cs="宋体" w:eastAsia="宋体" w:hint="default"/>
                            <w:sz w:val="18"/>
                            <w:szCs w:val="18"/>
                          </w:rPr>
                          <w:t>、关键业务的决策程序导致一般性失 误；</w:t>
                        </w:r>
                        <w:r>
                          <w:rPr>
                            <w:rFonts w:ascii="Times New Roman" w:hAnsi="Times New Roman" w:cs="Times New Roman" w:eastAsia="Times New Roman" w:hint="default"/>
                            <w:sz w:val="18"/>
                            <w:szCs w:val="18"/>
                          </w:rPr>
                          <w:t>B</w:t>
                        </w:r>
                        <w:r>
                          <w:rPr>
                            <w:rFonts w:ascii="宋体" w:hAnsi="宋体" w:cs="宋体" w:eastAsia="宋体" w:hint="default"/>
                            <w:sz w:val="18"/>
                            <w:szCs w:val="18"/>
                          </w:rPr>
                          <w:t>、重要业务制度或系统存在缺陷；</w:t>
                        </w:r>
                        <w:r>
                          <w:rPr>
                            <w:rFonts w:ascii="Times New Roman" w:hAnsi="Times New Roman" w:cs="Times New Roman" w:eastAsia="Times New Roman" w:hint="default"/>
                            <w:sz w:val="18"/>
                            <w:szCs w:val="18"/>
                          </w:rPr>
                          <w:t>C</w:t>
                        </w:r>
                        <w:r>
                          <w:rPr>
                            <w:rFonts w:ascii="宋体" w:hAnsi="宋体" w:cs="宋体" w:eastAsia="宋体" w:hint="default"/>
                            <w:sz w:val="18"/>
                            <w:szCs w:val="18"/>
                          </w:rPr>
                          <w:t>、 关键岗位业务人员流失严重；</w:t>
                        </w:r>
                        <w:r>
                          <w:rPr>
                            <w:rFonts w:ascii="Times New Roman" w:hAnsi="Times New Roman" w:cs="Times New Roman" w:eastAsia="Times New Roman" w:hint="default"/>
                            <w:sz w:val="18"/>
                            <w:szCs w:val="18"/>
                          </w:rPr>
                          <w:t>D</w:t>
                        </w:r>
                        <w:r>
                          <w:rPr>
                            <w:rFonts w:ascii="宋体" w:hAnsi="宋体" w:cs="宋体" w:eastAsia="宋体" w:hint="default"/>
                            <w:sz w:val="18"/>
                            <w:szCs w:val="18"/>
                          </w:rPr>
                          <w:t>、其他对公 </w:t>
                        </w:r>
                        <w:r>
                          <w:rPr>
                            <w:rFonts w:ascii="宋体" w:hAnsi="宋体" w:cs="宋体" w:eastAsia="宋体" w:hint="default"/>
                            <w:spacing w:val="-3"/>
                            <w:sz w:val="18"/>
                            <w:szCs w:val="18"/>
                          </w:rPr>
                          <w:t>司产生较大负面影响的情形；一般缺陷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除重</w:t>
                        </w:r>
                        <w:r>
                          <w:rPr>
                            <w:rFonts w:ascii="宋体" w:hAnsi="宋体" w:cs="宋体" w:eastAsia="宋体" w:hint="default"/>
                            <w:spacing w:val="-83"/>
                            <w:sz w:val="18"/>
                            <w:szCs w:val="18"/>
                          </w:rPr>
                          <w:t> </w:t>
                        </w:r>
                        <w:r>
                          <w:rPr>
                            <w:rFonts w:ascii="宋体" w:hAnsi="宋体" w:cs="宋体" w:eastAsia="宋体" w:hint="default"/>
                            <w:sz w:val="18"/>
                            <w:szCs w:val="18"/>
                          </w:rPr>
                          <w:t>大缺陷、重要缺陷以外的其他控制缺陷。</w:t>
                        </w:r>
                      </w:p>
                    </w:tc>
                  </w:tr>
                  <w:tr>
                    <w:trPr>
                      <w:trHeight w:val="3836" w:hRule="exact"/>
                    </w:trPr>
                    <w:tc>
                      <w:tcPr>
                        <w:tcW w:w="2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A</w:t>
                        </w:r>
                        <w:r>
                          <w:rPr>
                            <w:rFonts w:ascii="宋体" w:hAnsi="宋体" w:cs="宋体" w:eastAsia="宋体" w:hint="default"/>
                            <w:sz w:val="18"/>
                            <w:szCs w:val="18"/>
                          </w:rPr>
                          <w:t>、营业收入总额：潜在错报</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B</w:t>
                        </w:r>
                        <w:r>
                          <w:rPr>
                            <w:rFonts w:ascii="宋体" w:hAnsi="宋体" w:cs="宋体" w:eastAsia="宋体" w:hint="default"/>
                            <w:sz w:val="18"/>
                            <w:szCs w:val="18"/>
                          </w:rPr>
                          <w:t>、利润总额：潜在 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C</w:t>
                        </w:r>
                        <w:r>
                          <w:rPr>
                            <w:rFonts w:ascii="宋体" w:hAnsi="宋体" w:cs="宋体" w:eastAsia="宋体" w:hint="default"/>
                            <w:spacing w:val="-4"/>
                            <w:sz w:val="18"/>
                            <w:szCs w:val="18"/>
                          </w:rPr>
                          <w:t>、资产总额：潜在</w:t>
                        </w:r>
                        <w:r>
                          <w:rPr>
                            <w:rFonts w:ascii="宋体" w:hAnsi="宋体" w:cs="宋体" w:eastAsia="宋体" w:hint="default"/>
                            <w:sz w:val="18"/>
                            <w:szCs w:val="18"/>
                          </w:rPr>
                          <w:t> 错报</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w:t>
                        </w:r>
                        <w:r>
                          <w:rPr>
                            <w:rFonts w:ascii="宋体" w:hAnsi="宋体" w:cs="宋体" w:eastAsia="宋体" w:hint="default"/>
                            <w:spacing w:val="-41"/>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；重要缺陷：</w:t>
                        </w:r>
                        <w:r>
                          <w:rPr>
                            <w:rFonts w:ascii="Times New Roman" w:hAnsi="Times New Roman" w:cs="Times New Roman" w:eastAsia="Times New Roman" w:hint="default"/>
                            <w:spacing w:val="-5"/>
                            <w:sz w:val="18"/>
                            <w:szCs w:val="18"/>
                          </w:rPr>
                          <w:t>A</w:t>
                        </w:r>
                        <w:r>
                          <w:rPr>
                            <w:rFonts w:ascii="宋体" w:hAnsi="宋体" w:cs="宋体" w:eastAsia="宋体" w:hint="default"/>
                            <w:spacing w:val="-5"/>
                            <w:sz w:val="18"/>
                            <w:szCs w:val="18"/>
                          </w:rPr>
                          <w:t>、营业</w:t>
                        </w:r>
                        <w:r>
                          <w:rPr>
                            <w:rFonts w:ascii="宋体" w:hAnsi="宋体" w:cs="宋体" w:eastAsia="宋体" w:hint="default"/>
                            <w:sz w:val="18"/>
                            <w:szCs w:val="18"/>
                          </w:rPr>
                          <w:t> 收入总额：</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潜在错报＜营业收入总 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B</w:t>
                        </w:r>
                        <w:r>
                          <w:rPr>
                            <w:rFonts w:ascii="宋体" w:hAnsi="宋体" w:cs="宋体" w:eastAsia="宋体" w:hint="default"/>
                            <w:sz w:val="18"/>
                            <w:szCs w:val="18"/>
                          </w:rPr>
                          <w:t>、利润总额：</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潜在错报＜ 利润总额的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C</w:t>
                        </w:r>
                        <w:r>
                          <w:rPr>
                            <w:rFonts w:ascii="宋体" w:hAnsi="宋体" w:cs="宋体" w:eastAsia="宋体" w:hint="default"/>
                            <w:sz w:val="18"/>
                            <w:szCs w:val="18"/>
                          </w:rPr>
                          <w:t>、资产总额：</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潜 在错报＜资产总额的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；一般缺陷：</w:t>
                        </w:r>
                        <w:r>
                          <w:rPr>
                            <w:rFonts w:ascii="Times New Roman" w:hAnsi="Times New Roman" w:cs="Times New Roman" w:eastAsia="Times New Roman" w:hint="default"/>
                            <w:sz w:val="18"/>
                            <w:szCs w:val="18"/>
                          </w:rPr>
                          <w:t>A</w:t>
                        </w:r>
                        <w:r>
                          <w:rPr>
                            <w:rFonts w:ascii="宋体" w:hAnsi="宋体" w:cs="宋体" w:eastAsia="宋体" w:hint="default"/>
                            <w:sz w:val="18"/>
                            <w:szCs w:val="18"/>
                          </w:rPr>
                          <w:t>、 营业收入总额：潜在错报＜</w:t>
                        </w:r>
                        <w:r>
                          <w:rPr>
                            <w:rFonts w:ascii="宋体" w:hAnsi="宋体" w:cs="宋体" w:eastAsia="宋体" w:hint="default"/>
                            <w:spacing w:val="1"/>
                            <w:sz w:val="18"/>
                            <w:szCs w:val="18"/>
                          </w:rPr>
                          <w:t> </w:t>
                        </w:r>
                        <w:r>
                          <w:rPr>
                            <w:rFonts w:ascii="宋体" w:hAnsi="宋体" w:cs="宋体" w:eastAsia="宋体" w:hint="default"/>
                            <w:sz w:val="18"/>
                            <w:szCs w:val="18"/>
                          </w:rPr>
                          <w:t>营业收入总额</w:t>
                        </w:r>
                        <w:r>
                          <w:rPr>
                            <w:rFonts w:ascii="宋体" w:hAnsi="宋体" w:cs="宋体" w:eastAsia="宋体" w:hint="default"/>
                            <w:sz w:val="18"/>
                            <w:szCs w:val="18"/>
                          </w:rPr>
                          <w:t> 的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r>
                          <w:rPr>
                            <w:rFonts w:ascii="Times New Roman" w:hAnsi="Times New Roman" w:cs="Times New Roman" w:eastAsia="Times New Roman" w:hint="default"/>
                            <w:sz w:val="18"/>
                            <w:szCs w:val="18"/>
                          </w:rPr>
                          <w:t>B</w:t>
                        </w:r>
                        <w:r>
                          <w:rPr>
                            <w:rFonts w:ascii="宋体" w:hAnsi="宋体" w:cs="宋体" w:eastAsia="宋体" w:hint="default"/>
                            <w:sz w:val="18"/>
                            <w:szCs w:val="18"/>
                          </w:rPr>
                          <w:t>、利润总额：潜在错报＜</w:t>
                        </w:r>
                        <w:r>
                          <w:rPr>
                            <w:rFonts w:ascii="宋体" w:hAnsi="宋体" w:cs="宋体" w:eastAsia="宋体" w:hint="default"/>
                            <w:spacing w:val="-47"/>
                            <w:sz w:val="18"/>
                            <w:szCs w:val="18"/>
                          </w:rPr>
                          <w:t> </w:t>
                        </w:r>
                        <w:r>
                          <w:rPr>
                            <w:rFonts w:ascii="宋体" w:hAnsi="宋体" w:cs="宋体" w:eastAsia="宋体" w:hint="default"/>
                            <w:sz w:val="18"/>
                            <w:szCs w:val="18"/>
                          </w:rPr>
                          <w:t>利润</w:t>
                        </w:r>
                        <w:r>
                          <w:rPr>
                            <w:rFonts w:ascii="宋体" w:hAnsi="宋体" w:cs="宋体" w:eastAsia="宋体" w:hint="default"/>
                            <w:sz w:val="18"/>
                            <w:szCs w:val="18"/>
                          </w:rPr>
                          <w:t> 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40"/>
                            <w:sz w:val="18"/>
                            <w:szCs w:val="18"/>
                          </w:rPr>
                          <w:t> </w:t>
                        </w:r>
                        <w:r>
                          <w:rPr>
                            <w:rFonts w:ascii="Times New Roman" w:hAnsi="Times New Roman" w:cs="Times New Roman" w:eastAsia="Times New Roman" w:hint="default"/>
                            <w:spacing w:val="-7"/>
                            <w:sz w:val="18"/>
                            <w:szCs w:val="18"/>
                          </w:rPr>
                          <w:t>C</w:t>
                        </w:r>
                        <w:r>
                          <w:rPr>
                            <w:rFonts w:ascii="宋体" w:hAnsi="宋体" w:cs="宋体" w:eastAsia="宋体" w:hint="default"/>
                            <w:spacing w:val="-7"/>
                            <w:sz w:val="18"/>
                            <w:szCs w:val="18"/>
                          </w:rPr>
                          <w:t>、资产总额：潜在错报＜</w:t>
                        </w:r>
                        <w:r>
                          <w:rPr>
                            <w:rFonts w:ascii="宋体" w:hAnsi="宋体" w:cs="宋体" w:eastAsia="宋体" w:hint="default"/>
                            <w:spacing w:val="1"/>
                            <w:sz w:val="18"/>
                            <w:szCs w:val="18"/>
                          </w:rPr>
                          <w:t> </w:t>
                        </w:r>
                        <w:r>
                          <w:rPr>
                            <w:rFonts w:ascii="宋体" w:hAnsi="宋体" w:cs="宋体" w:eastAsia="宋体" w:hint="default"/>
                            <w:sz w:val="18"/>
                            <w:szCs w:val="18"/>
                          </w:rPr>
                          <w:t>资</w:t>
                        </w:r>
                        <w:r>
                          <w:rPr>
                            <w:rFonts w:ascii="宋体" w:hAnsi="宋体" w:cs="宋体" w:eastAsia="宋体" w:hint="default"/>
                            <w:sz w:val="18"/>
                            <w:szCs w:val="18"/>
                          </w:rPr>
                          <w:t> 产总额的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09" w:lineRule="auto"/>
                          <w:ind w:left="23" w:right="21"/>
                          <w:jc w:val="left"/>
                          <w:rPr>
                            <w:rFonts w:ascii="宋体" w:hAnsi="宋体" w:cs="宋体" w:eastAsia="宋体" w:hint="default"/>
                            <w:sz w:val="18"/>
                            <w:szCs w:val="18"/>
                          </w:rPr>
                        </w:pPr>
                        <w:r>
                          <w:rPr>
                            <w:rFonts w:ascii="宋体" w:hAnsi="宋体" w:cs="宋体" w:eastAsia="宋体" w:hint="default"/>
                            <w:sz w:val="18"/>
                            <w:szCs w:val="18"/>
                          </w:rPr>
                          <w:t>重大缺陷：</w:t>
                        </w:r>
                        <w:r>
                          <w:rPr>
                            <w:rFonts w:ascii="宋体" w:hAnsi="宋体" w:cs="宋体" w:eastAsia="宋体" w:hint="default"/>
                            <w:spacing w:val="1"/>
                            <w:sz w:val="18"/>
                            <w:szCs w:val="18"/>
                          </w:rPr>
                          <w:t> </w:t>
                        </w:r>
                        <w:r>
                          <w:rPr>
                            <w:rFonts w:ascii="宋体" w:hAnsi="宋体" w:cs="宋体" w:eastAsia="宋体" w:hint="default"/>
                            <w:sz w:val="18"/>
                            <w:szCs w:val="18"/>
                          </w:rPr>
                          <w:t>损失金额占上年经审计的利润</w:t>
                        </w:r>
                        <w:r>
                          <w:rPr>
                            <w:rFonts w:ascii="宋体" w:hAnsi="宋体" w:cs="宋体" w:eastAsia="宋体" w:hint="default"/>
                            <w:sz w:val="18"/>
                            <w:szCs w:val="18"/>
                          </w:rPr>
                          <w:t> 总额的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及以上；重要缺陷</w:t>
                        </w:r>
                        <w:r>
                          <w:rPr>
                            <w:rFonts w:ascii="宋体" w:hAnsi="宋体" w:cs="宋体" w:eastAsia="宋体" w:hint="default"/>
                            <w:spacing w:val="-14"/>
                            <w:sz w:val="18"/>
                            <w:szCs w:val="18"/>
                          </w:rPr>
                          <w:t> </w:t>
                        </w:r>
                        <w:r>
                          <w:rPr>
                            <w:rFonts w:ascii="宋体" w:hAnsi="宋体" w:cs="宋体" w:eastAsia="宋体" w:hint="default"/>
                            <w:sz w:val="18"/>
                            <w:szCs w:val="18"/>
                          </w:rPr>
                          <w:t>：损失金额占</w:t>
                        </w:r>
                        <w:r>
                          <w:rPr>
                            <w:rFonts w:ascii="宋体" w:hAnsi="宋体" w:cs="宋体" w:eastAsia="宋体" w:hint="default"/>
                            <w:sz w:val="18"/>
                            <w:szCs w:val="18"/>
                          </w:rPr>
                          <w:t> 上年经审计的利润总额的</w:t>
                        </w:r>
                        <w:r>
                          <w:rPr>
                            <w:rFonts w:ascii="宋体" w:hAnsi="宋体" w:cs="宋体" w:eastAsia="宋体" w:hint="default"/>
                            <w:spacing w:val="-61"/>
                            <w:sz w:val="18"/>
                            <w:szCs w:val="18"/>
                          </w:rPr>
                          <w:t> </w:t>
                        </w:r>
                        <w:r>
                          <w:rPr>
                            <w:rFonts w:ascii="Times New Roman" w:hAnsi="Times New Roman" w:cs="Times New Roman" w:eastAsia="Times New Roman" w:hint="default"/>
                            <w:spacing w:val="-23"/>
                            <w:sz w:val="18"/>
                            <w:szCs w:val="18"/>
                          </w:rPr>
                          <w:t>1%</w:t>
                        </w:r>
                        <w:r>
                          <w:rPr>
                            <w:rFonts w:ascii="宋体" w:hAnsi="宋体" w:cs="宋体" w:eastAsia="宋体" w:hint="default"/>
                            <w:spacing w:val="-23"/>
                            <w:sz w:val="18"/>
                            <w:szCs w:val="18"/>
                          </w:rPr>
                          <w:t>（含</w:t>
                        </w:r>
                        <w:r>
                          <w:rPr>
                            <w:rFonts w:ascii="宋体" w:hAnsi="宋体" w:cs="宋体" w:eastAsia="宋体" w:hint="default"/>
                            <w:spacing w:val="-62"/>
                            <w:sz w:val="18"/>
                            <w:szCs w:val="18"/>
                          </w:rPr>
                          <w:t> </w:t>
                        </w:r>
                        <w:r>
                          <w:rPr>
                            <w:rFonts w:ascii="Times New Roman" w:hAnsi="Times New Roman" w:cs="Times New Roman" w:eastAsia="Times New Roman" w:hint="default"/>
                            <w:spacing w:val="-24"/>
                            <w:sz w:val="18"/>
                            <w:szCs w:val="18"/>
                          </w:rPr>
                          <w:t>1%</w:t>
                        </w:r>
                        <w:r>
                          <w:rPr>
                            <w:rFonts w:ascii="宋体" w:hAnsi="宋体" w:cs="宋体" w:eastAsia="宋体" w:hint="default"/>
                            <w:spacing w:val="-24"/>
                            <w:sz w:val="18"/>
                            <w:szCs w:val="18"/>
                          </w:rPr>
                          <w:t>）至</w:t>
                        </w:r>
                        <w:r>
                          <w:rPr>
                            <w:rFonts w:ascii="宋体" w:hAnsi="宋体" w:cs="宋体" w:eastAsia="宋体" w:hint="default"/>
                            <w:spacing w:val="-62"/>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一般缺陷</w:t>
                        </w:r>
                        <w:r>
                          <w:rPr>
                            <w:rFonts w:ascii="宋体" w:hAnsi="宋体" w:cs="宋体" w:eastAsia="宋体" w:hint="default"/>
                            <w:spacing w:val="1"/>
                            <w:sz w:val="18"/>
                            <w:szCs w:val="18"/>
                          </w:rPr>
                          <w:t> </w:t>
                        </w:r>
                        <w:r>
                          <w:rPr>
                            <w:rFonts w:ascii="宋体" w:hAnsi="宋体" w:cs="宋体" w:eastAsia="宋体" w:hint="default"/>
                            <w:sz w:val="18"/>
                            <w:szCs w:val="18"/>
                          </w:rPr>
                          <w:t>：损失金额小于占上年经审计的</w:t>
                        </w:r>
                        <w:r>
                          <w:rPr>
                            <w:rFonts w:ascii="宋体" w:hAnsi="宋体" w:cs="宋体" w:eastAsia="宋体" w:hint="default"/>
                            <w:sz w:val="18"/>
                            <w:szCs w:val="18"/>
                          </w:rPr>
                          <w:t> 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Heading2"/>
        <w:spacing w:line="240" w:lineRule="auto" w:before="26"/>
        <w:ind w:right="1133"/>
        <w:jc w:val="left"/>
        <w:rPr>
          <w:b w:val="0"/>
          <w:bCs w:val="0"/>
        </w:rPr>
      </w:pPr>
      <w:bookmarkStart w:name="十、内部控制审计报告或鉴证报告" w:id="149"/>
      <w:bookmarkEnd w:id="149"/>
      <w:r>
        <w:rPr>
          <w:b w:val="0"/>
          <w:bCs w:val="0"/>
        </w:rPr>
      </w: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33"/>
        <w:jc w:val="left"/>
        <w:rPr>
          <w:b w:val="0"/>
          <w:bCs w:val="0"/>
        </w:rPr>
      </w:pPr>
      <w:bookmarkStart w:name="第十一节公司债券相关情况" w:id="150"/>
      <w:bookmarkEnd w:id="150"/>
      <w:r>
        <w:rPr>
          <w:b w:val="0"/>
          <w:bCs w:val="0"/>
        </w:rPr>
      </w:r>
      <w:bookmarkStart w:name="_bookmark10" w:id="151"/>
      <w:bookmarkEnd w:id="151"/>
      <w:r>
        <w:rPr>
          <w:b w:val="0"/>
          <w:bCs w:val="0"/>
        </w:rPr>
      </w:r>
      <w:r>
        <w:rPr/>
        <w:t>第十一节公司债券相关情况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479"/>
        <w:jc w:val="center"/>
        <w:rPr>
          <w:b w:val="0"/>
          <w:bCs w:val="0"/>
        </w:rPr>
      </w:pPr>
      <w:bookmarkStart w:name="第十二节财务报告" w:id="152"/>
      <w:bookmarkEnd w:id="152"/>
      <w:r>
        <w:rPr>
          <w:b w:val="0"/>
          <w:bCs w:val="0"/>
        </w:rPr>
      </w:r>
      <w:bookmarkStart w:name="_bookmark11" w:id="153"/>
      <w:bookmarkEnd w:id="153"/>
      <w:r>
        <w:rPr>
          <w:b w:val="0"/>
          <w:bCs w:val="0"/>
        </w:rPr>
      </w:r>
      <w:r>
        <w:rPr/>
        <w:t>第十二节财务报告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bookmarkStart w:name="一、审计报告" w:id="154"/>
      <w:bookmarkEnd w:id="154"/>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[2020]004409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陈葆华、周灵芝</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2"/>
          <w:szCs w:val="12"/>
        </w:rPr>
      </w:pPr>
    </w:p>
    <w:p>
      <w:pPr>
        <w:pStyle w:val="BodyText"/>
        <w:spacing w:line="316" w:lineRule="auto"/>
        <w:ind w:left="513" w:right="-20" w:hanging="361"/>
        <w:jc w:val="left"/>
      </w:pPr>
      <w:r>
        <w:rPr/>
        <w:t>深圳市优博讯科技股份有限公司全体股东： 一、审计意见</w:t>
      </w:r>
    </w:p>
    <w:p>
      <w:pPr>
        <w:pStyle w:val="BodyText"/>
        <w:spacing w:line="240" w:lineRule="auto" w:before="49"/>
        <w:ind w:right="0"/>
        <w:jc w:val="left"/>
      </w:pPr>
      <w:r>
        <w:rPr/>
        <w:br w:type="column"/>
      </w:r>
      <w:r>
        <w:rPr/>
        <w:t>审计报告正文</w:t>
      </w:r>
    </w:p>
    <w:p>
      <w:pPr>
        <w:spacing w:after="0" w:line="240" w:lineRule="auto"/>
        <w:jc w:val="left"/>
        <w:sectPr>
          <w:type w:val="continuous"/>
          <w:pgSz w:w="11910" w:h="16840"/>
          <w:pgMar w:top="1060" w:bottom="1160" w:left="980" w:right="0"/>
          <w:cols w:num="2" w:equalWidth="0">
            <w:col w:w="3573" w:space="707"/>
            <w:col w:w="6650"/>
          </w:cols>
        </w:sectPr>
      </w:pPr>
    </w:p>
    <w:p>
      <w:pPr>
        <w:pStyle w:val="BodyText"/>
        <w:spacing w:line="300" w:lineRule="auto" w:before="19"/>
        <w:ind w:right="1128" w:firstLine="360"/>
        <w:jc w:val="both"/>
      </w:pPr>
      <w:r>
        <w:rPr>
          <w:spacing w:val="-1"/>
        </w:rPr>
        <w:t>我们审计了深圳市优博讯科技股份有限公司</w:t>
      </w:r>
      <w:r>
        <w:rPr>
          <w:rFonts w:ascii="Times New Roman" w:hAnsi="Times New Roman" w:cs="Times New Roman" w:eastAsia="Times New Roman" w:hint="default"/>
          <w:spacing w:val="-1"/>
        </w:rPr>
        <w:t>(</w:t>
      </w:r>
      <w:r>
        <w:rPr>
          <w:spacing w:val="-1"/>
        </w:rPr>
        <w:t>以下简称深圳优博讯公司</w:t>
      </w:r>
      <w:r>
        <w:rPr>
          <w:rFonts w:ascii="Times New Roman" w:hAnsi="Times New Roman" w:cs="Times New Roman" w:eastAsia="Times New Roman" w:hint="default"/>
          <w:spacing w:val="-1"/>
        </w:rPr>
        <w:t>)</w:t>
      </w:r>
      <w:r>
        <w:rPr>
          <w:spacing w:val="-1"/>
        </w:rPr>
        <w:t>财务报表，包括</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日的合并及母公司</w:t>
      </w:r>
      <w:r>
        <w:rPr/>
        <w:t> </w:t>
      </w:r>
      <w:r>
        <w:rPr>
          <w:spacing w:val="-2"/>
        </w:rPr>
        <w:t>资产负债表，</w:t>
      </w:r>
      <w:r>
        <w:rPr>
          <w:rFonts w:ascii="Times New Roman" w:hAnsi="Times New Roman" w:cs="Times New Roman" w:eastAsia="Times New Roman" w:hint="default"/>
          <w:spacing w:val="-2"/>
        </w:rPr>
        <w:t>2019</w:t>
      </w:r>
      <w:r>
        <w:rPr>
          <w:spacing w:val="-2"/>
        </w:rPr>
        <w:t>年度的合并及母公司利润表、合并及母公司现金流量表、合并及母公司股东权益变动表以及相关财务报表</w:t>
      </w:r>
      <w:r>
        <w:rPr>
          <w:spacing w:val="-60"/>
        </w:rPr>
        <w:t> </w:t>
      </w:r>
      <w:r>
        <w:rPr>
          <w:spacing w:val="-60"/>
        </w:rPr>
      </w:r>
      <w:r>
        <w:rPr/>
        <w:t>附注。</w:t>
      </w:r>
    </w:p>
    <w:p>
      <w:pPr>
        <w:pStyle w:val="BodyText"/>
        <w:spacing w:line="300" w:lineRule="auto" w:before="31"/>
        <w:ind w:right="1131" w:firstLine="360"/>
        <w:jc w:val="both"/>
      </w:pPr>
      <w:r>
        <w:rPr/>
        <w:t>我们认为，后附的财务报表在所有重大方面按照企业会计准则的规定编制，公允反映了深圳优博讯公司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日的合并及母公司财务状况以及</w:t>
      </w:r>
      <w:r>
        <w:rPr>
          <w:rFonts w:ascii="Times New Roman" w:hAnsi="Times New Roman" w:cs="Times New Roman" w:eastAsia="Times New Roman" w:hint="default"/>
        </w:rPr>
        <w:t>2019</w:t>
      </w:r>
      <w:r>
        <w:rPr/>
        <w:t>年度的合并及母公司经营成果和现金流量。</w:t>
      </w:r>
    </w:p>
    <w:p>
      <w:pPr>
        <w:pStyle w:val="BodyText"/>
        <w:spacing w:line="316" w:lineRule="auto" w:before="13"/>
        <w:ind w:left="513" w:right="1133"/>
        <w:jc w:val="left"/>
      </w:pPr>
      <w:r>
        <w:rPr/>
        <w:t>二、形成审计意见的基础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319" w:lineRule="auto"/>
        <w:ind w:right="1129"/>
        <w:jc w:val="left"/>
      </w:pPr>
      <w:r>
        <w:rPr>
          <w:spacing w:val="-2"/>
        </w:rPr>
        <w:t>阐述了我们在这些准则下的责任。按照中国注册会计师职业道德守则，我们独立于深圳优博讯公司，并履行了职业道德方面</w:t>
      </w:r>
      <w:r>
        <w:rPr>
          <w:spacing w:val="-63"/>
        </w:rPr>
        <w:t> </w:t>
      </w:r>
      <w:r>
        <w:rPr>
          <w:spacing w:val="-63"/>
        </w:rPr>
      </w:r>
      <w:r>
        <w:rPr/>
        <w:t>的其他责任。我们相信，我们获取的审计证据是充分、适当的，为发表审计意见提供了基础。</w:t>
      </w:r>
    </w:p>
    <w:p>
      <w:pPr>
        <w:pStyle w:val="BodyText"/>
        <w:spacing w:line="316" w:lineRule="auto" w:before="17"/>
        <w:ind w:left="513" w:right="1129"/>
        <w:jc w:val="left"/>
      </w:pPr>
      <w:r>
        <w:rPr/>
        <w:t>三、关键审计事项 </w:t>
      </w:r>
      <w:r>
        <w:rPr>
          <w:spacing w:val="-2"/>
        </w:rPr>
        <w:t>关键审计事项是我们根据职业判断，认为对本期财务报表审计最为重要的事项。这些事项的应对以对财务报表整体进行</w:t>
      </w:r>
    </w:p>
    <w:p>
      <w:pPr>
        <w:pStyle w:val="BodyText"/>
        <w:spacing w:line="316" w:lineRule="auto" w:before="19"/>
        <w:ind w:left="513" w:right="5533" w:hanging="361"/>
        <w:jc w:val="left"/>
      </w:pPr>
      <w:r>
        <w:rPr/>
        <w:t>审计并形成审计意见为背景，我们不对这些事项单独发表意见。 我们确定下列事项是需要在审计报告中沟通的关键审计事项。 </w:t>
      </w:r>
      <w:r>
        <w:rPr>
          <w:rFonts w:ascii="Times New Roman" w:hAnsi="Times New Roman" w:cs="Times New Roman" w:eastAsia="Times New Roman" w:hint="default"/>
        </w:rPr>
        <w:t>1.</w:t>
      </w:r>
      <w:r>
        <w:rPr/>
        <w:t>存货跌价准备；</w:t>
      </w:r>
    </w:p>
    <w:p>
      <w:pPr>
        <w:pStyle w:val="BodyText"/>
        <w:spacing w:line="248" w:lineRule="exact"/>
        <w:ind w:left="513" w:right="1133"/>
        <w:jc w:val="left"/>
      </w:pPr>
      <w:r>
        <w:rPr>
          <w:rFonts w:ascii="Times New Roman" w:hAnsi="Times New Roman" w:cs="Times New Roman" w:eastAsia="Times New Roman" w:hint="default"/>
        </w:rPr>
        <w:t>2.</w:t>
      </w:r>
      <w:r>
        <w:rPr/>
        <w:t>收入确认；</w:t>
      </w:r>
    </w:p>
    <w:p>
      <w:pPr>
        <w:pStyle w:val="BodyText"/>
        <w:spacing w:line="300" w:lineRule="auto" w:before="63"/>
        <w:ind w:left="513" w:right="9013"/>
        <w:jc w:val="left"/>
      </w:pPr>
      <w:r>
        <w:rPr>
          <w:rFonts w:ascii="Times New Roman" w:hAnsi="Times New Roman" w:cs="Times New Roman" w:eastAsia="Times New Roman" w:hint="default"/>
        </w:rPr>
        <w:t>3.</w:t>
      </w:r>
      <w:r>
        <w:rPr/>
        <w:t>商誉减值。 </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存货跌价准备 </w:t>
      </w:r>
      <w:r>
        <w:rPr>
          <w:rFonts w:ascii="Times New Roman" w:hAnsi="Times New Roman" w:cs="Times New Roman" w:eastAsia="Times New Roman" w:hint="default"/>
        </w:rPr>
        <w:t>1.</w:t>
      </w:r>
      <w:r>
        <w:rPr/>
        <w:t>事项描述</w:t>
      </w:r>
    </w:p>
    <w:p>
      <w:pPr>
        <w:pStyle w:val="BodyText"/>
        <w:spacing w:line="300" w:lineRule="auto" w:before="13"/>
        <w:ind w:right="1126" w:firstLine="360"/>
        <w:jc w:val="both"/>
      </w:pPr>
      <w:r>
        <w:rPr/>
        <w:t>存货跌价准备会计政策和账面金额请参阅合并财务报表附注四、（十四）及附注六、注释</w:t>
      </w:r>
      <w:r>
        <w:rPr>
          <w:rFonts w:ascii="Times New Roman" w:hAnsi="Times New Roman" w:cs="Times New Roman" w:eastAsia="Times New Roman" w:hint="default"/>
        </w:rPr>
        <w:t>9</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日存货 账面价值为</w:t>
      </w:r>
      <w:r>
        <w:rPr>
          <w:rFonts w:ascii="Times New Roman" w:hAnsi="Times New Roman" w:cs="Times New Roman" w:eastAsia="Times New Roman" w:hint="default"/>
        </w:rPr>
        <w:t>282,340,769.95</w:t>
      </w:r>
      <w:r>
        <w:rPr/>
        <w:t>元，由于存货金额较大，在确定存货减值时管理层需要作出重大判断，因此我们确定存货跌价准</w:t>
      </w:r>
      <w:r>
        <w:rPr>
          <w:spacing w:val="-49"/>
        </w:rPr>
        <w:t> </w:t>
      </w:r>
      <w:r>
        <w:rPr>
          <w:spacing w:val="-49"/>
        </w:rPr>
      </w:r>
      <w:r>
        <w:rPr/>
        <w:t>备为关键审计事项。</w:t>
      </w:r>
    </w:p>
    <w:p>
      <w:pPr>
        <w:pStyle w:val="BodyText"/>
        <w:spacing w:line="300" w:lineRule="auto" w:before="31"/>
        <w:ind w:left="513" w:right="6253"/>
        <w:jc w:val="left"/>
      </w:pPr>
      <w:r>
        <w:rPr>
          <w:rFonts w:ascii="Times New Roman" w:hAnsi="Times New Roman" w:cs="Times New Roman" w:eastAsia="Times New Roman" w:hint="default"/>
        </w:rPr>
        <w:t>2.</w:t>
      </w:r>
      <w:r>
        <w:rPr/>
        <w:t>审计应对 我们对于存货跌价准备所实施的重要审计程序包括：</w:t>
      </w:r>
    </w:p>
    <w:p>
      <w:pPr>
        <w:pStyle w:val="BodyText"/>
        <w:spacing w:line="300" w:lineRule="auto" w:before="31"/>
        <w:ind w:right="1133" w:firstLine="360"/>
        <w:jc w:val="both"/>
      </w:pPr>
      <w:r>
        <w:rPr/>
        <w:t>（</w:t>
      </w:r>
      <w:r>
        <w:rPr>
          <w:rFonts w:ascii="Times New Roman" w:hAnsi="Times New Roman" w:cs="Times New Roman" w:eastAsia="Times New Roman" w:hint="default"/>
        </w:rPr>
        <w:t>1</w:t>
      </w:r>
      <w:r>
        <w:rPr/>
        <w:t>）对深圳优博讯公司与存货跌价准备相关的内部控制设计和执行进行了解、评价和测试，以评价存货跌价准备的内 部控制是否合规、有效；</w:t>
      </w:r>
    </w:p>
    <w:p>
      <w:pPr>
        <w:pStyle w:val="BodyText"/>
        <w:spacing w:line="240" w:lineRule="auto" w:before="31"/>
        <w:ind w:left="513" w:right="1133"/>
        <w:jc w:val="left"/>
      </w:pPr>
      <w:r>
        <w:rPr/>
        <w:t>（</w:t>
      </w:r>
      <w:r>
        <w:rPr>
          <w:rFonts w:ascii="Times New Roman" w:hAnsi="Times New Roman" w:cs="Times New Roman" w:eastAsia="Times New Roman" w:hint="default"/>
        </w:rPr>
        <w:t>2</w:t>
      </w:r>
      <w:r>
        <w:rPr/>
        <w:t>）我们执行存货的监盘程序，检查存货的数量及状况等；</w:t>
      </w:r>
    </w:p>
    <w:p>
      <w:pPr>
        <w:pStyle w:val="BodyText"/>
        <w:spacing w:line="300" w:lineRule="auto" w:before="63"/>
        <w:ind w:right="1133" w:firstLine="360"/>
        <w:jc w:val="both"/>
      </w:pPr>
      <w:r>
        <w:rPr/>
        <w:t>（</w:t>
      </w:r>
      <w:r>
        <w:rPr>
          <w:rFonts w:ascii="Times New Roman" w:hAnsi="Times New Roman" w:cs="Times New Roman" w:eastAsia="Times New Roman" w:hint="default"/>
        </w:rPr>
        <w:t>3</w:t>
      </w:r>
      <w:r>
        <w:rPr/>
        <w:t>）我们取得深圳优博讯公司的存货的年末库龄清单，对库龄较长的存货进行分析性复核，分析存货跌价准备计提是 否合理；</w:t>
      </w:r>
    </w:p>
    <w:p>
      <w:pPr>
        <w:spacing w:after="0" w:line="300" w:lineRule="auto"/>
        <w:jc w:val="both"/>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24" w:firstLine="360"/>
        <w:jc w:val="left"/>
      </w:pPr>
      <w:r>
        <w:rPr/>
        <w:t>（</w:t>
      </w:r>
      <w:r>
        <w:rPr>
          <w:rFonts w:ascii="Times New Roman" w:hAnsi="Times New Roman" w:cs="Times New Roman" w:eastAsia="Times New Roman" w:hint="default"/>
        </w:rPr>
        <w:t>4</w:t>
      </w:r>
      <w:r>
        <w:rPr/>
        <w:t>）我们查询本年度原材料和产成品价格变动情况，了解</w:t>
      </w:r>
      <w:r>
        <w:rPr>
          <w:rFonts w:ascii="Times New Roman" w:hAnsi="Times New Roman" w:cs="Times New Roman" w:eastAsia="Times New Roman" w:hint="default"/>
        </w:rPr>
        <w:t>2019</w:t>
      </w:r>
      <w:r>
        <w:rPr/>
        <w:t>年度原材料和产成品价格的走势，检查分析管理层考虑 这些因素对存货可能产生跌价的风险；</w:t>
      </w:r>
    </w:p>
    <w:p>
      <w:pPr>
        <w:pStyle w:val="BodyText"/>
        <w:spacing w:line="300" w:lineRule="auto" w:before="31"/>
        <w:ind w:right="1124" w:firstLine="360"/>
        <w:jc w:val="left"/>
      </w:pPr>
      <w:r>
        <w:rPr/>
        <w:t>（</w:t>
      </w:r>
      <w:r>
        <w:rPr>
          <w:rFonts w:ascii="Times New Roman" w:hAnsi="Times New Roman" w:cs="Times New Roman" w:eastAsia="Times New Roman" w:hint="default"/>
        </w:rPr>
        <w:t>5</w:t>
      </w:r>
      <w:r>
        <w:rPr/>
        <w:t>）获取存货跌价准备计算表，执行存货减值测试程序，检查是否按相关会计政策执行，以前年度计提的存货跌价本 期的变化情况等，分析存货跌价准备计提是否充分。</w:t>
      </w:r>
    </w:p>
    <w:p>
      <w:pPr>
        <w:pStyle w:val="BodyText"/>
        <w:spacing w:line="300" w:lineRule="auto" w:before="31"/>
        <w:ind w:left="513" w:right="1129"/>
        <w:jc w:val="left"/>
      </w:pPr>
      <w:r>
        <w:rPr/>
        <w:t>（</w:t>
      </w:r>
      <w:r>
        <w:rPr>
          <w:rFonts w:ascii="Times New Roman" w:hAnsi="Times New Roman" w:cs="Times New Roman" w:eastAsia="Times New Roman" w:hint="default"/>
        </w:rPr>
        <w:t>6</w:t>
      </w:r>
      <w:r>
        <w:rPr/>
        <w:t>）我们评估了管理层于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日对存货跌价准备的会计处理及披露。 </w:t>
      </w:r>
      <w:r>
        <w:rPr>
          <w:spacing w:val="-2"/>
        </w:rPr>
        <w:t>基于已执行的审计工作，我们认为，深圳优博讯公司管理层对存货跌价准备的相关判断及估计是合理的、列报与披露是</w:t>
      </w:r>
    </w:p>
    <w:p>
      <w:pPr>
        <w:pStyle w:val="BodyText"/>
        <w:spacing w:line="240" w:lineRule="auto" w:before="31"/>
        <w:ind w:right="1133"/>
        <w:jc w:val="left"/>
      </w:pPr>
      <w:r>
        <w:rPr/>
        <w:t>适当的。</w:t>
      </w:r>
    </w:p>
    <w:p>
      <w:pPr>
        <w:pStyle w:val="BodyText"/>
        <w:spacing w:line="300" w:lineRule="auto" w:before="76"/>
        <w:ind w:left="513" w:right="9373"/>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收入确认</w:t>
      </w:r>
      <w:r>
        <w:rPr>
          <w:w w:val="99"/>
        </w:rPr>
        <w:t> </w:t>
      </w:r>
      <w:r>
        <w:rPr>
          <w:rFonts w:ascii="Times New Roman" w:hAnsi="Times New Roman" w:cs="Times New Roman" w:eastAsia="Times New Roman" w:hint="default"/>
        </w:rPr>
        <w:t>1.</w:t>
      </w:r>
      <w:r>
        <w:rPr/>
        <w:t>事项描述</w:t>
      </w:r>
    </w:p>
    <w:p>
      <w:pPr>
        <w:pStyle w:val="BodyText"/>
        <w:spacing w:line="300" w:lineRule="auto" w:before="13"/>
        <w:ind w:right="1131" w:firstLine="360"/>
        <w:jc w:val="both"/>
      </w:pPr>
      <w:r>
        <w:rPr>
          <w:spacing w:val="-2"/>
        </w:rPr>
        <w:t>收入确认政策和账面金额请参阅合并财务报表附注四、（二十六）及附注六、注释</w:t>
      </w:r>
      <w:r>
        <w:rPr>
          <w:rFonts w:ascii="Times New Roman" w:hAnsi="Times New Roman" w:cs="Times New Roman" w:eastAsia="Times New Roman" w:hint="default"/>
          <w:spacing w:val="-2"/>
        </w:rPr>
        <w:t>33</w:t>
      </w:r>
      <w:r>
        <w:rPr>
          <w:spacing w:val="-2"/>
        </w:rPr>
        <w:t>所述，</w:t>
      </w:r>
      <w:r>
        <w:rPr>
          <w:rFonts w:ascii="Times New Roman" w:hAnsi="Times New Roman" w:cs="Times New Roman" w:eastAsia="Times New Roman" w:hint="default"/>
          <w:spacing w:val="-2"/>
        </w:rPr>
        <w:t>2019</w:t>
      </w:r>
      <w:r>
        <w:rPr>
          <w:spacing w:val="-2"/>
        </w:rPr>
        <w:t>年度深圳优博讯公司确</w:t>
      </w:r>
      <w:r>
        <w:rPr/>
        <w:t> 认的营业收入为人民币</w:t>
      </w:r>
      <w:r>
        <w:rPr>
          <w:rFonts w:ascii="Times New Roman" w:hAnsi="Times New Roman" w:cs="Times New Roman" w:eastAsia="Times New Roman" w:hint="default"/>
        </w:rPr>
        <w:t>951,309,604.48</w:t>
      </w:r>
      <w:r>
        <w:rPr/>
        <w:t>元，收入确认存在管理层为了达到特定目标或期望而操纵收入确认时点的固有风险，</w:t>
      </w:r>
      <w:r>
        <w:rPr>
          <w:spacing w:val="-50"/>
        </w:rPr>
        <w:t> </w:t>
      </w:r>
      <w:r>
        <w:rPr>
          <w:spacing w:val="-50"/>
        </w:rPr>
      </w:r>
      <w:r>
        <w:rPr/>
        <w:t>因此我们将收入确认识别为关键审计事项。</w:t>
      </w:r>
    </w:p>
    <w:p>
      <w:pPr>
        <w:pStyle w:val="BodyText"/>
        <w:spacing w:line="300" w:lineRule="auto" w:before="32"/>
        <w:ind w:left="513" w:right="6613"/>
        <w:jc w:val="left"/>
      </w:pPr>
      <w:r>
        <w:rPr>
          <w:rFonts w:ascii="Times New Roman" w:hAnsi="Times New Roman" w:cs="Times New Roman" w:eastAsia="Times New Roman" w:hint="default"/>
        </w:rPr>
        <w:t>2.</w:t>
      </w:r>
      <w:r>
        <w:rPr/>
        <w:t>审计应对 我们对于收入确认所实施的重要审计程序包括：</w:t>
      </w:r>
    </w:p>
    <w:p>
      <w:pPr>
        <w:pStyle w:val="BodyText"/>
        <w:spacing w:line="300" w:lineRule="auto" w:before="31"/>
        <w:ind w:right="1124" w:firstLine="360"/>
        <w:jc w:val="left"/>
      </w:pPr>
      <w:r>
        <w:rPr/>
        <w:t>（</w:t>
      </w:r>
      <w:r>
        <w:rPr>
          <w:rFonts w:ascii="Times New Roman" w:hAnsi="Times New Roman" w:cs="Times New Roman" w:eastAsia="Times New Roman" w:hint="default"/>
        </w:rPr>
        <w:t>1</w:t>
      </w:r>
      <w:r>
        <w:rPr/>
        <w:t>）对深圳优博讯公司收入确认的内部控制设计和执行进行了解、评价和测试，以评价收入确认内部控制是否合规、 有效；</w:t>
      </w:r>
    </w:p>
    <w:p>
      <w:pPr>
        <w:pStyle w:val="BodyText"/>
        <w:spacing w:line="240" w:lineRule="auto" w:before="31"/>
        <w:ind w:left="513" w:right="1133"/>
        <w:jc w:val="left"/>
      </w:pPr>
      <w:r>
        <w:rPr/>
        <w:t>（</w:t>
      </w:r>
      <w:r>
        <w:rPr>
          <w:rFonts w:ascii="Times New Roman" w:hAnsi="Times New Roman" w:cs="Times New Roman" w:eastAsia="Times New Roman" w:hint="default"/>
        </w:rPr>
        <w:t>2</w:t>
      </w:r>
      <w:r>
        <w:rPr/>
        <w:t>）对营业收入和营业成本实施分析性程序，分析毛利率异常变动，复核收入变动的合理性；</w:t>
      </w:r>
    </w:p>
    <w:p>
      <w:pPr>
        <w:pStyle w:val="BodyText"/>
        <w:spacing w:line="240" w:lineRule="auto" w:before="63"/>
        <w:ind w:left="513" w:right="1133"/>
        <w:jc w:val="left"/>
      </w:pPr>
      <w:r>
        <w:rPr/>
        <w:t>（</w:t>
      </w:r>
      <w:r>
        <w:rPr>
          <w:rFonts w:ascii="Times New Roman" w:hAnsi="Times New Roman" w:cs="Times New Roman" w:eastAsia="Times New Roman" w:hint="default"/>
        </w:rPr>
        <w:t>3</w:t>
      </w:r>
      <w:r>
        <w:rPr/>
        <w:t>）获取了深圳优博讯公司与客户签订的协议及履约单据，核实收入确认政策合理性；</w:t>
      </w:r>
    </w:p>
    <w:p>
      <w:pPr>
        <w:pStyle w:val="BodyText"/>
        <w:spacing w:line="240" w:lineRule="auto" w:before="63"/>
        <w:ind w:left="513" w:right="0"/>
        <w:jc w:val="left"/>
      </w:pPr>
      <w:r>
        <w:rPr/>
        <w:t>（</w:t>
      </w:r>
      <w:r>
        <w:rPr>
          <w:rFonts w:ascii="Times New Roman" w:hAnsi="Times New Roman" w:cs="Times New Roman" w:eastAsia="Times New Roman" w:hint="default"/>
        </w:rPr>
        <w:t>4</w:t>
      </w:r>
      <w:r>
        <w:rPr/>
        <w:t>）通过查询重要客户的工商资料，询问深圳优博讯公司相关人员，以确认客户与深圳优博讯公司是否存在关联关系；</w:t>
      </w:r>
    </w:p>
    <w:p>
      <w:pPr>
        <w:pStyle w:val="BodyText"/>
        <w:spacing w:line="300" w:lineRule="auto" w:before="63"/>
        <w:ind w:right="1124" w:firstLine="360"/>
        <w:jc w:val="left"/>
      </w:pPr>
      <w:r>
        <w:rPr/>
        <w:t>（</w:t>
      </w:r>
      <w:r>
        <w:rPr>
          <w:rFonts w:ascii="Times New Roman" w:hAnsi="Times New Roman" w:cs="Times New Roman" w:eastAsia="Times New Roman" w:hint="default"/>
        </w:rPr>
        <w:t>5</w:t>
      </w:r>
      <w:r>
        <w:rPr/>
        <w:t>）针对本年记录的交易选取样本，检查深圳优博讯公司与客户的合同、购货订单、发货单据、运输单据、签（验） 收单据、出口报关单据、回款单据等资料；</w:t>
      </w:r>
    </w:p>
    <w:p>
      <w:pPr>
        <w:pStyle w:val="BodyText"/>
        <w:spacing w:line="240" w:lineRule="auto" w:before="31"/>
        <w:ind w:left="513" w:right="1133"/>
        <w:jc w:val="left"/>
      </w:pPr>
      <w:r>
        <w:rPr/>
        <w:t>（</w:t>
      </w:r>
      <w:r>
        <w:rPr>
          <w:rFonts w:ascii="Times New Roman" w:hAnsi="Times New Roman" w:cs="Times New Roman" w:eastAsia="Times New Roman" w:hint="default"/>
        </w:rPr>
        <w:t>6</w:t>
      </w:r>
      <w:r>
        <w:rPr/>
        <w:t>）结合应收账款针对重要客户选取样本实施了函证程序；</w:t>
      </w:r>
    </w:p>
    <w:p>
      <w:pPr>
        <w:pStyle w:val="BodyText"/>
        <w:spacing w:line="300" w:lineRule="auto" w:before="63"/>
        <w:ind w:left="513" w:right="2383"/>
        <w:jc w:val="left"/>
      </w:pPr>
      <w:r>
        <w:rPr/>
        <w:t>（</w:t>
      </w:r>
      <w:r>
        <w:rPr>
          <w:rFonts w:ascii="Times New Roman" w:hAnsi="Times New Roman" w:cs="Times New Roman" w:eastAsia="Times New Roman" w:hint="default"/>
        </w:rPr>
        <w:t>7</w:t>
      </w:r>
      <w:r>
        <w:rPr/>
        <w:t>）对资产负债表日前后记录的收入交易，选取样本，核对签（验）收单、提单及其他支持性文件。 基于已执行的审计工作，我们认为，管理层对营业收入的列报与披露是适当的。</w:t>
      </w:r>
    </w:p>
    <w:p>
      <w:pPr>
        <w:pStyle w:val="BodyText"/>
        <w:spacing w:line="240" w:lineRule="auto" w:before="32"/>
        <w:ind w:left="513" w:right="1133"/>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rFonts w:ascii="Times New Roman" w:hAnsi="Times New Roman" w:cs="Times New Roman" w:eastAsia="Times New Roman" w:hint="default"/>
          <w:spacing w:val="44"/>
        </w:rPr>
        <w:t> </w:t>
      </w:r>
      <w:r>
        <w:rPr/>
        <w:t>商誉减值</w:t>
      </w:r>
    </w:p>
    <w:p>
      <w:pPr>
        <w:pStyle w:val="BodyText"/>
        <w:spacing w:line="300" w:lineRule="auto" w:before="63"/>
        <w:ind w:left="513" w:right="1129"/>
        <w:jc w:val="left"/>
        <w:rPr>
          <w:rFonts w:ascii="Times New Roman" w:hAnsi="Times New Roman" w:cs="Times New Roman" w:eastAsia="Times New Roman" w:hint="default"/>
        </w:rPr>
      </w:pPr>
      <w:r>
        <w:rPr>
          <w:rFonts w:ascii="Times New Roman" w:hAnsi="Times New Roman" w:cs="Times New Roman" w:eastAsia="Times New Roman" w:hint="default"/>
        </w:rPr>
        <w:t>1.</w:t>
      </w:r>
      <w:r>
        <w:rPr/>
        <w:t>事项描述 </w:t>
      </w:r>
      <w:r>
        <w:rPr>
          <w:spacing w:val="-5"/>
        </w:rPr>
        <w:t>商誉减值请参阅合并财务报表附注四、（二十二）及附注六、注释</w:t>
      </w:r>
      <w:r>
        <w:rPr>
          <w:rFonts w:ascii="Times New Roman" w:hAnsi="Times New Roman" w:cs="Times New Roman" w:eastAsia="Times New Roman" w:hint="default"/>
          <w:spacing w:val="-5"/>
        </w:rPr>
        <w:t>14</w:t>
      </w:r>
      <w:r>
        <w:rPr>
          <w:spacing w:val="-5"/>
        </w:rPr>
        <w:t>，截至</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日商誉账面价值为</w:t>
      </w:r>
      <w:r>
        <w:rPr>
          <w:rFonts w:ascii="Times New Roman" w:hAnsi="Times New Roman" w:cs="Times New Roman" w:eastAsia="Times New Roman" w:hint="default"/>
          <w:spacing w:val="-5"/>
        </w:rPr>
        <w:t>483,623,713.35</w:t>
      </w:r>
    </w:p>
    <w:p>
      <w:pPr>
        <w:pStyle w:val="BodyText"/>
        <w:spacing w:line="316" w:lineRule="auto" w:before="13"/>
        <w:ind w:right="1034"/>
        <w:jc w:val="left"/>
      </w:pPr>
      <w:r>
        <w:rPr/>
        <w:t>元，主要为深圳优博讯公司收购子公司形成，属于深圳优博讯公司重要资产。管理层在每年年度终了对商誉进行减值测试， 并依据减值测试的结果调整商誉的账面价值。由于商誉减值测试的结果很大程度上依赖于管理层所做的估计和采用的假设， </w:t>
      </w:r>
      <w:r>
        <w:rPr>
          <w:spacing w:val="-2"/>
        </w:rPr>
        <w:t>特别是在预测相关资产组的未来收入及长期收入增长率、毛利率、经营费用、折现率等涉及管理层的重大判断。该等估计均</w:t>
      </w:r>
      <w:r>
        <w:rPr>
          <w:spacing w:val="-64"/>
        </w:rPr>
        <w:t> </w:t>
      </w:r>
      <w:r>
        <w:rPr>
          <w:spacing w:val="-64"/>
        </w:rPr>
      </w:r>
      <w:r>
        <w:rPr>
          <w:spacing w:val="-2"/>
        </w:rPr>
        <w:t>存在固定不确定性，受管理层对未来市场以及对经济环境判断的影响，采用不同的估计和假设会对评估的商誉可收回价值有</w:t>
      </w:r>
      <w:r>
        <w:rPr>
          <w:spacing w:val="-64"/>
        </w:rPr>
        <w:t> </w:t>
      </w:r>
      <w:r>
        <w:rPr>
          <w:spacing w:val="-64"/>
        </w:rPr>
      </w:r>
      <w:r>
        <w:rPr/>
        <w:t>很大的影响。由于商誉金额重大，且管理层需要作出重大判断，因此我们将商誉的减值确定为关键审计事项。</w:t>
      </w:r>
    </w:p>
    <w:p>
      <w:pPr>
        <w:pStyle w:val="BodyText"/>
        <w:spacing w:line="300" w:lineRule="auto" w:before="19"/>
        <w:ind w:left="513" w:right="6613"/>
        <w:jc w:val="left"/>
      </w:pPr>
      <w:r>
        <w:rPr>
          <w:rFonts w:ascii="Times New Roman" w:hAnsi="Times New Roman" w:cs="Times New Roman" w:eastAsia="Times New Roman" w:hint="default"/>
        </w:rPr>
        <w:t>2.</w:t>
      </w:r>
      <w:r>
        <w:rPr/>
        <w:t>审计应对 我们对于商誉减值所实施的重要审计程序包括：</w:t>
      </w:r>
    </w:p>
    <w:p>
      <w:pPr>
        <w:pStyle w:val="BodyText"/>
        <w:spacing w:line="240" w:lineRule="auto" w:before="31"/>
        <w:ind w:left="513" w:right="1133"/>
        <w:jc w:val="left"/>
      </w:pPr>
      <w:r>
        <w:rPr/>
        <w:t>（</w:t>
      </w:r>
      <w:r>
        <w:rPr>
          <w:rFonts w:ascii="Times New Roman" w:hAnsi="Times New Roman" w:cs="Times New Roman" w:eastAsia="Times New Roman" w:hint="default"/>
        </w:rPr>
        <w:t>1</w:t>
      </w:r>
      <w:r>
        <w:rPr/>
        <w:t>）评价与管理层确定商誉可收回金额相关的关键内部控制的设计和运行有效性；</w:t>
      </w:r>
    </w:p>
    <w:p>
      <w:pPr>
        <w:pStyle w:val="BodyText"/>
        <w:spacing w:line="240" w:lineRule="auto" w:before="63"/>
        <w:ind w:left="513" w:right="1133"/>
        <w:jc w:val="left"/>
      </w:pPr>
      <w:r>
        <w:rPr/>
        <w:t>（</w:t>
      </w:r>
      <w:r>
        <w:rPr>
          <w:rFonts w:ascii="Times New Roman" w:hAnsi="Times New Roman" w:cs="Times New Roman" w:eastAsia="Times New Roman" w:hint="default"/>
        </w:rPr>
        <w:t>2</w:t>
      </w:r>
      <w:r>
        <w:rPr/>
        <w:t>）复核管理层对资产组的认定和商誉的分摊方法；</w:t>
      </w:r>
    </w:p>
    <w:p>
      <w:pPr>
        <w:pStyle w:val="BodyText"/>
        <w:spacing w:line="300" w:lineRule="auto" w:before="63"/>
        <w:ind w:right="1124" w:firstLine="360"/>
        <w:jc w:val="left"/>
      </w:pPr>
      <w:r>
        <w:rPr/>
        <w:t>（</w:t>
      </w:r>
      <w:r>
        <w:rPr>
          <w:rFonts w:ascii="Times New Roman" w:hAnsi="Times New Roman" w:cs="Times New Roman" w:eastAsia="Times New Roman" w:hint="default"/>
        </w:rPr>
        <w:t>3</w:t>
      </w:r>
      <w:r>
        <w:rPr/>
        <w:t>）与深圳优博讯公司管理层讨论商誉减值测试过程中所使用的方法、关键评估的假设、参数的选择、预测未来收入 及现金流折现率等的合理性；</w:t>
      </w:r>
    </w:p>
    <w:p>
      <w:pPr>
        <w:pStyle w:val="BodyText"/>
        <w:spacing w:line="300" w:lineRule="auto" w:before="31"/>
        <w:ind w:right="0" w:firstLine="360"/>
        <w:jc w:val="left"/>
      </w:pPr>
      <w:r>
        <w:rPr>
          <w:spacing w:val="-2"/>
        </w:rPr>
        <w:t>（</w:t>
      </w:r>
      <w:r>
        <w:rPr>
          <w:rFonts w:ascii="Times New Roman" w:hAnsi="Times New Roman" w:cs="Times New Roman" w:eastAsia="Times New Roman" w:hint="default"/>
          <w:spacing w:val="-2"/>
        </w:rPr>
        <w:t>4</w:t>
      </w:r>
      <w:r>
        <w:rPr>
          <w:spacing w:val="-2"/>
        </w:rPr>
        <w:t>）与公司管理层聘请的外部评估机构专家等讨论商誉减值测试过程中所使用的方法、关键评估的假设、参数的选择、</w:t>
      </w:r>
      <w:r>
        <w:rPr/>
        <w:t> 预测未来收入及现金流折现率等的合理性；</w:t>
      </w:r>
    </w:p>
    <w:p>
      <w:pPr>
        <w:pStyle w:val="BodyText"/>
        <w:spacing w:line="300" w:lineRule="auto" w:before="31"/>
        <w:ind w:right="1124" w:firstLine="360"/>
        <w:jc w:val="left"/>
      </w:pPr>
      <w:r>
        <w:rPr/>
        <w:t>（</w:t>
      </w:r>
      <w:r>
        <w:rPr>
          <w:rFonts w:ascii="Times New Roman" w:hAnsi="Times New Roman" w:cs="Times New Roman" w:eastAsia="Times New Roman" w:hint="default"/>
        </w:rPr>
        <w:t>5</w:t>
      </w:r>
      <w:r>
        <w:rPr/>
        <w:t>）结合深圳优博讯公司管理层在收购子公司时确定收购对价时所使用的关键假设和参数、预测的未来收入及现金流 量等，与本年度所使用的关键假设和参数、本年经营业绩等作对比，并向管理层询问显著差异的原因；</w:t>
      </w:r>
    </w:p>
    <w:p>
      <w:pPr>
        <w:pStyle w:val="BodyText"/>
        <w:spacing w:line="240" w:lineRule="auto" w:before="31"/>
        <w:ind w:left="513" w:right="0"/>
        <w:jc w:val="left"/>
      </w:pPr>
      <w:r>
        <w:rPr/>
        <w:t>（</w:t>
      </w:r>
      <w:r>
        <w:rPr>
          <w:rFonts w:ascii="Times New Roman" w:hAnsi="Times New Roman" w:cs="Times New Roman" w:eastAsia="Times New Roman" w:hint="default"/>
        </w:rPr>
        <w:t>6</w:t>
      </w:r>
      <w:r>
        <w:rPr/>
        <w:t>）结合同行业标准、宏观经济和所属行业的发展趋势等，评估商誉减值测试过程中所使用的关键假设和参数的合理</w:t>
      </w:r>
    </w:p>
    <w:p>
      <w:pPr>
        <w:pStyle w:val="BodyText"/>
        <w:spacing w:line="240" w:lineRule="auto" w:before="62"/>
        <w:ind w:right="1133"/>
        <w:jc w:val="left"/>
      </w:pPr>
      <w:r>
        <w:rPr/>
        <w:t>性；</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1133"/>
        <w:jc w:val="left"/>
      </w:pPr>
      <w:r>
        <w:rPr/>
        <w:t>（</w:t>
      </w:r>
      <w:r>
        <w:rPr>
          <w:rFonts w:ascii="Times New Roman" w:hAnsi="Times New Roman" w:cs="Times New Roman" w:eastAsia="Times New Roman" w:hint="default"/>
        </w:rPr>
        <w:t>7</w:t>
      </w:r>
      <w:r>
        <w:rPr/>
        <w:t>）评价由深圳优博讯公司管理层聘请的外部评估机构的独立性、客观性和资质。</w:t>
      </w:r>
    </w:p>
    <w:p>
      <w:pPr>
        <w:pStyle w:val="BodyText"/>
        <w:spacing w:line="240" w:lineRule="auto" w:before="63"/>
        <w:ind w:left="513" w:right="1133"/>
        <w:jc w:val="left"/>
      </w:pPr>
      <w:r>
        <w:rPr/>
        <w:t>（</w:t>
      </w:r>
      <w:r>
        <w:rPr>
          <w:rFonts w:ascii="Times New Roman" w:hAnsi="Times New Roman" w:cs="Times New Roman" w:eastAsia="Times New Roman" w:hint="default"/>
        </w:rPr>
        <w:t>8</w:t>
      </w:r>
      <w:r>
        <w:rPr/>
        <w:t>）测试未来现金流量净现值的计算是否准确。</w:t>
      </w:r>
    </w:p>
    <w:p>
      <w:pPr>
        <w:pStyle w:val="BodyText"/>
        <w:spacing w:line="309" w:lineRule="auto" w:before="63"/>
        <w:ind w:left="513" w:right="3283"/>
        <w:jc w:val="left"/>
      </w:pPr>
      <w:r>
        <w:rPr/>
        <w:t>（</w:t>
      </w:r>
      <w:r>
        <w:rPr>
          <w:rFonts w:ascii="Times New Roman" w:hAnsi="Times New Roman" w:cs="Times New Roman" w:eastAsia="Times New Roman" w:hint="default"/>
        </w:rPr>
        <w:t>9</w:t>
      </w:r>
      <w:r>
        <w:rPr/>
        <w:t>）评估管理层于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日对商誉及其减值估计结果、财务报表的披露是否恰当。 基于已执行的审计工作，我们认为，管理层在商誉减值测试中作出的判断是可接受的。 四、其他信息</w:t>
      </w:r>
    </w:p>
    <w:p>
      <w:pPr>
        <w:pStyle w:val="BodyText"/>
        <w:spacing w:line="240" w:lineRule="auto" w:before="24"/>
        <w:ind w:left="513" w:right="0"/>
        <w:jc w:val="left"/>
      </w:pPr>
      <w:r>
        <w:rPr/>
        <w:t>深圳优博讯公司管理层对其他信息负责。其他信息包括</w:t>
      </w:r>
      <w:r>
        <w:rPr>
          <w:rFonts w:ascii="Times New Roman" w:hAnsi="Times New Roman" w:cs="Times New Roman" w:eastAsia="Times New Roman" w:hint="default"/>
        </w:rPr>
        <w:t>2019</w:t>
      </w:r>
      <w:r>
        <w:rPr/>
        <w:t>年度报告中涵盖的信息，但不包括财务报表和我们的审计报</w:t>
      </w:r>
    </w:p>
    <w:p>
      <w:pPr>
        <w:pStyle w:val="BodyText"/>
        <w:spacing w:line="240" w:lineRule="auto" w:before="63"/>
        <w:ind w:right="1133"/>
        <w:jc w:val="left"/>
      </w:pPr>
      <w:r>
        <w:rPr/>
        <w:t>告。</w:t>
      </w:r>
    </w:p>
    <w:p>
      <w:pPr>
        <w:pStyle w:val="BodyText"/>
        <w:spacing w:line="316" w:lineRule="auto" w:before="76"/>
        <w:ind w:left="513" w:right="1129"/>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19"/>
        <w:ind w:left="513" w:right="1129" w:hanging="361"/>
        <w:jc w:val="left"/>
      </w:pPr>
      <w:r>
        <w:rPr/>
        <w:t>程中了解的情况存在重大不一致或者似乎存在重大错报。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9"/>
        <w:ind w:right="0"/>
        <w:jc w:val="both"/>
      </w:pPr>
      <w:r>
        <w:rPr/>
        <w:t>报告。</w:t>
      </w:r>
    </w:p>
    <w:p>
      <w:pPr>
        <w:pStyle w:val="BodyText"/>
        <w:spacing w:line="316" w:lineRule="auto" w:before="77"/>
        <w:ind w:left="513" w:right="1129"/>
        <w:jc w:val="left"/>
      </w:pPr>
      <w:r>
        <w:rPr/>
        <w:t>五、管理层和治理层对财务报表的责任 </w:t>
      </w:r>
      <w:r>
        <w:rPr>
          <w:spacing w:val="-2"/>
        </w:rPr>
        <w:t>深圳优博讯公司管理层负责按照企业会计准则的规定编制财务报表，使其实现公允反映，并设计、执行和维护必要的内</w:t>
      </w:r>
    </w:p>
    <w:p>
      <w:pPr>
        <w:pStyle w:val="BodyText"/>
        <w:spacing w:line="316" w:lineRule="auto" w:before="19"/>
        <w:ind w:left="513" w:right="1129" w:hanging="361"/>
        <w:jc w:val="left"/>
      </w:pPr>
      <w:r>
        <w:rPr/>
        <w:t>部控制，以使财务报表不存在由于舞弊或错误导致的重大错报。 </w:t>
      </w:r>
      <w:r>
        <w:rPr>
          <w:spacing w:val="-2"/>
        </w:rPr>
        <w:t>在编制财务报表时，深圳优博讯公司管理层负责评估深圳优博讯公司的持续经营能力，披露与持续经营相关的事项（如</w:t>
      </w:r>
    </w:p>
    <w:p>
      <w:pPr>
        <w:pStyle w:val="BodyText"/>
        <w:spacing w:line="316" w:lineRule="auto" w:before="19"/>
        <w:ind w:left="513" w:right="2474" w:hanging="361"/>
        <w:jc w:val="left"/>
      </w:pPr>
      <w:r>
        <w:rPr/>
        <w:t>适用），并运用持续经营假设，除非管理层计划清算深圳优博讯公司、终止运营或别无其他现实的选择。 治理层负责监督深圳优博讯公司的财务报告过程。</w:t>
      </w:r>
    </w:p>
    <w:p>
      <w:pPr>
        <w:pStyle w:val="BodyText"/>
        <w:spacing w:line="316" w:lineRule="auto" w:before="19"/>
        <w:ind w:left="513" w:right="1129"/>
        <w:jc w:val="left"/>
      </w:pPr>
      <w:r>
        <w:rPr/>
        <w:t>六、注册会计师对财务报表审计的责任 </w:t>
      </w:r>
      <w:r>
        <w:rPr>
          <w:spacing w:val="-2"/>
        </w:rPr>
        <w:t>我们的目标是对财务报表整体是否不存在由于舞弊或错误导致的重大错报获取合理保证，并出具包含审计意见的审计报</w:t>
      </w:r>
    </w:p>
    <w:p>
      <w:pPr>
        <w:pStyle w:val="BodyText"/>
        <w:spacing w:line="316" w:lineRule="auto" w:before="19"/>
        <w:ind w:right="1129"/>
        <w:jc w:val="both"/>
      </w:pPr>
      <w:r>
        <w:rPr>
          <w:spacing w:val="-2"/>
        </w:rPr>
        <w:t>告。合理保证是高水平的保证，但并不能保证按照审计准则执行的审计在某一重大错报存在时总能发现。错报可能由于舞弊</w:t>
      </w:r>
      <w:r>
        <w:rPr>
          <w:spacing w:val="-62"/>
        </w:rPr>
        <w:t> </w:t>
      </w:r>
      <w:r>
        <w:rPr>
          <w:spacing w:val="-62"/>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9"/>
        <w:ind w:left="513" w:right="1133"/>
        <w:jc w:val="left"/>
      </w:pPr>
      <w:r>
        <w:rPr/>
        <w:t>在按照审计准则执行审计工作的过程中，我们运用职业判断，并保持职业怀疑。同时，我们也执行以下工作：</w:t>
      </w:r>
    </w:p>
    <w:p>
      <w:pPr>
        <w:pStyle w:val="BodyText"/>
        <w:spacing w:line="309" w:lineRule="auto" w:before="77"/>
        <w:ind w:right="1133" w:firstLine="360"/>
        <w:jc w:val="both"/>
      </w:pP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．识别和评估由于舞弊或错误导致的财务报表重大错报风险，设计和实施审计程序以应对这些风险，并获取充分、适 </w:t>
      </w:r>
      <w:r>
        <w:rPr>
          <w:spacing w:val="-2"/>
        </w:rPr>
        <w:t>当的审计证据，作为发表审计意见的基础。由于舞弊可能涉及串通、伪造、故意遗漏、虚假陈述或凌驾于内部控制之上，未</w:t>
      </w:r>
      <w:r>
        <w:rPr>
          <w:spacing w:val="-70"/>
        </w:rPr>
        <w:t> </w:t>
      </w:r>
      <w:r>
        <w:rPr>
          <w:spacing w:val="-70"/>
        </w:rPr>
      </w:r>
      <w:r>
        <w:rPr/>
        <w:t>能发现由于舞弊导致的重大错报的风险高于未能发现由于错误导致的重大错报的风险。</w:t>
      </w:r>
    </w:p>
    <w:p>
      <w:pPr>
        <w:pStyle w:val="BodyText"/>
        <w:spacing w:line="240" w:lineRule="auto" w:before="24"/>
        <w:ind w:left="513" w:right="1133"/>
        <w:jc w:val="left"/>
      </w:pP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63"/>
        <w:ind w:left="513" w:right="1133"/>
        <w:jc w:val="left"/>
      </w:pP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63"/>
        <w:ind w:right="1131" w:firstLine="360"/>
        <w:jc w:val="both"/>
      </w:pPr>
      <w:r>
        <w:rPr>
          <w:rFonts w:ascii="Times New Roman" w:hAnsi="Times New Roman" w:cs="Times New Roman" w:eastAsia="Times New Roman" w:hint="default"/>
        </w:rPr>
        <w:t>4</w:t>
      </w:r>
      <w:r>
        <w:rPr/>
        <w:t>．对管理层使用持续经营假设的恰当性得出结论。同时，根据获取的审计证据，就可能导致对深圳优博讯公司持续经 </w:t>
      </w:r>
      <w:r>
        <w:rPr>
          <w:spacing w:val="-2"/>
        </w:rPr>
        <w:t>营能力产生重大疑虑的事项或情况是否存在重大不确定性得出结论。如果我们得出结论认为存在重大不确定性，审计准则要</w:t>
      </w:r>
      <w:r>
        <w:rPr>
          <w:spacing w:val="-64"/>
        </w:rPr>
        <w:t> </w:t>
      </w:r>
      <w:r>
        <w:rPr>
          <w:spacing w:val="-64"/>
        </w:rPr>
      </w:r>
      <w:r>
        <w:rPr>
          <w:spacing w:val="-2"/>
        </w:rPr>
        <w:t>求我们在审计报告中提请报告使用者注意财务报表中的相关披露；如果披露不充分，我们应当发表非无保留意见。我们的结</w:t>
      </w:r>
      <w:r>
        <w:rPr>
          <w:spacing w:val="-64"/>
        </w:rPr>
        <w:t> </w:t>
      </w:r>
      <w:r>
        <w:rPr>
          <w:spacing w:val="-64"/>
        </w:rPr>
      </w:r>
      <w:r>
        <w:rPr/>
        <w:t>论基于截至审计报告日可获得的信息。然而，未来的事项或情况可能导致深圳优博讯公司不能持续经营。</w:t>
      </w:r>
    </w:p>
    <w:p>
      <w:pPr>
        <w:pStyle w:val="BodyText"/>
        <w:spacing w:line="240" w:lineRule="auto" w:before="22"/>
        <w:ind w:left="513" w:right="1133"/>
        <w:jc w:val="left"/>
      </w:pPr>
      <w:r>
        <w:rPr>
          <w:rFonts w:ascii="Times New Roman" w:hAnsi="Times New Roman" w:cs="Times New Roman" w:eastAsia="Times New Roman" w:hint="default"/>
        </w:rPr>
        <w:t>5</w:t>
      </w:r>
      <w:r>
        <w:rPr/>
        <w:t>．评价财务报表的总体列报、结构和内容，并评价财务报表是否公允反映相关交易和事项。</w:t>
      </w:r>
    </w:p>
    <w:p>
      <w:pPr>
        <w:pStyle w:val="BodyText"/>
        <w:spacing w:line="300" w:lineRule="auto" w:before="63"/>
        <w:ind w:right="1133" w:firstLine="360"/>
        <w:jc w:val="both"/>
      </w:pPr>
      <w:r>
        <w:rPr>
          <w:rFonts w:ascii="Times New Roman" w:hAnsi="Times New Roman" w:cs="Times New Roman" w:eastAsia="Times New Roman" w:hint="default"/>
        </w:rPr>
        <w:t>6</w:t>
      </w:r>
      <w:r>
        <w:rPr/>
        <w:t>．就深圳优博讯公司中实体或业务活动的财务信息获取充分、适当的审计证据，以对财务报表发表意见。我们负责指 导、监督和执行集团审计。我们对审计意见承担全部责任。</w:t>
      </w:r>
    </w:p>
    <w:p>
      <w:pPr>
        <w:pStyle w:val="BodyText"/>
        <w:spacing w:line="316" w:lineRule="auto" w:before="31"/>
        <w:ind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19"/>
        <w:ind w:right="1130"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有关系和其他事项，以及相关的防范措施（如适用）。</w:t>
      </w:r>
    </w:p>
    <w:p>
      <w:pPr>
        <w:pStyle w:val="BodyText"/>
        <w:spacing w:line="316" w:lineRule="auto" w:before="59"/>
        <w:ind w:right="1130"/>
        <w:jc w:val="both"/>
      </w:pPr>
      <w:r>
        <w:rPr>
          <w:spacing w:val="-2"/>
        </w:rPr>
        <w:t>从与治理层沟通过的事项中，我们确定哪些事项对本期财务报表审计最为重要，因而构成关键审计事项。我们在审计报告中</w:t>
      </w:r>
      <w:r>
        <w:rPr>
          <w:spacing w:val="-63"/>
        </w:rPr>
        <w:t> </w:t>
      </w:r>
      <w:r>
        <w:rPr>
          <w:spacing w:val="-63"/>
        </w:rPr>
      </w:r>
      <w:r>
        <w:rPr>
          <w:spacing w:val="-2"/>
        </w:rPr>
        <w:t>描述这些事项，除非法律法规禁止公开披露这些事项，或在极少数情形下，如果合理预期在审计报告中沟通某事项造成的负</w:t>
      </w:r>
      <w:r>
        <w:rPr>
          <w:spacing w:val="-63"/>
        </w:rPr>
        <w:t> </w:t>
      </w:r>
      <w:r>
        <w:rPr>
          <w:spacing w:val="-63"/>
        </w:rPr>
      </w:r>
      <w:r>
        <w:rPr/>
        <w:t>面后果超过在公众利益方面产生的益处，我们确定不应在审计报告中沟通该事项。</w:t>
      </w:r>
    </w:p>
    <w:p>
      <w:pPr>
        <w:spacing w:after="0" w:line="316"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5" w:footer="980" w:top="1060" w:bottom="1160" w:left="980" w:right="0"/>
        </w:sectPr>
      </w:pPr>
    </w:p>
    <w:p>
      <w:pPr>
        <w:pStyle w:val="BodyText"/>
        <w:spacing w:line="300" w:lineRule="auto" w:before="44"/>
        <w:ind w:right="-19"/>
        <w:jc w:val="left"/>
      </w:pPr>
      <w:r>
        <w:rPr/>
        <w:t>大华会计师事务所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 </w:t>
      </w:r>
      <w:r>
        <w:rPr/>
        <w:t>中国</w:t>
      </w:r>
      <w:r>
        <w:rPr>
          <w:rFonts w:ascii="Times New Roman" w:hAnsi="Times New Roman" w:cs="Times New Roman" w:eastAsia="Times New Roman" w:hint="default"/>
        </w:rPr>
        <w:t>·</w:t>
      </w:r>
      <w:r>
        <w:rPr/>
        <w:t>北京</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spacing w:line="240" w:lineRule="auto"/>
        <w:ind w:left="1391" w:right="1113"/>
        <w:jc w:val="center"/>
      </w:pPr>
      <w:r>
        <w:rPr/>
        <w:t>中国注册会计师：陈葆华</w:t>
      </w:r>
    </w:p>
    <w:p>
      <w:pPr>
        <w:pStyle w:val="BodyText"/>
        <w:spacing w:line="240" w:lineRule="auto" w:before="76"/>
        <w:ind w:right="0"/>
        <w:jc w:val="left"/>
      </w:pPr>
      <w:r>
        <w:rPr/>
        <w:t>（项目合伙人）中国注册会计师：周灵芝</w:t>
      </w:r>
    </w:p>
    <w:p>
      <w:pPr>
        <w:pStyle w:val="BodyText"/>
        <w:spacing w:line="240" w:lineRule="auto" w:before="76"/>
        <w:ind w:left="1392" w:right="932"/>
        <w:jc w:val="center"/>
      </w:pPr>
      <w:r>
        <w:rPr/>
        <w:t>二〇二〇年四月十三日</w:t>
      </w:r>
    </w:p>
    <w:p>
      <w:pPr>
        <w:spacing w:after="0" w:line="240" w:lineRule="auto"/>
        <w:jc w:val="center"/>
        <w:sectPr>
          <w:type w:val="continuous"/>
          <w:pgSz w:w="11910" w:h="16840"/>
          <w:pgMar w:top="1060" w:bottom="1160" w:left="980" w:right="0"/>
          <w:cols w:num="2" w:equalWidth="0">
            <w:col w:w="2794" w:space="3606"/>
            <w:col w:w="4530"/>
          </w:cols>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2"/>
        <w:spacing w:line="240" w:lineRule="auto" w:before="26"/>
        <w:ind w:right="1133"/>
        <w:jc w:val="left"/>
        <w:rPr>
          <w:b w:val="0"/>
          <w:bCs w:val="0"/>
        </w:rPr>
      </w:pPr>
      <w:bookmarkStart w:name="二、财务报表" w:id="155"/>
      <w:bookmarkEnd w:id="155"/>
      <w:r>
        <w:rPr>
          <w:b w:val="0"/>
          <w:bCs w:val="0"/>
        </w:rPr>
      </w: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财务附注中报表的单位为：元</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1、合并资产负债表" w:id="156"/>
      <w:bookmarkEnd w:id="156"/>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0"/>
        </w:sectPr>
      </w:pPr>
    </w:p>
    <w:p>
      <w:pPr>
        <w:pStyle w:val="BodyText"/>
        <w:spacing w:line="240" w:lineRule="auto" w:before="44"/>
        <w:ind w:right="-20"/>
        <w:jc w:val="left"/>
      </w:pPr>
      <w:r>
        <w:rPr/>
        <w:t>编制单位：深圳市优博讯科技股份有限公司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573" w:space="503"/>
            <w:col w:w="1642" w:space="3202"/>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586,730,801.81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384,387,337.42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20,415,088.31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3,293,217.16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16,289,300.00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40,987,297.99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211,416,353.47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275,781,157.45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5,120,843.30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47,581,724.75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22,996,241.51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15,651,690.06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4,192,586.30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282,340,769.95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260,275,770.92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20,603,724.77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3,579,050.26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1,206,150,296.42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995,492,659.01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54,340,646.22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52,168,989.26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96,423,810.18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37,261,854.92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33,782,213.93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4,110,324.12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483,623,713.35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84,663,192.09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14,926,150.74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8,172,329.42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10,457,562.99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10,071,856.61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1,018,729.03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817,416.01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694,572,826.44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197,265,962.43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1,900,723,122.86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1,192,758,621.44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220,238,261.64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206,100,347.70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255,221.84</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34,356,550.57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35,341,384.20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108,511,942.47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102,678,836.39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19,650,179.53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16,357,405.97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26,787,020.70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20,022,686.75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6,110,504.85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9,694,683.28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199,038,409.76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51,146,481.51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249,152.26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276,018.89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614,948,091.36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441,341,825.80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1,653,421.67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6,165,423.10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5,857,051.89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4,094,071.02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43,106.64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11,912,915.79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5,900,158.53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626,861,007.15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447,241,984.33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312,665,317.00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483,182,182.40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27,436,695.79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-152,684.60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-92,579.10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19,176,571.97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19,176,571.97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424,931,373.94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381,974,990.59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1,239,802,760.71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708,495,679.25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34,059,355.00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37,020,957.86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1,273,862,115.71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745,516,637.11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1,900,723,122.86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1,192,758,621.44</w:t>
            </w:r>
          </w:p>
        </w:tc>
      </w:tr>
    </w:tbl>
    <w:p>
      <w:pPr>
        <w:spacing w:line="240" w:lineRule="auto" w:before="11"/>
        <w:rPr>
          <w:rFonts w:ascii="Times New Roman" w:hAnsi="Times New Roman" w:cs="Times New Roman" w:eastAsia="Times New Roman" w:hint="default"/>
          <w:sz w:val="22"/>
          <w:szCs w:val="22"/>
        </w:rPr>
      </w:pPr>
    </w:p>
    <w:p>
      <w:pPr>
        <w:pStyle w:val="BodyText"/>
        <w:tabs>
          <w:tab w:pos="3902" w:val="left" w:leader="none"/>
          <w:tab w:pos="8177" w:val="left" w:leader="none"/>
        </w:tabs>
        <w:spacing w:line="300" w:lineRule="auto" w:before="44"/>
        <w:ind w:right="1126"/>
        <w:jc w:val="left"/>
      </w:pPr>
      <w:r>
        <w:rPr/>
        <w:t>法定代表人：</w:t>
      </w:r>
      <w:r>
        <w:rPr>
          <w:rFonts w:ascii="Times New Roman" w:hAnsi="Times New Roman" w:cs="Times New Roman" w:eastAsia="Times New Roman" w:hint="default"/>
        </w:rPr>
        <w:t>GUO</w:t>
      </w:r>
      <w:r>
        <w:rPr>
          <w:rFonts w:ascii="Times New Roman" w:hAnsi="Times New Roman" w:cs="Times New Roman" w:eastAsia="Times New Roman" w:hint="default"/>
          <w:spacing w:val="26"/>
        </w:rPr>
        <w:t> </w:t>
      </w:r>
      <w:r>
        <w:rPr>
          <w:rFonts w:ascii="Times New Roman" w:hAnsi="Times New Roman" w:cs="Times New Roman" w:eastAsia="Times New Roman" w:hint="default"/>
        </w:rPr>
        <w:t>SONG</w:t>
        <w:tab/>
      </w:r>
      <w:r>
        <w:rPr/>
        <w:t>主管会计工作负责人：</w:t>
      </w:r>
      <w:r>
        <w:rPr>
          <w:rFonts w:ascii="Times New Roman" w:hAnsi="Times New Roman" w:cs="Times New Roman" w:eastAsia="Times New Roman" w:hint="default"/>
        </w:rPr>
        <w:t>LIU</w:t>
      </w:r>
      <w:r>
        <w:rPr>
          <w:rFonts w:ascii="Times New Roman" w:hAnsi="Times New Roman" w:cs="Times New Roman" w:eastAsia="Times New Roman" w:hint="default"/>
          <w:spacing w:val="21"/>
        </w:rPr>
        <w:t> </w:t>
      </w:r>
      <w:r>
        <w:rPr>
          <w:rFonts w:ascii="Times New Roman" w:hAnsi="Times New Roman" w:cs="Times New Roman" w:eastAsia="Times New Roman" w:hint="default"/>
        </w:rPr>
        <w:t>DAN</w:t>
        <w:tab/>
      </w:r>
      <w:r>
        <w:rPr/>
        <w:t>会计机构负责人：张 晔</w:t>
      </w:r>
    </w:p>
    <w:p>
      <w:pPr>
        <w:spacing w:line="240" w:lineRule="auto" w:before="7"/>
        <w:rPr>
          <w:rFonts w:ascii="宋体" w:hAnsi="宋体" w:cs="宋体" w:eastAsia="宋体" w:hint="default"/>
          <w:sz w:val="23"/>
          <w:szCs w:val="23"/>
        </w:rPr>
      </w:pPr>
    </w:p>
    <w:p>
      <w:pPr>
        <w:pStyle w:val="Heading3"/>
        <w:spacing w:line="240" w:lineRule="auto"/>
        <w:ind w:right="1133"/>
        <w:jc w:val="left"/>
        <w:rPr>
          <w:b w:val="0"/>
          <w:bCs w:val="0"/>
        </w:rPr>
      </w:pPr>
      <w:bookmarkStart w:name="2、母公司资产负债表" w:id="157"/>
      <w:bookmarkEnd w:id="157"/>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86"/>
              <w:jc w:val="right"/>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361,349,232.83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291,521,577.54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00"/>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20,415,088.31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3,293,217.16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14,623,300.00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40,987,297.99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198,177,510.95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260,618,824.06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5,120,843.30</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52,302,992.63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17,666,718.18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52,451,148.61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15,459,364.82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211,960,823.80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274,449,965.27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8,400,378.85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1,868,658.23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924,801,319.28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905,865,623.25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955,808,983.16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214,116,807.30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32,607,736.38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33,608,505.67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3,494,363.41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3,815,317.28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8,249,529.42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8,090,318.93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6,695,734.26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7,161,890.18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514,653.36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817,416.01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1,007,370,999.99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267,610,255.37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1,932,172,319.27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1,173,475,878.62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200,238,261.64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186,100,347.70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255,221.84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54,356,550.57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55,341,384.20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251,027,428.24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317,918,515.66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13,444,589.47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14,403,490.07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15,894,133.85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15,436,715.87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351,920.72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760,741.12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483,785,902.02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103,359,750.63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249,152.26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276,018.89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1,019,354,008.35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693,320,945.25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1,653,421.67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2,769,306.57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5,661,551.89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4,422,728.24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5,661,551.89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1,023,776,736.59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698,982,497.14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312,665,317.00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483,592,199.71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27,257,516.71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19,176,571.97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19,176,571.97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92,961,494.00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148,059,292.80</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908,395,582.68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474,493,381.48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1,932,172,319.27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1,173,475,878.62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3、合并利润表" w:id="158"/>
      <w:bookmarkEnd w:id="158"/>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951,309,604.48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951,939,425.66</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951,309,604.48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951,939,425.66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3"/>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835,784,749.56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806,736,835.59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633,137,963.88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634,928,821.30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3"/>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4,985,415.05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4,863,285.58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86,224,912.36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59,889,042.57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36,143,111.16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36,043,044.77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74,004,866.84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72,231,425.05</w:t>
            </w:r>
          </w:p>
        </w:tc>
      </w:tr>
    </w:tbl>
    <w:p>
      <w:pPr>
        <w:spacing w:after="0" w:line="240" w:lineRule="auto"/>
        <w:jc w:val="right"/>
        <w:rPr>
          <w:rFonts w:ascii="Times New Roman" w:hAnsi="Times New Roman" w:cs="Times New Roman" w:eastAsia="Times New Roman" w:hint="default"/>
          <w:sz w:val="18"/>
          <w:szCs w:val="18"/>
        </w:rPr>
        <w:sectPr>
          <w:footerReference w:type="default" r:id="rId55"/>
          <w:pgSz w:w="11910" w:h="16840"/>
          <w:pgMar w:footer="980" w:header="745"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259.525970pt;width:158.9pt;height:20.7pt;mso-position-horizontal-relative:page;mso-position-vertical-relative:page;z-index:-1220728" coordorigin="4220,5191" coordsize="3178,414">
            <v:group style="position:absolute;left:4231;top:5201;width:2;height:392" coordorigin="4231,5201" coordsize="2,392">
              <v:shape style="position:absolute;left:4231;top:5201;width:2;height:392" coordorigin="4231,5201" coordsize="0,392" path="m4231,5201l4231,5593e" filled="false" stroked="true" strokeweight="1.08pt" strokecolor="#ffffff">
                <v:path arrowok="t"/>
              </v:shape>
            </v:group>
            <v:group style="position:absolute;left:4242;top:5201;width:3157;height:392" coordorigin="4242,5201" coordsize="3157,392">
              <v:shape style="position:absolute;left:4242;top:5201;width:3157;height:392" coordorigin="4242,5201" coordsize="3157,392" path="m4242,5593l7398,5593,7398,5201,4242,5201,4242,5593xe" filled="true" fillcolor="#ffffff" stroked="false">
                <v:path arrowok="t"/>
                <v:fill type="solid"/>
              </v:shape>
            </v:group>
            <w10:wrap type="none"/>
          </v:group>
        </w:pict>
      </w:r>
      <w:r>
        <w:rPr/>
        <w:pict>
          <v:group style="position:absolute;margin-left:211.009995pt;margin-top:518.409973pt;width:158.9pt;height:20.65pt;mso-position-horizontal-relative:page;mso-position-vertical-relative:page;z-index:-1220704" coordorigin="4220,10368" coordsize="3178,413">
            <v:group style="position:absolute;left:4231;top:10379;width:2;height:392" coordorigin="4231,10379" coordsize="2,392">
              <v:shape style="position:absolute;left:4231;top:10379;width:2;height:392" coordorigin="4231,10379" coordsize="0,392" path="m4231,10379l4231,10770e" filled="false" stroked="true" strokeweight="1.08pt" strokecolor="#ffffff">
                <v:path arrowok="t"/>
              </v:shape>
            </v:group>
            <v:group style="position:absolute;left:4242;top:10379;width:3157;height:392" coordorigin="4242,10379" coordsize="3157,392">
              <v:shape style="position:absolute;left:4242;top:10379;width:3157;height:392" coordorigin="4242,10379" coordsize="3157,392" path="m4242,10770l7398,10770,7398,10379,4242,10379,4242,1077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1117"/>
        <w:gridCol w:w="2105"/>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1,288,480.27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-1,218,783.68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5,483,899.23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3,950,449.39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7,264,973.87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3,207,330.84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30,699,151.33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28,258,686.38</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5,552,180.99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7,886,928.03</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5,552,180.99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6,531,113.71</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净敞口套期收益（损失以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24,266,563.96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3,293,217.16</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471,405.49</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995" w:right="0"/>
              <w:jc w:val="left"/>
              <w:rPr>
                <w:rFonts w:ascii="Times New Roman" w:hAnsi="Times New Roman" w:cs="Times New Roman" w:eastAsia="Times New Roman" w:hint="default"/>
                <w:sz w:val="18"/>
                <w:szCs w:val="18"/>
              </w:rPr>
            </w:pPr>
            <w:r>
              <w:rPr>
                <w:rFonts w:ascii="Times New Roman"/>
                <w:sz w:val="18"/>
              </w:rPr>
              <w:t>-105,726,555.75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-32,293,865.79</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-72,072.57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70,749.14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70,715,528.37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152,418,304.99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47,914.03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606,548.68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5,354,375.87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1,956,078.05</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17"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65,409,066.53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151,068,775.62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10,058,072.40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20,546,339.17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55,350,994.13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130,522,436.45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55,350,994.13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130,522,436.45</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51,356,383.35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117,250,420.08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3,994,610.78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13,272,016.37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-60,105.50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-19,659.67</w:t>
            </w:r>
          </w:p>
        </w:tc>
      </w:tr>
    </w:tbl>
    <w:p>
      <w:pPr>
        <w:spacing w:after="0" w:line="240" w:lineRule="auto"/>
        <w:jc w:val="right"/>
        <w:rPr>
          <w:rFonts w:ascii="Times New Roman" w:hAnsi="Times New Roman" w:cs="Times New Roman" w:eastAsia="Times New Roman" w:hint="default"/>
          <w:sz w:val="18"/>
          <w:szCs w:val="18"/>
        </w:rPr>
        <w:sectPr>
          <w:footerReference w:type="default" r:id="rId56"/>
          <w:pgSz w:w="11910" w:h="16840"/>
          <w:pgMar w:footer="980" w:header="745"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-60,105.50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-19,659.67</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-60,105.50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-19,659.67</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-60,105.50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-19,659.67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55,290,888.63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130,502,776.78</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51,296,277.85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117,230,760.41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3,994,610.78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13,272,016.37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8"/>
        <w:gridCol w:w="3222"/>
        <w:gridCol w:w="3277"/>
      </w:tblGrid>
      <w:tr>
        <w:trPr>
          <w:trHeight w:val="40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0.42</w:t>
            </w:r>
          </w:p>
        </w:tc>
      </w:tr>
    </w:tbl>
    <w:p>
      <w:pPr>
        <w:pStyle w:val="BodyText"/>
        <w:spacing w:line="240" w:lineRule="auto" w:before="49"/>
        <w:ind w:right="1133"/>
        <w:jc w:val="left"/>
      </w:pPr>
      <w:r>
        <w:rPr/>
        <w:t>本期发生同一控制下企业合并的，被合并方在合并前实现的净利润为：元，上期被合并方实现的净利润为：元。</w:t>
      </w:r>
    </w:p>
    <w:p>
      <w:pPr>
        <w:spacing w:line="240" w:lineRule="auto" w:before="0"/>
        <w:rPr>
          <w:rFonts w:ascii="宋体" w:hAnsi="宋体" w:cs="宋体" w:eastAsia="宋体" w:hint="default"/>
          <w:sz w:val="18"/>
          <w:szCs w:val="18"/>
        </w:rPr>
      </w:pPr>
    </w:p>
    <w:p>
      <w:pPr>
        <w:pStyle w:val="BodyText"/>
        <w:tabs>
          <w:tab w:pos="3902" w:val="left" w:leader="none"/>
          <w:tab w:pos="8177" w:val="left" w:leader="none"/>
        </w:tabs>
        <w:spacing w:line="297" w:lineRule="auto" w:before="141"/>
        <w:ind w:right="1126"/>
        <w:jc w:val="left"/>
      </w:pPr>
      <w:r>
        <w:rPr/>
        <w:t>法定代表人：</w:t>
      </w:r>
      <w:r>
        <w:rPr>
          <w:rFonts w:ascii="Times New Roman" w:hAnsi="Times New Roman" w:cs="Times New Roman" w:eastAsia="Times New Roman" w:hint="default"/>
        </w:rPr>
        <w:t>GUO</w:t>
      </w:r>
      <w:r>
        <w:rPr>
          <w:rFonts w:ascii="Times New Roman" w:hAnsi="Times New Roman" w:cs="Times New Roman" w:eastAsia="Times New Roman" w:hint="default"/>
          <w:spacing w:val="26"/>
        </w:rPr>
        <w:t> </w:t>
      </w:r>
      <w:r>
        <w:rPr>
          <w:rFonts w:ascii="Times New Roman" w:hAnsi="Times New Roman" w:cs="Times New Roman" w:eastAsia="Times New Roman" w:hint="default"/>
        </w:rPr>
        <w:t>SONG</w:t>
        <w:tab/>
      </w:r>
      <w:r>
        <w:rPr/>
        <w:t>主管会计工作负责人：</w:t>
      </w:r>
      <w:r>
        <w:rPr>
          <w:rFonts w:ascii="Times New Roman" w:hAnsi="Times New Roman" w:cs="Times New Roman" w:eastAsia="Times New Roman" w:hint="default"/>
        </w:rPr>
        <w:t>LIU</w:t>
      </w:r>
      <w:r>
        <w:rPr>
          <w:rFonts w:ascii="Times New Roman" w:hAnsi="Times New Roman" w:cs="Times New Roman" w:eastAsia="Times New Roman" w:hint="default"/>
          <w:spacing w:val="21"/>
        </w:rPr>
        <w:t> </w:t>
      </w:r>
      <w:r>
        <w:rPr>
          <w:rFonts w:ascii="Times New Roman" w:hAnsi="Times New Roman" w:cs="Times New Roman" w:eastAsia="Times New Roman" w:hint="default"/>
        </w:rPr>
        <w:t>DAN</w:t>
        <w:tab/>
      </w:r>
      <w:r>
        <w:rPr/>
        <w:t>会计机构负责人：张 晔</w:t>
      </w:r>
    </w:p>
    <w:p>
      <w:pPr>
        <w:spacing w:line="240" w:lineRule="auto" w:before="12"/>
        <w:rPr>
          <w:rFonts w:ascii="宋体" w:hAnsi="宋体" w:cs="宋体" w:eastAsia="宋体" w:hint="default"/>
          <w:sz w:val="23"/>
          <w:szCs w:val="23"/>
        </w:rPr>
      </w:pPr>
    </w:p>
    <w:p>
      <w:pPr>
        <w:pStyle w:val="Heading3"/>
        <w:spacing w:line="240" w:lineRule="auto"/>
        <w:ind w:right="1133"/>
        <w:jc w:val="left"/>
        <w:rPr>
          <w:b w:val="0"/>
          <w:bCs w:val="0"/>
        </w:rPr>
      </w:pPr>
      <w:bookmarkStart w:name="4、母公司利润表" w:id="159"/>
      <w:bookmarkEnd w:id="159"/>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922,180,658.15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883,665,750.90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782,383,463.73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756,285,611.26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2,066,118.93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1,489,125.88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82,432,632.49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55,038,495.69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29,140,062.42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29,360,565.68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46,260,505.90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41,703,968.69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1,590,030.65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-322,924.69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5,483,899.23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3,950,449.39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5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5,520,307.88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2,299,831.80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6,081,228.76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6,534,641.77</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42,669,767.82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65,346,316.14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5,682,767.82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6,642,077.16</w:t>
            </w: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1"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24,266,563.96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3,293,217.16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698,951.61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-98,107,474.65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-29,206,600.39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-1,276.99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71,193.58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-46,084,395.46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46,149,676.65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587,144.20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147,247.42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245,735.28</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-46,231,642.88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46,491,085.57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466,155.92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-2,753,139.20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-46,697,798.80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49,244,224.77</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-46,697,798.80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49,244,224.77</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178" w:right="0"/>
              <w:jc w:val="left"/>
              <w:rPr>
                <w:rFonts w:ascii="Times New Roman" w:hAnsi="Times New Roman" w:cs="Times New Roman" w:eastAsia="Times New Roman" w:hint="default"/>
                <w:sz w:val="18"/>
                <w:szCs w:val="18"/>
              </w:rPr>
            </w:pPr>
            <w:r>
              <w:rPr>
                <w:rFonts w:ascii="Times New Roman"/>
                <w:sz w:val="18"/>
              </w:rPr>
              <w:t>-46,697,798.80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49,244,224.77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5、合并现金流量表" w:id="160"/>
      <w:bookmarkEnd w:id="160"/>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1,114,927,668.35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873,438,760.17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41,721,994.29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58,083,074.57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18,095,935.41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20,186,610.63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1,174,745,598.05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951,708,445.37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701,266,042.11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780,081,817.43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98,111,275.52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79,380,583.81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61,897,083.18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54,967,769.26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103,487,984.15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64,558,138.99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964,762,384.96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978,988,309.49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209,983,213.09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-27,279,864.12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3,212,261.32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2,799,198.48</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9,800.00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393,116,894.25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447,500,000.00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396,338,955.57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450,315,398.48</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10,197,681.50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15,420,855.77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36,626,000.00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60,145,975.62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396,878,493.29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447,500,000.00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483,222,150.41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499,546,855.77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-86,883,194.84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-49,231,457.29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224,137,913.94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174,503,286.00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138,236.84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3,260,191.70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224,276,150.78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177,763,477.70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24,503,286.00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20,623,765.86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16,842,429.94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6,713,000.00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7,105,000.00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15,813,910.44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2,341,431.59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166,437,676.30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43,687,147.53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57,838,474.48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134,076,330.17</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8,467,963.93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779,199.75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189,406,456.66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58,344,208.51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361,387,283.21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303,043,074.70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550,793,739.87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361,387,283.21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6、母公司现金流量表" w:id="161"/>
      <w:bookmarkEnd w:id="161"/>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1,023,011,018.46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806,843,661.27</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20,373,915.22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38,743,515.99</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188,761,085.18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71,473,539.28</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1,232,146,018.86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917,060,716.54</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902,596,292.56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861,076,948.71</w:t>
            </w:r>
          </w:p>
        </w:tc>
      </w:tr>
      <w:tr>
        <w:trPr>
          <w:trHeight w:val="716"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71,494,852.83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51,290,864.35</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16,325,688.05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4,702,881.84</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105,162,129.55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79,534,067.56</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1,095,578,962.99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996,604,762.46</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136,567,055.87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-79,544,045.92</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40,199,261.32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60,147,623.14</w:t>
            </w:r>
          </w:p>
        </w:tc>
      </w:tr>
      <w:tr>
        <w:trPr>
          <w:trHeight w:val="716"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9,800.00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393,116,894.25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422,500,000.00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433,325,955.57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482,663,623.14</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9,743,295.00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14,483,025.33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179,400,014.00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36,819,124.54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396,878,493.29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422,500,000.00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586,021,802.29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473,802,149.87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-152,695,846.72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8,861,473.27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224,137,913.94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154,503,286.00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138,236.84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3,260,191.70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224,276,150.78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157,763,477.70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24,503,286.00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13,910,765.86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9,737,429.94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15,813,910.44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1,869,431.59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159,724,676.30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36,110,147.53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64,551,474.48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121,653,330.17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8,467,963.93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376,649.46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56,890,647.56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51,347,406.98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268,521,523.33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217,174,116.35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325,412,170.89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268,521,523.33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7、合并所有者权益变动表" w:id="162"/>
      <w:bookmarkEnd w:id="162"/>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本期金额</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401" w:hRule="exact"/>
        </w:trPr>
        <w:tc>
          <w:tcPr>
            <w:tcW w:w="1252" w:type="dxa"/>
            <w:vMerge w:val="restart"/>
            <w:tcBorders>
              <w:top w:val="single" w:sz="4" w:space="0" w:color="000000"/>
              <w:left w:val="single" w:sz="4" w:space="0" w:color="000000"/>
              <w:right w:val="single" w:sz="4" w:space="0" w:color="000000"/>
            </w:tcBorders>
            <w:shd w:val="clear" w:color="auto" w:fill="D2D2D2"/>
          </w:tcPr>
          <w:p>
            <w:pP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96" w:hRule="exact"/>
        </w:trPr>
        <w:tc>
          <w:tcPr>
            <w:tcW w:w="1252" w:type="dxa"/>
            <w:vMerge/>
            <w:tcBorders>
              <w:left w:val="single" w:sz="4" w:space="0" w:color="000000"/>
              <w:right w:val="single" w:sz="4" w:space="0" w:color="000000"/>
            </w:tcBorders>
            <w:shd w:val="clear" w:color="auto" w:fill="D2D2D2"/>
          </w:tcPr>
          <w:p>
            <w:pPr/>
          </w:p>
        </w:tc>
        <w:tc>
          <w:tcPr>
            <w:tcW w:w="7149"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252" w:type="dxa"/>
            <w:vMerge/>
            <w:tcBorders>
              <w:left w:val="single" w:sz="4" w:space="0" w:color="000000"/>
              <w:right w:val="single" w:sz="4" w:space="0" w:color="000000"/>
            </w:tcBorders>
            <w:shd w:val="clear" w:color="auto" w:fill="D2D2D2"/>
          </w:tcPr>
          <w:p>
            <w:pPr/>
          </w:p>
        </w:tc>
        <w:tc>
          <w:tcPr>
            <w:tcW w:w="7149" w:type="dxa"/>
            <w:gridSpan w:val="13"/>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51" w:hRule="exact"/>
        </w:trPr>
        <w:tc>
          <w:tcPr>
            <w:tcW w:w="1252" w:type="dxa"/>
            <w:vMerge/>
            <w:tcBorders>
              <w:left w:val="single" w:sz="4" w:space="0" w:color="000000"/>
              <w:bottom w:val="single" w:sz="4" w:space="0" w:color="FFFFFF"/>
              <w:right w:val="single" w:sz="4" w:space="0" w:color="000000"/>
            </w:tcBorders>
            <w:shd w:val="clear" w:color="auto" w:fill="D2D2D2"/>
          </w:tcPr>
          <w:p>
            <w:pPr/>
          </w:p>
        </w:tc>
        <w:tc>
          <w:tcPr>
            <w:tcW w:w="7149" w:type="dxa"/>
            <w:gridSpan w:val="13"/>
            <w:vMerge/>
            <w:tcBorders>
              <w:left w:val="single" w:sz="4" w:space="0" w:color="000000"/>
              <w:bottom w:val="single" w:sz="4" w:space="0" w:color="FFFFFF"/>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tcBorders>
              <w:left w:val="single" w:sz="4" w:space="0" w:color="000000"/>
              <w:right w:val="single" w:sz="4" w:space="0" w:color="000000"/>
            </w:tcBorders>
            <w:shd w:val="clear" w:color="auto" w:fill="D2D2D2"/>
          </w:tcPr>
          <w:p>
            <w:pPr/>
          </w:p>
        </w:tc>
      </w:tr>
      <w:tr>
        <w:trPr>
          <w:trHeight w:val="205" w:hRule="exact"/>
        </w:trPr>
        <w:tc>
          <w:tcPr>
            <w:tcW w:w="125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94" w:type="dxa"/>
            <w:vMerge w:val="restart"/>
            <w:tcBorders>
              <w:top w:val="single" w:sz="4" w:space="0" w:color="FFFFFF"/>
              <w:left w:val="single" w:sz="4" w:space="0" w:color="000000"/>
              <w:right w:val="single" w:sz="4" w:space="0" w:color="000000"/>
            </w:tcBorders>
            <w:shd w:val="clear" w:color="auto" w:fill="D2D2D2"/>
          </w:tcPr>
          <w:p>
            <w:pPr/>
          </w:p>
        </w:tc>
        <w:tc>
          <w:tcPr>
            <w:tcW w:w="1400"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6"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FFFFFF"/>
              <w:left w:val="single" w:sz="4" w:space="0" w:color="000000"/>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65" w:hRule="exact"/>
        </w:trPr>
        <w:tc>
          <w:tcPr>
            <w:tcW w:w="1252" w:type="dxa"/>
            <w:vMerge/>
            <w:tcBorders>
              <w:left w:val="single" w:sz="4" w:space="0" w:color="000000"/>
              <w:bottom w:val="nil" w:sz="6" w:space="0" w:color="auto"/>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1400" w:type="dxa"/>
            <w:gridSpan w:val="3"/>
            <w:vMerge/>
            <w:tcBorders>
              <w:left w:val="single" w:sz="4" w:space="0" w:color="000000"/>
              <w:bottom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3" w:hRule="exact"/>
        </w:trPr>
        <w:tc>
          <w:tcPr>
            <w:tcW w:w="1252" w:type="dxa"/>
            <w:vMerge w:val="restart"/>
            <w:tcBorders>
              <w:top w:val="nil" w:sz="6" w:space="0" w:color="auto"/>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39" w:right="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2" w:hRule="exact"/>
        </w:trPr>
        <w:tc>
          <w:tcPr>
            <w:tcW w:w="1252" w:type="dxa"/>
            <w:vMerge/>
            <w:tcBorders>
              <w:left w:val="single" w:sz="4" w:space="0" w:color="000000"/>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33" w:hRule="exact"/>
        </w:trPr>
        <w:tc>
          <w:tcPr>
            <w:tcW w:w="1252" w:type="dxa"/>
            <w:vMerge/>
            <w:tcBorders>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22" w:hRule="exact"/>
        </w:trPr>
        <w:tc>
          <w:tcPr>
            <w:tcW w:w="1252"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r>
      <w:tr>
        <w:trPr>
          <w:trHeight w:val="96" w:hRule="exact"/>
        </w:trPr>
        <w:tc>
          <w:tcPr>
            <w:tcW w:w="1252"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8"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52"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280,0</w:t>
            </w:r>
          </w:p>
          <w:p>
            <w:pPr>
              <w:pStyle w:val="TableParagraph"/>
              <w:spacing w:line="240" w:lineRule="auto" w:before="102"/>
              <w:ind w:left="4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0.00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27,436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,695.7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-92,57</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9.10</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19,176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,571.9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83" w:type="dxa"/>
            <w:vMerge w:val="restart"/>
            <w:tcBorders>
              <w:top w:val="single" w:sz="22" w:space="0" w:color="D2D2D2"/>
              <w:left w:val="single" w:sz="4" w:space="0" w:color="000000"/>
              <w:right w:val="single" w:sz="4" w:space="0" w:color="000000"/>
            </w:tcBorders>
          </w:tcPr>
          <w:p>
            <w:pPr/>
          </w:p>
        </w:tc>
        <w:tc>
          <w:tcPr>
            <w:tcW w:w="586" w:type="dxa"/>
            <w:vMerge w:val="restart"/>
            <w:tcBorders>
              <w:top w:val="single" w:sz="22" w:space="0" w:color="D2D2D2"/>
              <w:left w:val="single" w:sz="4" w:space="0" w:color="000000"/>
              <w:right w:val="single" w:sz="4" w:space="0" w:color="000000"/>
            </w:tcBorders>
          </w:tcPr>
          <w:p>
            <w:pPr>
              <w:pStyle w:val="TableParagraph"/>
              <w:spacing w:line="240" w:lineRule="auto" w:before="68"/>
              <w:ind w:left="60" w:right="0"/>
              <w:jc w:val="left"/>
              <w:rPr>
                <w:rFonts w:ascii="Times New Roman" w:hAnsi="Times New Roman" w:cs="Times New Roman" w:eastAsia="Times New Roman" w:hint="default"/>
                <w:sz w:val="18"/>
                <w:szCs w:val="18"/>
              </w:rPr>
            </w:pPr>
            <w:r>
              <w:rPr>
                <w:rFonts w:ascii="Times New Roman"/>
                <w:sz w:val="18"/>
              </w:rPr>
              <w:t>381,97</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4,990.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59</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708,49</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5,679.</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25</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37,020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,957.8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78" w:type="dxa"/>
            <w:vMerge w:val="restart"/>
            <w:tcBorders>
              <w:top w:val="single" w:sz="40" w:space="0" w:color="D2D2D2"/>
              <w:left w:val="single" w:sz="4" w:space="0" w:color="000000"/>
              <w:right w:val="single" w:sz="4" w:space="0" w:color="000000"/>
            </w:tcBorders>
          </w:tcPr>
          <w:p>
            <w:pPr>
              <w:pStyle w:val="TableParagraph"/>
              <w:spacing w:line="240" w:lineRule="auto" w:before="45"/>
              <w:ind w:left="52" w:right="0"/>
              <w:jc w:val="left"/>
              <w:rPr>
                <w:rFonts w:ascii="Times New Roman" w:hAnsi="Times New Roman" w:cs="Times New Roman" w:eastAsia="Times New Roman" w:hint="default"/>
                <w:sz w:val="18"/>
                <w:szCs w:val="18"/>
              </w:rPr>
            </w:pPr>
            <w:r>
              <w:rPr>
                <w:rFonts w:ascii="Times New Roman"/>
                <w:sz w:val="18"/>
              </w:rPr>
              <w:t>745,51</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6,637.</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r>
      <w:tr>
        <w:trPr>
          <w:trHeight w:val="703" w:hRule="exact"/>
        </w:trPr>
        <w:tc>
          <w:tcPr>
            <w:tcW w:w="12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2" w:right="20"/>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52"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280,0</w:t>
            </w:r>
          </w:p>
          <w:p>
            <w:pPr>
              <w:pStyle w:val="TableParagraph"/>
              <w:spacing w:line="240" w:lineRule="auto" w:before="102"/>
              <w:ind w:left="5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27,436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,695.7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-92,57</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9.10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19,176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,571.9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381,97</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4,990.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59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708,49</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5,679.</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37,020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,957.8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745,51</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6,637.</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32,66</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5,317</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455,74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5,486.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61</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-60,10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5.50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42,956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,383.3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531,30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7,081.</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46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-2,961,</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602.86</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528,34</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5,478.</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60</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-60,10</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5.50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51,356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,383.3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51,296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,277.8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3,994,</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610.78</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55,290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,888.6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32,66</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5,317</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455,74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5,486.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61</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488,41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0,803.</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61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-243,2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13.64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488,16</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7,589.</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97</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 w:right="0"/>
              <w:jc w:val="center"/>
              <w:rPr>
                <w:rFonts w:ascii="Times New Roman" w:hAnsi="Times New Roman" w:cs="Times New Roman" w:eastAsia="Times New Roman" w:hint="default"/>
                <w:sz w:val="18"/>
                <w:szCs w:val="18"/>
              </w:rPr>
            </w:pPr>
            <w:r>
              <w:rPr>
                <w:rFonts w:ascii="Times New Roman"/>
                <w:sz w:val="18"/>
              </w:rPr>
              <w:t>32,66</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5,317</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456,33</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4,683.</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489,00</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489,00</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00</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-589,1</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96.39</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-589,1</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96.39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-243,2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13.64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-832,4</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10.03</w:t>
            </w: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-8,400,</w:t>
            </w:r>
          </w:p>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000.00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-8,400,</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000.00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-6,713,</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000.00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-15,11</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20"/>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-8,400,</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000.00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-8,400,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000.00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-6,713,</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000.00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-15,11</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312,6</w:t>
            </w:r>
          </w:p>
          <w:p>
            <w:pPr>
              <w:pStyle w:val="TableParagraph"/>
              <w:spacing w:line="240" w:lineRule="auto" w:before="102"/>
              <w:ind w:left="55" w:right="0"/>
              <w:jc w:val="left"/>
              <w:rPr>
                <w:rFonts w:ascii="Times New Roman" w:hAnsi="Times New Roman" w:cs="Times New Roman" w:eastAsia="Times New Roman" w:hint="default"/>
                <w:sz w:val="18"/>
                <w:szCs w:val="18"/>
              </w:rPr>
            </w:pPr>
            <w:r>
              <w:rPr>
                <w:rFonts w:ascii="Times New Roman"/>
                <w:sz w:val="18"/>
              </w:rPr>
              <w:t>65,31</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483,18</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2,182.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40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-152,6</w:t>
            </w:r>
          </w:p>
          <w:p>
            <w:pPr>
              <w:pStyle w:val="TableParagraph"/>
              <w:spacing w:line="240" w:lineRule="auto" w:before="102"/>
              <w:ind w:left="146" w:right="0"/>
              <w:jc w:val="left"/>
              <w:rPr>
                <w:rFonts w:ascii="Times New Roman" w:hAnsi="Times New Roman" w:cs="Times New Roman" w:eastAsia="Times New Roman" w:hint="default"/>
                <w:sz w:val="18"/>
                <w:szCs w:val="18"/>
              </w:rPr>
            </w:pPr>
            <w:r>
              <w:rPr>
                <w:rFonts w:ascii="Times New Roman"/>
                <w:sz w:val="18"/>
              </w:rPr>
              <w:t>84.60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19,176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,571.9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424,93</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1,373.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1,239,</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802,76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0.71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34,059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,355.0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 w:right="0"/>
              <w:jc w:val="center"/>
              <w:rPr>
                <w:rFonts w:ascii="Times New Roman" w:hAnsi="Times New Roman" w:cs="Times New Roman" w:eastAsia="Times New Roman" w:hint="default"/>
                <w:sz w:val="18"/>
                <w:szCs w:val="18"/>
              </w:rPr>
            </w:pPr>
            <w:r>
              <w:rPr>
                <w:rFonts w:ascii="Times New Roman"/>
                <w:sz w:val="18"/>
              </w:rPr>
              <w:t>1,273,</w:t>
            </w:r>
          </w:p>
          <w:p>
            <w:pPr>
              <w:pStyle w:val="TableParagraph"/>
              <w:spacing w:line="240" w:lineRule="auto" w:before="102"/>
              <w:ind w:left="38" w:right="0"/>
              <w:jc w:val="center"/>
              <w:rPr>
                <w:rFonts w:ascii="Times New Roman" w:hAnsi="Times New Roman" w:cs="Times New Roman" w:eastAsia="Times New Roman" w:hint="default"/>
                <w:sz w:val="18"/>
                <w:szCs w:val="18"/>
              </w:rPr>
            </w:pPr>
            <w:r>
              <w:rPr>
                <w:rFonts w:ascii="Times New Roman"/>
                <w:sz w:val="18"/>
              </w:rPr>
              <w:t>862,11</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5.71</w:t>
            </w:r>
          </w:p>
        </w:tc>
      </w:tr>
    </w:tbl>
    <w:p>
      <w:pPr>
        <w:pStyle w:val="BodyText"/>
        <w:spacing w:line="240" w:lineRule="auto" w:before="49"/>
        <w:ind w:right="1133"/>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00"/>
        <w:gridCol w:w="490"/>
        <w:gridCol w:w="449"/>
        <w:gridCol w:w="449"/>
        <w:gridCol w:w="493"/>
        <w:gridCol w:w="576"/>
        <w:gridCol w:w="576"/>
        <w:gridCol w:w="578"/>
        <w:gridCol w:w="576"/>
        <w:gridCol w:w="576"/>
        <w:gridCol w:w="578"/>
        <w:gridCol w:w="588"/>
        <w:gridCol w:w="567"/>
        <w:gridCol w:w="569"/>
        <w:gridCol w:w="641"/>
        <w:gridCol w:w="653"/>
      </w:tblGrid>
      <w:tr>
        <w:trPr>
          <w:trHeight w:val="403"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835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250" w:hRule="exact"/>
        </w:trPr>
        <w:tc>
          <w:tcPr>
            <w:tcW w:w="1200" w:type="dxa"/>
            <w:vMerge/>
            <w:tcBorders>
              <w:left w:val="single" w:sz="4" w:space="0" w:color="000000"/>
              <w:right w:val="single" w:sz="4" w:space="0" w:color="000000"/>
            </w:tcBorders>
            <w:shd w:val="clear" w:color="auto" w:fill="D2D2D2"/>
          </w:tcPr>
          <w:p>
            <w:pPr/>
          </w:p>
        </w:tc>
        <w:tc>
          <w:tcPr>
            <w:tcW w:w="7065"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200" w:type="dxa"/>
            <w:vMerge/>
            <w:tcBorders>
              <w:left w:val="single" w:sz="4" w:space="0" w:color="000000"/>
              <w:bottom w:val="single" w:sz="4" w:space="0" w:color="FFFFFF"/>
              <w:right w:val="single" w:sz="4" w:space="0" w:color="000000"/>
            </w:tcBorders>
            <w:shd w:val="clear" w:color="auto" w:fill="D2D2D2"/>
          </w:tcPr>
          <w:p>
            <w:pPr/>
          </w:p>
        </w:tc>
        <w:tc>
          <w:tcPr>
            <w:tcW w:w="7065" w:type="dxa"/>
            <w:gridSpan w:val="13"/>
            <w:vMerge/>
            <w:tcBorders>
              <w:left w:val="single" w:sz="4" w:space="0" w:color="000000"/>
              <w:bottom w:val="single" w:sz="4" w:space="0" w:color="FFFFFF"/>
              <w:right w:val="single" w:sz="4" w:space="0" w:color="000000"/>
            </w:tcBorders>
            <w:shd w:val="clear" w:color="auto" w:fill="D2D2D2"/>
          </w:tcPr>
          <w:p>
            <w:pPr/>
          </w:p>
        </w:tc>
        <w:tc>
          <w:tcPr>
            <w:tcW w:w="641" w:type="dxa"/>
            <w:vMerge/>
            <w:tcBorders>
              <w:left w:val="single" w:sz="4" w:space="0" w:color="000000"/>
              <w:bottom w:val="single" w:sz="4" w:space="0" w:color="FFFFFF"/>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20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490" w:type="dxa"/>
            <w:vMerge w:val="restart"/>
            <w:tcBorders>
              <w:top w:val="single" w:sz="4" w:space="0" w:color="FFFFFF"/>
              <w:left w:val="single" w:sz="4" w:space="0" w:color="000000"/>
              <w:right w:val="single" w:sz="4" w:space="0" w:color="000000"/>
            </w:tcBorders>
            <w:shd w:val="clear" w:color="auto" w:fill="D2D2D2"/>
          </w:tcPr>
          <w:p>
            <w:pPr/>
          </w:p>
        </w:tc>
        <w:tc>
          <w:tcPr>
            <w:tcW w:w="1390"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tcBorders>
              <w:top w:val="single" w:sz="4" w:space="0" w:color="FFFFFF"/>
              <w:left w:val="single" w:sz="4" w:space="0" w:color="000000"/>
              <w:bottom w:val="nil" w:sz="6" w:space="0" w:color="auto"/>
              <w:right w:val="single" w:sz="4" w:space="0" w:color="000000"/>
            </w:tcBorders>
            <w:shd w:val="clear" w:color="auto" w:fill="D2D2D2"/>
          </w:tcPr>
          <w:p>
            <w:pPr/>
          </w:p>
        </w:tc>
        <w:tc>
          <w:tcPr>
            <w:tcW w:w="576" w:type="dxa"/>
            <w:tcBorders>
              <w:top w:val="single" w:sz="4" w:space="0" w:color="FFFFFF"/>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tcBorders>
              <w:top w:val="single" w:sz="4" w:space="0" w:color="FFFFFF"/>
              <w:left w:val="single" w:sz="4" w:space="0" w:color="000000"/>
              <w:bottom w:val="nil" w:sz="6" w:space="0" w:color="auto"/>
              <w:right w:val="single" w:sz="4" w:space="0" w:color="000000"/>
            </w:tcBorders>
            <w:shd w:val="clear" w:color="auto" w:fill="D2D2D2"/>
          </w:tcPr>
          <w:p>
            <w:pPr/>
          </w:p>
        </w:tc>
        <w:tc>
          <w:tcPr>
            <w:tcW w:w="576" w:type="dxa"/>
            <w:tcBorders>
              <w:top w:val="single" w:sz="4" w:space="0" w:color="FFFFFF"/>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4"/>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7" w:type="dxa"/>
            <w:vMerge w:val="restart"/>
            <w:tcBorders>
              <w:top w:val="single" w:sz="4" w:space="0" w:color="FFFFFF"/>
              <w:left w:val="single" w:sz="4" w:space="0" w:color="000000"/>
              <w:right w:val="single" w:sz="4" w:space="0" w:color="000000"/>
            </w:tcBorders>
            <w:shd w:val="clear" w:color="auto" w:fill="D2D2D2"/>
          </w:tcPr>
          <w:p>
            <w:pPr/>
          </w:p>
        </w:tc>
        <w:tc>
          <w:tcPr>
            <w:tcW w:w="569" w:type="dxa"/>
            <w:vMerge w:val="restart"/>
            <w:tcBorders>
              <w:top w:val="single" w:sz="4" w:space="0" w:color="FFFFFF"/>
              <w:left w:val="single" w:sz="4" w:space="0" w:color="000000"/>
              <w:right w:val="single" w:sz="4" w:space="0" w:color="000000"/>
            </w:tcBorders>
            <w:shd w:val="clear" w:color="auto" w:fill="D2D2D2"/>
          </w:tcPr>
          <w:p>
            <w:pPr/>
          </w:p>
        </w:tc>
        <w:tc>
          <w:tcPr>
            <w:tcW w:w="641"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49"/>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tcBorders>
              <w:left w:val="single" w:sz="4" w:space="0" w:color="000000"/>
              <w:right w:val="single" w:sz="4" w:space="0" w:color="000000"/>
            </w:tcBorders>
            <w:shd w:val="clear" w:color="auto" w:fill="D2D2D2"/>
          </w:tcPr>
          <w:p>
            <w:pPr/>
          </w:p>
        </w:tc>
      </w:tr>
      <w:tr>
        <w:trPr>
          <w:trHeight w:val="165"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1390" w:type="dxa"/>
            <w:gridSpan w:val="3"/>
            <w:vMerge/>
            <w:tcBorders>
              <w:left w:val="single" w:sz="4" w:space="0" w:color="000000"/>
              <w:bottom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tcBorders>
              <w:left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3"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29"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0" w:hRule="exact"/>
        </w:trPr>
        <w:tc>
          <w:tcPr>
            <w:tcW w:w="1200" w:type="dxa"/>
            <w:vMerge/>
            <w:tcBorders>
              <w:left w:val="single" w:sz="4" w:space="0" w:color="000000"/>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35" w:hRule="exact"/>
        </w:trPr>
        <w:tc>
          <w:tcPr>
            <w:tcW w:w="1200" w:type="dxa"/>
            <w:vMerge/>
            <w:tcBorders>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r>
      <w:tr>
        <w:trPr>
          <w:trHeight w:val="217"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9" w:space="0" w:color="D2D2D2"/>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280,0</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38" w:right="0"/>
              <w:jc w:val="left"/>
              <w:rPr>
                <w:rFonts w:ascii="Times New Roman" w:hAnsi="Times New Roman" w:cs="Times New Roman" w:eastAsia="Times New Roman" w:hint="default"/>
                <w:sz w:val="18"/>
                <w:szCs w:val="18"/>
              </w:rPr>
            </w:pPr>
            <w:r>
              <w:rPr>
                <w:rFonts w:ascii="Times New Roman"/>
                <w:sz w:val="18"/>
              </w:rPr>
              <w:t>0.00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27,436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-72,91</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9.43</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14,252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vMerge w:val="restart"/>
            <w:tcBorders>
              <w:top w:val="single" w:sz="22" w:space="0" w:color="D2D2D2"/>
              <w:left w:val="single" w:sz="4" w:space="0" w:color="000000"/>
              <w:right w:val="single" w:sz="4" w:space="0" w:color="000000"/>
            </w:tcBorders>
          </w:tcPr>
          <w:p>
            <w:pPr/>
          </w:p>
        </w:tc>
        <w:tc>
          <w:tcPr>
            <w:tcW w:w="588" w:type="dxa"/>
            <w:vMerge w:val="restart"/>
            <w:tcBorders>
              <w:top w:val="single" w:sz="22" w:space="0" w:color="D2D2D2"/>
              <w:left w:val="single" w:sz="4" w:space="0" w:color="000000"/>
              <w:right w:val="single" w:sz="4" w:space="0" w:color="000000"/>
            </w:tcBorders>
          </w:tcPr>
          <w:p>
            <w:pPr>
              <w:pStyle w:val="TableParagraph"/>
              <w:spacing w:line="240" w:lineRule="auto" w:before="68"/>
              <w:ind w:left="62" w:right="0"/>
              <w:jc w:val="left"/>
              <w:rPr>
                <w:rFonts w:ascii="Times New Roman" w:hAnsi="Times New Roman" w:cs="Times New Roman" w:eastAsia="Times New Roman" w:hint="default"/>
                <w:sz w:val="18"/>
                <w:szCs w:val="18"/>
              </w:rPr>
            </w:pPr>
            <w:r>
              <w:rPr>
                <w:rFonts w:ascii="Times New Roman"/>
                <w:sz w:val="18"/>
              </w:rPr>
              <w:t>275,24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8,992.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99</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596,86</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4,918.</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84</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30,853,</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941.49</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627,718</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,860.33</w:t>
            </w:r>
          </w:p>
        </w:tc>
      </w:tr>
      <w:tr>
        <w:trPr>
          <w:trHeight w:val="706"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6"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7"/>
          <w:pgSz w:w="11910" w:h="16840"/>
          <w:pgMar w:footer="980" w:header="745" w:top="1060" w:bottom="1160" w:left="980" w:right="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96"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280,0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27,436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-72,91</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9.43</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14,252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275,24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8,992.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99</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596,86</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4,918.</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84</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30,853,</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941.49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627,718</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,860.33</w:t>
            </w:r>
          </w:p>
        </w:tc>
      </w:tr>
      <w:tr>
        <w:trPr>
          <w:trHeight w:val="1339"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-19,65</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9.67</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4,924,</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422.48</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106,72</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5,997.</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60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111,63</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0,760.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41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6,167,0</w:t>
            </w:r>
          </w:p>
          <w:p>
            <w:pPr>
              <w:pStyle w:val="TableParagraph"/>
              <w:spacing w:line="240" w:lineRule="auto" w:before="102"/>
              <w:ind w:left="188" w:right="0"/>
              <w:jc w:val="center"/>
              <w:rPr>
                <w:rFonts w:ascii="Times New Roman" w:hAnsi="Times New Roman" w:cs="Times New Roman" w:eastAsia="Times New Roman" w:hint="default"/>
                <w:sz w:val="18"/>
                <w:szCs w:val="18"/>
              </w:rPr>
            </w:pPr>
            <w:r>
              <w:rPr>
                <w:rFonts w:ascii="Times New Roman"/>
                <w:sz w:val="18"/>
              </w:rPr>
              <w:t>16.37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117,797</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,776.78</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-19,65</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9.67</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117,25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0,420.</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08</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117,23</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0,760.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41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13,272,</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016.37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130,502</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,776.78</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4,924,</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422.48</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-10,52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4,422.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48</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-5,600,</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000.00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-7,105,</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000.00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-12,705</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,000.00</w:t>
            </w: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4,924,</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422.48</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-4,924,</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422.48</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0"/>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-5,600,</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-5,600,</w:t>
            </w:r>
          </w:p>
          <w:p>
            <w:pPr>
              <w:pStyle w:val="TableParagraph"/>
              <w:spacing w:line="240" w:lineRule="auto" w:before="102"/>
              <w:ind w:left="40" w:right="0"/>
              <w:jc w:val="left"/>
              <w:rPr>
                <w:rFonts w:ascii="Times New Roman" w:hAnsi="Times New Roman" w:cs="Times New Roman" w:eastAsia="Times New Roman" w:hint="default"/>
                <w:sz w:val="18"/>
                <w:szCs w:val="18"/>
              </w:rPr>
            </w:pPr>
            <w:r>
              <w:rPr>
                <w:rFonts w:ascii="Times New Roman"/>
                <w:sz w:val="18"/>
              </w:rPr>
              <w:t>000.00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-7,105,</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000.00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-12,705</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,000.00</w:t>
            </w: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280,0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27,436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-92,57</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9.10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19,176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381,97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4,990.</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59</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708,49</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5,679.</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25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37,020,</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957.86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745,516</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,637.11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8、母公司所有者权益变动表" w:id="163"/>
      <w:bookmarkEnd w:id="163"/>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本期金额</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94"/>
        <w:gridCol w:w="629"/>
        <w:gridCol w:w="605"/>
        <w:gridCol w:w="603"/>
        <w:gridCol w:w="605"/>
        <w:gridCol w:w="727"/>
        <w:gridCol w:w="728"/>
        <w:gridCol w:w="725"/>
        <w:gridCol w:w="727"/>
        <w:gridCol w:w="727"/>
        <w:gridCol w:w="615"/>
        <w:gridCol w:w="710"/>
        <w:gridCol w:w="862"/>
      </w:tblGrid>
      <w:tr>
        <w:trPr>
          <w:trHeight w:val="401"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6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06" w:hRule="exact"/>
        </w:trPr>
        <w:tc>
          <w:tcPr>
            <w:tcW w:w="12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20"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294" w:type="dxa"/>
            <w:vMerge/>
            <w:tcBorders>
              <w:left w:val="single" w:sz="4" w:space="0" w:color="000000"/>
              <w:bottom w:val="nil" w:sz="6" w:space="0" w:color="auto"/>
              <w:right w:val="single" w:sz="4" w:space="0" w:color="000000"/>
            </w:tcBorders>
            <w:shd w:val="clear" w:color="auto" w:fill="D2D2D2"/>
          </w:tcPr>
          <w:p>
            <w:pPr/>
          </w:p>
        </w:tc>
        <w:tc>
          <w:tcPr>
            <w:tcW w:w="6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tcBorders>
              <w:left w:val="single" w:sz="4" w:space="0" w:color="000000"/>
              <w:right w:val="single" w:sz="4" w:space="0" w:color="000000"/>
            </w:tcBorders>
            <w:shd w:val="clear" w:color="auto" w:fill="D2D2D2"/>
          </w:tcPr>
          <w:p>
            <w:pPr/>
          </w:p>
        </w:tc>
      </w:tr>
      <w:tr>
        <w:trPr>
          <w:trHeight w:val="199" w:hRule="exact"/>
        </w:trPr>
        <w:tc>
          <w:tcPr>
            <w:tcW w:w="1294" w:type="dxa"/>
            <w:vMerge w:val="restart"/>
            <w:tcBorders>
              <w:top w:val="nil" w:sz="6" w:space="0" w:color="auto"/>
              <w:left w:val="single" w:sz="4" w:space="0" w:color="000000"/>
              <w:right w:val="single" w:sz="4" w:space="0" w:color="000000"/>
            </w:tcBorders>
            <w:shd w:val="clear" w:color="auto" w:fill="D2D2D2"/>
          </w:tcPr>
          <w:p>
            <w:pPr/>
          </w:p>
        </w:tc>
        <w:tc>
          <w:tcPr>
            <w:tcW w:w="629"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r>
      <w:tr>
        <w:trPr>
          <w:trHeight w:val="184" w:hRule="exact"/>
        </w:trPr>
        <w:tc>
          <w:tcPr>
            <w:tcW w:w="1294" w:type="dxa"/>
            <w:vMerge/>
            <w:tcBorders>
              <w:left w:val="single" w:sz="4" w:space="0" w:color="000000"/>
              <w:bottom w:val="single" w:sz="4" w:space="0" w:color="000000"/>
              <w:right w:val="single" w:sz="4" w:space="0" w:color="000000"/>
            </w:tcBorders>
            <w:shd w:val="clear" w:color="auto" w:fill="D2D2D2"/>
          </w:tcPr>
          <w:p>
            <w:pPr/>
          </w:p>
        </w:tc>
        <w:tc>
          <w:tcPr>
            <w:tcW w:w="6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3"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84"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280,00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18" w:space="0" w:color="D2D2D2"/>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27,257,5</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16.71</w:t>
            </w:r>
          </w:p>
        </w:tc>
        <w:tc>
          <w:tcPr>
            <w:tcW w:w="728" w:type="dxa"/>
            <w:vMerge w:val="restart"/>
            <w:tcBorders>
              <w:top w:val="single" w:sz="18" w:space="0" w:color="D2D2D2"/>
              <w:left w:val="single" w:sz="4" w:space="0" w:color="000000"/>
              <w:right w:val="single" w:sz="4" w:space="0" w:color="000000"/>
            </w:tcBorders>
          </w:tcPr>
          <w:p>
            <w:pPr/>
          </w:p>
        </w:tc>
        <w:tc>
          <w:tcPr>
            <w:tcW w:w="725" w:type="dxa"/>
            <w:vMerge w:val="restart"/>
            <w:tcBorders>
              <w:top w:val="single" w:sz="18" w:space="0" w:color="D2D2D2"/>
              <w:left w:val="single" w:sz="4" w:space="0" w:color="000000"/>
              <w:right w:val="single" w:sz="4" w:space="0" w:color="000000"/>
            </w:tcBorders>
          </w:tcPr>
          <w:p>
            <w:pPr/>
          </w:p>
        </w:tc>
        <w:tc>
          <w:tcPr>
            <w:tcW w:w="727" w:type="dxa"/>
            <w:vMerge w:val="restart"/>
            <w:tcBorders>
              <w:top w:val="single" w:sz="18" w:space="0" w:color="D2D2D2"/>
              <w:left w:val="single" w:sz="4" w:space="0" w:color="000000"/>
              <w:right w:val="single" w:sz="4" w:space="0" w:color="000000"/>
            </w:tcBorders>
          </w:tcPr>
          <w:p>
            <w:pPr/>
          </w:p>
        </w:tc>
        <w:tc>
          <w:tcPr>
            <w:tcW w:w="727" w:type="dxa"/>
            <w:vMerge w:val="restart"/>
            <w:tcBorders>
              <w:top w:val="single" w:sz="18" w:space="0" w:color="D2D2D2"/>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19,176,5</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71.97</w:t>
            </w:r>
          </w:p>
        </w:tc>
        <w:tc>
          <w:tcPr>
            <w:tcW w:w="615" w:type="dxa"/>
            <w:vMerge w:val="restart"/>
            <w:tcBorders>
              <w:top w:val="single" w:sz="18" w:space="0" w:color="D2D2D2"/>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148,05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9,292.8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18" w:space="0" w:color="D2D2D2"/>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474,493,3</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81.48</w:t>
            </w:r>
          </w:p>
        </w:tc>
      </w:tr>
      <w:tr>
        <w:trPr>
          <w:trHeight w:val="706"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27,257,5</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16.71</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19,176,5</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71.97</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9,292.8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474,493,3</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81.48</w:t>
            </w: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32,665,</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317.00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456,334,</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683.00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-55,097</w:t>
            </w:r>
          </w:p>
          <w:p>
            <w:pPr>
              <w:pStyle w:val="TableParagraph"/>
              <w:spacing w:line="240" w:lineRule="auto" w:before="102"/>
              <w:ind w:left="43" w:right="0"/>
              <w:jc w:val="left"/>
              <w:rPr>
                <w:rFonts w:ascii="Times New Roman" w:hAnsi="Times New Roman" w:cs="Times New Roman" w:eastAsia="Times New Roman" w:hint="default"/>
                <w:sz w:val="18"/>
                <w:szCs w:val="18"/>
              </w:rPr>
            </w:pPr>
            <w:r>
              <w:rPr>
                <w:rFonts w:ascii="Times New Roman"/>
                <w:sz w:val="18"/>
              </w:rPr>
              <w:t>,798.80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433,902,2</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01.20</w:t>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-46,697</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,798.80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-46,697,79</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8.80</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32,665,</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317.00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 w:right="0"/>
              <w:jc w:val="center"/>
              <w:rPr>
                <w:rFonts w:ascii="Times New Roman" w:hAnsi="Times New Roman" w:cs="Times New Roman" w:eastAsia="Times New Roman" w:hint="default"/>
                <w:sz w:val="18"/>
                <w:szCs w:val="18"/>
              </w:rPr>
            </w:pPr>
            <w:r>
              <w:rPr>
                <w:rFonts w:ascii="Times New Roman"/>
                <w:sz w:val="18"/>
              </w:rPr>
              <w:t>456,334,</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683.00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489,000,0</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32,665,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317.00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456,334,</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683.00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489,000,0</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00.00</w:t>
            </w: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-8,400,</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716"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-8,400,</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5,317.0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483,592,</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199.71</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19,176,5</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71.97</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92,961,</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494.00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908,395,5</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82.68</w:t>
            </w:r>
          </w:p>
        </w:tc>
      </w:tr>
    </w:tbl>
    <w:p>
      <w:pPr>
        <w:pStyle w:val="BodyText"/>
        <w:spacing w:line="240" w:lineRule="auto" w:before="49"/>
        <w:ind w:right="1133"/>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20"/>
        <w:gridCol w:w="593"/>
        <w:gridCol w:w="574"/>
        <w:gridCol w:w="572"/>
        <w:gridCol w:w="571"/>
        <w:gridCol w:w="686"/>
        <w:gridCol w:w="686"/>
        <w:gridCol w:w="684"/>
        <w:gridCol w:w="782"/>
        <w:gridCol w:w="665"/>
        <w:gridCol w:w="797"/>
        <w:gridCol w:w="797"/>
        <w:gridCol w:w="931"/>
      </w:tblGrid>
      <w:tr>
        <w:trPr>
          <w:trHeight w:val="396" w:hRule="exact"/>
        </w:trPr>
        <w:tc>
          <w:tcPr>
            <w:tcW w:w="1220" w:type="dxa"/>
            <w:vMerge w:val="restart"/>
            <w:tcBorders>
              <w:top w:val="single" w:sz="4" w:space="0" w:color="000000"/>
              <w:left w:val="single" w:sz="4" w:space="0" w:color="000000"/>
              <w:right w:val="single" w:sz="4" w:space="0" w:color="FFFFFF"/>
            </w:tcBorders>
            <w:shd w:val="clear" w:color="auto" w:fill="D2D2D2"/>
          </w:tcPr>
          <w:p>
            <w:pPr/>
          </w:p>
        </w:tc>
        <w:tc>
          <w:tcPr>
            <w:tcW w:w="8339" w:type="dxa"/>
            <w:gridSpan w:val="12"/>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188" w:hRule="exact"/>
        </w:trPr>
        <w:tc>
          <w:tcPr>
            <w:tcW w:w="1220" w:type="dxa"/>
            <w:vMerge/>
            <w:tcBorders>
              <w:left w:val="single" w:sz="4" w:space="0" w:color="000000"/>
              <w:bottom w:val="nil" w:sz="6" w:space="0" w:color="auto"/>
              <w:right w:val="single" w:sz="4" w:space="0" w:color="FFFFFF"/>
            </w:tcBorders>
            <w:shd w:val="clear" w:color="auto" w:fill="D2D2D2"/>
          </w:tcPr>
          <w:p>
            <w:pPr/>
          </w:p>
        </w:tc>
        <w:tc>
          <w:tcPr>
            <w:tcW w:w="593" w:type="dxa"/>
            <w:vMerge w:val="restart"/>
            <w:tcBorders>
              <w:top w:val="single" w:sz="4" w:space="0" w:color="000000"/>
              <w:left w:val="single" w:sz="4" w:space="0" w:color="FFFFFF"/>
              <w:right w:val="single" w:sz="4" w:space="0" w:color="000000"/>
            </w:tcBorders>
            <w:shd w:val="clear" w:color="auto" w:fill="D2D2D2"/>
          </w:tcPr>
          <w:p>
            <w:pPr/>
          </w:p>
        </w:tc>
        <w:tc>
          <w:tcPr>
            <w:tcW w:w="17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vMerge w:val="restart"/>
            <w:tcBorders>
              <w:top w:val="single" w:sz="4" w:space="0" w:color="000000"/>
              <w:left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0" w:hRule="exact"/>
        </w:trPr>
        <w:tc>
          <w:tcPr>
            <w:tcW w:w="1220"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26"/>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93" w:type="dxa"/>
            <w:vMerge/>
            <w:tcBorders>
              <w:left w:val="single" w:sz="4" w:space="0" w:color="FFFFFF"/>
              <w:bottom w:val="nil" w:sz="6" w:space="0" w:color="auto"/>
              <w:right w:val="single" w:sz="4" w:space="0" w:color="000000"/>
            </w:tcBorders>
            <w:shd w:val="clear" w:color="auto" w:fill="D2D2D2"/>
          </w:tcPr>
          <w:p>
            <w:pPr/>
          </w:p>
        </w:tc>
        <w:tc>
          <w:tcPr>
            <w:tcW w:w="1717" w:type="dxa"/>
            <w:gridSpan w:val="3"/>
            <w:vMerge/>
            <w:tcBorders>
              <w:left w:val="single" w:sz="4" w:space="0" w:color="000000"/>
              <w:bottom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304" w:right="32"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8" w:hRule="exact"/>
        </w:trPr>
        <w:tc>
          <w:tcPr>
            <w:tcW w:w="1220" w:type="dxa"/>
            <w:vMerge/>
            <w:tcBorders>
              <w:left w:val="single" w:sz="4" w:space="0" w:color="000000"/>
              <w:bottom w:val="nil" w:sz="6" w:space="0" w:color="auto"/>
              <w:right w:val="single" w:sz="4" w:space="0" w:color="FFFFFF"/>
            </w:tcBorders>
            <w:shd w:val="clear" w:color="auto" w:fill="D2D2D2"/>
          </w:tcPr>
          <w:p>
            <w:pPr/>
          </w:p>
        </w:tc>
        <w:tc>
          <w:tcPr>
            <w:tcW w:w="593" w:type="dxa"/>
            <w:vMerge w:val="restart"/>
            <w:tcBorders>
              <w:top w:val="nil" w:sz="6" w:space="0" w:color="auto"/>
              <w:left w:val="single" w:sz="4" w:space="0" w:color="FFFFFF"/>
              <w:right w:val="single" w:sz="4" w:space="0" w:color="000000"/>
            </w:tcBorders>
            <w:shd w:val="clear" w:color="auto" w:fill="D2D2D2"/>
          </w:tcPr>
          <w:p>
            <w:pPr>
              <w:pStyle w:val="TableParagraph"/>
              <w:spacing w:line="240" w:lineRule="auto" w:before="31"/>
              <w:ind w:left="1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91"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tcBorders>
              <w:left w:val="single" w:sz="4" w:space="0" w:color="000000"/>
              <w:right w:val="single" w:sz="4" w:space="0" w:color="000000"/>
            </w:tcBorders>
            <w:shd w:val="clear" w:color="auto" w:fill="D2D2D2"/>
          </w:tcPr>
          <w:p>
            <w:pPr/>
          </w:p>
        </w:tc>
      </w:tr>
      <w:tr>
        <w:trPr>
          <w:trHeight w:val="194" w:hRule="exact"/>
        </w:trPr>
        <w:tc>
          <w:tcPr>
            <w:tcW w:w="1220" w:type="dxa"/>
            <w:vMerge w:val="restart"/>
            <w:tcBorders>
              <w:top w:val="nil" w:sz="6" w:space="0" w:color="auto"/>
              <w:left w:val="single" w:sz="4" w:space="0" w:color="000000"/>
              <w:right w:val="single" w:sz="4" w:space="0" w:color="FFFFFF"/>
            </w:tcBorders>
            <w:shd w:val="clear" w:color="auto" w:fill="D2D2D2"/>
          </w:tcPr>
          <w:p>
            <w:pPr/>
          </w:p>
        </w:tc>
        <w:tc>
          <w:tcPr>
            <w:tcW w:w="593" w:type="dxa"/>
            <w:vMerge/>
            <w:tcBorders>
              <w:left w:val="single" w:sz="4" w:space="0" w:color="FFFFFF"/>
              <w:bottom w:val="nil" w:sz="6" w:space="0" w:color="auto"/>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r>
      <w:tr>
        <w:trPr>
          <w:trHeight w:val="156" w:hRule="exact"/>
        </w:trPr>
        <w:tc>
          <w:tcPr>
            <w:tcW w:w="1220" w:type="dxa"/>
            <w:vMerge/>
            <w:tcBorders>
              <w:left w:val="single" w:sz="4" w:space="0" w:color="000000"/>
              <w:right w:val="single" w:sz="4" w:space="0" w:color="FFFFFF"/>
            </w:tcBorders>
            <w:shd w:val="clear" w:color="auto" w:fill="D2D2D2"/>
          </w:tcPr>
          <w:p>
            <w:pPr/>
          </w:p>
        </w:tc>
        <w:tc>
          <w:tcPr>
            <w:tcW w:w="593" w:type="dxa"/>
            <w:vMerge w:val="restart"/>
            <w:tcBorders>
              <w:top w:val="nil" w:sz="6" w:space="0" w:color="auto"/>
              <w:left w:val="single" w:sz="4" w:space="0" w:color="FFFFFF"/>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20" w:type="dxa"/>
            <w:vMerge/>
            <w:tcBorders>
              <w:left w:val="single" w:sz="4" w:space="0" w:color="000000"/>
              <w:bottom w:val="single" w:sz="4" w:space="0" w:color="000000"/>
              <w:right w:val="single" w:sz="4" w:space="0" w:color="FFFFFF"/>
            </w:tcBorders>
            <w:shd w:val="clear" w:color="auto" w:fill="D2D2D2"/>
          </w:tcPr>
          <w:p>
            <w:pPr/>
          </w:p>
        </w:tc>
        <w:tc>
          <w:tcPr>
            <w:tcW w:w="593" w:type="dxa"/>
            <w:vMerge/>
            <w:tcBorders>
              <w:left w:val="single" w:sz="4" w:space="0" w:color="FFFFFF"/>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20" w:type="dxa"/>
            <w:tcBorders>
              <w:top w:val="single" w:sz="4" w:space="0" w:color="000000"/>
              <w:left w:val="single" w:sz="4" w:space="0" w:color="000000"/>
              <w:bottom w:val="nil" w:sz="6" w:space="0" w:color="auto"/>
              <w:right w:val="single" w:sz="4" w:space="0" w:color="FFFFFF"/>
            </w:tcBorders>
            <w:shd w:val="clear" w:color="auto" w:fill="D2D2D2"/>
          </w:tcPr>
          <w:p>
            <w:pPr/>
          </w:p>
        </w:tc>
        <w:tc>
          <w:tcPr>
            <w:tcW w:w="593" w:type="dxa"/>
            <w:vMerge w:val="restart"/>
            <w:tcBorders>
              <w:top w:val="single" w:sz="4" w:space="0" w:color="000000"/>
              <w:left w:val="single" w:sz="4" w:space="0" w:color="FFFFFF"/>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280,00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27,446,</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930.45</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14,252,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149.49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109,339,4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90.51</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431,038,57</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0.45</w:t>
            </w:r>
          </w:p>
        </w:tc>
      </w:tr>
      <w:tr>
        <w:trPr>
          <w:trHeight w:val="706" w:hRule="exact"/>
        </w:trPr>
        <w:tc>
          <w:tcPr>
            <w:tcW w:w="1220" w:type="dxa"/>
            <w:tcBorders>
              <w:top w:val="nil" w:sz="6" w:space="0" w:color="auto"/>
              <w:left w:val="single" w:sz="4" w:space="0" w:color="000000"/>
              <w:bottom w:val="nil" w:sz="6" w:space="0" w:color="auto"/>
              <w:right w:val="single" w:sz="4" w:space="0" w:color="FFFFFF"/>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vMerge/>
            <w:tcBorders>
              <w:left w:val="single" w:sz="4" w:space="0" w:color="FFFFFF"/>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20" w:type="dxa"/>
            <w:tcBorders>
              <w:top w:val="nil" w:sz="6" w:space="0" w:color="auto"/>
              <w:left w:val="single" w:sz="4" w:space="0" w:color="000000"/>
              <w:bottom w:val="single" w:sz="4" w:space="0" w:color="000000"/>
              <w:right w:val="single" w:sz="4" w:space="0" w:color="FFFFFF"/>
            </w:tcBorders>
            <w:shd w:val="clear" w:color="auto" w:fill="D2D2D2"/>
          </w:tcPr>
          <w:p>
            <w:pPr/>
          </w:p>
        </w:tc>
        <w:tc>
          <w:tcPr>
            <w:tcW w:w="593" w:type="dxa"/>
            <w:vMerge/>
            <w:tcBorders>
              <w:left w:val="single" w:sz="4" w:space="0" w:color="FFFFFF"/>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3" w:hRule="exact"/>
        </w:trPr>
        <w:tc>
          <w:tcPr>
            <w:tcW w:w="1220"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314"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593" w:type="dxa"/>
            <w:tcBorders>
              <w:top w:val="single" w:sz="4" w:space="0" w:color="000000"/>
              <w:left w:val="single" w:sz="4" w:space="0" w:color="FFFFFF"/>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0"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93" w:type="dxa"/>
            <w:tcBorders>
              <w:top w:val="single" w:sz="4" w:space="0" w:color="000000"/>
              <w:left w:val="single" w:sz="4" w:space="0" w:color="FFFFFF"/>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20"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93" w:type="dxa"/>
            <w:tcBorders>
              <w:top w:val="single" w:sz="4" w:space="0" w:color="000000"/>
              <w:left w:val="single" w:sz="4" w:space="0" w:color="FFFFFF"/>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20" w:type="dxa"/>
            <w:tcBorders>
              <w:top w:val="single" w:sz="4" w:space="0" w:color="000000"/>
              <w:left w:val="single" w:sz="4" w:space="0" w:color="000000"/>
              <w:bottom w:val="nil" w:sz="6" w:space="0" w:color="auto"/>
              <w:right w:val="single" w:sz="4" w:space="0" w:color="FFFFFF"/>
            </w:tcBorders>
            <w:shd w:val="clear" w:color="auto" w:fill="D2D2D2"/>
          </w:tcPr>
          <w:p>
            <w:pPr/>
          </w:p>
        </w:tc>
        <w:tc>
          <w:tcPr>
            <w:tcW w:w="593" w:type="dxa"/>
            <w:vMerge w:val="restart"/>
            <w:tcBorders>
              <w:top w:val="single" w:sz="4" w:space="0" w:color="000000"/>
              <w:left w:val="single" w:sz="4" w:space="0" w:color="FFFFFF"/>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280,00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27,446,</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930.45</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14,252,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149.49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109,339,4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90.51</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431,038,57</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0.45</w:t>
            </w:r>
          </w:p>
        </w:tc>
      </w:tr>
      <w:tr>
        <w:trPr>
          <w:trHeight w:val="706" w:hRule="exact"/>
        </w:trPr>
        <w:tc>
          <w:tcPr>
            <w:tcW w:w="1220" w:type="dxa"/>
            <w:tcBorders>
              <w:top w:val="nil" w:sz="6" w:space="0" w:color="auto"/>
              <w:left w:val="single" w:sz="4" w:space="0" w:color="000000"/>
              <w:bottom w:val="nil" w:sz="6" w:space="0" w:color="auto"/>
              <w:right w:val="single" w:sz="4" w:space="0" w:color="FFFFFF"/>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vMerge/>
            <w:tcBorders>
              <w:left w:val="single" w:sz="4" w:space="0" w:color="FFFFFF"/>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20" w:type="dxa"/>
            <w:tcBorders>
              <w:top w:val="nil" w:sz="6" w:space="0" w:color="auto"/>
              <w:left w:val="single" w:sz="4" w:space="0" w:color="000000"/>
              <w:bottom w:val="single" w:sz="4" w:space="0" w:color="000000"/>
              <w:right w:val="single" w:sz="4" w:space="0" w:color="FFFFFF"/>
            </w:tcBorders>
            <w:shd w:val="clear" w:color="auto" w:fill="D2D2D2"/>
          </w:tcPr>
          <w:p>
            <w:pPr/>
          </w:p>
        </w:tc>
        <w:tc>
          <w:tcPr>
            <w:tcW w:w="593" w:type="dxa"/>
            <w:vMerge/>
            <w:tcBorders>
              <w:left w:val="single" w:sz="4" w:space="0" w:color="FFFFFF"/>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1025" w:hRule="exact"/>
        </w:trPr>
        <w:tc>
          <w:tcPr>
            <w:tcW w:w="1220"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316" w:lineRule="auto" w:before="49"/>
              <w:ind w:left="12" w:right="20"/>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4" w:space="0" w:color="FFFFFF"/>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-189,41</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3.74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4,924,4</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22.48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38,719,80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2.29</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43,454,811.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03</w:t>
            </w:r>
          </w:p>
        </w:tc>
      </w:tr>
      <w:tr>
        <w:trPr>
          <w:trHeight w:val="715" w:hRule="exact"/>
        </w:trPr>
        <w:tc>
          <w:tcPr>
            <w:tcW w:w="1220"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93" w:type="dxa"/>
            <w:tcBorders>
              <w:top w:val="single" w:sz="4" w:space="0" w:color="000000"/>
              <w:left w:val="single" w:sz="4" w:space="0" w:color="FFFFFF"/>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49,244,22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4.77</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49,244,224.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77</w:t>
            </w:r>
          </w:p>
        </w:tc>
      </w:tr>
      <w:tr>
        <w:trPr>
          <w:trHeight w:val="713" w:hRule="exact"/>
        </w:trPr>
        <w:tc>
          <w:tcPr>
            <w:tcW w:w="1220"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tcBorders>
              <w:top w:val="single" w:sz="4" w:space="0" w:color="000000"/>
              <w:left w:val="single" w:sz="4" w:space="0" w:color="FFFFFF"/>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-189,41</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3.74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-189,413.74</w:t>
            </w:r>
          </w:p>
        </w:tc>
      </w:tr>
      <w:tr>
        <w:trPr>
          <w:trHeight w:val="715" w:hRule="exact"/>
        </w:trPr>
        <w:tc>
          <w:tcPr>
            <w:tcW w:w="1220"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300" w:lineRule="auto" w:before="49"/>
              <w:ind w:left="1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4" w:space="0" w:color="FFFFFF"/>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-189,41</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3.74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-189,413.74</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4,924,4</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22.48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-10,524,4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22.48</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-5,600,000.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4,924,4</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22.48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-4,924,42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2.48</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-56,000,0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-5,600,000.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280,00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27,257,</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516.71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19,176,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571.97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148,059,2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92.80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474,493,38</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1.48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Times New Roman" w:hAnsi="Times New Roman" w:cs="Times New Roman" w:eastAsia="Times New Roman" w:hint="default"/>
          <w:sz w:val="26"/>
          <w:szCs w:val="26"/>
        </w:rPr>
      </w:pPr>
    </w:p>
    <w:p>
      <w:pPr>
        <w:pStyle w:val="Heading2"/>
        <w:spacing w:line="240" w:lineRule="auto" w:before="26"/>
        <w:ind w:right="1133"/>
        <w:jc w:val="left"/>
        <w:rPr>
          <w:b w:val="0"/>
          <w:bCs w:val="0"/>
        </w:rPr>
      </w:pPr>
      <w:bookmarkStart w:name="三、公司基本情况" w:id="164"/>
      <w:bookmarkEnd w:id="164"/>
      <w:r>
        <w:rPr>
          <w:b w:val="0"/>
          <w:bCs w:val="0"/>
        </w:rPr>
      </w:r>
      <w:r>
        <w:rPr/>
        <w:t>三、公司基本情况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513" w:right="1163"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公司注册地、组织形式和总部地址</w:t>
      </w:r>
      <w:r>
        <w:rPr>
          <w:rFonts w:ascii="宋体" w:hAnsi="宋体" w:cs="宋体" w:eastAsia="宋体" w:hint="default"/>
          <w:b/>
          <w:bCs/>
          <w:w w:val="99"/>
          <w:sz w:val="18"/>
          <w:szCs w:val="18"/>
        </w:rPr>
        <w:t> </w:t>
      </w:r>
      <w:r>
        <w:rPr>
          <w:rFonts w:ascii="宋体" w:hAnsi="宋体" w:cs="宋体" w:eastAsia="宋体" w:hint="default"/>
          <w:sz w:val="18"/>
          <w:szCs w:val="18"/>
        </w:rPr>
        <w:t>深圳市优博讯科技股份有限公司（以下简称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）前身为深圳市方正颐和科技有限公司，于</w:t>
      </w: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p>
    <w:p>
      <w:pPr>
        <w:pStyle w:val="BodyText"/>
        <w:spacing w:line="230" w:lineRule="exact"/>
        <w:ind w:right="0"/>
        <w:jc w:val="left"/>
      </w:pPr>
      <w:r>
        <w:rPr/>
        <w:t>日成立，取得深圳市工商局核发注册号为</w:t>
      </w:r>
      <w:r>
        <w:rPr>
          <w:rFonts w:ascii="Times New Roman" w:hAnsi="Times New Roman" w:cs="Times New Roman" w:eastAsia="Times New Roman" w:hint="default"/>
        </w:rPr>
        <w:t>4403011203665</w:t>
      </w:r>
      <w:r>
        <w:rPr/>
        <w:t>的《企业法人营业执照》，注册资本人民币</w:t>
      </w:r>
      <w:r>
        <w:rPr>
          <w:rFonts w:ascii="Times New Roman" w:hAnsi="Times New Roman" w:cs="Times New Roman" w:eastAsia="Times New Roman" w:hint="default"/>
        </w:rPr>
        <w:t>10.00</w:t>
      </w:r>
      <w:r>
        <w:rPr/>
        <w:t>万元，该注册资本</w:t>
      </w:r>
    </w:p>
    <w:p>
      <w:pPr>
        <w:pStyle w:val="BodyText"/>
        <w:spacing w:line="240" w:lineRule="auto" w:before="63"/>
        <w:ind w:right="1133"/>
        <w:jc w:val="left"/>
      </w:pPr>
      <w:r>
        <w:rPr/>
        <w:t>业经深圳皇嘉会计师事务所出具的深皇嘉所验字（</w:t>
      </w:r>
      <w:r>
        <w:rPr>
          <w:rFonts w:ascii="Times New Roman" w:hAnsi="Times New Roman" w:cs="Times New Roman" w:eastAsia="Times New Roman" w:hint="default"/>
        </w:rPr>
        <w:t>2005</w:t>
      </w:r>
      <w:r>
        <w:rPr/>
        <w:t>）第</w:t>
      </w:r>
      <w:r>
        <w:rPr>
          <w:rFonts w:ascii="Times New Roman" w:hAnsi="Times New Roman" w:cs="Times New Roman" w:eastAsia="Times New Roman" w:hint="default"/>
        </w:rPr>
        <w:t>754</w:t>
      </w:r>
      <w:r>
        <w:rPr/>
        <w:t>号《验资报告》验证确认。公司股权结构如下：</w:t>
      </w:r>
    </w:p>
    <w:p>
      <w:pPr>
        <w:spacing w:line="240" w:lineRule="auto" w:before="8"/>
        <w:rPr>
          <w:rFonts w:ascii="宋体" w:hAnsi="宋体" w:cs="宋体" w:eastAsia="宋体" w:hint="default"/>
          <w:sz w:val="8"/>
          <w:szCs w:val="8"/>
        </w:rPr>
      </w:pPr>
    </w:p>
    <w:tbl>
      <w:tblPr>
        <w:tblW w:w="0" w:type="auto"/>
        <w:jc w:val="left"/>
        <w:tblInd w:w="164" w:type="dxa"/>
        <w:tblLayout w:type="fixed"/>
        <w:tblCellMar>
          <w:top w:w="0" w:type="dxa"/>
          <w:left w:w="0" w:type="dxa"/>
          <w:bottom w:w="0" w:type="dxa"/>
          <w:right w:w="0" w:type="dxa"/>
        </w:tblCellMar>
        <w:tblLook w:val="01E0"/>
      </w:tblPr>
      <w:tblGrid>
        <w:gridCol w:w="3265"/>
        <w:gridCol w:w="3334"/>
        <w:gridCol w:w="3063"/>
      </w:tblGrid>
      <w:tr>
        <w:trPr>
          <w:trHeight w:val="410" w:hRule="exact"/>
        </w:trPr>
        <w:tc>
          <w:tcPr>
            <w:tcW w:w="32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3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1"/>
              <w:ind w:left="849" w:right="0"/>
              <w:jc w:val="left"/>
              <w:rPr>
                <w:rFonts w:ascii="宋体" w:hAnsi="宋体" w:cs="宋体" w:eastAsia="宋体" w:hint="default"/>
                <w:sz w:val="18"/>
                <w:szCs w:val="18"/>
              </w:rPr>
            </w:pPr>
            <w:r>
              <w:rPr>
                <w:rFonts w:ascii="宋体" w:hAnsi="宋体" w:cs="宋体" w:eastAsia="宋体" w:hint="default"/>
                <w:sz w:val="18"/>
                <w:szCs w:val="18"/>
              </w:rPr>
              <w:t>出资额（人民币元）</w:t>
            </w:r>
          </w:p>
        </w:tc>
        <w:tc>
          <w:tcPr>
            <w:tcW w:w="30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1"/>
              <w:ind w:left="5" w:right="0"/>
              <w:jc w:val="center"/>
              <w:rPr>
                <w:rFonts w:ascii="宋体" w:hAnsi="宋体" w:cs="宋体" w:eastAsia="宋体" w:hint="default"/>
                <w:sz w:val="18"/>
                <w:szCs w:val="18"/>
              </w:rPr>
            </w:pPr>
            <w:r>
              <w:rPr>
                <w:rFonts w:ascii="宋体" w:hAnsi="宋体" w:cs="宋体" w:eastAsia="宋体" w:hint="default"/>
                <w:sz w:val="18"/>
                <w:szCs w:val="18"/>
              </w:rPr>
              <w:t>出资比例</w:t>
            </w:r>
          </w:p>
        </w:tc>
      </w:tr>
      <w:tr>
        <w:trPr>
          <w:trHeight w:val="427" w:hRule="exact"/>
        </w:trPr>
        <w:tc>
          <w:tcPr>
            <w:tcW w:w="3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董栋</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90,000.00</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z w:val="18"/>
              </w:rPr>
              <w:t>90.00%</w:t>
            </w:r>
          </w:p>
        </w:tc>
      </w:tr>
      <w:tr>
        <w:trPr>
          <w:trHeight w:val="427" w:hRule="exact"/>
        </w:trPr>
        <w:tc>
          <w:tcPr>
            <w:tcW w:w="3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于雪磊</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10,000.00</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z w:val="18"/>
              </w:rPr>
              <w:t>10.00%</w:t>
            </w:r>
          </w:p>
        </w:tc>
      </w:tr>
      <w:tr>
        <w:trPr>
          <w:trHeight w:val="427" w:hRule="exact"/>
        </w:trPr>
        <w:tc>
          <w:tcPr>
            <w:tcW w:w="3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100,000.00</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300" w:lineRule="auto" w:before="49"/>
        <w:ind w:right="1124" w:firstLine="360"/>
        <w:jc w:val="left"/>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日本公司股东会作出决议，公司注册资本由人民币</w:t>
      </w:r>
      <w:r>
        <w:rPr>
          <w:rFonts w:ascii="Times New Roman" w:hAnsi="Times New Roman" w:cs="Times New Roman" w:eastAsia="Times New Roman" w:hint="default"/>
        </w:rPr>
        <w:t>10.00</w:t>
      </w:r>
      <w:r>
        <w:rPr/>
        <w:t>万元增加至人民币</w:t>
      </w:r>
      <w:r>
        <w:rPr>
          <w:rFonts w:ascii="Times New Roman" w:hAnsi="Times New Roman" w:cs="Times New Roman" w:eastAsia="Times New Roman" w:hint="default"/>
        </w:rPr>
        <w:t>100.00</w:t>
      </w:r>
      <w:r>
        <w:rPr/>
        <w:t>万元，新增注册资本人民 币</w:t>
      </w:r>
      <w:r>
        <w:rPr>
          <w:rFonts w:ascii="Times New Roman" w:hAnsi="Times New Roman" w:cs="Times New Roman" w:eastAsia="Times New Roman" w:hint="default"/>
        </w:rPr>
        <w:t>90.00</w:t>
      </w:r>
      <w:r>
        <w:rPr/>
        <w:t>万元，全部由深圳市正达资讯技术有限公司（以下简称：</w:t>
      </w:r>
      <w:r>
        <w:rPr>
          <w:rFonts w:ascii="Times New Roman" w:hAnsi="Times New Roman" w:cs="Times New Roman" w:eastAsia="Times New Roman" w:hint="default"/>
        </w:rPr>
        <w:t>“</w:t>
      </w:r>
      <w:r>
        <w:rPr/>
        <w:t>深圳正达资讯公司</w:t>
      </w:r>
      <w:r>
        <w:rPr>
          <w:rFonts w:ascii="Times New Roman" w:hAnsi="Times New Roman" w:cs="Times New Roman" w:eastAsia="Times New Roman" w:hint="default"/>
        </w:rPr>
        <w:t>”</w:t>
      </w:r>
      <w:r>
        <w:rPr/>
        <w:t>）缴纳。该项增资业经深圳恒瑞会计 师事务所出具的深恒瑞验字（</w:t>
      </w:r>
      <w:r>
        <w:rPr>
          <w:rFonts w:ascii="Times New Roman" w:hAnsi="Times New Roman" w:cs="Times New Roman" w:eastAsia="Times New Roman" w:hint="default"/>
        </w:rPr>
        <w:t>2006</w:t>
      </w:r>
      <w:r>
        <w:rPr/>
        <w:t>）第</w:t>
      </w:r>
      <w:r>
        <w:rPr>
          <w:rFonts w:ascii="Times New Roman" w:hAnsi="Times New Roman" w:cs="Times New Roman" w:eastAsia="Times New Roman" w:hint="default"/>
        </w:rPr>
        <w:t>060</w:t>
      </w:r>
      <w:r>
        <w:rPr/>
        <w:t>号《验资报告》验证，并于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日办理工商变更登记。本次增资完成后的 股权结构如下：</w:t>
      </w:r>
    </w:p>
    <w:p>
      <w:pPr>
        <w:spacing w:line="240" w:lineRule="auto" w:before="12"/>
        <w:rPr>
          <w:rFonts w:ascii="宋体" w:hAnsi="宋体" w:cs="宋体" w:eastAsia="宋体" w:hint="default"/>
          <w:sz w:val="5"/>
          <w:szCs w:val="5"/>
        </w:rPr>
      </w:pPr>
    </w:p>
    <w:tbl>
      <w:tblPr>
        <w:tblW w:w="0" w:type="auto"/>
        <w:jc w:val="left"/>
        <w:tblInd w:w="164" w:type="dxa"/>
        <w:tblLayout w:type="fixed"/>
        <w:tblCellMar>
          <w:top w:w="0" w:type="dxa"/>
          <w:left w:w="0" w:type="dxa"/>
          <w:bottom w:w="0" w:type="dxa"/>
          <w:right w:w="0" w:type="dxa"/>
        </w:tblCellMar>
        <w:tblLook w:val="01E0"/>
      </w:tblPr>
      <w:tblGrid>
        <w:gridCol w:w="3236"/>
        <w:gridCol w:w="3303"/>
        <w:gridCol w:w="3034"/>
      </w:tblGrid>
      <w:tr>
        <w:trPr>
          <w:trHeight w:val="397" w:hRule="exact"/>
        </w:trPr>
        <w:tc>
          <w:tcPr>
            <w:tcW w:w="32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3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7"/>
              <w:ind w:left="832" w:right="0"/>
              <w:jc w:val="left"/>
              <w:rPr>
                <w:rFonts w:ascii="宋体" w:hAnsi="宋体" w:cs="宋体" w:eastAsia="宋体" w:hint="default"/>
                <w:sz w:val="18"/>
                <w:szCs w:val="18"/>
              </w:rPr>
            </w:pPr>
            <w:r>
              <w:rPr>
                <w:rFonts w:ascii="宋体" w:hAnsi="宋体" w:cs="宋体" w:eastAsia="宋体" w:hint="default"/>
                <w:sz w:val="18"/>
                <w:szCs w:val="18"/>
              </w:rPr>
              <w:t>出资额（人民币元）</w:t>
            </w:r>
          </w:p>
        </w:tc>
        <w:tc>
          <w:tcPr>
            <w:tcW w:w="30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出资比例</w:t>
            </w:r>
          </w:p>
        </w:tc>
      </w:tr>
      <w:tr>
        <w:trPr>
          <w:trHeight w:val="444" w:hRule="exact"/>
        </w:trPr>
        <w:tc>
          <w:tcPr>
            <w:tcW w:w="3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2" w:right="0"/>
              <w:jc w:val="left"/>
              <w:rPr>
                <w:rFonts w:ascii="宋体" w:hAnsi="宋体" w:cs="宋体" w:eastAsia="宋体" w:hint="default"/>
                <w:sz w:val="18"/>
                <w:szCs w:val="18"/>
              </w:rPr>
            </w:pPr>
            <w:r>
              <w:rPr>
                <w:rFonts w:ascii="宋体" w:hAnsi="宋体" w:cs="宋体" w:eastAsia="宋体" w:hint="default"/>
                <w:sz w:val="18"/>
                <w:szCs w:val="18"/>
              </w:rPr>
              <w:t>深圳市正达资讯技术有限公司</w:t>
            </w:r>
          </w:p>
        </w:tc>
        <w:tc>
          <w:tcPr>
            <w:tcW w:w="3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pacing w:val="-1"/>
                <w:sz w:val="18"/>
              </w:rPr>
              <w:t>900,000.00</w:t>
            </w:r>
          </w:p>
        </w:tc>
        <w:tc>
          <w:tcPr>
            <w:tcW w:w="3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90.00%</w:t>
            </w:r>
          </w:p>
        </w:tc>
      </w:tr>
      <w:tr>
        <w:trPr>
          <w:trHeight w:val="427" w:hRule="exact"/>
        </w:trPr>
        <w:tc>
          <w:tcPr>
            <w:tcW w:w="3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董栋</w:t>
            </w:r>
          </w:p>
        </w:tc>
        <w:tc>
          <w:tcPr>
            <w:tcW w:w="3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90,000.00</w:t>
            </w:r>
          </w:p>
        </w:tc>
        <w:tc>
          <w:tcPr>
            <w:tcW w:w="3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9.00%</w:t>
            </w:r>
          </w:p>
        </w:tc>
      </w:tr>
      <w:tr>
        <w:trPr>
          <w:trHeight w:val="427" w:hRule="exact"/>
        </w:trPr>
        <w:tc>
          <w:tcPr>
            <w:tcW w:w="3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于雪磊</w:t>
            </w:r>
          </w:p>
        </w:tc>
        <w:tc>
          <w:tcPr>
            <w:tcW w:w="3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10,000.00</w:t>
            </w:r>
          </w:p>
        </w:tc>
        <w:tc>
          <w:tcPr>
            <w:tcW w:w="3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1.00%</w:t>
            </w:r>
          </w:p>
        </w:tc>
      </w:tr>
      <w:tr>
        <w:trPr>
          <w:trHeight w:val="427" w:hRule="exact"/>
        </w:trPr>
        <w:tc>
          <w:tcPr>
            <w:tcW w:w="3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1,000,000.00</w:t>
            </w:r>
          </w:p>
        </w:tc>
        <w:tc>
          <w:tcPr>
            <w:tcW w:w="3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300" w:lineRule="auto" w:before="49"/>
        <w:ind w:right="1128" w:firstLine="360"/>
        <w:jc w:val="both"/>
      </w:pP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15</w:t>
      </w:r>
      <w:r>
        <w:rPr>
          <w:spacing w:val="-1"/>
        </w:rPr>
        <w:t>日本公司股东会作出决议，同意股东深圳正达资讯公司将其持有本公司</w:t>
      </w:r>
      <w:r>
        <w:rPr>
          <w:rFonts w:ascii="Times New Roman" w:hAnsi="Times New Roman" w:cs="Times New Roman" w:eastAsia="Times New Roman" w:hint="default"/>
          <w:spacing w:val="-1"/>
        </w:rPr>
        <w:t>9.00%</w:t>
      </w:r>
      <w:r>
        <w:rPr>
          <w:spacing w:val="-1"/>
        </w:rPr>
        <w:t>的股权以人民币</w:t>
      </w:r>
      <w:r>
        <w:rPr>
          <w:rFonts w:ascii="Times New Roman" w:hAnsi="Times New Roman" w:cs="Times New Roman" w:eastAsia="Times New Roman" w:hint="default"/>
          <w:spacing w:val="-1"/>
        </w:rPr>
        <w:t>9.00</w:t>
      </w:r>
      <w:r>
        <w:rPr>
          <w:spacing w:val="-1"/>
        </w:rPr>
        <w:t>万元的价</w:t>
      </w:r>
      <w:r>
        <w:rPr/>
        <w:t> </w:t>
      </w:r>
      <w:r>
        <w:rPr>
          <w:spacing w:val="-1"/>
        </w:rPr>
        <w:t>格转让给于雪磊；</w:t>
      </w:r>
      <w:r>
        <w:rPr>
          <w:rFonts w:ascii="Times New Roman" w:hAnsi="Times New Roman" w:cs="Times New Roman" w:eastAsia="Times New Roman" w:hint="default"/>
          <w:spacing w:val="-1"/>
        </w:rPr>
        <w:t>81.00%</w:t>
      </w:r>
      <w:r>
        <w:rPr>
          <w:spacing w:val="-1"/>
        </w:rPr>
        <w:t>的股权以人民币</w:t>
      </w:r>
      <w:r>
        <w:rPr>
          <w:rFonts w:ascii="Times New Roman" w:hAnsi="Times New Roman" w:cs="Times New Roman" w:eastAsia="Times New Roman" w:hint="default"/>
          <w:spacing w:val="-1"/>
        </w:rPr>
        <w:t>81.00</w:t>
      </w:r>
      <w:r>
        <w:rPr>
          <w:spacing w:val="-1"/>
        </w:rPr>
        <w:t>万元的价格转让给董栋，并于</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29</w:t>
      </w:r>
      <w:r>
        <w:rPr>
          <w:spacing w:val="-1"/>
        </w:rPr>
        <w:t>日办理工商变更登记。本次股权转</w:t>
      </w:r>
      <w:r>
        <w:rPr>
          <w:spacing w:val="-86"/>
        </w:rPr>
        <w:t> </w:t>
      </w:r>
      <w:r>
        <w:rPr>
          <w:spacing w:val="-86"/>
        </w:rPr>
      </w:r>
      <w:r>
        <w:rPr/>
        <w:t>让完成后的股权结构如下：</w:t>
      </w:r>
    </w:p>
    <w:p>
      <w:pPr>
        <w:spacing w:line="240" w:lineRule="auto" w:before="9"/>
        <w:rPr>
          <w:rFonts w:ascii="宋体" w:hAnsi="宋体" w:cs="宋体" w:eastAsia="宋体" w:hint="default"/>
          <w:sz w:val="4"/>
          <w:szCs w:val="4"/>
        </w:rPr>
      </w:pPr>
    </w:p>
    <w:tbl>
      <w:tblPr>
        <w:tblW w:w="0" w:type="auto"/>
        <w:jc w:val="left"/>
        <w:tblInd w:w="164" w:type="dxa"/>
        <w:tblLayout w:type="fixed"/>
        <w:tblCellMar>
          <w:top w:w="0" w:type="dxa"/>
          <w:left w:w="0" w:type="dxa"/>
          <w:bottom w:w="0" w:type="dxa"/>
          <w:right w:w="0" w:type="dxa"/>
        </w:tblCellMar>
        <w:tblLook w:val="01E0"/>
      </w:tblPr>
      <w:tblGrid>
        <w:gridCol w:w="3231"/>
        <w:gridCol w:w="3312"/>
        <w:gridCol w:w="3015"/>
      </w:tblGrid>
      <w:tr>
        <w:trPr>
          <w:trHeight w:val="427" w:hRule="exact"/>
        </w:trPr>
        <w:tc>
          <w:tcPr>
            <w:tcW w:w="32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3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837" w:right="0"/>
              <w:jc w:val="left"/>
              <w:rPr>
                <w:rFonts w:ascii="宋体" w:hAnsi="宋体" w:cs="宋体" w:eastAsia="宋体" w:hint="default"/>
                <w:sz w:val="18"/>
                <w:szCs w:val="18"/>
              </w:rPr>
            </w:pPr>
            <w:r>
              <w:rPr>
                <w:rFonts w:ascii="宋体" w:hAnsi="宋体" w:cs="宋体" w:eastAsia="宋体" w:hint="default"/>
                <w:sz w:val="18"/>
                <w:szCs w:val="18"/>
              </w:rPr>
              <w:t>出资额（人民币元）</w:t>
            </w:r>
          </w:p>
        </w:tc>
        <w:tc>
          <w:tcPr>
            <w:tcW w:w="301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出资比例</w:t>
            </w:r>
          </w:p>
        </w:tc>
      </w:tr>
      <w:tr>
        <w:trPr>
          <w:trHeight w:val="427" w:hRule="exact"/>
        </w:trPr>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董栋</w:t>
            </w:r>
          </w:p>
        </w:tc>
        <w:tc>
          <w:tcPr>
            <w:tcW w:w="3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z w:val="18"/>
              </w:rPr>
              <w:t>900,000.00</w:t>
            </w:r>
          </w:p>
        </w:tc>
        <w:tc>
          <w:tcPr>
            <w:tcW w:w="3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90.00%</w:t>
            </w:r>
          </w:p>
        </w:tc>
      </w:tr>
      <w:tr>
        <w:trPr>
          <w:trHeight w:val="427" w:hRule="exact"/>
        </w:trPr>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于雪磊</w:t>
            </w:r>
          </w:p>
        </w:tc>
        <w:tc>
          <w:tcPr>
            <w:tcW w:w="3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z w:val="18"/>
              </w:rPr>
              <w:t>100,000.00</w:t>
            </w:r>
          </w:p>
        </w:tc>
        <w:tc>
          <w:tcPr>
            <w:tcW w:w="3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10.00%</w:t>
            </w:r>
          </w:p>
        </w:tc>
      </w:tr>
      <w:tr>
        <w:trPr>
          <w:trHeight w:val="427" w:hRule="exact"/>
        </w:trPr>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1,000,000.00</w:t>
            </w:r>
          </w:p>
        </w:tc>
        <w:tc>
          <w:tcPr>
            <w:tcW w:w="3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300" w:lineRule="auto" w:before="49"/>
        <w:ind w:right="1154" w:firstLine="360"/>
        <w:jc w:val="left"/>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日本公司股东会作出决议，同意股东董栋将其持有本公司</w:t>
      </w:r>
      <w:r>
        <w:rPr>
          <w:rFonts w:ascii="Times New Roman" w:hAnsi="Times New Roman" w:cs="Times New Roman" w:eastAsia="Times New Roman" w:hint="default"/>
        </w:rPr>
        <w:t>30.00%</w:t>
      </w:r>
      <w:r>
        <w:rPr/>
        <w:t>的股权以人民币</w:t>
      </w:r>
      <w:r>
        <w:rPr>
          <w:rFonts w:ascii="Times New Roman" w:hAnsi="Times New Roman" w:cs="Times New Roman" w:eastAsia="Times New Roman" w:hint="default"/>
        </w:rPr>
        <w:t>30.00</w:t>
      </w:r>
      <w:r>
        <w:rPr/>
        <w:t>万元的价格转让给苏 莹，并于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日办理工商变更登记。本次股权转让完成后的股权结构如下：</w:t>
      </w:r>
    </w:p>
    <w:p>
      <w:pPr>
        <w:spacing w:line="240" w:lineRule="auto" w:before="6"/>
        <w:rPr>
          <w:rFonts w:ascii="宋体" w:hAnsi="宋体" w:cs="宋体" w:eastAsia="宋体" w:hint="default"/>
          <w:sz w:val="3"/>
          <w:szCs w:val="3"/>
        </w:rPr>
      </w:pPr>
    </w:p>
    <w:tbl>
      <w:tblPr>
        <w:tblW w:w="0" w:type="auto"/>
        <w:jc w:val="left"/>
        <w:tblInd w:w="164" w:type="dxa"/>
        <w:tblLayout w:type="fixed"/>
        <w:tblCellMar>
          <w:top w:w="0" w:type="dxa"/>
          <w:left w:w="0" w:type="dxa"/>
          <w:bottom w:w="0" w:type="dxa"/>
          <w:right w:w="0" w:type="dxa"/>
        </w:tblCellMar>
        <w:tblLook w:val="01E0"/>
      </w:tblPr>
      <w:tblGrid>
        <w:gridCol w:w="3368"/>
        <w:gridCol w:w="3190"/>
        <w:gridCol w:w="2960"/>
      </w:tblGrid>
      <w:tr>
        <w:trPr>
          <w:trHeight w:val="425" w:hRule="exact"/>
        </w:trPr>
        <w:tc>
          <w:tcPr>
            <w:tcW w:w="33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1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777" w:right="0"/>
              <w:jc w:val="left"/>
              <w:rPr>
                <w:rFonts w:ascii="宋体" w:hAnsi="宋体" w:cs="宋体" w:eastAsia="宋体" w:hint="default"/>
                <w:sz w:val="18"/>
                <w:szCs w:val="18"/>
              </w:rPr>
            </w:pPr>
            <w:r>
              <w:rPr>
                <w:rFonts w:ascii="宋体" w:hAnsi="宋体" w:cs="宋体" w:eastAsia="宋体" w:hint="default"/>
                <w:sz w:val="18"/>
                <w:szCs w:val="18"/>
              </w:rPr>
              <w:t>出资额（人民币元）</w:t>
            </w:r>
          </w:p>
        </w:tc>
        <w:tc>
          <w:tcPr>
            <w:tcW w:w="29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出资比例</w:t>
            </w:r>
          </w:p>
        </w:tc>
      </w:tr>
      <w:tr>
        <w:trPr>
          <w:trHeight w:val="428" w:hRule="exact"/>
        </w:trPr>
        <w:tc>
          <w:tcPr>
            <w:tcW w:w="3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董栋</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z w:val="18"/>
              </w:rPr>
              <w:t>600,000.00</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60.00%</w:t>
            </w:r>
          </w:p>
        </w:tc>
      </w:tr>
      <w:tr>
        <w:trPr>
          <w:trHeight w:val="427" w:hRule="exact"/>
        </w:trPr>
        <w:tc>
          <w:tcPr>
            <w:tcW w:w="3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苏莹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z w:val="18"/>
              </w:rPr>
              <w:t>300,000.00</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30.00%</w:t>
            </w:r>
          </w:p>
        </w:tc>
      </w:tr>
      <w:tr>
        <w:trPr>
          <w:trHeight w:val="427" w:hRule="exact"/>
        </w:trPr>
        <w:tc>
          <w:tcPr>
            <w:tcW w:w="3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于雪磊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z w:val="18"/>
              </w:rPr>
              <w:t>100,000.00</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10.00%</w:t>
            </w:r>
          </w:p>
        </w:tc>
      </w:tr>
      <w:tr>
        <w:trPr>
          <w:trHeight w:val="427" w:hRule="exact"/>
        </w:trPr>
        <w:tc>
          <w:tcPr>
            <w:tcW w:w="3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1,000,000.00</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300" w:lineRule="auto" w:before="49"/>
        <w:ind w:right="1126" w:firstLine="360"/>
        <w:jc w:val="both"/>
      </w:pP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10</w:t>
      </w:r>
      <w:r>
        <w:rPr>
          <w:spacing w:val="-2"/>
        </w:rPr>
        <w:t>日本公司股东会作出决议，公司注册资本由人民币</w:t>
      </w:r>
      <w:r>
        <w:rPr>
          <w:rFonts w:ascii="Times New Roman" w:hAnsi="Times New Roman" w:cs="Times New Roman" w:eastAsia="Times New Roman" w:hint="default"/>
          <w:spacing w:val="-2"/>
        </w:rPr>
        <w:t>100.00</w:t>
      </w:r>
      <w:r>
        <w:rPr>
          <w:spacing w:val="-2"/>
        </w:rPr>
        <w:t>万元增加至人民币</w:t>
      </w:r>
      <w:r>
        <w:rPr>
          <w:rFonts w:ascii="Times New Roman" w:hAnsi="Times New Roman" w:cs="Times New Roman" w:eastAsia="Times New Roman" w:hint="default"/>
          <w:spacing w:val="-2"/>
        </w:rPr>
        <w:t>500.00</w:t>
      </w:r>
      <w:r>
        <w:rPr>
          <w:spacing w:val="-2"/>
        </w:rPr>
        <w:t>万元，新增注册资本人民</w:t>
      </w:r>
      <w:r>
        <w:rPr/>
        <w:t> </w:t>
      </w:r>
      <w:r>
        <w:rPr>
          <w:spacing w:val="-2"/>
        </w:rPr>
        <w:t>币</w:t>
      </w:r>
      <w:r>
        <w:rPr>
          <w:rFonts w:ascii="Times New Roman" w:hAnsi="Times New Roman" w:cs="Times New Roman" w:eastAsia="Times New Roman" w:hint="default"/>
          <w:spacing w:val="-2"/>
        </w:rPr>
        <w:t>400.00</w:t>
      </w:r>
      <w:r>
        <w:rPr>
          <w:spacing w:val="-2"/>
        </w:rPr>
        <w:t>万元，全部由深圳正达资讯公司缴纳。该项增资业经深圳皇嘉会计师事务所出具的深皇嘉所验字</w:t>
      </w:r>
      <w:r>
        <w:rPr>
          <w:rFonts w:ascii="Times New Roman" w:hAnsi="Times New Roman" w:cs="Times New Roman" w:eastAsia="Times New Roman" w:hint="default"/>
          <w:spacing w:val="-2"/>
        </w:rPr>
        <w:t>[2007]231</w:t>
      </w:r>
      <w:r>
        <w:rPr>
          <w:spacing w:val="-2"/>
        </w:rPr>
        <w:t>号《验资</w:t>
      </w:r>
      <w:r>
        <w:rPr>
          <w:spacing w:val="-41"/>
        </w:rPr>
        <w:t> </w:t>
      </w:r>
      <w:r>
        <w:rPr>
          <w:spacing w:val="-41"/>
        </w:rPr>
      </w:r>
      <w:r>
        <w:rPr/>
        <w:t>报告》验证，并于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27</w:t>
      </w:r>
      <w:r>
        <w:rPr/>
        <w:t>日办理工商变更登记。本次增资完成后的股权结构如下：</w:t>
      </w:r>
    </w:p>
    <w:p>
      <w:pPr>
        <w:spacing w:after="0" w:line="300" w:lineRule="auto"/>
        <w:jc w:val="both"/>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4" w:type="dxa"/>
        <w:tblLayout w:type="fixed"/>
        <w:tblCellMar>
          <w:top w:w="0" w:type="dxa"/>
          <w:left w:w="0" w:type="dxa"/>
          <w:bottom w:w="0" w:type="dxa"/>
          <w:right w:w="0" w:type="dxa"/>
        </w:tblCellMar>
        <w:tblLook w:val="01E0"/>
      </w:tblPr>
      <w:tblGrid>
        <w:gridCol w:w="3399"/>
        <w:gridCol w:w="3236"/>
        <w:gridCol w:w="2969"/>
      </w:tblGrid>
      <w:tr>
        <w:trPr>
          <w:trHeight w:val="428" w:hRule="exact"/>
        </w:trPr>
        <w:tc>
          <w:tcPr>
            <w:tcW w:w="33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2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799" w:right="0"/>
              <w:jc w:val="left"/>
              <w:rPr>
                <w:rFonts w:ascii="宋体" w:hAnsi="宋体" w:cs="宋体" w:eastAsia="宋体" w:hint="default"/>
                <w:sz w:val="18"/>
                <w:szCs w:val="18"/>
              </w:rPr>
            </w:pPr>
            <w:r>
              <w:rPr>
                <w:rFonts w:ascii="宋体" w:hAnsi="宋体" w:cs="宋体" w:eastAsia="宋体" w:hint="default"/>
                <w:sz w:val="18"/>
                <w:szCs w:val="18"/>
              </w:rPr>
              <w:t>出资额（人民币元）</w:t>
            </w:r>
          </w:p>
        </w:tc>
        <w:tc>
          <w:tcPr>
            <w:tcW w:w="29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出资比例</w:t>
            </w:r>
          </w:p>
        </w:tc>
      </w:tr>
      <w:tr>
        <w:trPr>
          <w:trHeight w:val="427" w:hRule="exact"/>
        </w:trPr>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深圳市正达资讯技术有限公司</w:t>
            </w:r>
          </w:p>
        </w:tc>
        <w:tc>
          <w:tcPr>
            <w:tcW w:w="3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4,000,000.00</w:t>
            </w:r>
          </w:p>
        </w:tc>
        <w:tc>
          <w:tcPr>
            <w:tcW w:w="2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80.00%</w:t>
            </w:r>
          </w:p>
        </w:tc>
      </w:tr>
      <w:tr>
        <w:trPr>
          <w:trHeight w:val="427" w:hRule="exact"/>
        </w:trPr>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董栋</w:t>
            </w:r>
          </w:p>
        </w:tc>
        <w:tc>
          <w:tcPr>
            <w:tcW w:w="3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z w:val="18"/>
              </w:rPr>
              <w:t>600,000.00</w:t>
            </w:r>
          </w:p>
        </w:tc>
        <w:tc>
          <w:tcPr>
            <w:tcW w:w="2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12.00%</w:t>
            </w:r>
          </w:p>
        </w:tc>
      </w:tr>
      <w:tr>
        <w:trPr>
          <w:trHeight w:val="427" w:hRule="exact"/>
        </w:trPr>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苏莹</w:t>
            </w:r>
          </w:p>
        </w:tc>
        <w:tc>
          <w:tcPr>
            <w:tcW w:w="3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z w:val="18"/>
              </w:rPr>
              <w:t>300,000.00</w:t>
            </w:r>
          </w:p>
        </w:tc>
        <w:tc>
          <w:tcPr>
            <w:tcW w:w="2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6.00%</w:t>
            </w:r>
          </w:p>
        </w:tc>
      </w:tr>
      <w:tr>
        <w:trPr>
          <w:trHeight w:val="427" w:hRule="exact"/>
        </w:trPr>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于雪磊</w:t>
            </w:r>
          </w:p>
        </w:tc>
        <w:tc>
          <w:tcPr>
            <w:tcW w:w="3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z w:val="18"/>
              </w:rPr>
              <w:t>100,000.00</w:t>
            </w:r>
          </w:p>
        </w:tc>
        <w:tc>
          <w:tcPr>
            <w:tcW w:w="2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2.00%</w:t>
            </w:r>
          </w:p>
        </w:tc>
      </w:tr>
      <w:tr>
        <w:trPr>
          <w:trHeight w:val="427" w:hRule="exact"/>
        </w:trPr>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5,000,000.00</w:t>
            </w:r>
          </w:p>
        </w:tc>
        <w:tc>
          <w:tcPr>
            <w:tcW w:w="2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300" w:lineRule="auto" w:before="49"/>
        <w:ind w:right="1131" w:firstLine="360"/>
        <w:jc w:val="both"/>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日本公司股东会作出决议，公司注册资本由人民币</w:t>
      </w:r>
      <w:r>
        <w:rPr>
          <w:rFonts w:ascii="Times New Roman" w:hAnsi="Times New Roman" w:cs="Times New Roman" w:eastAsia="Times New Roman" w:hint="default"/>
        </w:rPr>
        <w:t>500.00</w:t>
      </w:r>
      <w:r>
        <w:rPr/>
        <w:t>万元增加至人民币</w:t>
      </w:r>
      <w:r>
        <w:rPr>
          <w:rFonts w:ascii="Times New Roman" w:hAnsi="Times New Roman" w:cs="Times New Roman" w:eastAsia="Times New Roman" w:hint="default"/>
        </w:rPr>
        <w:t>1,000.00</w:t>
      </w:r>
      <w:r>
        <w:rPr/>
        <w:t>万元，新增注册资本人 </w:t>
      </w:r>
      <w:r>
        <w:rPr>
          <w:spacing w:val="-2"/>
        </w:rPr>
        <w:t>民币</w:t>
      </w:r>
      <w:r>
        <w:rPr>
          <w:rFonts w:ascii="Times New Roman" w:hAnsi="Times New Roman" w:cs="Times New Roman" w:eastAsia="Times New Roman" w:hint="default"/>
          <w:spacing w:val="-2"/>
        </w:rPr>
        <w:t>500.00</w:t>
      </w:r>
      <w:r>
        <w:rPr>
          <w:spacing w:val="-2"/>
        </w:rPr>
        <w:t>万元，全部由深圳正达资讯公司缴纳。该项增资业经深圳皇嘉会计师事务所出具的深皇嘉所验字</w:t>
      </w:r>
      <w:r>
        <w:rPr>
          <w:rFonts w:ascii="Times New Roman" w:hAnsi="Times New Roman" w:cs="Times New Roman" w:eastAsia="Times New Roman" w:hint="default"/>
          <w:spacing w:val="-2"/>
        </w:rPr>
        <w:t>[2007]264</w:t>
      </w:r>
      <w:r>
        <w:rPr>
          <w:spacing w:val="-2"/>
        </w:rPr>
        <w:t>号《验</w:t>
      </w:r>
      <w:r>
        <w:rPr>
          <w:spacing w:val="-41"/>
        </w:rPr>
        <w:t> </w:t>
      </w:r>
      <w:r>
        <w:rPr>
          <w:spacing w:val="-41"/>
        </w:rPr>
      </w:r>
      <w:r>
        <w:rPr/>
        <w:t>资报告》验证，并于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日办理工商变更登记。本次增资完成后的股权结构如下：</w:t>
      </w:r>
    </w:p>
    <w:p>
      <w:pPr>
        <w:spacing w:line="240" w:lineRule="auto" w:before="5"/>
        <w:rPr>
          <w:rFonts w:ascii="宋体" w:hAnsi="宋体" w:cs="宋体" w:eastAsia="宋体" w:hint="default"/>
          <w:sz w:val="4"/>
          <w:szCs w:val="4"/>
        </w:rPr>
      </w:pPr>
    </w:p>
    <w:tbl>
      <w:tblPr>
        <w:tblW w:w="0" w:type="auto"/>
        <w:jc w:val="left"/>
        <w:tblInd w:w="164" w:type="dxa"/>
        <w:tblLayout w:type="fixed"/>
        <w:tblCellMar>
          <w:top w:w="0" w:type="dxa"/>
          <w:left w:w="0" w:type="dxa"/>
          <w:bottom w:w="0" w:type="dxa"/>
          <w:right w:w="0" w:type="dxa"/>
        </w:tblCellMar>
        <w:tblLook w:val="01E0"/>
      </w:tblPr>
      <w:tblGrid>
        <w:gridCol w:w="3426"/>
        <w:gridCol w:w="3248"/>
        <w:gridCol w:w="3008"/>
      </w:tblGrid>
      <w:tr>
        <w:trPr>
          <w:trHeight w:val="416" w:hRule="exact"/>
        </w:trPr>
        <w:tc>
          <w:tcPr>
            <w:tcW w:w="34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2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6"/>
              <w:ind w:left="808" w:right="0"/>
              <w:jc w:val="left"/>
              <w:rPr>
                <w:rFonts w:ascii="宋体" w:hAnsi="宋体" w:cs="宋体" w:eastAsia="宋体" w:hint="default"/>
                <w:sz w:val="18"/>
                <w:szCs w:val="18"/>
              </w:rPr>
            </w:pPr>
            <w:r>
              <w:rPr>
                <w:rFonts w:ascii="宋体" w:hAnsi="宋体" w:cs="宋体" w:eastAsia="宋体" w:hint="default"/>
                <w:sz w:val="18"/>
                <w:szCs w:val="18"/>
              </w:rPr>
              <w:t>出资额（人民币元）</w:t>
            </w:r>
          </w:p>
        </w:tc>
        <w:tc>
          <w:tcPr>
            <w:tcW w:w="30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6"/>
              <w:ind w:left="3" w:right="0"/>
              <w:jc w:val="center"/>
              <w:rPr>
                <w:rFonts w:ascii="宋体" w:hAnsi="宋体" w:cs="宋体" w:eastAsia="宋体" w:hint="default"/>
                <w:sz w:val="18"/>
                <w:szCs w:val="18"/>
              </w:rPr>
            </w:pPr>
            <w:r>
              <w:rPr>
                <w:rFonts w:ascii="宋体" w:hAnsi="宋体" w:cs="宋体" w:eastAsia="宋体" w:hint="default"/>
                <w:sz w:val="18"/>
                <w:szCs w:val="18"/>
              </w:rPr>
              <w:t>出资比例</w:t>
            </w:r>
          </w:p>
        </w:tc>
      </w:tr>
      <w:tr>
        <w:trPr>
          <w:trHeight w:val="427" w:hRule="exact"/>
        </w:trPr>
        <w:tc>
          <w:tcPr>
            <w:tcW w:w="3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深圳市正达资讯技术有限公司</w:t>
            </w:r>
          </w:p>
        </w:tc>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9,000,000.00</w:t>
            </w:r>
          </w:p>
        </w:tc>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z w:val="18"/>
              </w:rPr>
              <w:t>90.00%</w:t>
            </w:r>
          </w:p>
        </w:tc>
      </w:tr>
      <w:tr>
        <w:trPr>
          <w:trHeight w:val="427" w:hRule="exact"/>
        </w:trPr>
        <w:tc>
          <w:tcPr>
            <w:tcW w:w="3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董栋</w:t>
            </w:r>
          </w:p>
        </w:tc>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600,000.00</w:t>
            </w:r>
          </w:p>
        </w:tc>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6.00%</w:t>
            </w:r>
          </w:p>
        </w:tc>
      </w:tr>
      <w:tr>
        <w:trPr>
          <w:trHeight w:val="427" w:hRule="exact"/>
        </w:trPr>
        <w:tc>
          <w:tcPr>
            <w:tcW w:w="3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苏莹</w:t>
            </w:r>
          </w:p>
        </w:tc>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300,000.00</w:t>
            </w:r>
          </w:p>
        </w:tc>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3.00%</w:t>
            </w:r>
          </w:p>
        </w:tc>
      </w:tr>
      <w:tr>
        <w:trPr>
          <w:trHeight w:val="427" w:hRule="exact"/>
        </w:trPr>
        <w:tc>
          <w:tcPr>
            <w:tcW w:w="3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于雪磊</w:t>
            </w:r>
          </w:p>
        </w:tc>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100,000.00</w:t>
            </w:r>
          </w:p>
        </w:tc>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1.00%</w:t>
            </w:r>
          </w:p>
        </w:tc>
      </w:tr>
      <w:tr>
        <w:trPr>
          <w:trHeight w:val="427" w:hRule="exact"/>
        </w:trPr>
        <w:tc>
          <w:tcPr>
            <w:tcW w:w="3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10,000,000.00</w:t>
            </w:r>
          </w:p>
        </w:tc>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300" w:lineRule="auto" w:before="49"/>
        <w:ind w:right="1128" w:firstLine="360"/>
        <w:jc w:val="both"/>
      </w:pP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30</w:t>
      </w:r>
      <w:r>
        <w:rPr>
          <w:spacing w:val="-1"/>
        </w:rPr>
        <w:t>日本公司股东会作出决议，同意于雪磊、董栋、苏莹将其持有本公司</w:t>
      </w:r>
      <w:r>
        <w:rPr>
          <w:rFonts w:ascii="Times New Roman" w:hAnsi="Times New Roman" w:cs="Times New Roman" w:eastAsia="Times New Roman" w:hint="default"/>
          <w:spacing w:val="-1"/>
        </w:rPr>
        <w:t>1.00%</w:t>
      </w:r>
      <w:r>
        <w:rPr>
          <w:spacing w:val="-1"/>
        </w:rPr>
        <w:t>、</w:t>
      </w:r>
      <w:r>
        <w:rPr>
          <w:rFonts w:ascii="Times New Roman" w:hAnsi="Times New Roman" w:cs="Times New Roman" w:eastAsia="Times New Roman" w:hint="default"/>
          <w:spacing w:val="-1"/>
        </w:rPr>
        <w:t>6.00%</w:t>
      </w:r>
      <w:r>
        <w:rPr>
          <w:spacing w:val="-1"/>
        </w:rPr>
        <w:t>、</w:t>
      </w:r>
      <w:r>
        <w:rPr>
          <w:rFonts w:ascii="Times New Roman" w:hAnsi="Times New Roman" w:cs="Times New Roman" w:eastAsia="Times New Roman" w:hint="default"/>
          <w:spacing w:val="-1"/>
        </w:rPr>
        <w:t>3.00%</w:t>
      </w:r>
      <w:r>
        <w:rPr>
          <w:spacing w:val="-1"/>
        </w:rPr>
        <w:t>的股权分别以</w:t>
      </w:r>
      <w:r>
        <w:rPr/>
        <w:t> </w:t>
      </w:r>
      <w:r>
        <w:rPr>
          <w:spacing w:val="-1"/>
        </w:rPr>
        <w:t>人民币</w:t>
      </w:r>
      <w:r>
        <w:rPr>
          <w:rFonts w:ascii="Times New Roman" w:hAnsi="Times New Roman" w:cs="Times New Roman" w:eastAsia="Times New Roman" w:hint="default"/>
          <w:spacing w:val="-1"/>
        </w:rPr>
        <w:t>10.00</w:t>
      </w:r>
      <w:r>
        <w:rPr>
          <w:spacing w:val="-1"/>
        </w:rPr>
        <w:t>万元、</w:t>
      </w:r>
      <w:r>
        <w:rPr>
          <w:rFonts w:ascii="Times New Roman" w:hAnsi="Times New Roman" w:cs="Times New Roman" w:eastAsia="Times New Roman" w:hint="default"/>
          <w:spacing w:val="-1"/>
        </w:rPr>
        <w:t>60.00</w:t>
      </w:r>
      <w:r>
        <w:rPr>
          <w:spacing w:val="-1"/>
        </w:rPr>
        <w:t>万元、</w:t>
      </w:r>
      <w:r>
        <w:rPr>
          <w:rFonts w:ascii="Times New Roman" w:hAnsi="Times New Roman" w:cs="Times New Roman" w:eastAsia="Times New Roman" w:hint="default"/>
          <w:spacing w:val="-1"/>
        </w:rPr>
        <w:t>30.00</w:t>
      </w:r>
      <w:r>
        <w:rPr>
          <w:spacing w:val="-1"/>
        </w:rPr>
        <w:t>万元的价格转让给深圳正达资讯公司，并于</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18</w:t>
      </w:r>
      <w:r>
        <w:rPr>
          <w:spacing w:val="-1"/>
        </w:rPr>
        <w:t>日办理工商变更登记。本次股</w:t>
      </w:r>
      <w:r>
        <w:rPr>
          <w:spacing w:val="-65"/>
        </w:rPr>
        <w:t> </w:t>
      </w:r>
      <w:r>
        <w:rPr>
          <w:spacing w:val="-65"/>
        </w:rPr>
      </w:r>
      <w:r>
        <w:rPr/>
        <w:t>权转让完成后，深圳正达资讯公司持有本公司</w:t>
      </w:r>
      <w:r>
        <w:rPr>
          <w:rFonts w:ascii="Times New Roman" w:hAnsi="Times New Roman" w:cs="Times New Roman" w:eastAsia="Times New Roman" w:hint="default"/>
        </w:rPr>
        <w:t>100.00%</w:t>
      </w:r>
      <w:r>
        <w:rPr/>
        <w:t>股权。</w:t>
      </w:r>
    </w:p>
    <w:p>
      <w:pPr>
        <w:pStyle w:val="BodyText"/>
        <w:spacing w:line="300" w:lineRule="auto" w:before="53"/>
        <w:ind w:right="1133" w:firstLine="360"/>
        <w:jc w:val="left"/>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日本公司股东会作出决议，同意深圳正达资讯公司将其持有本公司</w:t>
      </w:r>
      <w:r>
        <w:rPr>
          <w:rFonts w:ascii="Times New Roman" w:hAnsi="Times New Roman" w:cs="Times New Roman" w:eastAsia="Times New Roman" w:hint="default"/>
        </w:rPr>
        <w:t>100.00%</w:t>
      </w:r>
      <w:r>
        <w:rPr/>
        <w:t>的股权以人民币</w:t>
      </w:r>
      <w:r>
        <w:rPr>
          <w:rFonts w:ascii="Times New Roman" w:hAnsi="Times New Roman" w:cs="Times New Roman" w:eastAsia="Times New Roman" w:hint="default"/>
        </w:rPr>
        <w:t>1,000.00</w:t>
      </w:r>
      <w:r>
        <w:rPr/>
        <w:t>万元 </w:t>
      </w:r>
      <w:r>
        <w:rPr>
          <w:spacing w:val="-2"/>
        </w:rPr>
        <w:t>的价格转让给深圳市宏运兴科技有限公司（以下简称</w:t>
      </w:r>
      <w:r>
        <w:rPr>
          <w:rFonts w:ascii="Times New Roman" w:hAnsi="Times New Roman" w:cs="Times New Roman" w:eastAsia="Times New Roman" w:hint="default"/>
          <w:spacing w:val="-2"/>
        </w:rPr>
        <w:t>“</w:t>
      </w:r>
      <w:r>
        <w:rPr>
          <w:spacing w:val="-2"/>
        </w:rPr>
        <w:t>深圳宏运兴公司</w:t>
      </w:r>
      <w:r>
        <w:rPr>
          <w:rFonts w:ascii="Times New Roman" w:hAnsi="Times New Roman" w:cs="Times New Roman" w:eastAsia="Times New Roman" w:hint="default"/>
          <w:spacing w:val="-2"/>
        </w:rPr>
        <w:t>”</w:t>
      </w:r>
      <w:r>
        <w:rPr>
          <w:spacing w:val="-2"/>
        </w:rPr>
        <w:t>），并于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9</w:t>
      </w:r>
      <w:r>
        <w:rPr>
          <w:spacing w:val="-2"/>
        </w:rPr>
        <w:t>日办理工商变更登记。本次股权</w:t>
      </w:r>
      <w:r>
        <w:rPr>
          <w:spacing w:val="-41"/>
        </w:rPr>
        <w:t> </w:t>
      </w:r>
      <w:r>
        <w:rPr>
          <w:spacing w:val="-41"/>
        </w:rPr>
      </w:r>
      <w:r>
        <w:rPr/>
        <w:t>转让完成后，深圳宏运兴公司持有本公司</w:t>
      </w:r>
      <w:r>
        <w:rPr>
          <w:rFonts w:ascii="Times New Roman" w:hAnsi="Times New Roman" w:cs="Times New Roman" w:eastAsia="Times New Roman" w:hint="default"/>
        </w:rPr>
        <w:t>100.00%</w:t>
      </w:r>
      <w:r>
        <w:rPr/>
        <w:t>股权。</w:t>
      </w:r>
    </w:p>
    <w:p>
      <w:pPr>
        <w:pStyle w:val="BodyText"/>
        <w:spacing w:line="300" w:lineRule="auto" w:before="53"/>
        <w:ind w:right="1158" w:firstLine="360"/>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日本公司股东会作出决议，同意深圳宏运兴公司将其持有本公司</w:t>
      </w:r>
      <w:r>
        <w:rPr>
          <w:rFonts w:ascii="Times New Roman" w:hAnsi="Times New Roman" w:cs="Times New Roman" w:eastAsia="Times New Roman" w:hint="default"/>
        </w:rPr>
        <w:t>10.00%</w:t>
      </w:r>
      <w:r>
        <w:rPr/>
        <w:t>的股权以</w:t>
      </w:r>
      <w:r>
        <w:rPr>
          <w:rFonts w:ascii="Times New Roman" w:hAnsi="Times New Roman" w:cs="Times New Roman" w:eastAsia="Times New Roman" w:hint="default"/>
        </w:rPr>
        <w:t>100.00</w:t>
      </w:r>
      <w:r>
        <w:rPr/>
        <w:t>万元的价格转让给 深圳市博讯投资有限公司（以下简称</w:t>
      </w:r>
      <w:r>
        <w:rPr>
          <w:rFonts w:ascii="Times New Roman" w:hAnsi="Times New Roman" w:cs="Times New Roman" w:eastAsia="Times New Roman" w:hint="default"/>
        </w:rPr>
        <w:t>“</w:t>
      </w:r>
      <w:r>
        <w:rPr/>
        <w:t>深圳博讯投资公司</w:t>
      </w:r>
      <w:r>
        <w:rPr>
          <w:rFonts w:ascii="Times New Roman" w:hAnsi="Times New Roman" w:cs="Times New Roman" w:eastAsia="Times New Roman" w:hint="default"/>
        </w:rPr>
        <w:t>”</w:t>
      </w:r>
      <w:r>
        <w:rPr/>
        <w:t>），并于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日办理工商变更登记。本次股权转让完成后 的股权结构如下：</w:t>
      </w:r>
    </w:p>
    <w:p>
      <w:pPr>
        <w:spacing w:line="240" w:lineRule="auto" w:before="9"/>
        <w:rPr>
          <w:rFonts w:ascii="宋体" w:hAnsi="宋体" w:cs="宋体" w:eastAsia="宋体" w:hint="default"/>
          <w:sz w:val="4"/>
          <w:szCs w:val="4"/>
        </w:rPr>
      </w:pPr>
    </w:p>
    <w:tbl>
      <w:tblPr>
        <w:tblW w:w="0" w:type="auto"/>
        <w:jc w:val="left"/>
        <w:tblInd w:w="164" w:type="dxa"/>
        <w:tblLayout w:type="fixed"/>
        <w:tblCellMar>
          <w:top w:w="0" w:type="dxa"/>
          <w:left w:w="0" w:type="dxa"/>
          <w:bottom w:w="0" w:type="dxa"/>
          <w:right w:w="0" w:type="dxa"/>
        </w:tblCellMar>
        <w:tblLook w:val="01E0"/>
      </w:tblPr>
      <w:tblGrid>
        <w:gridCol w:w="3383"/>
        <w:gridCol w:w="3166"/>
        <w:gridCol w:w="3041"/>
      </w:tblGrid>
      <w:tr>
        <w:trPr>
          <w:trHeight w:val="427" w:hRule="exact"/>
        </w:trPr>
        <w:tc>
          <w:tcPr>
            <w:tcW w:w="33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1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765" w:right="0"/>
              <w:jc w:val="left"/>
              <w:rPr>
                <w:rFonts w:ascii="宋体" w:hAnsi="宋体" w:cs="宋体" w:eastAsia="宋体" w:hint="default"/>
                <w:sz w:val="18"/>
                <w:szCs w:val="18"/>
              </w:rPr>
            </w:pPr>
            <w:r>
              <w:rPr>
                <w:rFonts w:ascii="宋体" w:hAnsi="宋体" w:cs="宋体" w:eastAsia="宋体" w:hint="default"/>
                <w:sz w:val="18"/>
                <w:szCs w:val="18"/>
              </w:rPr>
              <w:t>出资额（人民币元）</w:t>
            </w:r>
          </w:p>
        </w:tc>
        <w:tc>
          <w:tcPr>
            <w:tcW w:w="30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3" w:right="0"/>
              <w:jc w:val="center"/>
              <w:rPr>
                <w:rFonts w:ascii="宋体" w:hAnsi="宋体" w:cs="宋体" w:eastAsia="宋体" w:hint="default"/>
                <w:sz w:val="18"/>
                <w:szCs w:val="18"/>
              </w:rPr>
            </w:pPr>
            <w:r>
              <w:rPr>
                <w:rFonts w:ascii="宋体" w:hAnsi="宋体" w:cs="宋体" w:eastAsia="宋体" w:hint="default"/>
                <w:sz w:val="18"/>
                <w:szCs w:val="18"/>
              </w:rPr>
              <w:t>出资比例</w:t>
            </w:r>
          </w:p>
        </w:tc>
      </w:tr>
      <w:tr>
        <w:trPr>
          <w:trHeight w:val="427" w:hRule="exact"/>
        </w:trPr>
        <w:tc>
          <w:tcPr>
            <w:tcW w:w="3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深圳市宏运兴科技有限公司</w:t>
            </w: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9,000,000.00</w:t>
            </w:r>
          </w:p>
        </w:tc>
        <w:tc>
          <w:tcPr>
            <w:tcW w:w="3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90.00%</w:t>
            </w:r>
          </w:p>
        </w:tc>
      </w:tr>
      <w:tr>
        <w:trPr>
          <w:trHeight w:val="427" w:hRule="exact"/>
        </w:trPr>
        <w:tc>
          <w:tcPr>
            <w:tcW w:w="3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深圳市博讯投资有限公司</w:t>
            </w: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1,000,000.00</w:t>
            </w:r>
          </w:p>
        </w:tc>
        <w:tc>
          <w:tcPr>
            <w:tcW w:w="3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10.00%</w:t>
            </w:r>
          </w:p>
        </w:tc>
      </w:tr>
      <w:tr>
        <w:trPr>
          <w:trHeight w:val="427" w:hRule="exact"/>
        </w:trPr>
        <w:tc>
          <w:tcPr>
            <w:tcW w:w="3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10,000,000.00</w:t>
            </w:r>
          </w:p>
        </w:tc>
        <w:tc>
          <w:tcPr>
            <w:tcW w:w="3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300" w:lineRule="auto" w:before="49"/>
        <w:ind w:right="1128" w:firstLine="360"/>
        <w:jc w:val="both"/>
      </w:pP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25</w:t>
      </w:r>
      <w:r>
        <w:rPr>
          <w:spacing w:val="-1"/>
        </w:rPr>
        <w:t>日，本公司股东会通过决议，同意深圳宏运兴公司将其持有本公司</w:t>
      </w:r>
      <w:r>
        <w:rPr>
          <w:rFonts w:ascii="Times New Roman" w:hAnsi="Times New Roman" w:cs="Times New Roman" w:eastAsia="Times New Roman" w:hint="default"/>
          <w:spacing w:val="-1"/>
        </w:rPr>
        <w:t>8.00%</w:t>
      </w:r>
      <w:r>
        <w:rPr>
          <w:spacing w:val="-1"/>
        </w:rPr>
        <w:t>的股权以人民币</w:t>
      </w:r>
      <w:r>
        <w:rPr>
          <w:rFonts w:ascii="Times New Roman" w:hAnsi="Times New Roman" w:cs="Times New Roman" w:eastAsia="Times New Roman" w:hint="default"/>
          <w:spacing w:val="-1"/>
        </w:rPr>
        <w:t>208.00</w:t>
      </w:r>
      <w:r>
        <w:rPr>
          <w:spacing w:val="-1"/>
        </w:rPr>
        <w:t>万元等值港</w:t>
      </w:r>
      <w:r>
        <w:rPr/>
        <w:t> 币转让给亚晟发展集团有限公司（以下简称</w:t>
      </w:r>
      <w:r>
        <w:rPr>
          <w:rFonts w:ascii="Times New Roman" w:hAnsi="Times New Roman" w:cs="Times New Roman" w:eastAsia="Times New Roman" w:hint="default"/>
        </w:rPr>
        <w:t>“</w:t>
      </w:r>
      <w:r>
        <w:rPr/>
        <w:t>亚晟公司</w:t>
      </w:r>
      <w:r>
        <w:rPr>
          <w:rFonts w:ascii="Times New Roman" w:hAnsi="Times New Roman" w:cs="Times New Roman" w:eastAsia="Times New Roman" w:hint="default"/>
        </w:rPr>
        <w:t>”</w:t>
      </w:r>
      <w:r>
        <w:rPr/>
        <w:t>）；将其持有公司</w:t>
      </w:r>
      <w:r>
        <w:rPr>
          <w:rFonts w:ascii="Times New Roman" w:hAnsi="Times New Roman" w:cs="Times New Roman" w:eastAsia="Times New Roman" w:hint="default"/>
        </w:rPr>
        <w:t>4.00%</w:t>
      </w:r>
      <w:r>
        <w:rPr/>
        <w:t>的股权以人民币</w:t>
      </w:r>
      <w:r>
        <w:rPr>
          <w:rFonts w:ascii="Times New Roman" w:hAnsi="Times New Roman" w:cs="Times New Roman" w:eastAsia="Times New Roman" w:hint="default"/>
        </w:rPr>
        <w:t>104.00</w:t>
      </w:r>
      <w:r>
        <w:rPr/>
        <w:t>万元等值港币转让给 </w:t>
      </w:r>
      <w:r>
        <w:rPr>
          <w:spacing w:val="-2"/>
        </w:rPr>
        <w:t>斯隆新产品投资有限公司（以下简称</w:t>
      </w:r>
      <w:r>
        <w:rPr>
          <w:rFonts w:ascii="Times New Roman" w:hAnsi="Times New Roman" w:cs="Times New Roman" w:eastAsia="Times New Roman" w:hint="default"/>
          <w:spacing w:val="-2"/>
        </w:rPr>
        <w:t>“</w:t>
      </w:r>
      <w:r>
        <w:rPr>
          <w:spacing w:val="-2"/>
        </w:rPr>
        <w:t>斯隆公司</w:t>
      </w:r>
      <w:r>
        <w:rPr>
          <w:rFonts w:ascii="Times New Roman" w:hAnsi="Times New Roman" w:cs="Times New Roman" w:eastAsia="Times New Roman" w:hint="default"/>
          <w:spacing w:val="-2"/>
        </w:rPr>
        <w:t>”</w:t>
      </w:r>
      <w:r>
        <w:rPr>
          <w:spacing w:val="-2"/>
        </w:rPr>
        <w:t>），并于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9</w:t>
      </w:r>
      <w:r>
        <w:rPr>
          <w:spacing w:val="-2"/>
        </w:rPr>
        <w:t>日办理工商变更登记。本次股权转让完成后的股权结构</w:t>
      </w:r>
      <w:r>
        <w:rPr>
          <w:spacing w:val="-40"/>
        </w:rPr>
        <w:t> </w:t>
      </w:r>
      <w:r>
        <w:rPr>
          <w:spacing w:val="-40"/>
        </w:rPr>
      </w:r>
      <w:r>
        <w:rPr/>
        <w:t>如下：</w:t>
      </w:r>
    </w:p>
    <w:p>
      <w:pPr>
        <w:spacing w:line="240" w:lineRule="auto" w:before="12"/>
        <w:rPr>
          <w:rFonts w:ascii="宋体" w:hAnsi="宋体" w:cs="宋体" w:eastAsia="宋体" w:hint="default"/>
          <w:sz w:val="4"/>
          <w:szCs w:val="4"/>
        </w:rPr>
      </w:pPr>
    </w:p>
    <w:tbl>
      <w:tblPr>
        <w:tblW w:w="0" w:type="auto"/>
        <w:jc w:val="left"/>
        <w:tblInd w:w="164" w:type="dxa"/>
        <w:tblLayout w:type="fixed"/>
        <w:tblCellMar>
          <w:top w:w="0" w:type="dxa"/>
          <w:left w:w="0" w:type="dxa"/>
          <w:bottom w:w="0" w:type="dxa"/>
          <w:right w:w="0" w:type="dxa"/>
        </w:tblCellMar>
        <w:tblLook w:val="01E0"/>
      </w:tblPr>
      <w:tblGrid>
        <w:gridCol w:w="3397"/>
        <w:gridCol w:w="3202"/>
        <w:gridCol w:w="3063"/>
      </w:tblGrid>
      <w:tr>
        <w:trPr>
          <w:trHeight w:val="421" w:hRule="exact"/>
        </w:trPr>
        <w:tc>
          <w:tcPr>
            <w:tcW w:w="33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2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784" w:right="0"/>
              <w:jc w:val="left"/>
              <w:rPr>
                <w:rFonts w:ascii="宋体" w:hAnsi="宋体" w:cs="宋体" w:eastAsia="宋体" w:hint="default"/>
                <w:sz w:val="18"/>
                <w:szCs w:val="18"/>
              </w:rPr>
            </w:pPr>
            <w:r>
              <w:rPr>
                <w:rFonts w:ascii="宋体" w:hAnsi="宋体" w:cs="宋体" w:eastAsia="宋体" w:hint="default"/>
                <w:sz w:val="18"/>
                <w:szCs w:val="18"/>
              </w:rPr>
              <w:t>出资额（人民币元）</w:t>
            </w:r>
          </w:p>
        </w:tc>
        <w:tc>
          <w:tcPr>
            <w:tcW w:w="30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出资比例</w:t>
            </w:r>
          </w:p>
        </w:tc>
      </w:tr>
      <w:tr>
        <w:trPr>
          <w:trHeight w:val="433" w:hRule="exact"/>
        </w:trPr>
        <w:tc>
          <w:tcPr>
            <w:tcW w:w="3397"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深圳市宏运兴科技有限公司</w:t>
            </w:r>
          </w:p>
        </w:tc>
        <w:tc>
          <w:tcPr>
            <w:tcW w:w="3202"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7,800,000.00</w:t>
            </w:r>
          </w:p>
        </w:tc>
        <w:tc>
          <w:tcPr>
            <w:tcW w:w="3063"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z w:val="18"/>
              </w:rPr>
              <w:t>78.00%</w:t>
            </w:r>
          </w:p>
        </w:tc>
      </w:tr>
      <w:tr>
        <w:trPr>
          <w:trHeight w:val="425" w:hRule="exact"/>
        </w:trPr>
        <w:tc>
          <w:tcPr>
            <w:tcW w:w="3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深圳市博讯投资有限公司</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1,000,000.00</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z w:val="18"/>
              </w:rPr>
              <w:t>10.00%</w:t>
            </w:r>
          </w:p>
        </w:tc>
      </w:tr>
      <w:tr>
        <w:trPr>
          <w:trHeight w:val="430" w:hRule="exact"/>
        </w:trPr>
        <w:tc>
          <w:tcPr>
            <w:tcW w:w="3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亚晟发展集团有限公司</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800,000.00</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8.00%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4" w:type="dxa"/>
        <w:tblLayout w:type="fixed"/>
        <w:tblCellMar>
          <w:top w:w="0" w:type="dxa"/>
          <w:left w:w="0" w:type="dxa"/>
          <w:bottom w:w="0" w:type="dxa"/>
          <w:right w:w="0" w:type="dxa"/>
        </w:tblCellMar>
        <w:tblLook w:val="01E0"/>
      </w:tblPr>
      <w:tblGrid>
        <w:gridCol w:w="3397"/>
        <w:gridCol w:w="3202"/>
        <w:gridCol w:w="3063"/>
      </w:tblGrid>
      <w:tr>
        <w:trPr>
          <w:trHeight w:val="428" w:hRule="exact"/>
        </w:trPr>
        <w:tc>
          <w:tcPr>
            <w:tcW w:w="3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斯隆新产品投资有限公司</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400,000.00</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4.00%</w:t>
            </w:r>
          </w:p>
        </w:tc>
      </w:tr>
      <w:tr>
        <w:trPr>
          <w:trHeight w:val="427" w:hRule="exact"/>
        </w:trPr>
        <w:tc>
          <w:tcPr>
            <w:tcW w:w="3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5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10,000,000.00</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300" w:lineRule="auto" w:before="49"/>
        <w:ind w:right="1126" w:firstLine="360"/>
        <w:jc w:val="both"/>
      </w:pP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15</w:t>
      </w:r>
      <w:r>
        <w:rPr>
          <w:spacing w:val="-1"/>
        </w:rPr>
        <w:t>日，本公司董事会通过决议，同意深圳宏运兴公司将其持有本公司</w:t>
      </w:r>
      <w:r>
        <w:rPr>
          <w:rFonts w:ascii="Times New Roman" w:hAnsi="Times New Roman" w:cs="Times New Roman" w:eastAsia="Times New Roman" w:hint="default"/>
          <w:spacing w:val="-1"/>
        </w:rPr>
        <w:t>78%</w:t>
      </w:r>
      <w:r>
        <w:rPr>
          <w:spacing w:val="-1"/>
        </w:rPr>
        <w:t>的股权以等值人民币</w:t>
      </w:r>
      <w:r>
        <w:rPr>
          <w:rFonts w:ascii="Times New Roman" w:hAnsi="Times New Roman" w:cs="Times New Roman" w:eastAsia="Times New Roman" w:hint="default"/>
          <w:spacing w:val="-1"/>
        </w:rPr>
        <w:t>1,014.00</w:t>
      </w:r>
      <w:r>
        <w:rPr>
          <w:spacing w:val="-1"/>
        </w:rPr>
        <w:t>万元的</w:t>
      </w:r>
      <w:r>
        <w:rPr/>
        <w:t> </w:t>
      </w:r>
      <w:r>
        <w:rPr>
          <w:spacing w:val="-2"/>
        </w:rPr>
        <w:t>港币价格转让给香港优博讯科技控股集团有限公司（以下简称</w:t>
      </w:r>
      <w:r>
        <w:rPr>
          <w:rFonts w:ascii="Times New Roman" w:hAnsi="Times New Roman" w:cs="Times New Roman" w:eastAsia="Times New Roman" w:hint="default"/>
          <w:spacing w:val="-2"/>
        </w:rPr>
        <w:t>“</w:t>
      </w:r>
      <w:r>
        <w:rPr>
          <w:spacing w:val="-2"/>
        </w:rPr>
        <w:t>香港优博讯控股公司</w:t>
      </w:r>
      <w:r>
        <w:rPr>
          <w:rFonts w:ascii="Times New Roman" w:hAnsi="Times New Roman" w:cs="Times New Roman" w:eastAsia="Times New Roman" w:hint="default"/>
          <w:spacing w:val="-2"/>
        </w:rPr>
        <w:t>”</w:t>
      </w:r>
      <w:r>
        <w:rPr>
          <w:spacing w:val="-2"/>
        </w:rPr>
        <w:t>），并于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日办理工商变更</w:t>
      </w:r>
      <w:r>
        <w:rPr>
          <w:spacing w:val="-41"/>
        </w:rPr>
        <w:t> </w:t>
      </w:r>
      <w:r>
        <w:rPr>
          <w:spacing w:val="-41"/>
        </w:rPr>
      </w:r>
      <w:r>
        <w:rPr/>
        <w:t>登记。本次股权转让完成后的股权结构如下：</w:t>
      </w:r>
    </w:p>
    <w:p>
      <w:pPr>
        <w:spacing w:line="240" w:lineRule="auto" w:before="9"/>
        <w:rPr>
          <w:rFonts w:ascii="宋体" w:hAnsi="宋体" w:cs="宋体" w:eastAsia="宋体" w:hint="default"/>
          <w:sz w:val="4"/>
          <w:szCs w:val="4"/>
        </w:rPr>
      </w:pPr>
    </w:p>
    <w:tbl>
      <w:tblPr>
        <w:tblW w:w="0" w:type="auto"/>
        <w:jc w:val="left"/>
        <w:tblInd w:w="164" w:type="dxa"/>
        <w:tblLayout w:type="fixed"/>
        <w:tblCellMar>
          <w:top w:w="0" w:type="dxa"/>
          <w:left w:w="0" w:type="dxa"/>
          <w:bottom w:w="0" w:type="dxa"/>
          <w:right w:w="0" w:type="dxa"/>
        </w:tblCellMar>
        <w:tblLook w:val="01E0"/>
      </w:tblPr>
      <w:tblGrid>
        <w:gridCol w:w="3378"/>
        <w:gridCol w:w="3192"/>
        <w:gridCol w:w="3049"/>
      </w:tblGrid>
      <w:tr>
        <w:trPr>
          <w:trHeight w:val="427" w:hRule="exact"/>
        </w:trPr>
        <w:tc>
          <w:tcPr>
            <w:tcW w:w="33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1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780" w:right="0"/>
              <w:jc w:val="left"/>
              <w:rPr>
                <w:rFonts w:ascii="宋体" w:hAnsi="宋体" w:cs="宋体" w:eastAsia="宋体" w:hint="default"/>
                <w:sz w:val="18"/>
                <w:szCs w:val="18"/>
              </w:rPr>
            </w:pPr>
            <w:r>
              <w:rPr>
                <w:rFonts w:ascii="宋体" w:hAnsi="宋体" w:cs="宋体" w:eastAsia="宋体" w:hint="default"/>
                <w:sz w:val="18"/>
                <w:szCs w:val="18"/>
              </w:rPr>
              <w:t>出资额（人民币元）</w:t>
            </w:r>
          </w:p>
        </w:tc>
        <w:tc>
          <w:tcPr>
            <w:tcW w:w="30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出资比例</w:t>
            </w:r>
          </w:p>
        </w:tc>
      </w:tr>
      <w:tr>
        <w:trPr>
          <w:trHeight w:val="427"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香港优博讯科技控股集团有限公司</w:t>
            </w:r>
          </w:p>
        </w:tc>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7,800,000.00</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78.00%</w:t>
            </w:r>
          </w:p>
        </w:tc>
      </w:tr>
      <w:tr>
        <w:trPr>
          <w:trHeight w:val="427"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深圳市博讯投资有限公司</w:t>
            </w:r>
          </w:p>
        </w:tc>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1,000,000.00</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10.00%</w:t>
            </w:r>
          </w:p>
        </w:tc>
      </w:tr>
      <w:tr>
        <w:trPr>
          <w:trHeight w:val="427"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亚晟发展集团有限公司</w:t>
            </w:r>
          </w:p>
        </w:tc>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800,000.00</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8.00%</w:t>
            </w:r>
          </w:p>
        </w:tc>
      </w:tr>
      <w:tr>
        <w:trPr>
          <w:trHeight w:val="428"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斯隆新产品投资有限公司</w:t>
            </w:r>
          </w:p>
        </w:tc>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400,000.00</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4.00%</w:t>
            </w:r>
          </w:p>
        </w:tc>
      </w:tr>
      <w:tr>
        <w:trPr>
          <w:trHeight w:val="427"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10,000,000.00</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300" w:lineRule="auto" w:before="49"/>
        <w:ind w:right="1129" w:firstLine="36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日，本公司董事会通过决议，同意将本公司注册资本由人民币</w:t>
      </w:r>
      <w:r>
        <w:rPr>
          <w:rFonts w:ascii="Times New Roman" w:hAnsi="Times New Roman" w:cs="Times New Roman" w:eastAsia="Times New Roman" w:hint="default"/>
        </w:rPr>
        <w:t>1,000.00</w:t>
      </w:r>
      <w:r>
        <w:rPr/>
        <w:t>万元增加至</w:t>
      </w:r>
      <w:r>
        <w:rPr>
          <w:rFonts w:ascii="Times New Roman" w:hAnsi="Times New Roman" w:cs="Times New Roman" w:eastAsia="Times New Roman" w:hint="default"/>
        </w:rPr>
        <w:t>11,111,111.00</w:t>
      </w:r>
      <w:r>
        <w:rPr/>
        <w:t>元，由深 圳市中洲创业投资有限公司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深圳中洲公司</w:t>
      </w:r>
      <w:r>
        <w:rPr>
          <w:rFonts w:ascii="Times New Roman" w:hAnsi="Times New Roman" w:cs="Times New Roman" w:eastAsia="Times New Roman" w:hint="default"/>
        </w:rPr>
        <w:t>”)</w:t>
      </w:r>
      <w:r>
        <w:rPr/>
        <w:t>出资人民币</w:t>
      </w:r>
      <w:r>
        <w:rPr>
          <w:rFonts w:ascii="Times New Roman" w:hAnsi="Times New Roman" w:cs="Times New Roman" w:eastAsia="Times New Roman" w:hint="default"/>
        </w:rPr>
        <w:t>12,000,000.00</w:t>
      </w:r>
      <w:r>
        <w:rPr/>
        <w:t>元，其中</w:t>
      </w:r>
      <w:r>
        <w:rPr>
          <w:rFonts w:ascii="Times New Roman" w:hAnsi="Times New Roman" w:cs="Times New Roman" w:eastAsia="Times New Roman" w:hint="default"/>
        </w:rPr>
        <w:t>1,111,111.00</w:t>
      </w:r>
      <w:r>
        <w:rPr/>
        <w:t>元为注册资本， </w:t>
      </w:r>
      <w:r>
        <w:rPr>
          <w:rFonts w:ascii="Times New Roman" w:hAnsi="Times New Roman" w:cs="Times New Roman" w:eastAsia="Times New Roman" w:hint="default"/>
          <w:spacing w:val="-4"/>
        </w:rPr>
        <w:t>10,888,889.00</w:t>
      </w:r>
      <w:r>
        <w:rPr>
          <w:spacing w:val="-4"/>
        </w:rPr>
        <w:t>元为资本公积，该项增资业经深圳泓兴会计师事务所出具的深泓兴验字</w:t>
      </w:r>
      <w:r>
        <w:rPr>
          <w:rFonts w:ascii="Times New Roman" w:hAnsi="Times New Roman" w:cs="Times New Roman" w:eastAsia="Times New Roman" w:hint="default"/>
          <w:spacing w:val="-4"/>
        </w:rPr>
        <w:t>[2011]042</w:t>
      </w:r>
      <w:r>
        <w:rPr>
          <w:spacing w:val="-4"/>
        </w:rPr>
        <w:t>号《验资报告》验证，并于</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日办理完成工商变更手续。本次增资完成后的股权结构如下：</w:t>
      </w:r>
    </w:p>
    <w:p>
      <w:pPr>
        <w:spacing w:line="240" w:lineRule="auto" w:before="4"/>
        <w:rPr>
          <w:rFonts w:ascii="宋体" w:hAnsi="宋体" w:cs="宋体" w:eastAsia="宋体" w:hint="default"/>
          <w:sz w:val="3"/>
          <w:szCs w:val="3"/>
        </w:rPr>
      </w:pPr>
    </w:p>
    <w:tbl>
      <w:tblPr>
        <w:tblW w:w="0" w:type="auto"/>
        <w:jc w:val="left"/>
        <w:tblInd w:w="164" w:type="dxa"/>
        <w:tblLayout w:type="fixed"/>
        <w:tblCellMar>
          <w:top w:w="0" w:type="dxa"/>
          <w:left w:w="0" w:type="dxa"/>
          <w:bottom w:w="0" w:type="dxa"/>
          <w:right w:w="0" w:type="dxa"/>
        </w:tblCellMar>
        <w:tblLook w:val="01E0"/>
      </w:tblPr>
      <w:tblGrid>
        <w:gridCol w:w="3603"/>
        <w:gridCol w:w="3056"/>
        <w:gridCol w:w="2914"/>
      </w:tblGrid>
      <w:tr>
        <w:trPr>
          <w:trHeight w:val="415" w:hRule="exact"/>
        </w:trPr>
        <w:tc>
          <w:tcPr>
            <w:tcW w:w="36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0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710" w:right="0"/>
              <w:jc w:val="left"/>
              <w:rPr>
                <w:rFonts w:ascii="宋体" w:hAnsi="宋体" w:cs="宋体" w:eastAsia="宋体" w:hint="default"/>
                <w:sz w:val="18"/>
                <w:szCs w:val="18"/>
              </w:rPr>
            </w:pPr>
            <w:r>
              <w:rPr>
                <w:rFonts w:ascii="宋体" w:hAnsi="宋体" w:cs="宋体" w:eastAsia="宋体" w:hint="default"/>
                <w:sz w:val="18"/>
                <w:szCs w:val="18"/>
              </w:rPr>
              <w:t>出资额（人民币元）</w:t>
            </w:r>
          </w:p>
        </w:tc>
        <w:tc>
          <w:tcPr>
            <w:tcW w:w="29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出资比例</w:t>
            </w:r>
          </w:p>
        </w:tc>
      </w:tr>
      <w:tr>
        <w:trPr>
          <w:trHeight w:val="439" w:hRule="exact"/>
        </w:trPr>
        <w:tc>
          <w:tcPr>
            <w:tcW w:w="3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 w:right="0"/>
              <w:jc w:val="left"/>
              <w:rPr>
                <w:rFonts w:ascii="宋体" w:hAnsi="宋体" w:cs="宋体" w:eastAsia="宋体" w:hint="default"/>
                <w:sz w:val="18"/>
                <w:szCs w:val="18"/>
              </w:rPr>
            </w:pPr>
            <w:r>
              <w:rPr>
                <w:rFonts w:ascii="宋体" w:hAnsi="宋体" w:cs="宋体" w:eastAsia="宋体" w:hint="default"/>
                <w:sz w:val="18"/>
                <w:szCs w:val="18"/>
              </w:rPr>
              <w:t>香港优博讯科技控股集团有限公司</w:t>
            </w:r>
          </w:p>
        </w:tc>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0"/>
              <w:jc w:val="right"/>
              <w:rPr>
                <w:rFonts w:ascii="Times New Roman" w:hAnsi="Times New Roman" w:cs="Times New Roman" w:eastAsia="Times New Roman" w:hint="default"/>
                <w:sz w:val="18"/>
                <w:szCs w:val="18"/>
              </w:rPr>
            </w:pPr>
            <w:r>
              <w:rPr>
                <w:rFonts w:ascii="Times New Roman"/>
                <w:spacing w:val="-1"/>
                <w:sz w:val="18"/>
              </w:rPr>
              <w:t>7,800,000.00</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
              <w:jc w:val="right"/>
              <w:rPr>
                <w:rFonts w:ascii="Times New Roman" w:hAnsi="Times New Roman" w:cs="Times New Roman" w:eastAsia="Times New Roman" w:hint="default"/>
                <w:sz w:val="18"/>
                <w:szCs w:val="18"/>
              </w:rPr>
            </w:pPr>
            <w:r>
              <w:rPr>
                <w:rFonts w:ascii="Times New Roman"/>
                <w:sz w:val="18"/>
              </w:rPr>
              <w:t>70.20%</w:t>
            </w:r>
          </w:p>
        </w:tc>
      </w:tr>
      <w:tr>
        <w:trPr>
          <w:trHeight w:val="427" w:hRule="exact"/>
        </w:trPr>
        <w:tc>
          <w:tcPr>
            <w:tcW w:w="3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深圳市中洲创业投资有限公司</w:t>
            </w:r>
          </w:p>
        </w:tc>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1,111,111.00</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10.00%</w:t>
            </w:r>
          </w:p>
        </w:tc>
      </w:tr>
      <w:tr>
        <w:trPr>
          <w:trHeight w:val="428" w:hRule="exact"/>
        </w:trPr>
        <w:tc>
          <w:tcPr>
            <w:tcW w:w="3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深圳市博讯投资有限公司</w:t>
            </w:r>
          </w:p>
        </w:tc>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1,000,000.00</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9.00%</w:t>
            </w:r>
          </w:p>
        </w:tc>
      </w:tr>
      <w:tr>
        <w:trPr>
          <w:trHeight w:val="427" w:hRule="exact"/>
        </w:trPr>
        <w:tc>
          <w:tcPr>
            <w:tcW w:w="3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亚晟发展集团有限公司</w:t>
            </w:r>
          </w:p>
        </w:tc>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800,000.00</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7.20%</w:t>
            </w:r>
          </w:p>
        </w:tc>
      </w:tr>
      <w:tr>
        <w:trPr>
          <w:trHeight w:val="427" w:hRule="exact"/>
        </w:trPr>
        <w:tc>
          <w:tcPr>
            <w:tcW w:w="3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斯隆新产品投资有限公司</w:t>
            </w:r>
          </w:p>
        </w:tc>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400,000.00</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3.60%</w:t>
            </w:r>
          </w:p>
        </w:tc>
      </w:tr>
      <w:tr>
        <w:trPr>
          <w:trHeight w:val="427" w:hRule="exact"/>
        </w:trPr>
        <w:tc>
          <w:tcPr>
            <w:tcW w:w="3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11,111,111.00</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300" w:lineRule="auto" w:before="49"/>
        <w:ind w:right="1131" w:firstLine="36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日本公司董事会通过决议，同意将本公司的注册资本由</w:t>
      </w:r>
      <w:r>
        <w:rPr>
          <w:rFonts w:ascii="Times New Roman" w:hAnsi="Times New Roman" w:cs="Times New Roman" w:eastAsia="Times New Roman" w:hint="default"/>
        </w:rPr>
        <w:t>11,111,111.00</w:t>
      </w:r>
      <w:r>
        <w:rPr/>
        <w:t>元增加至</w:t>
      </w:r>
      <w:r>
        <w:rPr>
          <w:rFonts w:ascii="Times New Roman" w:hAnsi="Times New Roman" w:cs="Times New Roman" w:eastAsia="Times New Roman" w:hint="default"/>
        </w:rPr>
        <w:t>11,695,906.00</w:t>
      </w:r>
      <w:r>
        <w:rPr/>
        <w:t>元，由深圳市军 </w:t>
      </w:r>
      <w:r>
        <w:rPr>
          <w:spacing w:val="-1"/>
        </w:rPr>
        <w:t>屯投资企业</w:t>
      </w:r>
      <w:r>
        <w:rPr>
          <w:rFonts w:ascii="Times New Roman" w:hAnsi="Times New Roman" w:cs="Times New Roman" w:eastAsia="Times New Roman" w:hint="default"/>
          <w:spacing w:val="-1"/>
        </w:rPr>
        <w:t>(</w:t>
      </w:r>
      <w:r>
        <w:rPr>
          <w:spacing w:val="-1"/>
        </w:rPr>
        <w:t>有限合伙</w:t>
      </w:r>
      <w:r>
        <w:rPr>
          <w:rFonts w:ascii="Times New Roman" w:hAnsi="Times New Roman" w:cs="Times New Roman" w:eastAsia="Times New Roman" w:hint="default"/>
          <w:spacing w:val="-1"/>
        </w:rPr>
        <w:t>)(</w:t>
      </w:r>
      <w:r>
        <w:rPr>
          <w:spacing w:val="-1"/>
        </w:rPr>
        <w:t>以下简称</w:t>
      </w:r>
      <w:r>
        <w:rPr>
          <w:rFonts w:ascii="Times New Roman" w:hAnsi="Times New Roman" w:cs="Times New Roman" w:eastAsia="Times New Roman" w:hint="default"/>
          <w:spacing w:val="-1"/>
        </w:rPr>
        <w:t>“</w:t>
      </w:r>
      <w:r>
        <w:rPr>
          <w:spacing w:val="-1"/>
        </w:rPr>
        <w:t>深圳军屯投资</w:t>
      </w:r>
      <w:r>
        <w:rPr>
          <w:rFonts w:ascii="Times New Roman" w:hAnsi="Times New Roman" w:cs="Times New Roman" w:eastAsia="Times New Roman" w:hint="default"/>
          <w:spacing w:val="-1"/>
        </w:rPr>
        <w:t>”)</w:t>
      </w:r>
      <w:r>
        <w:rPr>
          <w:spacing w:val="-1"/>
        </w:rPr>
        <w:t>出资</w:t>
      </w:r>
      <w:r>
        <w:rPr>
          <w:rFonts w:ascii="Times New Roman" w:hAnsi="Times New Roman" w:cs="Times New Roman" w:eastAsia="Times New Roman" w:hint="default"/>
          <w:spacing w:val="-1"/>
        </w:rPr>
        <w:t>10,000,000.00</w:t>
      </w:r>
      <w:r>
        <w:rPr>
          <w:spacing w:val="-1"/>
        </w:rPr>
        <w:t>元，其中</w:t>
      </w:r>
      <w:r>
        <w:rPr>
          <w:rFonts w:ascii="Times New Roman" w:hAnsi="Times New Roman" w:cs="Times New Roman" w:eastAsia="Times New Roman" w:hint="default"/>
          <w:spacing w:val="-1"/>
        </w:rPr>
        <w:t>584,795.00</w:t>
      </w:r>
      <w:r>
        <w:rPr>
          <w:spacing w:val="-1"/>
        </w:rPr>
        <w:t>元为注册资本，</w:t>
      </w:r>
      <w:r>
        <w:rPr>
          <w:rFonts w:ascii="Times New Roman" w:hAnsi="Times New Roman" w:cs="Times New Roman" w:eastAsia="Times New Roman" w:hint="default"/>
          <w:spacing w:val="-1"/>
        </w:rPr>
        <w:t>9,415,205.00</w:t>
      </w:r>
      <w:r>
        <w:rPr>
          <w:spacing w:val="-1"/>
        </w:rPr>
        <w:t>元为资本</w:t>
      </w:r>
      <w:r>
        <w:rPr>
          <w:spacing w:val="-59"/>
        </w:rPr>
        <w:t> </w:t>
      </w:r>
      <w:r>
        <w:rPr>
          <w:spacing w:val="-59"/>
        </w:rPr>
      </w:r>
      <w:r>
        <w:rPr>
          <w:spacing w:val="-1"/>
        </w:rPr>
        <w:t>公积，该项增资业经深圳泓兴会计师事务所出具的深泓兴验字</w:t>
      </w:r>
      <w:r>
        <w:rPr>
          <w:rFonts w:ascii="Times New Roman" w:hAnsi="Times New Roman" w:cs="Times New Roman" w:eastAsia="Times New Roman" w:hint="default"/>
          <w:spacing w:val="-1"/>
        </w:rPr>
        <w:t>[2012]012</w:t>
      </w:r>
      <w:r>
        <w:rPr>
          <w:spacing w:val="-1"/>
        </w:rPr>
        <w:t>号《验资报告》验证，并于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29</w:t>
      </w:r>
      <w:r>
        <w:rPr>
          <w:spacing w:val="-1"/>
        </w:rPr>
        <w:t>日办理工商</w:t>
      </w:r>
      <w:r>
        <w:rPr>
          <w:spacing w:val="-57"/>
        </w:rPr>
        <w:t> </w:t>
      </w:r>
      <w:r>
        <w:rPr>
          <w:spacing w:val="-57"/>
        </w:rPr>
      </w:r>
      <w:r>
        <w:rPr/>
        <w:t>变更登记。本次增资完成后的股权结构如下：</w:t>
      </w:r>
    </w:p>
    <w:p>
      <w:pPr>
        <w:spacing w:line="240" w:lineRule="auto" w:before="9"/>
        <w:rPr>
          <w:rFonts w:ascii="宋体" w:hAnsi="宋体" w:cs="宋体" w:eastAsia="宋体" w:hint="default"/>
          <w:sz w:val="4"/>
          <w:szCs w:val="4"/>
        </w:rPr>
      </w:pPr>
    </w:p>
    <w:tbl>
      <w:tblPr>
        <w:tblW w:w="0" w:type="auto"/>
        <w:jc w:val="left"/>
        <w:tblInd w:w="164" w:type="dxa"/>
        <w:tblLayout w:type="fixed"/>
        <w:tblCellMar>
          <w:top w:w="0" w:type="dxa"/>
          <w:left w:w="0" w:type="dxa"/>
          <w:bottom w:w="0" w:type="dxa"/>
          <w:right w:w="0" w:type="dxa"/>
        </w:tblCellMar>
        <w:tblLook w:val="01E0"/>
      </w:tblPr>
      <w:tblGrid>
        <w:gridCol w:w="3635"/>
        <w:gridCol w:w="3053"/>
        <w:gridCol w:w="2943"/>
      </w:tblGrid>
      <w:tr>
        <w:trPr>
          <w:trHeight w:val="410" w:hRule="exact"/>
        </w:trPr>
        <w:tc>
          <w:tcPr>
            <w:tcW w:w="36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0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710" w:right="0"/>
              <w:jc w:val="left"/>
              <w:rPr>
                <w:rFonts w:ascii="宋体" w:hAnsi="宋体" w:cs="宋体" w:eastAsia="宋体" w:hint="default"/>
                <w:sz w:val="18"/>
                <w:szCs w:val="18"/>
              </w:rPr>
            </w:pPr>
            <w:r>
              <w:rPr>
                <w:rFonts w:ascii="宋体" w:hAnsi="宋体" w:cs="宋体" w:eastAsia="宋体" w:hint="default"/>
                <w:sz w:val="18"/>
                <w:szCs w:val="18"/>
              </w:rPr>
              <w:t>出资额（人民币元）</w:t>
            </w:r>
          </w:p>
        </w:tc>
        <w:tc>
          <w:tcPr>
            <w:tcW w:w="29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出资比例</w:t>
            </w:r>
          </w:p>
        </w:tc>
      </w:tr>
      <w:tr>
        <w:trPr>
          <w:trHeight w:val="444" w:hRule="exact"/>
        </w:trPr>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 w:right="0"/>
              <w:jc w:val="left"/>
              <w:rPr>
                <w:rFonts w:ascii="宋体" w:hAnsi="宋体" w:cs="宋体" w:eastAsia="宋体" w:hint="default"/>
                <w:sz w:val="18"/>
                <w:szCs w:val="18"/>
              </w:rPr>
            </w:pPr>
            <w:r>
              <w:rPr>
                <w:rFonts w:ascii="宋体" w:hAnsi="宋体" w:cs="宋体" w:eastAsia="宋体" w:hint="default"/>
                <w:sz w:val="18"/>
                <w:szCs w:val="18"/>
              </w:rPr>
              <w:t>香港优博讯科技控股集团有限公司</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7,800,000.00</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
              <w:jc w:val="right"/>
              <w:rPr>
                <w:rFonts w:ascii="Times New Roman" w:hAnsi="Times New Roman" w:cs="Times New Roman" w:eastAsia="Times New Roman" w:hint="default"/>
                <w:sz w:val="18"/>
                <w:szCs w:val="18"/>
              </w:rPr>
            </w:pPr>
            <w:r>
              <w:rPr>
                <w:rFonts w:ascii="Times New Roman"/>
                <w:sz w:val="18"/>
              </w:rPr>
              <w:t>66.69%</w:t>
            </w:r>
          </w:p>
        </w:tc>
      </w:tr>
      <w:tr>
        <w:trPr>
          <w:trHeight w:val="428" w:hRule="exact"/>
        </w:trPr>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深圳市中洲创业投资有限公司</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1,111,111.00</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9.50%</w:t>
            </w:r>
          </w:p>
        </w:tc>
      </w:tr>
      <w:tr>
        <w:trPr>
          <w:trHeight w:val="427" w:hRule="exact"/>
        </w:trPr>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深圳市博讯投资有限公司</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1,000,000.00</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8.55%</w:t>
            </w:r>
          </w:p>
        </w:tc>
      </w:tr>
      <w:tr>
        <w:trPr>
          <w:trHeight w:val="427" w:hRule="exact"/>
        </w:trPr>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亚晟发展集团有限公司</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800,000.00</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6.84%</w:t>
            </w:r>
          </w:p>
        </w:tc>
      </w:tr>
      <w:tr>
        <w:trPr>
          <w:trHeight w:val="427" w:hRule="exact"/>
        </w:trPr>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深圳市军屯投资企业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584,795.00</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5.00%</w:t>
            </w:r>
          </w:p>
        </w:tc>
      </w:tr>
      <w:tr>
        <w:trPr>
          <w:trHeight w:val="427" w:hRule="exact"/>
        </w:trPr>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斯隆新产品投资有限公司</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400,000.00</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3.42%</w:t>
            </w:r>
          </w:p>
        </w:tc>
      </w:tr>
      <w:tr>
        <w:trPr>
          <w:trHeight w:val="427" w:hRule="exact"/>
        </w:trPr>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11,695,906.00</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left="513" w:right="0"/>
        <w:jc w:val="left"/>
        <w:rPr>
          <w:rFonts w:ascii="Times New Roman" w:hAnsi="Times New Roman" w:cs="Times New Roman" w:eastAsia="Times New Roman" w:hint="default"/>
        </w:rPr>
      </w:pPr>
      <w:r>
        <w:rPr/>
        <w:t>根据</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日签订的发起人协议规定，同意本公司由有限责任公司整体变更为股份有限公司，以截止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p>
    <w:p>
      <w:pPr>
        <w:spacing w:after="0" w:line="240" w:lineRule="auto"/>
        <w:jc w:val="left"/>
        <w:rPr>
          <w:rFonts w:ascii="Times New Roman" w:hAnsi="Times New Roman" w:cs="Times New Roman" w:eastAsia="Times New Roman" w:hint="default"/>
        </w:rPr>
        <w:sectPr>
          <w:pgSz w:w="11910" w:h="16840"/>
          <w:pgMar w:header="745" w:footer="980" w:top="1060" w:bottom="1160" w:left="980" w:right="0"/>
        </w:sectPr>
      </w:pPr>
    </w:p>
    <w:p>
      <w:pPr>
        <w:spacing w:line="240" w:lineRule="auto" w:before="3"/>
        <w:rPr>
          <w:rFonts w:ascii="Times New Roman" w:hAnsi="Times New Roman" w:cs="Times New Roman" w:eastAsia="Times New Roman" w:hint="default"/>
          <w:sz w:val="29"/>
          <w:szCs w:val="29"/>
        </w:rPr>
      </w:pPr>
    </w:p>
    <w:p>
      <w:pPr>
        <w:pStyle w:val="BodyText"/>
        <w:spacing w:line="300" w:lineRule="auto" w:before="44"/>
        <w:ind w:right="1119"/>
        <w:jc w:val="left"/>
      </w:pPr>
      <w:r>
        <w:rPr>
          <w:spacing w:val="-1"/>
        </w:rPr>
        <w:t>日经审计的净资产人民币</w:t>
      </w:r>
      <w:r>
        <w:rPr>
          <w:rFonts w:ascii="Times New Roman" w:hAnsi="Times New Roman" w:cs="Times New Roman" w:eastAsia="Times New Roman" w:hint="default"/>
          <w:spacing w:val="-1"/>
        </w:rPr>
        <w:t>80,630,636.11</w:t>
      </w:r>
      <w:r>
        <w:rPr>
          <w:spacing w:val="-1"/>
        </w:rPr>
        <w:t>元，按</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0.7441</w:t>
      </w:r>
      <w:r>
        <w:rPr>
          <w:spacing w:val="-1"/>
        </w:rPr>
        <w:t>的比例折合股份总额</w:t>
      </w:r>
      <w:r>
        <w:rPr>
          <w:rFonts w:ascii="Times New Roman" w:hAnsi="Times New Roman" w:cs="Times New Roman" w:eastAsia="Times New Roman" w:hint="default"/>
          <w:spacing w:val="-1"/>
        </w:rPr>
        <w:t>6,000</w:t>
      </w:r>
      <w:r>
        <w:rPr>
          <w:spacing w:val="-1"/>
        </w:rPr>
        <w:t>万股，每股面值为人民币</w:t>
      </w:r>
      <w:r>
        <w:rPr>
          <w:rFonts w:ascii="Times New Roman" w:hAnsi="Times New Roman" w:cs="Times New Roman" w:eastAsia="Times New Roman" w:hint="default"/>
          <w:spacing w:val="-1"/>
        </w:rPr>
        <w:t>1</w:t>
      </w:r>
      <w:r>
        <w:rPr>
          <w:spacing w:val="-1"/>
        </w:rPr>
        <w:t>元，共计股本人</w:t>
      </w:r>
      <w:r>
        <w:rPr>
          <w:spacing w:val="-66"/>
        </w:rPr>
        <w:t> </w:t>
      </w:r>
      <w:r>
        <w:rPr>
          <w:spacing w:val="-66"/>
        </w:rPr>
      </w:r>
      <w:r>
        <w:rPr>
          <w:spacing w:val="-1"/>
        </w:rPr>
        <w:t>民币</w:t>
      </w:r>
      <w:r>
        <w:rPr>
          <w:rFonts w:ascii="Times New Roman" w:hAnsi="Times New Roman" w:cs="Times New Roman" w:eastAsia="Times New Roman" w:hint="default"/>
          <w:spacing w:val="-1"/>
        </w:rPr>
        <w:t>6,000.00</w:t>
      </w:r>
      <w:r>
        <w:rPr>
          <w:spacing w:val="-1"/>
        </w:rPr>
        <w:t>万元，其余部分</w:t>
      </w:r>
      <w:r>
        <w:rPr>
          <w:rFonts w:ascii="Times New Roman" w:hAnsi="Times New Roman" w:cs="Times New Roman" w:eastAsia="Times New Roman" w:hint="default"/>
          <w:spacing w:val="-1"/>
        </w:rPr>
        <w:t>20,630,636.11</w:t>
      </w:r>
      <w:r>
        <w:rPr>
          <w:spacing w:val="-1"/>
        </w:rPr>
        <w:t>元计入资本公积。变更后的注册资本为人民币</w:t>
      </w:r>
      <w:r>
        <w:rPr>
          <w:rFonts w:ascii="Times New Roman" w:hAnsi="Times New Roman" w:cs="Times New Roman" w:eastAsia="Times New Roman" w:hint="default"/>
          <w:spacing w:val="-1"/>
        </w:rPr>
        <w:t>6,000.00</w:t>
      </w:r>
      <w:r>
        <w:rPr>
          <w:spacing w:val="-1"/>
        </w:rPr>
        <w:t>万元。本次变更业经大华会</w:t>
      </w:r>
      <w:r>
        <w:rPr>
          <w:spacing w:val="-71"/>
        </w:rPr>
        <w:t> </w:t>
      </w:r>
      <w:r>
        <w:rPr>
          <w:spacing w:val="-71"/>
        </w:rPr>
      </w:r>
      <w:r>
        <w:rPr/>
        <w:t>计师事务所有限公司出具的大华验字</w:t>
      </w:r>
      <w:r>
        <w:rPr>
          <w:rFonts w:ascii="Times New Roman" w:hAnsi="Times New Roman" w:cs="Times New Roman" w:eastAsia="Times New Roman" w:hint="default"/>
        </w:rPr>
        <w:t>[2012]259</w:t>
      </w:r>
      <w:r>
        <w:rPr/>
        <w:t>号验资报告验证。</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日本公司取得深圳市市场监督管理局核发的 </w:t>
      </w:r>
      <w:r>
        <w:rPr>
          <w:rFonts w:ascii="Times New Roman" w:hAnsi="Times New Roman" w:cs="Times New Roman" w:eastAsia="Times New Roman" w:hint="default"/>
        </w:rPr>
        <w:t>440301102726193</w:t>
      </w:r>
      <w:r>
        <w:rPr/>
        <w:t>号《企业法人营业执照》，同时公司名称变更为</w:t>
      </w:r>
      <w:r>
        <w:rPr>
          <w:rFonts w:ascii="Times New Roman" w:hAnsi="Times New Roman" w:cs="Times New Roman" w:eastAsia="Times New Roman" w:hint="default"/>
        </w:rPr>
        <w:t>“</w:t>
      </w:r>
      <w:r>
        <w:rPr/>
        <w:t>深圳市优博讯科技股份有限公司</w:t>
      </w:r>
      <w:r>
        <w:rPr>
          <w:rFonts w:ascii="Times New Roman" w:hAnsi="Times New Roman" w:cs="Times New Roman" w:eastAsia="Times New Roman" w:hint="default"/>
        </w:rPr>
        <w:t>”</w:t>
      </w:r>
      <w:r>
        <w:rPr/>
        <w:t>。股份改制完成后股权 结构如下：</w:t>
      </w:r>
    </w:p>
    <w:p>
      <w:pPr>
        <w:spacing w:line="240" w:lineRule="auto" w:before="12"/>
        <w:rPr>
          <w:rFonts w:ascii="宋体" w:hAnsi="宋体" w:cs="宋体" w:eastAsia="宋体" w:hint="default"/>
          <w:sz w:val="4"/>
          <w:szCs w:val="4"/>
        </w:rPr>
      </w:pPr>
    </w:p>
    <w:tbl>
      <w:tblPr>
        <w:tblW w:w="0" w:type="auto"/>
        <w:jc w:val="left"/>
        <w:tblInd w:w="164" w:type="dxa"/>
        <w:tblLayout w:type="fixed"/>
        <w:tblCellMar>
          <w:top w:w="0" w:type="dxa"/>
          <w:left w:w="0" w:type="dxa"/>
          <w:bottom w:w="0" w:type="dxa"/>
          <w:right w:w="0" w:type="dxa"/>
        </w:tblCellMar>
        <w:tblLook w:val="01E0"/>
      </w:tblPr>
      <w:tblGrid>
        <w:gridCol w:w="3558"/>
        <w:gridCol w:w="3118"/>
        <w:gridCol w:w="2869"/>
      </w:tblGrid>
      <w:tr>
        <w:trPr>
          <w:trHeight w:val="427" w:hRule="exact"/>
        </w:trPr>
        <w:tc>
          <w:tcPr>
            <w:tcW w:w="35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1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741" w:right="0"/>
              <w:jc w:val="left"/>
              <w:rPr>
                <w:rFonts w:ascii="宋体" w:hAnsi="宋体" w:cs="宋体" w:eastAsia="宋体" w:hint="default"/>
                <w:sz w:val="18"/>
                <w:szCs w:val="18"/>
              </w:rPr>
            </w:pPr>
            <w:r>
              <w:rPr>
                <w:rFonts w:ascii="宋体" w:hAnsi="宋体" w:cs="宋体" w:eastAsia="宋体" w:hint="default"/>
                <w:sz w:val="18"/>
                <w:szCs w:val="18"/>
              </w:rPr>
              <w:t>出资额（人民币元）</w:t>
            </w:r>
          </w:p>
        </w:tc>
        <w:tc>
          <w:tcPr>
            <w:tcW w:w="28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3" w:right="0"/>
              <w:jc w:val="center"/>
              <w:rPr>
                <w:rFonts w:ascii="宋体" w:hAnsi="宋体" w:cs="宋体" w:eastAsia="宋体" w:hint="default"/>
                <w:sz w:val="18"/>
                <w:szCs w:val="18"/>
              </w:rPr>
            </w:pPr>
            <w:r>
              <w:rPr>
                <w:rFonts w:ascii="宋体" w:hAnsi="宋体" w:cs="宋体" w:eastAsia="宋体" w:hint="default"/>
                <w:sz w:val="18"/>
                <w:szCs w:val="18"/>
              </w:rPr>
              <w:t>出资比例</w:t>
            </w:r>
          </w:p>
        </w:tc>
      </w:tr>
      <w:tr>
        <w:trPr>
          <w:trHeight w:val="425" w:hRule="exact"/>
        </w:trPr>
        <w:tc>
          <w:tcPr>
            <w:tcW w:w="355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3"/>
              <w:ind w:left="2" w:right="0"/>
              <w:jc w:val="left"/>
              <w:rPr>
                <w:rFonts w:ascii="宋体" w:hAnsi="宋体" w:cs="宋体" w:eastAsia="宋体" w:hint="default"/>
                <w:sz w:val="18"/>
                <w:szCs w:val="18"/>
              </w:rPr>
            </w:pPr>
            <w:r>
              <w:rPr>
                <w:rFonts w:ascii="宋体" w:hAnsi="宋体" w:cs="宋体" w:eastAsia="宋体" w:hint="default"/>
                <w:sz w:val="18"/>
                <w:szCs w:val="18"/>
              </w:rPr>
              <w:t>香港优博讯科技控股集团有限公司</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40,014,000.00</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z w:val="18"/>
              </w:rPr>
              <w:t>66.69%</w:t>
            </w:r>
          </w:p>
        </w:tc>
      </w:tr>
      <w:tr>
        <w:trPr>
          <w:trHeight w:val="427" w:hRule="exact"/>
        </w:trPr>
        <w:tc>
          <w:tcPr>
            <w:tcW w:w="3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深圳市中洲创业投资有限公司</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5,700,000.00</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9.50%</w:t>
            </w:r>
          </w:p>
        </w:tc>
      </w:tr>
      <w:tr>
        <w:trPr>
          <w:trHeight w:val="427" w:hRule="exact"/>
        </w:trPr>
        <w:tc>
          <w:tcPr>
            <w:tcW w:w="3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深圳市博讯投资有限公司</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5,130,000.00</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8.55%</w:t>
            </w:r>
          </w:p>
        </w:tc>
      </w:tr>
      <w:tr>
        <w:trPr>
          <w:trHeight w:val="427" w:hRule="exact"/>
        </w:trPr>
        <w:tc>
          <w:tcPr>
            <w:tcW w:w="3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亚晟发展集团有限公司</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4,104,000.00</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6.84%</w:t>
            </w:r>
          </w:p>
        </w:tc>
      </w:tr>
      <w:tr>
        <w:trPr>
          <w:trHeight w:val="428" w:hRule="exact"/>
        </w:trPr>
        <w:tc>
          <w:tcPr>
            <w:tcW w:w="3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深圳市军屯投资企业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3,000,000.00</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5.00%</w:t>
            </w:r>
          </w:p>
        </w:tc>
      </w:tr>
      <w:tr>
        <w:trPr>
          <w:trHeight w:val="427" w:hRule="exact"/>
        </w:trPr>
        <w:tc>
          <w:tcPr>
            <w:tcW w:w="3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斯隆新产品投资有限公司</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2,052,000.00</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3.42%</w:t>
            </w:r>
          </w:p>
        </w:tc>
      </w:tr>
      <w:tr>
        <w:trPr>
          <w:trHeight w:val="427" w:hRule="exact"/>
        </w:trPr>
        <w:tc>
          <w:tcPr>
            <w:tcW w:w="3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60,000,000.00</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304" w:lineRule="auto" w:before="49"/>
        <w:ind w:right="1119" w:firstLine="360"/>
        <w:jc w:val="left"/>
      </w:pPr>
      <w:r>
        <w:rPr/>
        <w:t>根据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日公司</w:t>
      </w:r>
      <w:r>
        <w:rPr>
          <w:rFonts w:ascii="Times New Roman" w:hAnsi="Times New Roman" w:cs="Times New Roman" w:eastAsia="Times New Roman" w:hint="default"/>
        </w:rPr>
        <w:t>2016</w:t>
      </w:r>
      <w:r>
        <w:rPr/>
        <w:t>年第一次临时股东大会会议决议通过，经中国证券监督管理委员会证监许可</w:t>
      </w:r>
      <w:r>
        <w:rPr>
          <w:rFonts w:ascii="Times New Roman" w:hAnsi="Times New Roman" w:cs="Times New Roman" w:eastAsia="Times New Roman" w:hint="default"/>
        </w:rPr>
        <w:t>[2016]1637</w:t>
      </w:r>
      <w:r>
        <w:rPr/>
        <w:t>号 </w:t>
      </w:r>
      <w:r>
        <w:rPr>
          <w:spacing w:val="-2"/>
        </w:rPr>
        <w:t>文《关于核准深圳市优博讯科技股份有限公司首次公开发行股票的批复》核准，并经深圳证券交易所同意，向社会公众公开</w:t>
      </w:r>
      <w:r>
        <w:rPr>
          <w:spacing w:val="-62"/>
        </w:rPr>
        <w:t> </w:t>
      </w:r>
      <w:r>
        <w:rPr>
          <w:spacing w:val="-62"/>
        </w:rPr>
      </w:r>
      <w:r>
        <w:rPr/>
        <w:t>发行普通股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w:t>
      </w:r>
      <w:r>
        <w:rPr/>
        <w:t>股票</w:t>
      </w:r>
      <w:r>
        <w:rPr>
          <w:rFonts w:ascii="Times New Roman" w:hAnsi="Times New Roman" w:cs="Times New Roman" w:eastAsia="Times New Roman" w:hint="default"/>
        </w:rPr>
        <w:t>2,000</w:t>
      </w:r>
      <w:r>
        <w:rPr/>
        <w:t>万股，每股面值</w:t>
      </w:r>
      <w:r>
        <w:rPr>
          <w:rFonts w:ascii="Times New Roman" w:hAnsi="Times New Roman" w:cs="Times New Roman" w:eastAsia="Times New Roman" w:hint="default"/>
        </w:rPr>
        <w:t>1.00</w:t>
      </w:r>
      <w:r>
        <w:rPr/>
        <w:t>元，每股发行价人民币</w:t>
      </w:r>
      <w:r>
        <w:rPr>
          <w:rFonts w:ascii="Times New Roman" w:hAnsi="Times New Roman" w:cs="Times New Roman" w:eastAsia="Times New Roman" w:hint="default"/>
        </w:rPr>
        <w:t>13.36</w:t>
      </w:r>
      <w:r>
        <w:rPr/>
        <w:t>元。截至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w:t>
      </w:r>
      <w:r>
        <w:rPr/>
        <w:t>日止，共募集资金 </w:t>
      </w:r>
      <w:r>
        <w:rPr>
          <w:rFonts w:ascii="Times New Roman" w:hAnsi="Times New Roman" w:cs="Times New Roman" w:eastAsia="Times New Roman" w:hint="default"/>
        </w:rPr>
        <w:t>267,200,000.00</w:t>
      </w:r>
      <w:r>
        <w:rPr/>
        <w:t>元，扣除发行费用</w:t>
      </w:r>
      <w:r>
        <w:rPr>
          <w:rFonts w:ascii="Times New Roman" w:hAnsi="Times New Roman" w:cs="Times New Roman" w:eastAsia="Times New Roman" w:hint="default"/>
        </w:rPr>
        <w:t>42,728,800.00</w:t>
      </w:r>
      <w:r>
        <w:rPr/>
        <w:t>元，募集资金净额</w:t>
      </w:r>
      <w:r>
        <w:rPr>
          <w:rFonts w:ascii="Times New Roman" w:hAnsi="Times New Roman" w:cs="Times New Roman" w:eastAsia="Times New Roman" w:hint="default"/>
        </w:rPr>
        <w:t>224,471,200.00</w:t>
      </w:r>
      <w:r>
        <w:rPr/>
        <w:t>元。由于增值税为价外税，增值税进项税人 民币</w:t>
      </w:r>
      <w:r>
        <w:rPr>
          <w:spacing w:val="30"/>
        </w:rPr>
        <w:t> </w:t>
      </w:r>
      <w:r>
        <w:rPr>
          <w:rFonts w:ascii="Times New Roman" w:hAnsi="Times New Roman" w:cs="Times New Roman" w:eastAsia="Times New Roman" w:hint="default"/>
          <w:spacing w:val="-2"/>
        </w:rPr>
        <w:t>2,345,094.34</w:t>
      </w:r>
      <w:r>
        <w:rPr>
          <w:spacing w:val="-2"/>
        </w:rPr>
        <w:t>元可予以抵扣，待抵扣后本公司募集资金入账金额为人民币</w:t>
      </w:r>
      <w:r>
        <w:rPr>
          <w:rFonts w:ascii="Times New Roman" w:hAnsi="Times New Roman" w:cs="Times New Roman" w:eastAsia="Times New Roman" w:hint="default"/>
          <w:spacing w:val="-2"/>
        </w:rPr>
        <w:t>226,816,294.34</w:t>
      </w:r>
      <w:r>
        <w:rPr>
          <w:spacing w:val="-2"/>
        </w:rPr>
        <w:t>元。本次募集资金业经大华会计</w:t>
      </w:r>
      <w:r>
        <w:rPr>
          <w:spacing w:val="-78"/>
        </w:rPr>
        <w:t> </w:t>
      </w:r>
      <w:r>
        <w:rPr>
          <w:spacing w:val="-78"/>
        </w:rPr>
      </w:r>
      <w:r>
        <w:rPr/>
        <w:t>师事务所（特殊普通合伙）出具的大华验字</w:t>
      </w:r>
      <w:r>
        <w:rPr>
          <w:rFonts w:ascii="Times New Roman" w:hAnsi="Times New Roman" w:cs="Times New Roman" w:eastAsia="Times New Roman" w:hint="default"/>
        </w:rPr>
        <w:t>[2016]000778</w:t>
      </w:r>
      <w:r>
        <w:rPr/>
        <w:t>号验资报告验证。</w:t>
      </w:r>
    </w:p>
    <w:p>
      <w:pPr>
        <w:pStyle w:val="BodyText"/>
        <w:spacing w:line="300" w:lineRule="auto" w:before="50"/>
        <w:ind w:right="0" w:firstLine="360"/>
        <w:jc w:val="left"/>
      </w:pPr>
      <w:r>
        <w:rPr/>
        <w:t>根据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日第二届董事会第十一次会议决议、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5</w:t>
      </w:r>
      <w:r>
        <w:rPr/>
        <w:t>日的</w:t>
      </w:r>
      <w:r>
        <w:rPr>
          <w:rFonts w:ascii="Times New Roman" w:hAnsi="Times New Roman" w:cs="Times New Roman" w:eastAsia="Times New Roman" w:hint="default"/>
        </w:rPr>
        <w:t>2016</w:t>
      </w:r>
      <w:r>
        <w:rPr/>
        <w:t>年度股东大会决议以及中国证券登记结算有 </w:t>
      </w:r>
      <w:r>
        <w:rPr>
          <w:spacing w:val="-2"/>
        </w:rPr>
        <w:t>限责任公司登记的股本变更情况，本公司以总股本</w:t>
      </w:r>
      <w:r>
        <w:rPr>
          <w:rFonts w:ascii="Times New Roman" w:hAnsi="Times New Roman" w:cs="Times New Roman" w:eastAsia="Times New Roman" w:hint="default"/>
          <w:spacing w:val="-2"/>
        </w:rPr>
        <w:t>80,000,000</w:t>
      </w:r>
      <w:r>
        <w:rPr>
          <w:spacing w:val="-2"/>
        </w:rPr>
        <w:t>股为基数，全体股东每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25</w:t>
      </w:r>
      <w:r>
        <w:rPr>
          <w:spacing w:val="-2"/>
        </w:rPr>
        <w:t>股，共计转增</w:t>
      </w:r>
      <w:r>
        <w:rPr>
          <w:rFonts w:ascii="Times New Roman" w:hAnsi="Times New Roman" w:cs="Times New Roman" w:eastAsia="Times New Roman" w:hint="default"/>
          <w:spacing w:val="-2"/>
        </w:rPr>
        <w:t>200,000,000</w:t>
      </w:r>
      <w:r>
        <w:rPr>
          <w:spacing w:val="-2"/>
        </w:rPr>
        <w:t>股。</w:t>
      </w:r>
      <w:r>
        <w:rPr>
          <w:spacing w:val="-45"/>
        </w:rPr>
        <w:t> </w:t>
      </w:r>
      <w:r>
        <w:rPr/>
        <w:t>转增后公司总股本增加至</w:t>
      </w:r>
      <w:r>
        <w:rPr>
          <w:rFonts w:ascii="Times New Roman" w:hAnsi="Times New Roman" w:cs="Times New Roman" w:eastAsia="Times New Roman" w:hint="default"/>
        </w:rPr>
        <w:t>280,000,000.00</w:t>
      </w:r>
      <w:r>
        <w:rPr/>
        <w:t>元，并于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日办理工商变更登记。</w:t>
      </w:r>
    </w:p>
    <w:p>
      <w:pPr>
        <w:pStyle w:val="BodyText"/>
        <w:spacing w:line="302" w:lineRule="auto" w:before="51"/>
        <w:ind w:right="1130" w:firstLine="360"/>
        <w:jc w:val="both"/>
      </w:pPr>
      <w:r>
        <w:rPr/>
        <w:t>根据本公司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日第三届董事会第四次会议决议、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日第三届董事会第十一次会议决议、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 </w:t>
      </w:r>
      <w:r>
        <w:rPr>
          <w:spacing w:val="-2"/>
        </w:rPr>
        <w:t>月</w:t>
      </w:r>
      <w:r>
        <w:rPr>
          <w:rFonts w:ascii="Times New Roman" w:hAnsi="Times New Roman" w:cs="Times New Roman" w:eastAsia="Times New Roman" w:hint="default"/>
          <w:spacing w:val="-2"/>
        </w:rPr>
        <w:t>17</w:t>
      </w:r>
      <w:r>
        <w:rPr>
          <w:spacing w:val="-2"/>
        </w:rPr>
        <w:t>日召开的</w:t>
      </w:r>
      <w:r>
        <w:rPr>
          <w:rFonts w:ascii="Times New Roman" w:hAnsi="Times New Roman" w:cs="Times New Roman" w:eastAsia="Times New Roman" w:hint="default"/>
          <w:spacing w:val="-2"/>
        </w:rPr>
        <w:t>2019</w:t>
      </w:r>
      <w:r>
        <w:rPr>
          <w:spacing w:val="-2"/>
        </w:rPr>
        <w:t>年第一次临时股东大会决议以及本公司与珠海佳博科技股份有限公司（以下简称</w:t>
      </w:r>
      <w:r>
        <w:rPr>
          <w:rFonts w:ascii="Times New Roman" w:hAnsi="Times New Roman" w:cs="Times New Roman" w:eastAsia="Times New Roman" w:hint="default"/>
          <w:spacing w:val="-2"/>
        </w:rPr>
        <w:t>“</w:t>
      </w:r>
      <w:r>
        <w:rPr>
          <w:spacing w:val="-2"/>
        </w:rPr>
        <w:t>佳博科技公司</w:t>
      </w:r>
      <w:r>
        <w:rPr>
          <w:rFonts w:ascii="Times New Roman" w:hAnsi="Times New Roman" w:cs="Times New Roman" w:eastAsia="Times New Roman" w:hint="default"/>
          <w:spacing w:val="-2"/>
        </w:rPr>
        <w:t>”</w:t>
      </w:r>
      <w:r>
        <w:rPr>
          <w:spacing w:val="-2"/>
        </w:rPr>
        <w:t>）原股东</w:t>
      </w:r>
      <w:r>
        <w:rPr>
          <w:spacing w:val="-42"/>
        </w:rPr>
        <w:t> </w:t>
      </w:r>
      <w:r>
        <w:rPr>
          <w:spacing w:val="-42"/>
        </w:rPr>
      </w:r>
      <w:r>
        <w:rPr>
          <w:spacing w:val="-2"/>
        </w:rPr>
        <w:t>签署的《发行股份及支付现金购买资产协议》、《发行股份及支付现金购买资产协议之补充协议》，本公司以发行股份及支</w:t>
      </w:r>
      <w:r>
        <w:rPr>
          <w:spacing w:val="-67"/>
        </w:rPr>
        <w:t> </w:t>
      </w:r>
      <w:r>
        <w:rPr>
          <w:spacing w:val="-67"/>
        </w:rPr>
      </w:r>
      <w:r>
        <w:rPr>
          <w:spacing w:val="-1"/>
        </w:rPr>
        <w:t>付现金的方式购买佳博科技公司原股东持有的佳博科技公司</w:t>
      </w:r>
      <w:r>
        <w:rPr>
          <w:rFonts w:ascii="Times New Roman" w:hAnsi="Times New Roman" w:cs="Times New Roman" w:eastAsia="Times New Roman" w:hint="default"/>
          <w:spacing w:val="-1"/>
        </w:rPr>
        <w:t>100%</w:t>
      </w:r>
      <w:r>
        <w:rPr>
          <w:spacing w:val="-1"/>
        </w:rPr>
        <w:t>股权。</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5</w:t>
      </w:r>
      <w:r>
        <w:rPr>
          <w:spacing w:val="-1"/>
        </w:rPr>
        <w:t>日，取得经中国证券监督管理委员会证</w:t>
      </w:r>
      <w:r>
        <w:rPr>
          <w:spacing w:val="-87"/>
        </w:rPr>
        <w:t> </w:t>
      </w:r>
      <w:r>
        <w:rPr>
          <w:spacing w:val="-87"/>
        </w:rPr>
      </w:r>
      <w:r>
        <w:rPr>
          <w:spacing w:val="-2"/>
        </w:rPr>
        <w:t>监许可［</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2150</w:t>
      </w:r>
      <w:r>
        <w:rPr>
          <w:spacing w:val="-2"/>
        </w:rPr>
        <w:t>号《关于核准深圳市优博讯科技股份有限公司向陈建辉等发行股份购买资产并募集配套资金的批复》核</w:t>
      </w:r>
      <w:r>
        <w:rPr>
          <w:spacing w:val="-63"/>
        </w:rPr>
        <w:t> </w:t>
      </w:r>
      <w:r>
        <w:rPr>
          <w:spacing w:val="-63"/>
        </w:rPr>
      </w:r>
      <w:r>
        <w:rPr>
          <w:spacing w:val="2"/>
        </w:rPr>
        <w:t>准，核准本公司向陈建辉等</w:t>
      </w:r>
      <w:r>
        <w:rPr>
          <w:rFonts w:ascii="Times New Roman" w:hAnsi="Times New Roman" w:cs="Times New Roman" w:eastAsia="Times New Roman" w:hint="default"/>
          <w:spacing w:val="2"/>
        </w:rPr>
        <w:t>26</w:t>
      </w:r>
      <w:r>
        <w:rPr>
          <w:spacing w:val="2"/>
        </w:rPr>
        <w:t>名股东发行</w:t>
      </w:r>
      <w:r>
        <w:rPr>
          <w:rFonts w:ascii="Times New Roman" w:hAnsi="Times New Roman" w:cs="Times New Roman" w:eastAsia="Times New Roman" w:hint="default"/>
          <w:spacing w:val="2"/>
        </w:rPr>
        <w:t>32,665,317.00</w:t>
      </w:r>
      <w:r>
        <w:rPr>
          <w:spacing w:val="2"/>
        </w:rPr>
        <w:t>股有限售条件的普通股股票，非公开发行股份募集配套资金不超过</w:t>
      </w:r>
      <w:r>
        <w:rPr>
          <w:spacing w:val="-85"/>
        </w:rPr>
        <w:t> </w:t>
      </w:r>
      <w:r>
        <w:rPr>
          <w:spacing w:val="-85"/>
        </w:rPr>
      </w:r>
      <w:r>
        <w:rPr>
          <w:rFonts w:ascii="Times New Roman" w:hAnsi="Times New Roman" w:cs="Times New Roman" w:eastAsia="Times New Roman" w:hint="default"/>
        </w:rPr>
        <w:t>35,000.00</w:t>
      </w:r>
      <w:r>
        <w:rPr/>
        <w:t>万元。</w:t>
      </w:r>
    </w:p>
    <w:p>
      <w:pPr>
        <w:pStyle w:val="BodyText"/>
        <w:spacing w:line="240" w:lineRule="auto" w:before="52"/>
        <w:ind w:left="513" w:right="0"/>
        <w:jc w:val="left"/>
        <w:rPr>
          <w:rFonts w:ascii="Times New Roman" w:hAnsi="Times New Roman" w:cs="Times New Roman" w:eastAsia="Times New Roman" w:hint="default"/>
        </w:rPr>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9</w:t>
      </w:r>
      <w:r>
        <w:rPr>
          <w:spacing w:val="-1"/>
        </w:rPr>
        <w:t>年</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2</w:t>
      </w:r>
      <w:r>
        <w:rPr/>
        <w:t>月</w:t>
      </w:r>
      <w:r>
        <w:rPr>
          <w:rFonts w:ascii="Times New Roman" w:hAnsi="Times New Roman" w:cs="Times New Roman" w:eastAsia="Times New Roman" w:hint="default"/>
          <w:spacing w:val="1"/>
        </w:rPr>
        <w:t>3</w:t>
      </w:r>
      <w:r>
        <w:rPr/>
        <w:t>日本公司向陈建</w:t>
      </w:r>
      <w:r>
        <w:rPr>
          <w:spacing w:val="-3"/>
        </w:rPr>
        <w:t>辉</w:t>
      </w:r>
      <w:r>
        <w:rPr/>
        <w:t>等</w:t>
      </w:r>
      <w:r>
        <w:rPr>
          <w:rFonts w:ascii="Times New Roman" w:hAnsi="Times New Roman" w:cs="Times New Roman" w:eastAsia="Times New Roman" w:hint="default"/>
          <w:spacing w:val="1"/>
        </w:rPr>
        <w:t>26</w:t>
      </w:r>
      <w:r>
        <w:rPr/>
        <w:t>名股东发行合计</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7</w:t>
      </w:r>
      <w:r>
        <w:rPr>
          <w:rFonts w:ascii="Times New Roman" w:hAnsi="Times New Roman" w:cs="Times New Roman" w:eastAsia="Times New Roman" w:hint="default"/>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t>股股份购买相关资产</w:t>
      </w:r>
      <w:r>
        <w:rPr>
          <w:spacing w:val="-82"/>
        </w:rPr>
        <w:t>，</w:t>
      </w:r>
      <w:r>
        <w:rPr/>
        <w:t>发</w:t>
      </w:r>
      <w:r>
        <w:rPr>
          <w:spacing w:val="-3"/>
        </w:rPr>
        <w:t>行</w:t>
      </w:r>
      <w:r>
        <w:rPr/>
        <w:t>股份每股面值为人民币</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p>
    <w:p>
      <w:pPr>
        <w:pStyle w:val="BodyText"/>
        <w:spacing w:line="338" w:lineRule="auto" w:before="63"/>
        <w:ind w:left="513" w:right="1133" w:hanging="361"/>
        <w:jc w:val="left"/>
      </w:pPr>
      <w:r>
        <w:rPr/>
        <w:t>元，每股发行价格为人民币</w:t>
      </w:r>
      <w:r>
        <w:rPr>
          <w:rFonts w:ascii="Times New Roman" w:hAnsi="Times New Roman" w:cs="Times New Roman" w:eastAsia="Times New Roman" w:hint="default"/>
        </w:rPr>
        <w:t>14.97</w:t>
      </w:r>
      <w:r>
        <w:rPr/>
        <w:t>元。经此发行后本公司的股本变更为人民币</w:t>
      </w:r>
      <w:r>
        <w:rPr>
          <w:rFonts w:ascii="Times New Roman" w:hAnsi="Times New Roman" w:cs="Times New Roman" w:eastAsia="Times New Roman" w:hint="default"/>
        </w:rPr>
        <w:t>312,665,317.00</w:t>
      </w:r>
      <w:r>
        <w:rPr/>
        <w:t>元。 本公司现持有深圳市市场监督管理局核发的《营业执照》，统一社会信用代码为</w:t>
      </w:r>
      <w:r>
        <w:rPr>
          <w:spacing w:val="-19"/>
        </w:rPr>
        <w:t> </w:t>
      </w:r>
      <w:r>
        <w:rPr>
          <w:rFonts w:ascii="Times New Roman" w:hAnsi="Times New Roman" w:cs="Times New Roman" w:eastAsia="Times New Roman" w:hint="default"/>
        </w:rPr>
        <w:t>9144030078526892XR</w:t>
      </w:r>
      <w:r>
        <w:rPr/>
        <w:t>。 本公司注册地址：深圳市南山区粤海街道学府路</w:t>
      </w:r>
      <w:r>
        <w:rPr>
          <w:rFonts w:ascii="Times New Roman" w:hAnsi="Times New Roman" w:cs="Times New Roman" w:eastAsia="Times New Roman" w:hint="default"/>
        </w:rPr>
        <w:t>63</w:t>
      </w:r>
      <w:r>
        <w:rPr/>
        <w:t>号高新区联合总部大厦</w:t>
      </w:r>
      <w:r>
        <w:rPr>
          <w:rFonts w:ascii="Times New Roman" w:hAnsi="Times New Roman" w:cs="Times New Roman" w:eastAsia="Times New Roman" w:hint="default"/>
        </w:rPr>
        <w:t>36</w:t>
      </w:r>
      <w:r>
        <w:rPr/>
        <w:t>楼；法定代表人：</w:t>
      </w:r>
      <w:r>
        <w:rPr>
          <w:rFonts w:ascii="Times New Roman" w:hAnsi="Times New Roman" w:cs="Times New Roman" w:eastAsia="Times New Roman" w:hint="default"/>
        </w:rPr>
        <w:t>GUO</w:t>
      </w:r>
      <w:r>
        <w:rPr>
          <w:rFonts w:ascii="Times New Roman" w:hAnsi="Times New Roman" w:cs="Times New Roman" w:eastAsia="Times New Roman" w:hint="default"/>
          <w:spacing w:val="-1"/>
        </w:rPr>
        <w:t> </w:t>
      </w:r>
      <w:r>
        <w:rPr>
          <w:rFonts w:ascii="Times New Roman" w:hAnsi="Times New Roman" w:cs="Times New Roman" w:eastAsia="Times New Roman" w:hint="default"/>
        </w:rPr>
        <w:t>SONG</w:t>
      </w:r>
      <w:r>
        <w:rPr/>
        <w:t>。 </w:t>
      </w:r>
      <w:r>
        <w:rPr>
          <w:rFonts w:ascii="Times New Roman" w:hAnsi="Times New Roman" w:cs="Times New Roman" w:eastAsia="Times New Roman" w:hint="default"/>
          <w:b/>
          <w:bCs/>
        </w:rPr>
        <w:t>2.</w:t>
      </w:r>
      <w:r>
        <w:rPr>
          <w:rFonts w:ascii="宋体" w:hAnsi="宋体" w:cs="宋体" w:eastAsia="宋体" w:hint="default"/>
          <w:b/>
          <w:bCs/>
        </w:rPr>
        <w:t>经营范围</w:t>
      </w:r>
      <w:r>
        <w:rPr>
          <w:rFonts w:ascii="宋体" w:hAnsi="宋体" w:cs="宋体" w:eastAsia="宋体" w:hint="default"/>
          <w:b/>
          <w:bCs/>
          <w:w w:val="99"/>
        </w:rPr>
        <w:t> </w:t>
      </w:r>
      <w:r>
        <w:rPr>
          <w:spacing w:val="-2"/>
        </w:rPr>
        <w:t>本公司经营范围主要包括：计算机软、硬件产品、电子产品、移动手持终端产品、自动识别产品、金融终端机具、移动</w:t>
      </w:r>
    </w:p>
    <w:p>
      <w:pPr>
        <w:pStyle w:val="BodyText"/>
        <w:spacing w:line="316" w:lineRule="auto" w:before="2"/>
        <w:ind w:right="1133"/>
        <w:jc w:val="left"/>
      </w:pPr>
      <w:r>
        <w:rPr>
          <w:spacing w:val="-2"/>
        </w:rPr>
        <w:t>支付设备、手机的设计、研发、生产（生产项目由分支机构经营）、批发、进出口、租赁及相关配套业务（不涉及国营贸易</w:t>
      </w:r>
      <w:r>
        <w:rPr>
          <w:spacing w:val="-70"/>
        </w:rPr>
        <w:t> </w:t>
      </w:r>
      <w:r>
        <w:rPr>
          <w:spacing w:val="-70"/>
        </w:rPr>
      </w:r>
      <w:r>
        <w:rPr/>
        <w:t>管理商品，涉及配额、许可证管理及其它专项规定管理的商品，按国家有关规定办理申请）。</w:t>
      </w:r>
    </w:p>
    <w:p>
      <w:pPr>
        <w:spacing w:line="340" w:lineRule="auto" w:before="57"/>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公司业务性质和主要经营活动</w:t>
      </w:r>
      <w:r>
        <w:rPr>
          <w:rFonts w:ascii="宋体" w:hAnsi="宋体" w:cs="宋体" w:eastAsia="宋体" w:hint="default"/>
          <w:b/>
          <w:bCs/>
          <w:w w:val="99"/>
          <w:sz w:val="18"/>
          <w:szCs w:val="18"/>
        </w:rPr>
        <w:t> </w:t>
      </w:r>
      <w:r>
        <w:rPr>
          <w:rFonts w:ascii="宋体" w:hAnsi="宋体" w:cs="宋体" w:eastAsia="宋体" w:hint="default"/>
          <w:spacing w:val="-4"/>
          <w:sz w:val="18"/>
          <w:szCs w:val="18"/>
        </w:rPr>
        <w:t>本公司属计算机、通信和其他电子设备制造业。主营业务：提供以智能移动终端为载体的行业移动信息化应用解决方案，</w:t>
      </w:r>
    </w:p>
    <w:p>
      <w:pPr>
        <w:pStyle w:val="BodyText"/>
        <w:spacing w:line="240" w:lineRule="auto" w:before="1"/>
        <w:ind w:right="1133"/>
        <w:jc w:val="left"/>
      </w:pPr>
      <w:r>
        <w:rPr/>
        <w:t>协助客户构建基于移动应用的实时信息采集、传输及管理平台。</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line="340" w:lineRule="auto" w:before="44"/>
        <w:ind w:left="513" w:right="580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财务报表的批准报出</w:t>
      </w:r>
      <w:r>
        <w:rPr>
          <w:rFonts w:ascii="宋体" w:hAnsi="宋体" w:cs="宋体" w:eastAsia="宋体" w:hint="default"/>
          <w:b/>
          <w:bCs/>
          <w:w w:val="99"/>
          <w:sz w:val="18"/>
          <w:szCs w:val="18"/>
        </w:rPr>
        <w:t> </w:t>
      </w:r>
      <w:r>
        <w:rPr>
          <w:rFonts w:ascii="宋体" w:hAnsi="宋体" w:cs="宋体" w:eastAsia="宋体" w:hint="default"/>
          <w:sz w:val="18"/>
          <w:szCs w:val="18"/>
        </w:rPr>
        <w:t>本财务报表业经公司全体董事于</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日批准报出。</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2"/>
          <w:szCs w:val="22"/>
        </w:rPr>
      </w:pPr>
    </w:p>
    <w:p>
      <w:pPr>
        <w:pStyle w:val="BodyText"/>
        <w:spacing w:line="240" w:lineRule="auto"/>
        <w:ind w:left="224" w:right="1133"/>
        <w:jc w:val="left"/>
      </w:pPr>
      <w:r>
        <w:rPr/>
        <w:pict>
          <v:group style="position:absolute;margin-left:56.52pt;margin-top:14.831734pt;width:470.65pt;height:605.85pt;mso-position-horizontal-relative:page;mso-position-vertical-relative:paragraph;z-index:-1220680" coordorigin="1130,297" coordsize="9413,12117">
            <v:group style="position:absolute;left:1145;top:311;width:4235;height:2" coordorigin="1145,311" coordsize="4235,2">
              <v:shape style="position:absolute;left:1145;top:311;width:4235;height:2" coordorigin="1145,311" coordsize="4235,0" path="m1145,311l5379,311e" filled="false" stroked="true" strokeweight=".72pt" strokecolor="#000000">
                <v:path arrowok="t"/>
              </v:shape>
            </v:group>
            <v:group style="position:absolute;left:5394;top:311;width:1122;height:2" coordorigin="5394,311" coordsize="1122,2">
              <v:shape style="position:absolute;left:5394;top:311;width:1122;height:2" coordorigin="5394,311" coordsize="1122,0" path="m5394,311l6515,311e" filled="false" stroked="true" strokeweight=".72pt" strokecolor="#000000">
                <v:path arrowok="t"/>
              </v:shape>
            </v:group>
            <v:group style="position:absolute;left:6529;top:311;width:977;height:2" coordorigin="6529,311" coordsize="977,2">
              <v:shape style="position:absolute;left:6529;top:311;width:977;height:2" coordorigin="6529,311" coordsize="977,0" path="m6529,311l7506,311e" filled="false" stroked="true" strokeweight=".72pt" strokecolor="#000000">
                <v:path arrowok="t"/>
              </v:shape>
            </v:group>
            <v:group style="position:absolute;left:7521;top:311;width:1405;height:2" coordorigin="7521,311" coordsize="1405,2">
              <v:shape style="position:absolute;left:7521;top:311;width:1405;height:2" coordorigin="7521,311" coordsize="1405,0" path="m7521,311l8925,311e" filled="false" stroked="true" strokeweight=".72pt" strokecolor="#000000">
                <v:path arrowok="t"/>
              </v:shape>
            </v:group>
            <v:group style="position:absolute;left:8940;top:311;width:1589;height:2" coordorigin="8940,311" coordsize="1589,2">
              <v:shape style="position:absolute;left:8940;top:311;width:1589;height:2" coordorigin="8940,311" coordsize="1589,0" path="m8940,311l10528,311e" filled="false" stroked="true" strokeweight=".72pt" strokecolor="#000000">
                <v:path arrowok="t"/>
              </v:shape>
            </v:group>
            <v:group style="position:absolute;left:1145;top:738;width:4235;height:2" coordorigin="1145,738" coordsize="4235,2">
              <v:shape style="position:absolute;left:1145;top:738;width:4235;height:2" coordorigin="1145,738" coordsize="4235,0" path="m1145,738l5379,738e" filled="false" stroked="true" strokeweight=".72pt" strokecolor="#000000">
                <v:path arrowok="t"/>
              </v:shape>
            </v:group>
            <v:group style="position:absolute;left:5394;top:738;width:1122;height:2" coordorigin="5394,738" coordsize="1122,2">
              <v:shape style="position:absolute;left:5394;top:738;width:1122;height:2" coordorigin="5394,738" coordsize="1122,0" path="m5394,738l6515,738e" filled="false" stroked="true" strokeweight=".72pt" strokecolor="#000000">
                <v:path arrowok="t"/>
              </v:shape>
            </v:group>
            <v:group style="position:absolute;left:6529;top:738;width:977;height:2" coordorigin="6529,738" coordsize="977,2">
              <v:shape style="position:absolute;left:6529;top:738;width:977;height:2" coordorigin="6529,738" coordsize="977,0" path="m6529,738l7506,738e" filled="false" stroked="true" strokeweight=".72pt" strokecolor="#000000">
                <v:path arrowok="t"/>
              </v:shape>
            </v:group>
            <v:group style="position:absolute;left:7521;top:738;width:1405;height:2" coordorigin="7521,738" coordsize="1405,2">
              <v:shape style="position:absolute;left:7521;top:738;width:1405;height:2" coordorigin="7521,738" coordsize="1405,0" path="m7521,738l8925,738e" filled="false" stroked="true" strokeweight=".72pt" strokecolor="#000000">
                <v:path arrowok="t"/>
              </v:shape>
            </v:group>
            <v:group style="position:absolute;left:8940;top:738;width:1589;height:2" coordorigin="8940,738" coordsize="1589,2">
              <v:shape style="position:absolute;left:8940;top:738;width:1589;height:2" coordorigin="8940,738" coordsize="1589,0" path="m8940,738l10528,738e" filled="false" stroked="true" strokeweight=".72pt" strokecolor="#000000">
                <v:path arrowok="t"/>
              </v:shape>
            </v:group>
            <v:group style="position:absolute;left:1145;top:1475;width:4235;height:2" coordorigin="1145,1475" coordsize="4235,2">
              <v:shape style="position:absolute;left:1145;top:1475;width:4235;height:2" coordorigin="1145,1475" coordsize="4235,0" path="m1145,1475l5379,1475e" filled="false" stroked="true" strokeweight=".72pt" strokecolor="#000000">
                <v:path arrowok="t"/>
              </v:shape>
            </v:group>
            <v:group style="position:absolute;left:5394;top:1475;width:1122;height:2" coordorigin="5394,1475" coordsize="1122,2">
              <v:shape style="position:absolute;left:5394;top:1475;width:1122;height:2" coordorigin="5394,1475" coordsize="1122,0" path="m5394,1475l6515,1475e" filled="false" stroked="true" strokeweight=".72pt" strokecolor="#000000">
                <v:path arrowok="t"/>
              </v:shape>
            </v:group>
            <v:group style="position:absolute;left:6529;top:1475;width:977;height:2" coordorigin="6529,1475" coordsize="977,2">
              <v:shape style="position:absolute;left:6529;top:1475;width:977;height:2" coordorigin="6529,1475" coordsize="977,0" path="m6529,1475l7506,1475e" filled="false" stroked="true" strokeweight=".72pt" strokecolor="#000000">
                <v:path arrowok="t"/>
              </v:shape>
            </v:group>
            <v:group style="position:absolute;left:7521;top:1475;width:1405;height:2" coordorigin="7521,1475" coordsize="1405,2">
              <v:shape style="position:absolute;left:7521;top:1475;width:1405;height:2" coordorigin="7521,1475" coordsize="1405,0" path="m7521,1475l8925,1475e" filled="false" stroked="true" strokeweight=".72pt" strokecolor="#000000">
                <v:path arrowok="t"/>
              </v:shape>
            </v:group>
            <v:group style="position:absolute;left:8940;top:1475;width:1589;height:2" coordorigin="8940,1475" coordsize="1589,2">
              <v:shape style="position:absolute;left:8940;top:1475;width:1589;height:2" coordorigin="8940,1475" coordsize="1589,0" path="m8940,1475l10528,1475e" filled="false" stroked="true" strokeweight=".72pt" strokecolor="#000000">
                <v:path arrowok="t"/>
              </v:shape>
            </v:group>
            <v:group style="position:absolute;left:1145;top:2214;width:4235;height:2" coordorigin="1145,2214" coordsize="4235,2">
              <v:shape style="position:absolute;left:1145;top:2214;width:4235;height:2" coordorigin="1145,2214" coordsize="4235,0" path="m1145,2214l5379,2214e" filled="false" stroked="true" strokeweight=".72pt" strokecolor="#000000">
                <v:path arrowok="t"/>
              </v:shape>
            </v:group>
            <v:group style="position:absolute;left:5394;top:2214;width:1122;height:2" coordorigin="5394,2214" coordsize="1122,2">
              <v:shape style="position:absolute;left:5394;top:2214;width:1122;height:2" coordorigin="5394,2214" coordsize="1122,0" path="m5394,2214l6515,2214e" filled="false" stroked="true" strokeweight=".72pt" strokecolor="#000000">
                <v:path arrowok="t"/>
              </v:shape>
            </v:group>
            <v:group style="position:absolute;left:6529;top:2214;width:977;height:2" coordorigin="6529,2214" coordsize="977,2">
              <v:shape style="position:absolute;left:6529;top:2214;width:977;height:2" coordorigin="6529,2214" coordsize="977,0" path="m6529,2214l7506,2214e" filled="false" stroked="true" strokeweight=".72pt" strokecolor="#000000">
                <v:path arrowok="t"/>
              </v:shape>
            </v:group>
            <v:group style="position:absolute;left:7521;top:2214;width:1405;height:2" coordorigin="7521,2214" coordsize="1405,2">
              <v:shape style="position:absolute;left:7521;top:2214;width:1405;height:2" coordorigin="7521,2214" coordsize="1405,0" path="m7521,2214l8925,2214e" filled="false" stroked="true" strokeweight=".72pt" strokecolor="#000000">
                <v:path arrowok="t"/>
              </v:shape>
            </v:group>
            <v:group style="position:absolute;left:8940;top:2214;width:1589;height:2" coordorigin="8940,2214" coordsize="1589,2">
              <v:shape style="position:absolute;left:8940;top:2214;width:1589;height:2" coordorigin="8940,2214" coordsize="1589,0" path="m8940,2214l10528,2214e" filled="false" stroked="true" strokeweight=".72pt" strokecolor="#000000">
                <v:path arrowok="t"/>
              </v:shape>
            </v:group>
            <v:group style="position:absolute;left:1145;top:2641;width:4235;height:2" coordorigin="1145,2641" coordsize="4235,2">
              <v:shape style="position:absolute;left:1145;top:2641;width:4235;height:2" coordorigin="1145,2641" coordsize="4235,0" path="m1145,2641l5379,2641e" filled="false" stroked="true" strokeweight=".72pt" strokecolor="#000000">
                <v:path arrowok="t"/>
              </v:shape>
            </v:group>
            <v:group style="position:absolute;left:5394;top:2641;width:1122;height:2" coordorigin="5394,2641" coordsize="1122,2">
              <v:shape style="position:absolute;left:5394;top:2641;width:1122;height:2" coordorigin="5394,2641" coordsize="1122,0" path="m5394,2641l6515,2641e" filled="false" stroked="true" strokeweight=".72pt" strokecolor="#000000">
                <v:path arrowok="t"/>
              </v:shape>
            </v:group>
            <v:group style="position:absolute;left:6529;top:2641;width:977;height:2" coordorigin="6529,2641" coordsize="977,2">
              <v:shape style="position:absolute;left:6529;top:2641;width:977;height:2" coordorigin="6529,2641" coordsize="977,0" path="m6529,2641l7506,2641e" filled="false" stroked="true" strokeweight=".72pt" strokecolor="#000000">
                <v:path arrowok="t"/>
              </v:shape>
            </v:group>
            <v:group style="position:absolute;left:7521;top:2641;width:1405;height:2" coordorigin="7521,2641" coordsize="1405,2">
              <v:shape style="position:absolute;left:7521;top:2641;width:1405;height:2" coordorigin="7521,2641" coordsize="1405,0" path="m7521,2641l8925,2641e" filled="false" stroked="true" strokeweight=".72pt" strokecolor="#000000">
                <v:path arrowok="t"/>
              </v:shape>
            </v:group>
            <v:group style="position:absolute;left:8940;top:2641;width:1589;height:2" coordorigin="8940,2641" coordsize="1589,2">
              <v:shape style="position:absolute;left:8940;top:2641;width:1589;height:2" coordorigin="8940,2641" coordsize="1589,0" path="m8940,2641l10528,2641e" filled="false" stroked="true" strokeweight=".72pt" strokecolor="#000000">
                <v:path arrowok="t"/>
              </v:shape>
            </v:group>
            <v:group style="position:absolute;left:1145;top:3381;width:4235;height:2" coordorigin="1145,3381" coordsize="4235,2">
              <v:shape style="position:absolute;left:1145;top:3381;width:4235;height:2" coordorigin="1145,3381" coordsize="4235,0" path="m1145,3381l5379,3381e" filled="false" stroked="true" strokeweight=".71997pt" strokecolor="#000000">
                <v:path arrowok="t"/>
              </v:shape>
            </v:group>
            <v:group style="position:absolute;left:5394;top:3381;width:1122;height:2" coordorigin="5394,3381" coordsize="1122,2">
              <v:shape style="position:absolute;left:5394;top:3381;width:1122;height:2" coordorigin="5394,3381" coordsize="1122,0" path="m5394,3381l6515,3381e" filled="false" stroked="true" strokeweight=".71997pt" strokecolor="#000000">
                <v:path arrowok="t"/>
              </v:shape>
            </v:group>
            <v:group style="position:absolute;left:6529;top:3381;width:977;height:2" coordorigin="6529,3381" coordsize="977,2">
              <v:shape style="position:absolute;left:6529;top:3381;width:977;height:2" coordorigin="6529,3381" coordsize="977,0" path="m6529,3381l7506,3381e" filled="false" stroked="true" strokeweight=".71997pt" strokecolor="#000000">
                <v:path arrowok="t"/>
              </v:shape>
            </v:group>
            <v:group style="position:absolute;left:7521;top:3381;width:1405;height:2" coordorigin="7521,3381" coordsize="1405,2">
              <v:shape style="position:absolute;left:7521;top:3381;width:1405;height:2" coordorigin="7521,3381" coordsize="1405,0" path="m7521,3381l8925,3381e" filled="false" stroked="true" strokeweight=".71997pt" strokecolor="#000000">
                <v:path arrowok="t"/>
              </v:shape>
            </v:group>
            <v:group style="position:absolute;left:8940;top:3381;width:1589;height:2" coordorigin="8940,3381" coordsize="1589,2">
              <v:shape style="position:absolute;left:8940;top:3381;width:1589;height:2" coordorigin="8940,3381" coordsize="1589,0" path="m8940,3381l10528,3381e" filled="false" stroked="true" strokeweight=".71997pt" strokecolor="#000000">
                <v:path arrowok="t"/>
              </v:shape>
            </v:group>
            <v:group style="position:absolute;left:1145;top:4120;width:4235;height:2" coordorigin="1145,4120" coordsize="4235,2">
              <v:shape style="position:absolute;left:1145;top:4120;width:4235;height:2" coordorigin="1145,4120" coordsize="4235,0" path="m1145,4120l5379,4120e" filled="false" stroked="true" strokeweight=".72pt" strokecolor="#000000">
                <v:path arrowok="t"/>
              </v:shape>
            </v:group>
            <v:group style="position:absolute;left:5394;top:4120;width:1122;height:2" coordorigin="5394,4120" coordsize="1122,2">
              <v:shape style="position:absolute;left:5394;top:4120;width:1122;height:2" coordorigin="5394,4120" coordsize="1122,0" path="m5394,4120l6515,4120e" filled="false" stroked="true" strokeweight=".72pt" strokecolor="#000000">
                <v:path arrowok="t"/>
              </v:shape>
            </v:group>
            <v:group style="position:absolute;left:6529;top:4120;width:977;height:2" coordorigin="6529,4120" coordsize="977,2">
              <v:shape style="position:absolute;left:6529;top:4120;width:977;height:2" coordorigin="6529,4120" coordsize="977,0" path="m6529,4120l7506,4120e" filled="false" stroked="true" strokeweight=".72pt" strokecolor="#000000">
                <v:path arrowok="t"/>
              </v:shape>
            </v:group>
            <v:group style="position:absolute;left:7521;top:4120;width:1405;height:2" coordorigin="7521,4120" coordsize="1405,2">
              <v:shape style="position:absolute;left:7521;top:4120;width:1405;height:2" coordorigin="7521,4120" coordsize="1405,0" path="m7521,4120l8925,4120e" filled="false" stroked="true" strokeweight=".72pt" strokecolor="#000000">
                <v:path arrowok="t"/>
              </v:shape>
            </v:group>
            <v:group style="position:absolute;left:8940;top:4120;width:1589;height:2" coordorigin="8940,4120" coordsize="1589,2">
              <v:shape style="position:absolute;left:8940;top:4120;width:1589;height:2" coordorigin="8940,4120" coordsize="1589,0" path="m8940,4120l10528,4120e" filled="false" stroked="true" strokeweight=".72pt" strokecolor="#000000">
                <v:path arrowok="t"/>
              </v:shape>
            </v:group>
            <v:group style="position:absolute;left:1145;top:4860;width:4235;height:2" coordorigin="1145,4860" coordsize="4235,2">
              <v:shape style="position:absolute;left:1145;top:4860;width:4235;height:2" coordorigin="1145,4860" coordsize="4235,0" path="m1145,4860l5379,4860e" filled="false" stroked="true" strokeweight=".72pt" strokecolor="#000000">
                <v:path arrowok="t"/>
              </v:shape>
            </v:group>
            <v:group style="position:absolute;left:5394;top:4860;width:1122;height:2" coordorigin="5394,4860" coordsize="1122,2">
              <v:shape style="position:absolute;left:5394;top:4860;width:1122;height:2" coordorigin="5394,4860" coordsize="1122,0" path="m5394,4860l6515,4860e" filled="false" stroked="true" strokeweight=".72pt" strokecolor="#000000">
                <v:path arrowok="t"/>
              </v:shape>
            </v:group>
            <v:group style="position:absolute;left:6529;top:4860;width:977;height:2" coordorigin="6529,4860" coordsize="977,2">
              <v:shape style="position:absolute;left:6529;top:4860;width:977;height:2" coordorigin="6529,4860" coordsize="977,0" path="m6529,4860l7506,4860e" filled="false" stroked="true" strokeweight=".72pt" strokecolor="#000000">
                <v:path arrowok="t"/>
              </v:shape>
            </v:group>
            <v:group style="position:absolute;left:7521;top:4860;width:1405;height:2" coordorigin="7521,4860" coordsize="1405,2">
              <v:shape style="position:absolute;left:7521;top:4860;width:1405;height:2" coordorigin="7521,4860" coordsize="1405,0" path="m7521,4860l8925,4860e" filled="false" stroked="true" strokeweight=".72pt" strokecolor="#000000">
                <v:path arrowok="t"/>
              </v:shape>
            </v:group>
            <v:group style="position:absolute;left:8940;top:4860;width:1589;height:2" coordorigin="8940,4860" coordsize="1589,2">
              <v:shape style="position:absolute;left:8940;top:4860;width:1589;height:2" coordorigin="8940,4860" coordsize="1589,0" path="m8940,4860l10528,4860e" filled="false" stroked="true" strokeweight=".72pt" strokecolor="#000000">
                <v:path arrowok="t"/>
              </v:shape>
            </v:group>
            <v:group style="position:absolute;left:1145;top:5599;width:4235;height:2" coordorigin="1145,5599" coordsize="4235,2">
              <v:shape style="position:absolute;left:1145;top:5599;width:4235;height:2" coordorigin="1145,5599" coordsize="4235,0" path="m1145,5599l5379,5599e" filled="false" stroked="true" strokeweight=".72pt" strokecolor="#000000">
                <v:path arrowok="t"/>
              </v:shape>
            </v:group>
            <v:group style="position:absolute;left:5394;top:5599;width:1122;height:2" coordorigin="5394,5599" coordsize="1122,2">
              <v:shape style="position:absolute;left:5394;top:5599;width:1122;height:2" coordorigin="5394,5599" coordsize="1122,0" path="m5394,5599l6515,5599e" filled="false" stroked="true" strokeweight=".72pt" strokecolor="#000000">
                <v:path arrowok="t"/>
              </v:shape>
            </v:group>
            <v:group style="position:absolute;left:6529;top:5599;width:977;height:2" coordorigin="6529,5599" coordsize="977,2">
              <v:shape style="position:absolute;left:6529;top:5599;width:977;height:2" coordorigin="6529,5599" coordsize="977,0" path="m6529,5599l7506,5599e" filled="false" stroked="true" strokeweight=".72pt" strokecolor="#000000">
                <v:path arrowok="t"/>
              </v:shape>
            </v:group>
            <v:group style="position:absolute;left:7521;top:5599;width:1405;height:2" coordorigin="7521,5599" coordsize="1405,2">
              <v:shape style="position:absolute;left:7521;top:5599;width:1405;height:2" coordorigin="7521,5599" coordsize="1405,0" path="m7521,5599l8925,5599e" filled="false" stroked="true" strokeweight=".72pt" strokecolor="#000000">
                <v:path arrowok="t"/>
              </v:shape>
            </v:group>
            <v:group style="position:absolute;left:8940;top:5599;width:1589;height:2" coordorigin="8940,5599" coordsize="1589,2">
              <v:shape style="position:absolute;left:8940;top:5599;width:1589;height:2" coordorigin="8940,5599" coordsize="1589,0" path="m8940,5599l10528,5599e" filled="false" stroked="true" strokeweight=".72pt" strokecolor="#000000">
                <v:path arrowok="t"/>
              </v:shape>
            </v:group>
            <v:group style="position:absolute;left:1145;top:6338;width:4235;height:2" coordorigin="1145,6338" coordsize="4235,2">
              <v:shape style="position:absolute;left:1145;top:6338;width:4235;height:2" coordorigin="1145,6338" coordsize="4235,0" path="m1145,6338l5379,6338e" filled="false" stroked="true" strokeweight=".72pt" strokecolor="#000000">
                <v:path arrowok="t"/>
              </v:shape>
            </v:group>
            <v:group style="position:absolute;left:5394;top:6338;width:1122;height:2" coordorigin="5394,6338" coordsize="1122,2">
              <v:shape style="position:absolute;left:5394;top:6338;width:1122;height:2" coordorigin="5394,6338" coordsize="1122,0" path="m5394,6338l6515,6338e" filled="false" stroked="true" strokeweight=".72pt" strokecolor="#000000">
                <v:path arrowok="t"/>
              </v:shape>
            </v:group>
            <v:group style="position:absolute;left:6529;top:6338;width:977;height:2" coordorigin="6529,6338" coordsize="977,2">
              <v:shape style="position:absolute;left:6529;top:6338;width:977;height:2" coordorigin="6529,6338" coordsize="977,0" path="m6529,6338l7506,6338e" filled="false" stroked="true" strokeweight=".72pt" strokecolor="#000000">
                <v:path arrowok="t"/>
              </v:shape>
            </v:group>
            <v:group style="position:absolute;left:7521;top:6338;width:1405;height:2" coordorigin="7521,6338" coordsize="1405,2">
              <v:shape style="position:absolute;left:7521;top:6338;width:1405;height:2" coordorigin="7521,6338" coordsize="1405,0" path="m7521,6338l8925,6338e" filled="false" stroked="true" strokeweight=".72pt" strokecolor="#000000">
                <v:path arrowok="t"/>
              </v:shape>
            </v:group>
            <v:group style="position:absolute;left:8940;top:6338;width:1589;height:2" coordorigin="8940,6338" coordsize="1589,2">
              <v:shape style="position:absolute;left:8940;top:6338;width:1589;height:2" coordorigin="8940,6338" coordsize="1589,0" path="m8940,6338l10528,6338e" filled="false" stroked="true" strokeweight=".72pt" strokecolor="#000000">
                <v:path arrowok="t"/>
              </v:shape>
            </v:group>
            <v:group style="position:absolute;left:1145;top:7078;width:4235;height:2" coordorigin="1145,7078" coordsize="4235,2">
              <v:shape style="position:absolute;left:1145;top:7078;width:4235;height:2" coordorigin="1145,7078" coordsize="4235,0" path="m1145,7078l5379,7078e" filled="false" stroked="true" strokeweight=".72pt" strokecolor="#000000">
                <v:path arrowok="t"/>
              </v:shape>
            </v:group>
            <v:group style="position:absolute;left:5394;top:7078;width:1122;height:2" coordorigin="5394,7078" coordsize="1122,2">
              <v:shape style="position:absolute;left:5394;top:7078;width:1122;height:2" coordorigin="5394,7078" coordsize="1122,0" path="m5394,7078l6515,7078e" filled="false" stroked="true" strokeweight=".72pt" strokecolor="#000000">
                <v:path arrowok="t"/>
              </v:shape>
            </v:group>
            <v:group style="position:absolute;left:6529;top:7078;width:977;height:2" coordorigin="6529,7078" coordsize="977,2">
              <v:shape style="position:absolute;left:6529;top:7078;width:977;height:2" coordorigin="6529,7078" coordsize="977,0" path="m6529,7078l7506,7078e" filled="false" stroked="true" strokeweight=".72pt" strokecolor="#000000">
                <v:path arrowok="t"/>
              </v:shape>
            </v:group>
            <v:group style="position:absolute;left:7521;top:7078;width:1405;height:2" coordorigin="7521,7078" coordsize="1405,2">
              <v:shape style="position:absolute;left:7521;top:7078;width:1405;height:2" coordorigin="7521,7078" coordsize="1405,0" path="m7521,7078l8925,7078e" filled="false" stroked="true" strokeweight=".72pt" strokecolor="#000000">
                <v:path arrowok="t"/>
              </v:shape>
            </v:group>
            <v:group style="position:absolute;left:8940;top:7078;width:1589;height:2" coordorigin="8940,7078" coordsize="1589,2">
              <v:shape style="position:absolute;left:8940;top:7078;width:1589;height:2" coordorigin="8940,7078" coordsize="1589,0" path="m8940,7078l10528,7078e" filled="false" stroked="true" strokeweight=".72pt" strokecolor="#000000">
                <v:path arrowok="t"/>
              </v:shape>
            </v:group>
            <v:group style="position:absolute;left:1145;top:7505;width:4235;height:2" coordorigin="1145,7505" coordsize="4235,2">
              <v:shape style="position:absolute;left:1145;top:7505;width:4235;height:2" coordorigin="1145,7505" coordsize="4235,0" path="m1145,7505l5379,7505e" filled="false" stroked="true" strokeweight=".72pt" strokecolor="#000000">
                <v:path arrowok="t"/>
              </v:shape>
            </v:group>
            <v:group style="position:absolute;left:5394;top:7505;width:1122;height:2" coordorigin="5394,7505" coordsize="1122,2">
              <v:shape style="position:absolute;left:5394;top:7505;width:1122;height:2" coordorigin="5394,7505" coordsize="1122,0" path="m5394,7505l6515,7505e" filled="false" stroked="true" strokeweight=".72pt" strokecolor="#000000">
                <v:path arrowok="t"/>
              </v:shape>
            </v:group>
            <v:group style="position:absolute;left:6529;top:7505;width:977;height:2" coordorigin="6529,7505" coordsize="977,2">
              <v:shape style="position:absolute;left:6529;top:7505;width:977;height:2" coordorigin="6529,7505" coordsize="977,0" path="m6529,7505l7506,7505e" filled="false" stroked="true" strokeweight=".72pt" strokecolor="#000000">
                <v:path arrowok="t"/>
              </v:shape>
            </v:group>
            <v:group style="position:absolute;left:7521;top:7505;width:1405;height:2" coordorigin="7521,7505" coordsize="1405,2">
              <v:shape style="position:absolute;left:7521;top:7505;width:1405;height:2" coordorigin="7521,7505" coordsize="1405,0" path="m7521,7505l8925,7505e" filled="false" stroked="true" strokeweight=".72pt" strokecolor="#000000">
                <v:path arrowok="t"/>
              </v:shape>
            </v:group>
            <v:group style="position:absolute;left:8940;top:7505;width:1589;height:2" coordorigin="8940,7505" coordsize="1589,2">
              <v:shape style="position:absolute;left:8940;top:7505;width:1589;height:2" coordorigin="8940,7505" coordsize="1589,0" path="m8940,7505l10528,7505e" filled="false" stroked="true" strokeweight=".72pt" strokecolor="#000000">
                <v:path arrowok="t"/>
              </v:shape>
            </v:group>
            <v:group style="position:absolute;left:1145;top:8244;width:4235;height:2" coordorigin="1145,8244" coordsize="4235,2">
              <v:shape style="position:absolute;left:1145;top:8244;width:4235;height:2" coordorigin="1145,8244" coordsize="4235,0" path="m1145,8244l5379,8244e" filled="false" stroked="true" strokeweight=".72003pt" strokecolor="#000000">
                <v:path arrowok="t"/>
              </v:shape>
            </v:group>
            <v:group style="position:absolute;left:5394;top:8244;width:1122;height:2" coordorigin="5394,8244" coordsize="1122,2">
              <v:shape style="position:absolute;left:5394;top:8244;width:1122;height:2" coordorigin="5394,8244" coordsize="1122,0" path="m5394,8244l6515,8244e" filled="false" stroked="true" strokeweight=".72003pt" strokecolor="#000000">
                <v:path arrowok="t"/>
              </v:shape>
            </v:group>
            <v:group style="position:absolute;left:6529;top:8244;width:977;height:2" coordorigin="6529,8244" coordsize="977,2">
              <v:shape style="position:absolute;left:6529;top:8244;width:977;height:2" coordorigin="6529,8244" coordsize="977,0" path="m6529,8244l7506,8244e" filled="false" stroked="true" strokeweight=".72003pt" strokecolor="#000000">
                <v:path arrowok="t"/>
              </v:shape>
            </v:group>
            <v:group style="position:absolute;left:7521;top:8244;width:1405;height:2" coordorigin="7521,8244" coordsize="1405,2">
              <v:shape style="position:absolute;left:7521;top:8244;width:1405;height:2" coordorigin="7521,8244" coordsize="1405,0" path="m7521,8244l8925,8244e" filled="false" stroked="true" strokeweight=".72003pt" strokecolor="#000000">
                <v:path arrowok="t"/>
              </v:shape>
            </v:group>
            <v:group style="position:absolute;left:8940;top:8244;width:1589;height:2" coordorigin="8940,8244" coordsize="1589,2">
              <v:shape style="position:absolute;left:8940;top:8244;width:1589;height:2" coordorigin="8940,8244" coordsize="1589,0" path="m8940,8244l10528,8244e" filled="false" stroked="true" strokeweight=".72003pt" strokecolor="#000000">
                <v:path arrowok="t"/>
              </v:shape>
            </v:group>
            <v:group style="position:absolute;left:1145;top:8983;width:4235;height:2" coordorigin="1145,8983" coordsize="4235,2">
              <v:shape style="position:absolute;left:1145;top:8983;width:4235;height:2" coordorigin="1145,8983" coordsize="4235,0" path="m1145,8983l5379,8983e" filled="false" stroked="true" strokeweight=".71997pt" strokecolor="#000000">
                <v:path arrowok="t"/>
              </v:shape>
            </v:group>
            <v:group style="position:absolute;left:5394;top:8983;width:1122;height:2" coordorigin="5394,8983" coordsize="1122,2">
              <v:shape style="position:absolute;left:5394;top:8983;width:1122;height:2" coordorigin="5394,8983" coordsize="1122,0" path="m5394,8983l6515,8983e" filled="false" stroked="true" strokeweight=".71997pt" strokecolor="#000000">
                <v:path arrowok="t"/>
              </v:shape>
            </v:group>
            <v:group style="position:absolute;left:6529;top:8983;width:977;height:2" coordorigin="6529,8983" coordsize="977,2">
              <v:shape style="position:absolute;left:6529;top:8983;width:977;height:2" coordorigin="6529,8983" coordsize="977,0" path="m6529,8983l7506,8983e" filled="false" stroked="true" strokeweight=".71997pt" strokecolor="#000000">
                <v:path arrowok="t"/>
              </v:shape>
            </v:group>
            <v:group style="position:absolute;left:7521;top:8983;width:1405;height:2" coordorigin="7521,8983" coordsize="1405,2">
              <v:shape style="position:absolute;left:7521;top:8983;width:1405;height:2" coordorigin="7521,8983" coordsize="1405,0" path="m7521,8983l8925,8983e" filled="false" stroked="true" strokeweight=".71997pt" strokecolor="#000000">
                <v:path arrowok="t"/>
              </v:shape>
            </v:group>
            <v:group style="position:absolute;left:8940;top:8983;width:1589;height:2" coordorigin="8940,8983" coordsize="1589,2">
              <v:shape style="position:absolute;left:8940;top:8983;width:1589;height:2" coordorigin="8940,8983" coordsize="1589,0" path="m8940,8983l10528,8983e" filled="false" stroked="true" strokeweight=".71997pt" strokecolor="#000000">
                <v:path arrowok="t"/>
              </v:shape>
            </v:group>
            <v:group style="position:absolute;left:1145;top:9408;width:4235;height:2" coordorigin="1145,9408" coordsize="4235,2">
              <v:shape style="position:absolute;left:1145;top:9408;width:4235;height:2" coordorigin="1145,9408" coordsize="4235,0" path="m1145,9408l5379,9408e" filled="false" stroked="true" strokeweight=".71997pt" strokecolor="#000000">
                <v:path arrowok="t"/>
              </v:shape>
            </v:group>
            <v:group style="position:absolute;left:5394;top:9408;width:1122;height:2" coordorigin="5394,9408" coordsize="1122,2">
              <v:shape style="position:absolute;left:5394;top:9408;width:1122;height:2" coordorigin="5394,9408" coordsize="1122,0" path="m5394,9408l6515,9408e" filled="false" stroked="true" strokeweight=".71997pt" strokecolor="#000000">
                <v:path arrowok="t"/>
              </v:shape>
            </v:group>
            <v:group style="position:absolute;left:6529;top:9408;width:977;height:2" coordorigin="6529,9408" coordsize="977,2">
              <v:shape style="position:absolute;left:6529;top:9408;width:977;height:2" coordorigin="6529,9408" coordsize="977,0" path="m6529,9408l7506,9408e" filled="false" stroked="true" strokeweight=".71997pt" strokecolor="#000000">
                <v:path arrowok="t"/>
              </v:shape>
            </v:group>
            <v:group style="position:absolute;left:7521;top:9408;width:1405;height:2" coordorigin="7521,9408" coordsize="1405,2">
              <v:shape style="position:absolute;left:7521;top:9408;width:1405;height:2" coordorigin="7521,9408" coordsize="1405,0" path="m7521,9408l8925,9408e" filled="false" stroked="true" strokeweight=".71997pt" strokecolor="#000000">
                <v:path arrowok="t"/>
              </v:shape>
            </v:group>
            <v:group style="position:absolute;left:8940;top:9408;width:1589;height:2" coordorigin="8940,9408" coordsize="1589,2">
              <v:shape style="position:absolute;left:8940;top:9408;width:1589;height:2" coordorigin="8940,9408" coordsize="1589,0" path="m8940,9408l10528,9408e" filled="false" stroked="true" strokeweight=".71997pt" strokecolor="#000000">
                <v:path arrowok="t"/>
              </v:shape>
            </v:group>
            <v:group style="position:absolute;left:1145;top:9836;width:4235;height:2" coordorigin="1145,9836" coordsize="4235,2">
              <v:shape style="position:absolute;left:1145;top:9836;width:4235;height:2" coordorigin="1145,9836" coordsize="4235,0" path="m1145,9836l5379,9836e" filled="false" stroked="true" strokeweight=".72003pt" strokecolor="#000000">
                <v:path arrowok="t"/>
              </v:shape>
            </v:group>
            <v:group style="position:absolute;left:5394;top:9836;width:1122;height:2" coordorigin="5394,9836" coordsize="1122,2">
              <v:shape style="position:absolute;left:5394;top:9836;width:1122;height:2" coordorigin="5394,9836" coordsize="1122,0" path="m5394,9836l6515,9836e" filled="false" stroked="true" strokeweight=".72003pt" strokecolor="#000000">
                <v:path arrowok="t"/>
              </v:shape>
            </v:group>
            <v:group style="position:absolute;left:6529;top:9836;width:977;height:2" coordorigin="6529,9836" coordsize="977,2">
              <v:shape style="position:absolute;left:6529;top:9836;width:977;height:2" coordorigin="6529,9836" coordsize="977,0" path="m6529,9836l7506,9836e" filled="false" stroked="true" strokeweight=".72003pt" strokecolor="#000000">
                <v:path arrowok="t"/>
              </v:shape>
            </v:group>
            <v:group style="position:absolute;left:7521;top:9836;width:1405;height:2" coordorigin="7521,9836" coordsize="1405,2">
              <v:shape style="position:absolute;left:7521;top:9836;width:1405;height:2" coordorigin="7521,9836" coordsize="1405,0" path="m7521,9836l8925,9836e" filled="false" stroked="true" strokeweight=".72003pt" strokecolor="#000000">
                <v:path arrowok="t"/>
              </v:shape>
            </v:group>
            <v:group style="position:absolute;left:8940;top:9836;width:1589;height:2" coordorigin="8940,9836" coordsize="1589,2">
              <v:shape style="position:absolute;left:8940;top:9836;width:1589;height:2" coordorigin="8940,9836" coordsize="1589,0" path="m8940,9836l10528,9836e" filled="false" stroked="true" strokeweight=".72003pt" strokecolor="#000000">
                <v:path arrowok="t"/>
              </v:shape>
            </v:group>
            <v:group style="position:absolute;left:1145;top:10263;width:4235;height:2" coordorigin="1145,10263" coordsize="4235,2">
              <v:shape style="position:absolute;left:1145;top:10263;width:4235;height:2" coordorigin="1145,10263" coordsize="4235,0" path="m1145,10263l5379,10263e" filled="false" stroked="true" strokeweight=".71997pt" strokecolor="#000000">
                <v:path arrowok="t"/>
              </v:shape>
            </v:group>
            <v:group style="position:absolute;left:5394;top:10263;width:1122;height:2" coordorigin="5394,10263" coordsize="1122,2">
              <v:shape style="position:absolute;left:5394;top:10263;width:1122;height:2" coordorigin="5394,10263" coordsize="1122,0" path="m5394,10263l6515,10263e" filled="false" stroked="true" strokeweight=".71997pt" strokecolor="#000000">
                <v:path arrowok="t"/>
              </v:shape>
            </v:group>
            <v:group style="position:absolute;left:6529;top:10263;width:977;height:2" coordorigin="6529,10263" coordsize="977,2">
              <v:shape style="position:absolute;left:6529;top:10263;width:977;height:2" coordorigin="6529,10263" coordsize="977,0" path="m6529,10263l7506,10263e" filled="false" stroked="true" strokeweight=".71997pt" strokecolor="#000000">
                <v:path arrowok="t"/>
              </v:shape>
            </v:group>
            <v:group style="position:absolute;left:7521;top:10263;width:1405;height:2" coordorigin="7521,10263" coordsize="1405,2">
              <v:shape style="position:absolute;left:7521;top:10263;width:1405;height:2" coordorigin="7521,10263" coordsize="1405,0" path="m7521,10263l8925,10263e" filled="false" stroked="true" strokeweight=".71997pt" strokecolor="#000000">
                <v:path arrowok="t"/>
              </v:shape>
            </v:group>
            <v:group style="position:absolute;left:8940;top:10263;width:1589;height:2" coordorigin="8940,10263" coordsize="1589,2">
              <v:shape style="position:absolute;left:8940;top:10263;width:1589;height:2" coordorigin="8940,10263" coordsize="1589,0" path="m8940,10263l10528,10263e" filled="false" stroked="true" strokeweight=".71997pt" strokecolor="#000000">
                <v:path arrowok="t"/>
              </v:shape>
            </v:group>
            <v:group style="position:absolute;left:1145;top:10690;width:4235;height:2" coordorigin="1145,10690" coordsize="4235,2">
              <v:shape style="position:absolute;left:1145;top:10690;width:4235;height:2" coordorigin="1145,10690" coordsize="4235,0" path="m1145,10690l5379,10690e" filled="false" stroked="true" strokeweight=".71997pt" strokecolor="#000000">
                <v:path arrowok="t"/>
              </v:shape>
            </v:group>
            <v:group style="position:absolute;left:5394;top:10690;width:1122;height:2" coordorigin="5394,10690" coordsize="1122,2">
              <v:shape style="position:absolute;left:5394;top:10690;width:1122;height:2" coordorigin="5394,10690" coordsize="1122,0" path="m5394,10690l6515,10690e" filled="false" stroked="true" strokeweight=".71997pt" strokecolor="#000000">
                <v:path arrowok="t"/>
              </v:shape>
            </v:group>
            <v:group style="position:absolute;left:6529;top:10690;width:977;height:2" coordorigin="6529,10690" coordsize="977,2">
              <v:shape style="position:absolute;left:6529;top:10690;width:977;height:2" coordorigin="6529,10690" coordsize="977,0" path="m6529,10690l7506,10690e" filled="false" stroked="true" strokeweight=".71997pt" strokecolor="#000000">
                <v:path arrowok="t"/>
              </v:shape>
            </v:group>
            <v:group style="position:absolute;left:7521;top:10690;width:1405;height:2" coordorigin="7521,10690" coordsize="1405,2">
              <v:shape style="position:absolute;left:7521;top:10690;width:1405;height:2" coordorigin="7521,10690" coordsize="1405,0" path="m7521,10690l8925,10690e" filled="false" stroked="true" strokeweight=".71997pt" strokecolor="#000000">
                <v:path arrowok="t"/>
              </v:shape>
            </v:group>
            <v:group style="position:absolute;left:8940;top:10690;width:1589;height:2" coordorigin="8940,10690" coordsize="1589,2">
              <v:shape style="position:absolute;left:8940;top:10690;width:1589;height:2" coordorigin="8940,10690" coordsize="1589,0" path="m8940,10690l10528,10690e" filled="false" stroked="true" strokeweight=".71997pt" strokecolor="#000000">
                <v:path arrowok="t"/>
              </v:shape>
            </v:group>
            <v:group style="position:absolute;left:1145;top:11117;width:4235;height:2" coordorigin="1145,11117" coordsize="4235,2">
              <v:shape style="position:absolute;left:1145;top:11117;width:4235;height:2" coordorigin="1145,11117" coordsize="4235,0" path="m1145,11117l5379,11117e" filled="false" stroked="true" strokeweight=".72003pt" strokecolor="#000000">
                <v:path arrowok="t"/>
              </v:shape>
            </v:group>
            <v:group style="position:absolute;left:5394;top:11117;width:1122;height:2" coordorigin="5394,11117" coordsize="1122,2">
              <v:shape style="position:absolute;left:5394;top:11117;width:1122;height:2" coordorigin="5394,11117" coordsize="1122,0" path="m5394,11117l6515,11117e" filled="false" stroked="true" strokeweight=".72003pt" strokecolor="#000000">
                <v:path arrowok="t"/>
              </v:shape>
            </v:group>
            <v:group style="position:absolute;left:6529;top:11117;width:977;height:2" coordorigin="6529,11117" coordsize="977,2">
              <v:shape style="position:absolute;left:6529;top:11117;width:977;height:2" coordorigin="6529,11117" coordsize="977,0" path="m6529,11117l7506,11117e" filled="false" stroked="true" strokeweight=".72003pt" strokecolor="#000000">
                <v:path arrowok="t"/>
              </v:shape>
            </v:group>
            <v:group style="position:absolute;left:7521;top:11117;width:1405;height:2" coordorigin="7521,11117" coordsize="1405,2">
              <v:shape style="position:absolute;left:7521;top:11117;width:1405;height:2" coordorigin="7521,11117" coordsize="1405,0" path="m7521,11117l8925,11117e" filled="false" stroked="true" strokeweight=".72003pt" strokecolor="#000000">
                <v:path arrowok="t"/>
              </v:shape>
            </v:group>
            <v:group style="position:absolute;left:8940;top:11117;width:1589;height:2" coordorigin="8940,11117" coordsize="1589,2">
              <v:shape style="position:absolute;left:8940;top:11117;width:1589;height:2" coordorigin="8940,11117" coordsize="1589,0" path="m8940,11117l10528,11117e" filled="false" stroked="true" strokeweight=".72003pt" strokecolor="#000000">
                <v:path arrowok="t"/>
              </v:shape>
            </v:group>
            <v:group style="position:absolute;left:1145;top:11545;width:4235;height:2" coordorigin="1145,11545" coordsize="4235,2">
              <v:shape style="position:absolute;left:1145;top:11545;width:4235;height:2" coordorigin="1145,11545" coordsize="4235,0" path="m1145,11545l5379,11545e" filled="false" stroked="true" strokeweight=".72003pt" strokecolor="#000000">
                <v:path arrowok="t"/>
              </v:shape>
            </v:group>
            <v:group style="position:absolute;left:5394;top:11545;width:1122;height:2" coordorigin="5394,11545" coordsize="1122,2">
              <v:shape style="position:absolute;left:5394;top:11545;width:1122;height:2" coordorigin="5394,11545" coordsize="1122,0" path="m5394,11545l6515,11545e" filled="false" stroked="true" strokeweight=".72003pt" strokecolor="#000000">
                <v:path arrowok="t"/>
              </v:shape>
            </v:group>
            <v:group style="position:absolute;left:6529;top:11545;width:977;height:2" coordorigin="6529,11545" coordsize="977,2">
              <v:shape style="position:absolute;left:6529;top:11545;width:977;height:2" coordorigin="6529,11545" coordsize="977,0" path="m6529,11545l7506,11545e" filled="false" stroked="true" strokeweight=".72003pt" strokecolor="#000000">
                <v:path arrowok="t"/>
              </v:shape>
            </v:group>
            <v:group style="position:absolute;left:7521;top:11545;width:1405;height:2" coordorigin="7521,11545" coordsize="1405,2">
              <v:shape style="position:absolute;left:7521;top:11545;width:1405;height:2" coordorigin="7521,11545" coordsize="1405,0" path="m7521,11545l8925,11545e" filled="false" stroked="true" strokeweight=".72003pt" strokecolor="#000000">
                <v:path arrowok="t"/>
              </v:shape>
            </v:group>
            <v:group style="position:absolute;left:8940;top:11545;width:1589;height:2" coordorigin="8940,11545" coordsize="1589,2">
              <v:shape style="position:absolute;left:8940;top:11545;width:1589;height:2" coordorigin="8940,11545" coordsize="1589,0" path="m8940,11545l10528,11545e" filled="false" stroked="true" strokeweight=".72003pt" strokecolor="#000000">
                <v:path arrowok="t"/>
              </v:shape>
            </v:group>
            <v:group style="position:absolute;left:1145;top:11972;width:4235;height:2" coordorigin="1145,11972" coordsize="4235,2">
              <v:shape style="position:absolute;left:1145;top:11972;width:4235;height:2" coordorigin="1145,11972" coordsize="4235,0" path="m1145,11972l5379,11972e" filled="false" stroked="true" strokeweight=".71997pt" strokecolor="#000000">
                <v:path arrowok="t"/>
              </v:shape>
            </v:group>
            <v:group style="position:absolute;left:5394;top:11972;width:1122;height:2" coordorigin="5394,11972" coordsize="1122,2">
              <v:shape style="position:absolute;left:5394;top:11972;width:1122;height:2" coordorigin="5394,11972" coordsize="1122,0" path="m5394,11972l6515,11972e" filled="false" stroked="true" strokeweight=".71997pt" strokecolor="#000000">
                <v:path arrowok="t"/>
              </v:shape>
            </v:group>
            <v:group style="position:absolute;left:6529;top:11972;width:977;height:2" coordorigin="6529,11972" coordsize="977,2">
              <v:shape style="position:absolute;left:6529;top:11972;width:977;height:2" coordorigin="6529,11972" coordsize="977,0" path="m6529,11972l7506,11972e" filled="false" stroked="true" strokeweight=".71997pt" strokecolor="#000000">
                <v:path arrowok="t"/>
              </v:shape>
            </v:group>
            <v:group style="position:absolute;left:7521;top:11972;width:1405;height:2" coordorigin="7521,11972" coordsize="1405,2">
              <v:shape style="position:absolute;left:7521;top:11972;width:1405;height:2" coordorigin="7521,11972" coordsize="1405,0" path="m7521,11972l8925,11972e" filled="false" stroked="true" strokeweight=".71997pt" strokecolor="#000000">
                <v:path arrowok="t"/>
              </v:shape>
            </v:group>
            <v:group style="position:absolute;left:8940;top:11972;width:1589;height:2" coordorigin="8940,11972" coordsize="1589,2">
              <v:shape style="position:absolute;left:8940;top:11972;width:1589;height:2" coordorigin="8940,11972" coordsize="1589,0" path="m8940,11972l10528,11972e" filled="false" stroked="true" strokeweight=".71997pt" strokecolor="#000000">
                <v:path arrowok="t"/>
              </v:shape>
            </v:group>
            <v:group style="position:absolute;left:1138;top:304;width:2;height:12103" coordorigin="1138,304" coordsize="2,12103">
              <v:shape style="position:absolute;left:1138;top:304;width:2;height:12103" coordorigin="1138,304" coordsize="0,12103" path="m1138,304l1138,12406e" filled="false" stroked="true" strokeweight=".72pt" strokecolor="#000000">
                <v:path arrowok="t"/>
              </v:shape>
            </v:group>
            <v:group style="position:absolute;left:1145;top:12399;width:4235;height:2" coordorigin="1145,12399" coordsize="4235,2">
              <v:shape style="position:absolute;left:1145;top:12399;width:4235;height:2" coordorigin="1145,12399" coordsize="4235,0" path="m1145,12399l5379,12399e" filled="false" stroked="true" strokeweight=".71997pt" strokecolor="#000000">
                <v:path arrowok="t"/>
              </v:shape>
            </v:group>
            <v:group style="position:absolute;left:5387;top:304;width:2;height:12103" coordorigin="5387,304" coordsize="2,12103">
              <v:shape style="position:absolute;left:5387;top:304;width:2;height:12103" coordorigin="5387,304" coordsize="0,12103" path="m5387,304l5387,12406e" filled="false" stroked="true" strokeweight=".71997pt" strokecolor="#000000">
                <v:path arrowok="t"/>
              </v:shape>
            </v:group>
            <v:group style="position:absolute;left:5394;top:12399;width:1122;height:2" coordorigin="5394,12399" coordsize="1122,2">
              <v:shape style="position:absolute;left:5394;top:12399;width:1122;height:2" coordorigin="5394,12399" coordsize="1122,0" path="m5394,12399l6515,12399e" filled="false" stroked="true" strokeweight=".71997pt" strokecolor="#000000">
                <v:path arrowok="t"/>
              </v:shape>
            </v:group>
            <v:group style="position:absolute;left:6522;top:304;width:2;height:12103" coordorigin="6522,304" coordsize="2,12103">
              <v:shape style="position:absolute;left:6522;top:304;width:2;height:12103" coordorigin="6522,304" coordsize="0,12103" path="m6522,304l6522,12406e" filled="false" stroked="true" strokeweight=".72pt" strokecolor="#000000">
                <v:path arrowok="t"/>
              </v:shape>
            </v:group>
            <v:group style="position:absolute;left:6529;top:12399;width:977;height:2" coordorigin="6529,12399" coordsize="977,2">
              <v:shape style="position:absolute;left:6529;top:12399;width:977;height:2" coordorigin="6529,12399" coordsize="977,0" path="m6529,12399l7506,12399e" filled="false" stroked="true" strokeweight=".71997pt" strokecolor="#000000">
                <v:path arrowok="t"/>
              </v:shape>
            </v:group>
            <v:group style="position:absolute;left:7513;top:304;width:2;height:12103" coordorigin="7513,304" coordsize="2,12103">
              <v:shape style="position:absolute;left:7513;top:304;width:2;height:12103" coordorigin="7513,304" coordsize="0,12103" path="m7513,304l7513,12406e" filled="false" stroked="true" strokeweight=".72pt" strokecolor="#000000">
                <v:path arrowok="t"/>
              </v:shape>
            </v:group>
            <v:group style="position:absolute;left:7521;top:12399;width:1405;height:2" coordorigin="7521,12399" coordsize="1405,2">
              <v:shape style="position:absolute;left:7521;top:12399;width:1405;height:2" coordorigin="7521,12399" coordsize="1405,0" path="m7521,12399l8925,12399e" filled="false" stroked="true" strokeweight=".71997pt" strokecolor="#000000">
                <v:path arrowok="t"/>
              </v:shape>
            </v:group>
            <v:group style="position:absolute;left:8932;top:304;width:2;height:12103" coordorigin="8932,304" coordsize="2,12103">
              <v:shape style="position:absolute;left:8932;top:304;width:2;height:12103" coordorigin="8932,304" coordsize="0,12103" path="m8932,304l8932,12406e" filled="false" stroked="true" strokeweight=".72pt" strokecolor="#000000">
                <v:path arrowok="t"/>
              </v:shape>
            </v:group>
            <v:group style="position:absolute;left:8940;top:12399;width:1589;height:2" coordorigin="8940,12399" coordsize="1589,2">
              <v:shape style="position:absolute;left:8940;top:12399;width:1589;height:2" coordorigin="8940,12399" coordsize="1589,0" path="m8940,12399l10528,12399e" filled="false" stroked="true" strokeweight=".71997pt" strokecolor="#000000">
                <v:path arrowok="t"/>
              </v:shape>
            </v:group>
            <v:group style="position:absolute;left:10536;top:304;width:2;height:12103" coordorigin="10536,304" coordsize="2,12103">
              <v:shape style="position:absolute;left:10536;top:304;width:2;height:12103" coordorigin="10536,304" coordsize="0,12103" path="m10536,304l10536,12406e" filled="false" stroked="true" strokeweight=".71997pt" strokecolor="#000000">
                <v:path arrowok="t"/>
              </v:shape>
            </v:group>
            <w10:wrap type="none"/>
          </v:group>
        </w:pict>
      </w:r>
      <w:r>
        <w:rPr/>
        <w:t>本期纳入合并财务报表范围的主体共</w:t>
      </w:r>
      <w:r>
        <w:rPr>
          <w:rFonts w:ascii="Times New Roman" w:hAnsi="Times New Roman" w:cs="Times New Roman" w:eastAsia="Times New Roman" w:hint="default"/>
        </w:rPr>
        <w:t>20</w:t>
      </w:r>
      <w:r>
        <w:rPr/>
        <w:t>户，具体包括：</w:t>
      </w:r>
    </w:p>
    <w:p>
      <w:pPr>
        <w:pStyle w:val="BodyText"/>
        <w:tabs>
          <w:tab w:pos="4524" w:val="left" w:leader="none"/>
          <w:tab w:pos="5856" w:val="left" w:leader="none"/>
          <w:tab w:pos="6626" w:val="left" w:leader="none"/>
        </w:tabs>
        <w:spacing w:line="240" w:lineRule="auto" w:before="127"/>
        <w:ind w:left="1833" w:right="1133"/>
        <w:jc w:val="left"/>
      </w:pPr>
      <w:r>
        <w:rPr/>
        <w:t>子公司名称</w:t>
        <w:tab/>
        <w:t>子公司类型</w:t>
        <w:tab/>
        <w:t>级次</w:t>
        <w:tab/>
        <w:t>持股比例（</w:t>
      </w:r>
      <w:r>
        <w:rPr>
          <w:rFonts w:ascii="Times New Roman" w:hAnsi="Times New Roman" w:cs="Times New Roman" w:eastAsia="Times New Roman" w:hint="default"/>
        </w:rPr>
        <w:t>%</w:t>
      </w:r>
      <w:r>
        <w:rPr/>
        <w:t>） </w:t>
      </w:r>
      <w:r>
        <w:rPr>
          <w:spacing w:val="8"/>
        </w:rPr>
        <w:t> </w:t>
      </w:r>
      <w:r>
        <w:rPr/>
        <w:t>表决权比例（</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footerReference w:type="default" r:id="rId58"/>
          <w:pgSz w:w="11910" w:h="16840"/>
          <w:pgMar w:footer="980" w:header="745" w:top="1060" w:bottom="1160" w:left="980" w:right="0"/>
          <w:pgNumType w:start="120"/>
        </w:sectPr>
      </w:pPr>
    </w:p>
    <w:p>
      <w:pPr>
        <w:pStyle w:val="BodyText"/>
        <w:spacing w:line="300" w:lineRule="auto" w:before="44"/>
        <w:ind w:left="169" w:right="-13"/>
        <w:jc w:val="left"/>
      </w:pPr>
      <w:r>
        <w:rPr/>
        <w:t>深圳市正达资讯技术有限公司（以下简称</w:t>
      </w:r>
      <w:r>
        <w:rPr>
          <w:rFonts w:ascii="Times New Roman" w:hAnsi="Times New Roman" w:cs="Times New Roman" w:eastAsia="Times New Roman" w:hint="default"/>
        </w:rPr>
        <w:t>“</w:t>
      </w:r>
      <w:r>
        <w:rPr/>
        <w:t>深圳正达资</w:t>
      </w:r>
      <w:r>
        <w:rPr>
          <w:spacing w:val="-84"/>
        </w:rPr>
        <w:t> </w:t>
      </w:r>
      <w:r>
        <w:rPr>
          <w:spacing w:val="-84"/>
        </w:rPr>
      </w:r>
      <w:r>
        <w:rPr/>
        <w:t>讯公司</w:t>
      </w:r>
      <w:r>
        <w:rPr>
          <w:rFonts w:ascii="Times New Roman" w:hAnsi="Times New Roman" w:cs="Times New Roman" w:eastAsia="Times New Roman" w:hint="default"/>
        </w:rPr>
        <w:t>”</w:t>
      </w:r>
      <w:r>
        <w:rPr/>
        <w:t>）</w:t>
      </w:r>
    </w:p>
    <w:p>
      <w:pPr>
        <w:pStyle w:val="BodyText"/>
        <w:tabs>
          <w:tab w:pos="1239" w:val="left" w:leader="none"/>
          <w:tab w:pos="3010" w:val="left" w:leader="none"/>
          <w:tab w:pos="4614" w:val="left" w:leader="none"/>
        </w:tabs>
        <w:spacing w:line="240" w:lineRule="auto" w:before="44"/>
        <w:ind w:left="87" w:right="0"/>
        <w:jc w:val="left"/>
        <w:rPr>
          <w:rFonts w:ascii="Times New Roman" w:hAnsi="Times New Roman" w:cs="Times New Roman" w:eastAsia="Times New Roman" w:hint="default"/>
        </w:rPr>
      </w:pPr>
      <w:r>
        <w:rPr/>
        <w:br w:type="column"/>
      </w:r>
      <w:r>
        <w:rPr/>
        <w:t>全资子公司</w:t>
        <w:tab/>
        <w:t>一级公司</w:t>
        <w:tab/>
      </w:r>
      <w:r>
        <w:rPr>
          <w:rFonts w:ascii="Times New Roman" w:hAnsi="Times New Roman" w:cs="Times New Roman" w:eastAsia="Times New Roman" w:hint="default"/>
          <w:spacing w:val="-1"/>
        </w:rPr>
        <w:t>100.00</w:t>
        <w:tab/>
        <w:t>100.00</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0"/>
          <w:cols w:num="2" w:equalWidth="0">
            <w:col w:w="4397" w:space="40"/>
            <w:col w:w="6493"/>
          </w:cols>
        </w:sectPr>
      </w:pPr>
    </w:p>
    <w:p>
      <w:pPr>
        <w:pStyle w:val="BodyText"/>
        <w:spacing w:line="300" w:lineRule="auto" w:before="128"/>
        <w:ind w:left="169" w:right="-12"/>
        <w:jc w:val="left"/>
      </w:pPr>
      <w:r>
        <w:rPr/>
        <w:t>深圳市蓝云达智能科技有限公司（以下简称</w:t>
      </w:r>
      <w:r>
        <w:rPr>
          <w:rFonts w:ascii="Times New Roman" w:hAnsi="Times New Roman" w:cs="Times New Roman" w:eastAsia="Times New Roman" w:hint="default"/>
        </w:rPr>
        <w:t>“</w:t>
      </w:r>
      <w:r>
        <w:rPr/>
        <w:t>深圳蓝云</w:t>
      </w:r>
      <w:r>
        <w:rPr>
          <w:spacing w:val="-84"/>
        </w:rPr>
        <w:t> </w:t>
      </w:r>
      <w:r>
        <w:rPr/>
        <w:t>达公司</w:t>
      </w:r>
      <w:r>
        <w:rPr>
          <w:rFonts w:ascii="Times New Roman" w:hAnsi="Times New Roman" w:cs="Times New Roman" w:eastAsia="Times New Roman" w:hint="default"/>
        </w:rPr>
        <w:t>”</w:t>
      </w:r>
      <w:r>
        <w:rPr/>
        <w:t>）</w:t>
      </w:r>
    </w:p>
    <w:p>
      <w:pPr>
        <w:pStyle w:val="BodyText"/>
        <w:tabs>
          <w:tab w:pos="1239" w:val="left" w:leader="none"/>
          <w:tab w:pos="3010" w:val="left" w:leader="none"/>
          <w:tab w:pos="4614" w:val="left" w:leader="none"/>
        </w:tabs>
        <w:spacing w:line="240" w:lineRule="auto" w:before="128"/>
        <w:ind w:left="87" w:right="0"/>
        <w:jc w:val="left"/>
        <w:rPr>
          <w:rFonts w:ascii="Times New Roman" w:hAnsi="Times New Roman" w:cs="Times New Roman" w:eastAsia="Times New Roman" w:hint="default"/>
        </w:rPr>
      </w:pPr>
      <w:r>
        <w:rPr/>
        <w:br w:type="column"/>
      </w:r>
      <w:r>
        <w:rPr/>
        <w:t>全资子公司</w:t>
        <w:tab/>
        <w:t>二级公司</w:t>
        <w:tab/>
      </w:r>
      <w:r>
        <w:rPr>
          <w:rFonts w:ascii="Times New Roman" w:hAnsi="Times New Roman" w:cs="Times New Roman" w:eastAsia="Times New Roman" w:hint="default"/>
          <w:spacing w:val="-1"/>
        </w:rPr>
        <w:t>100.00</w:t>
        <w:tab/>
        <w:t>100.00</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0"/>
          <w:cols w:num="2" w:equalWidth="0">
            <w:col w:w="4398" w:space="40"/>
            <w:col w:w="6492"/>
          </w:cols>
        </w:sectPr>
      </w:pPr>
    </w:p>
    <w:p>
      <w:pPr>
        <w:pStyle w:val="BodyText"/>
        <w:tabs>
          <w:tab w:pos="4524" w:val="left" w:leader="none"/>
          <w:tab w:pos="5676" w:val="left" w:leader="none"/>
          <w:tab w:pos="7447" w:val="left" w:leader="none"/>
          <w:tab w:pos="9051" w:val="left" w:leader="none"/>
        </w:tabs>
        <w:spacing w:line="240" w:lineRule="auto" w:before="128"/>
        <w:ind w:left="169" w:right="1133"/>
        <w:jc w:val="left"/>
        <w:rPr>
          <w:rFonts w:ascii="Times New Roman" w:hAnsi="Times New Roman" w:cs="Times New Roman" w:eastAsia="Times New Roman" w:hint="default"/>
        </w:rPr>
      </w:pPr>
      <w:r>
        <w:rPr>
          <w:spacing w:val="-1"/>
        </w:rPr>
        <w:t>桐庐宏锐软件科技有限公司（以下简称</w:t>
      </w:r>
      <w:r>
        <w:rPr>
          <w:rFonts w:ascii="Times New Roman" w:hAnsi="Times New Roman" w:cs="Times New Roman" w:eastAsia="Times New Roman" w:hint="default"/>
          <w:spacing w:val="-1"/>
        </w:rPr>
        <w:t>“</w:t>
      </w:r>
      <w:r>
        <w:rPr>
          <w:spacing w:val="-1"/>
        </w:rPr>
        <w:t>宏锐软件</w:t>
      </w:r>
      <w:r>
        <w:rPr>
          <w:rFonts w:ascii="Times New Roman" w:hAnsi="Times New Roman" w:cs="Times New Roman" w:eastAsia="Times New Roman" w:hint="default"/>
          <w:spacing w:val="-1"/>
        </w:rPr>
        <w:t>”</w:t>
      </w:r>
      <w:r>
        <w:rPr>
          <w:spacing w:val="-1"/>
        </w:rPr>
        <w:t>）</w:t>
        <w:tab/>
      </w:r>
      <w:r>
        <w:rPr/>
        <w:t>全资子公司</w:t>
        <w:tab/>
        <w:t>二级公司</w:t>
        <w:tab/>
      </w:r>
      <w:r>
        <w:rPr>
          <w:rFonts w:ascii="Times New Roman" w:hAnsi="Times New Roman" w:cs="Times New Roman" w:eastAsia="Times New Roman" w:hint="default"/>
          <w:spacing w:val="-1"/>
        </w:rPr>
        <w:t>100.00</w:t>
        <w:tab/>
        <w:t>100.00</w:t>
      </w:r>
    </w:p>
    <w:p>
      <w:pPr>
        <w:spacing w:line="240" w:lineRule="auto" w:before="8"/>
        <w:rPr>
          <w:rFonts w:ascii="Times New Roman" w:hAnsi="Times New Roman" w:cs="Times New Roman" w:eastAsia="Times New Roman" w:hint="default"/>
          <w:sz w:val="11"/>
          <w:szCs w:val="11"/>
        </w:rPr>
      </w:pPr>
    </w:p>
    <w:p>
      <w:pPr>
        <w:spacing w:after="0" w:line="240" w:lineRule="auto"/>
        <w:rPr>
          <w:rFonts w:ascii="Times New Roman" w:hAnsi="Times New Roman" w:cs="Times New Roman" w:eastAsia="Times New Roman" w:hint="default"/>
          <w:sz w:val="11"/>
          <w:szCs w:val="11"/>
        </w:rPr>
        <w:sectPr>
          <w:type w:val="continuous"/>
          <w:pgSz w:w="11910" w:h="16840"/>
          <w:pgMar w:top="1060" w:bottom="1160" w:left="980" w:right="0"/>
        </w:sectPr>
      </w:pPr>
    </w:p>
    <w:p>
      <w:pPr>
        <w:pStyle w:val="BodyText"/>
        <w:spacing w:line="297" w:lineRule="auto" w:before="44"/>
        <w:ind w:left="169" w:right="-12"/>
        <w:jc w:val="left"/>
      </w:pPr>
      <w:r>
        <w:rPr/>
        <w:t>深圳市江南正鼎信息技术有限公司（以下简称</w:t>
      </w:r>
      <w:r>
        <w:rPr>
          <w:rFonts w:ascii="Times New Roman" w:hAnsi="Times New Roman" w:cs="Times New Roman" w:eastAsia="Times New Roman" w:hint="default"/>
        </w:rPr>
        <w:t>“</w:t>
      </w:r>
      <w:r>
        <w:rPr/>
        <w:t>深圳江</w:t>
      </w:r>
      <w:r>
        <w:rPr>
          <w:spacing w:val="-84"/>
        </w:rPr>
        <w:t> </w:t>
      </w:r>
      <w:r>
        <w:rPr/>
        <w:t>南正鼎公司</w:t>
      </w:r>
      <w:r>
        <w:rPr>
          <w:rFonts w:ascii="Times New Roman" w:hAnsi="Times New Roman" w:cs="Times New Roman" w:eastAsia="Times New Roman" w:hint="default"/>
        </w:rPr>
        <w:t>”</w:t>
      </w:r>
      <w:r>
        <w:rPr/>
        <w:t>）</w:t>
      </w:r>
    </w:p>
    <w:p>
      <w:pPr>
        <w:pStyle w:val="BodyText"/>
        <w:tabs>
          <w:tab w:pos="1239" w:val="left" w:leader="none"/>
          <w:tab w:pos="3010" w:val="left" w:leader="none"/>
          <w:tab w:pos="4614" w:val="left" w:leader="none"/>
        </w:tabs>
        <w:spacing w:line="240" w:lineRule="auto" w:before="44"/>
        <w:ind w:left="87" w:right="0"/>
        <w:jc w:val="left"/>
        <w:rPr>
          <w:rFonts w:ascii="Times New Roman" w:hAnsi="Times New Roman" w:cs="Times New Roman" w:eastAsia="Times New Roman" w:hint="default"/>
        </w:rPr>
      </w:pPr>
      <w:r>
        <w:rPr/>
        <w:br w:type="column"/>
      </w:r>
      <w:r>
        <w:rPr/>
        <w:t>全资子公司</w:t>
        <w:tab/>
        <w:t>一级公司</w:t>
        <w:tab/>
      </w:r>
      <w:r>
        <w:rPr>
          <w:rFonts w:ascii="Times New Roman" w:hAnsi="Times New Roman" w:cs="Times New Roman" w:eastAsia="Times New Roman" w:hint="default"/>
          <w:spacing w:val="-1"/>
        </w:rPr>
        <w:t>100.00</w:t>
        <w:tab/>
        <w:t>100.00</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0"/>
          <w:cols w:num="2" w:equalWidth="0">
            <w:col w:w="4398" w:space="40"/>
            <w:col w:w="6492"/>
          </w:cols>
        </w:sectPr>
      </w:pPr>
    </w:p>
    <w:p>
      <w:pPr>
        <w:pStyle w:val="BodyText"/>
        <w:spacing w:line="297" w:lineRule="auto" w:before="132"/>
        <w:ind w:left="169" w:right="-12"/>
        <w:jc w:val="left"/>
      </w:pPr>
      <w:r>
        <w:rPr/>
        <w:t>深圳市优博讯软件技术有限公司（以下简称</w:t>
      </w:r>
      <w:r>
        <w:rPr>
          <w:rFonts w:ascii="Times New Roman" w:hAnsi="Times New Roman" w:cs="Times New Roman" w:eastAsia="Times New Roman" w:hint="default"/>
        </w:rPr>
        <w:t>“</w:t>
      </w:r>
      <w:r>
        <w:rPr/>
        <w:t>优博讯软</w:t>
      </w:r>
      <w:r>
        <w:rPr>
          <w:spacing w:val="-84"/>
        </w:rPr>
        <w:t> </w:t>
      </w:r>
      <w:r>
        <w:rPr/>
        <w:t>件公司</w:t>
      </w:r>
      <w:r>
        <w:rPr>
          <w:rFonts w:ascii="Times New Roman" w:hAnsi="Times New Roman" w:cs="Times New Roman" w:eastAsia="Times New Roman" w:hint="default"/>
        </w:rPr>
        <w:t>”</w:t>
      </w:r>
      <w:r>
        <w:rPr/>
        <w:t>）</w:t>
      </w:r>
    </w:p>
    <w:p>
      <w:pPr>
        <w:pStyle w:val="BodyText"/>
        <w:tabs>
          <w:tab w:pos="1239" w:val="left" w:leader="none"/>
          <w:tab w:pos="3010" w:val="left" w:leader="none"/>
          <w:tab w:pos="4614" w:val="left" w:leader="none"/>
        </w:tabs>
        <w:spacing w:line="240" w:lineRule="auto" w:before="132"/>
        <w:ind w:left="87" w:right="0"/>
        <w:jc w:val="left"/>
        <w:rPr>
          <w:rFonts w:ascii="Times New Roman" w:hAnsi="Times New Roman" w:cs="Times New Roman" w:eastAsia="Times New Roman" w:hint="default"/>
        </w:rPr>
      </w:pPr>
      <w:r>
        <w:rPr/>
        <w:br w:type="column"/>
      </w:r>
      <w:r>
        <w:rPr/>
        <w:t>全资子公司</w:t>
        <w:tab/>
        <w:t>一级公司</w:t>
        <w:tab/>
      </w:r>
      <w:r>
        <w:rPr>
          <w:rFonts w:ascii="Times New Roman" w:hAnsi="Times New Roman" w:cs="Times New Roman" w:eastAsia="Times New Roman" w:hint="default"/>
          <w:spacing w:val="-1"/>
        </w:rPr>
        <w:t>100.00</w:t>
        <w:tab/>
        <w:t>100.00</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0"/>
          <w:cols w:num="2" w:equalWidth="0">
            <w:col w:w="4398" w:space="40"/>
            <w:col w:w="6492"/>
          </w:cols>
        </w:sectPr>
      </w:pPr>
    </w:p>
    <w:p>
      <w:pPr>
        <w:pStyle w:val="BodyText"/>
        <w:spacing w:line="297" w:lineRule="auto" w:before="132"/>
        <w:ind w:left="169" w:right="0"/>
        <w:jc w:val="left"/>
      </w:pPr>
      <w:r>
        <w:rPr>
          <w:rFonts w:ascii="Times New Roman" w:hAnsi="Times New Roman" w:cs="Times New Roman" w:eastAsia="Times New Roman" w:hint="default"/>
        </w:rPr>
        <w:t>Urovo Technology</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6"/>
        </w:rPr>
        <w:t>Limited</w:t>
      </w:r>
      <w:r>
        <w:rPr>
          <w:spacing w:val="6"/>
        </w:rPr>
        <w:t>（以下简称</w:t>
      </w:r>
      <w:r>
        <w:rPr>
          <w:rFonts w:ascii="Times New Roman" w:hAnsi="Times New Roman" w:cs="Times New Roman" w:eastAsia="Times New Roman" w:hint="default"/>
          <w:spacing w:val="6"/>
        </w:rPr>
        <w:t>“</w:t>
      </w:r>
      <w:r>
        <w:rPr>
          <w:spacing w:val="6"/>
        </w:rPr>
        <w:t>香港优博讯公</w:t>
      </w:r>
      <w:r>
        <w:rPr>
          <w:spacing w:val="9"/>
        </w:rPr>
        <w:t> </w:t>
      </w:r>
      <w:r>
        <w:rPr/>
        <w:t>司</w:t>
      </w:r>
      <w:r>
        <w:rPr>
          <w:rFonts w:ascii="Times New Roman" w:hAnsi="Times New Roman" w:cs="Times New Roman" w:eastAsia="Times New Roman" w:hint="default"/>
        </w:rPr>
        <w:t>”</w:t>
      </w:r>
      <w:r>
        <w:rPr/>
        <w:t>）</w:t>
      </w:r>
    </w:p>
    <w:p>
      <w:pPr>
        <w:pStyle w:val="BodyText"/>
        <w:tabs>
          <w:tab w:pos="1227" w:val="left" w:leader="none"/>
          <w:tab w:pos="2998" w:val="left" w:leader="none"/>
          <w:tab w:pos="4602" w:val="left" w:leader="none"/>
        </w:tabs>
        <w:spacing w:line="240" w:lineRule="auto" w:before="132"/>
        <w:ind w:left="75" w:right="0"/>
        <w:jc w:val="left"/>
        <w:rPr>
          <w:rFonts w:ascii="Times New Roman" w:hAnsi="Times New Roman" w:cs="Times New Roman" w:eastAsia="Times New Roman" w:hint="default"/>
        </w:rPr>
      </w:pPr>
      <w:r>
        <w:rPr/>
        <w:br w:type="column"/>
      </w:r>
      <w:r>
        <w:rPr/>
        <w:t>全资子公司</w:t>
        <w:tab/>
        <w:t>一级公司</w:t>
        <w:tab/>
      </w:r>
      <w:r>
        <w:rPr>
          <w:rFonts w:ascii="Times New Roman" w:hAnsi="Times New Roman" w:cs="Times New Roman" w:eastAsia="Times New Roman" w:hint="default"/>
          <w:spacing w:val="-1"/>
        </w:rPr>
        <w:t>100.00</w:t>
        <w:tab/>
        <w:t>100.00</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0"/>
          <w:cols w:num="2" w:equalWidth="0">
            <w:col w:w="4410" w:space="40"/>
            <w:col w:w="6480"/>
          </w:cols>
        </w:sectPr>
      </w:pPr>
    </w:p>
    <w:p>
      <w:pPr>
        <w:pStyle w:val="BodyText"/>
        <w:spacing w:line="240" w:lineRule="auto" w:before="130"/>
        <w:ind w:left="169" w:right="-14"/>
        <w:jc w:val="left"/>
      </w:pPr>
      <w:r>
        <w:rPr>
          <w:rFonts w:ascii="Times New Roman" w:hAnsi="Times New Roman" w:cs="Times New Roman" w:eastAsia="Times New Roman" w:hint="default"/>
        </w:rPr>
        <w:t>UROVO TECHNOLOGY(M)</w:t>
      </w:r>
      <w:r>
        <w:rPr>
          <w:rFonts w:ascii="Times New Roman" w:hAnsi="Times New Roman" w:cs="Times New Roman" w:eastAsia="Times New Roman" w:hint="default"/>
          <w:spacing w:val="37"/>
        </w:rPr>
        <w:t> </w:t>
      </w:r>
      <w:r>
        <w:rPr>
          <w:rFonts w:ascii="Times New Roman" w:hAnsi="Times New Roman" w:cs="Times New Roman" w:eastAsia="Times New Roman" w:hint="default"/>
        </w:rPr>
        <w:t>SDN.BHD</w:t>
      </w:r>
      <w:r>
        <w:rPr/>
        <w:t>（以下简称</w:t>
      </w:r>
      <w:r>
        <w:rPr>
          <w:rFonts w:ascii="Times New Roman" w:hAnsi="Times New Roman" w:cs="Times New Roman" w:eastAsia="Times New Roman" w:hint="default"/>
        </w:rPr>
        <w:t>“</w:t>
      </w:r>
      <w:r>
        <w:rPr/>
        <w:t>马</w:t>
      </w:r>
    </w:p>
    <w:p>
      <w:pPr>
        <w:pStyle w:val="BodyText"/>
        <w:spacing w:line="240" w:lineRule="auto" w:before="63"/>
        <w:ind w:left="169" w:right="-12"/>
        <w:jc w:val="left"/>
      </w:pPr>
      <w:r>
        <w:rPr/>
        <w:t>来西亚优博讯公司</w:t>
      </w:r>
      <w:r>
        <w:rPr>
          <w:rFonts w:ascii="Times New Roman" w:hAnsi="Times New Roman" w:cs="Times New Roman" w:eastAsia="Times New Roman" w:hint="default"/>
        </w:rPr>
        <w:t>”</w:t>
      </w:r>
      <w:r>
        <w:rPr/>
        <w:t>）</w:t>
      </w:r>
    </w:p>
    <w:p>
      <w:pPr>
        <w:pStyle w:val="BodyText"/>
        <w:tabs>
          <w:tab w:pos="1239" w:val="left" w:leader="none"/>
          <w:tab w:pos="3010" w:val="left" w:leader="none"/>
          <w:tab w:pos="4614" w:val="left" w:leader="none"/>
        </w:tabs>
        <w:spacing w:line="240" w:lineRule="auto" w:before="130"/>
        <w:ind w:left="87" w:right="0"/>
        <w:jc w:val="left"/>
        <w:rPr>
          <w:rFonts w:ascii="Times New Roman" w:hAnsi="Times New Roman" w:cs="Times New Roman" w:eastAsia="Times New Roman" w:hint="default"/>
        </w:rPr>
      </w:pPr>
      <w:r>
        <w:rPr/>
        <w:br w:type="column"/>
      </w:r>
      <w:r>
        <w:rPr/>
        <w:t>全资子公司</w:t>
        <w:tab/>
        <w:t>一级公司</w:t>
        <w:tab/>
      </w:r>
      <w:r>
        <w:rPr>
          <w:rFonts w:ascii="Times New Roman" w:hAnsi="Times New Roman" w:cs="Times New Roman" w:eastAsia="Times New Roman" w:hint="default"/>
          <w:spacing w:val="-1"/>
        </w:rPr>
        <w:t>100.00</w:t>
        <w:tab/>
        <w:t>100.00</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0"/>
          <w:cols w:num="2" w:equalWidth="0">
            <w:col w:w="4398" w:space="40"/>
            <w:col w:w="6492"/>
          </w:cols>
        </w:sectPr>
      </w:pPr>
    </w:p>
    <w:p>
      <w:pPr>
        <w:spacing w:line="240" w:lineRule="auto" w:before="7"/>
        <w:rPr>
          <w:rFonts w:ascii="Times New Roman" w:hAnsi="Times New Roman" w:cs="Times New Roman" w:eastAsia="Times New Roman" w:hint="default"/>
          <w:sz w:val="11"/>
          <w:szCs w:val="11"/>
        </w:rPr>
      </w:pPr>
    </w:p>
    <w:p>
      <w:pPr>
        <w:spacing w:after="0" w:line="240" w:lineRule="auto"/>
        <w:rPr>
          <w:rFonts w:ascii="Times New Roman" w:hAnsi="Times New Roman" w:cs="Times New Roman" w:eastAsia="Times New Roman" w:hint="default"/>
          <w:sz w:val="11"/>
          <w:szCs w:val="11"/>
        </w:rPr>
        <w:sectPr>
          <w:type w:val="continuous"/>
          <w:pgSz w:w="11910" w:h="16840"/>
          <w:pgMar w:top="1060" w:bottom="1160" w:left="980" w:right="0"/>
        </w:sectPr>
      </w:pPr>
    </w:p>
    <w:p>
      <w:pPr>
        <w:pStyle w:val="BodyText"/>
        <w:spacing w:line="300" w:lineRule="auto" w:before="44"/>
        <w:ind w:left="169" w:right="-20"/>
        <w:jc w:val="left"/>
      </w:pPr>
      <w:r>
        <w:rPr/>
        <w:t>深圳市优金支付科技有限公司（以下简称</w:t>
      </w:r>
      <w:r>
        <w:rPr>
          <w:rFonts w:ascii="Times New Roman" w:hAnsi="Times New Roman" w:cs="Times New Roman" w:eastAsia="Times New Roman" w:hint="default"/>
        </w:rPr>
        <w:t>“</w:t>
      </w:r>
      <w:r>
        <w:rPr/>
        <w:t>优金支付公 司</w:t>
      </w:r>
      <w:r>
        <w:rPr>
          <w:rFonts w:ascii="Times New Roman" w:hAnsi="Times New Roman" w:cs="Times New Roman" w:eastAsia="Times New Roman" w:hint="default"/>
        </w:rPr>
        <w:t>”</w:t>
      </w:r>
      <w:r>
        <w:rPr/>
        <w:t>）</w:t>
      </w:r>
    </w:p>
    <w:p>
      <w:pPr>
        <w:pStyle w:val="BodyText"/>
        <w:tabs>
          <w:tab w:pos="1246" w:val="left" w:leader="none"/>
          <w:tab w:pos="3017" w:val="left" w:leader="none"/>
          <w:tab w:pos="4621" w:val="left" w:leader="none"/>
        </w:tabs>
        <w:spacing w:line="240" w:lineRule="auto" w:before="44"/>
        <w:ind w:left="94" w:right="0"/>
        <w:jc w:val="left"/>
        <w:rPr>
          <w:rFonts w:ascii="Times New Roman" w:hAnsi="Times New Roman" w:cs="Times New Roman" w:eastAsia="Times New Roman" w:hint="default"/>
        </w:rPr>
      </w:pPr>
      <w:r>
        <w:rPr/>
        <w:br w:type="column"/>
      </w:r>
      <w:r>
        <w:rPr/>
        <w:t>全资子公司</w:t>
        <w:tab/>
        <w:t>一级公司</w:t>
        <w:tab/>
      </w:r>
      <w:r>
        <w:rPr>
          <w:rFonts w:ascii="Times New Roman" w:hAnsi="Times New Roman" w:cs="Times New Roman" w:eastAsia="Times New Roman" w:hint="default"/>
          <w:spacing w:val="-1"/>
        </w:rPr>
        <w:t>100.00</w:t>
        <w:tab/>
        <w:t>100.00</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0"/>
          <w:cols w:num="2" w:equalWidth="0">
            <w:col w:w="4390" w:space="40"/>
            <w:col w:w="6500"/>
          </w:cols>
        </w:sectPr>
      </w:pPr>
    </w:p>
    <w:p>
      <w:pPr>
        <w:pStyle w:val="BodyText"/>
        <w:spacing w:line="300" w:lineRule="auto" w:before="128"/>
        <w:ind w:left="169" w:right="-20"/>
        <w:jc w:val="left"/>
      </w:pPr>
      <w:r>
        <w:rPr/>
        <w:t>武汉市优博讯软件科技有限公司（以下简称</w:t>
      </w:r>
      <w:r>
        <w:rPr>
          <w:rFonts w:ascii="Times New Roman" w:hAnsi="Times New Roman" w:cs="Times New Roman" w:eastAsia="Times New Roman" w:hint="default"/>
        </w:rPr>
        <w:t>“</w:t>
      </w:r>
      <w:r>
        <w:rPr/>
        <w:t>武汉优博 讯软件公司</w:t>
      </w:r>
      <w:r>
        <w:rPr>
          <w:rFonts w:ascii="Times New Roman" w:hAnsi="Times New Roman" w:cs="Times New Roman" w:eastAsia="Times New Roman" w:hint="default"/>
        </w:rPr>
        <w:t>”</w:t>
      </w:r>
      <w:r>
        <w:rPr/>
        <w:t>）</w:t>
      </w:r>
    </w:p>
    <w:p>
      <w:pPr>
        <w:pStyle w:val="BodyText"/>
        <w:tabs>
          <w:tab w:pos="1246" w:val="left" w:leader="none"/>
          <w:tab w:pos="3017" w:val="left" w:leader="none"/>
          <w:tab w:pos="4621" w:val="left" w:leader="none"/>
        </w:tabs>
        <w:spacing w:line="240" w:lineRule="auto" w:before="128"/>
        <w:ind w:left="94" w:right="0"/>
        <w:jc w:val="left"/>
        <w:rPr>
          <w:rFonts w:ascii="Times New Roman" w:hAnsi="Times New Roman" w:cs="Times New Roman" w:eastAsia="Times New Roman" w:hint="default"/>
        </w:rPr>
      </w:pPr>
      <w:r>
        <w:rPr/>
        <w:br w:type="column"/>
      </w:r>
      <w:r>
        <w:rPr/>
        <w:t>全资子公司</w:t>
        <w:tab/>
        <w:t>一级公司</w:t>
        <w:tab/>
      </w:r>
      <w:r>
        <w:rPr>
          <w:rFonts w:ascii="Times New Roman" w:hAnsi="Times New Roman" w:cs="Times New Roman" w:eastAsia="Times New Roman" w:hint="default"/>
          <w:spacing w:val="-1"/>
        </w:rPr>
        <w:t>100.00</w:t>
        <w:tab/>
        <w:t>100.00</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0"/>
          <w:cols w:num="2" w:equalWidth="0">
            <w:col w:w="4390" w:space="40"/>
            <w:col w:w="6500"/>
          </w:cols>
        </w:sectPr>
      </w:pPr>
    </w:p>
    <w:p>
      <w:pPr>
        <w:pStyle w:val="BodyText"/>
        <w:tabs>
          <w:tab w:pos="5676" w:val="left" w:leader="none"/>
          <w:tab w:pos="7176" w:val="left" w:leader="none"/>
          <w:tab w:pos="8780" w:val="left" w:leader="none"/>
        </w:tabs>
        <w:spacing w:line="240" w:lineRule="auto" w:before="128"/>
        <w:ind w:left="169" w:right="1133"/>
        <w:jc w:val="left"/>
        <w:rPr>
          <w:rFonts w:ascii="Times New Roman" w:hAnsi="Times New Roman" w:cs="Times New Roman" w:eastAsia="Times New Roman" w:hint="default"/>
        </w:rPr>
      </w:pPr>
      <w:r>
        <w:rPr>
          <w:spacing w:val="-1"/>
        </w:rPr>
        <w:t>深圳市瑞柏泰电子有限公司（以下简称</w:t>
      </w:r>
      <w:r>
        <w:rPr>
          <w:rFonts w:ascii="Times New Roman" w:hAnsi="Times New Roman" w:cs="Times New Roman" w:eastAsia="Times New Roman" w:hint="default"/>
          <w:spacing w:val="-1"/>
        </w:rPr>
        <w:t>“</w:t>
      </w:r>
      <w:r>
        <w:rPr>
          <w:spacing w:val="-1"/>
        </w:rPr>
        <w:t>瑞柏泰公司</w:t>
      </w:r>
      <w:r>
        <w:rPr>
          <w:rFonts w:ascii="Times New Roman" w:hAnsi="Times New Roman" w:cs="Times New Roman" w:eastAsia="Times New Roman" w:hint="default"/>
          <w:spacing w:val="-1"/>
        </w:rPr>
        <w:t>”</w:t>
      </w:r>
      <w:r>
        <w:rPr>
          <w:spacing w:val="-1"/>
        </w:rPr>
        <w:t>）</w:t>
      </w:r>
      <w:r>
        <w:rPr>
          <w:spacing w:val="-11"/>
        </w:rPr>
        <w:t> </w:t>
      </w:r>
      <w:r>
        <w:rPr/>
        <w:t>控股子公司</w:t>
        <w:tab/>
        <w:t>一级公司</w:t>
        <w:tab/>
      </w:r>
      <w:r>
        <w:rPr>
          <w:rFonts w:ascii="Times New Roman" w:hAnsi="Times New Roman" w:cs="Times New Roman" w:eastAsia="Times New Roman" w:hint="default"/>
          <w:spacing w:val="-1"/>
        </w:rPr>
        <w:t>51.378366</w:t>
        <w:tab/>
        <w:t>51.378366</w:t>
      </w:r>
    </w:p>
    <w:p>
      <w:pPr>
        <w:spacing w:line="240" w:lineRule="auto" w:before="7"/>
        <w:rPr>
          <w:rFonts w:ascii="Times New Roman" w:hAnsi="Times New Roman" w:cs="Times New Roman" w:eastAsia="Times New Roman" w:hint="default"/>
          <w:sz w:val="11"/>
          <w:szCs w:val="11"/>
        </w:rPr>
      </w:pPr>
    </w:p>
    <w:p>
      <w:pPr>
        <w:spacing w:after="0" w:line="240" w:lineRule="auto"/>
        <w:rPr>
          <w:rFonts w:ascii="Times New Roman" w:hAnsi="Times New Roman" w:cs="Times New Roman" w:eastAsia="Times New Roman" w:hint="default"/>
          <w:sz w:val="11"/>
          <w:szCs w:val="11"/>
        </w:rPr>
        <w:sectPr>
          <w:type w:val="continuous"/>
          <w:pgSz w:w="11910" w:h="16840"/>
          <w:pgMar w:top="1060" w:bottom="1160" w:left="980" w:right="0"/>
        </w:sectPr>
      </w:pPr>
    </w:p>
    <w:p>
      <w:pPr>
        <w:pStyle w:val="BodyText"/>
        <w:spacing w:line="300" w:lineRule="auto" w:before="44"/>
        <w:ind w:left="169" w:right="-20"/>
        <w:jc w:val="left"/>
      </w:pPr>
      <w:r>
        <w:rPr/>
        <w:t>深圳市帕思菲特科技有限公司（以下简称</w:t>
      </w:r>
      <w:r>
        <w:rPr>
          <w:rFonts w:ascii="Times New Roman" w:hAnsi="Times New Roman" w:cs="Times New Roman" w:eastAsia="Times New Roman" w:hint="default"/>
        </w:rPr>
        <w:t>“</w:t>
      </w:r>
      <w:r>
        <w:rPr/>
        <w:t>帕思菲特公 司</w:t>
      </w:r>
      <w:r>
        <w:rPr>
          <w:rFonts w:ascii="Times New Roman" w:hAnsi="Times New Roman" w:cs="Times New Roman" w:eastAsia="Times New Roman" w:hint="default"/>
        </w:rPr>
        <w:t>”</w:t>
      </w:r>
      <w:r>
        <w:rPr/>
        <w:t>）</w:t>
      </w:r>
    </w:p>
    <w:p>
      <w:pPr>
        <w:pStyle w:val="BodyText"/>
        <w:tabs>
          <w:tab w:pos="1246" w:val="left" w:leader="none"/>
          <w:tab w:pos="3017" w:val="left" w:leader="none"/>
          <w:tab w:pos="4621" w:val="left" w:leader="none"/>
        </w:tabs>
        <w:spacing w:line="240" w:lineRule="auto" w:before="44"/>
        <w:ind w:left="94" w:right="0"/>
        <w:jc w:val="left"/>
        <w:rPr>
          <w:rFonts w:ascii="Times New Roman" w:hAnsi="Times New Roman" w:cs="Times New Roman" w:eastAsia="Times New Roman" w:hint="default"/>
        </w:rPr>
      </w:pPr>
      <w:r>
        <w:rPr/>
        <w:br w:type="column"/>
      </w:r>
      <w:r>
        <w:rPr/>
        <w:t>控股子公司</w:t>
        <w:tab/>
        <w:t>二级公司</w:t>
        <w:tab/>
      </w:r>
      <w:r>
        <w:rPr>
          <w:rFonts w:ascii="Times New Roman" w:hAnsi="Times New Roman" w:cs="Times New Roman" w:eastAsia="Times New Roman" w:hint="default"/>
          <w:spacing w:val="-1"/>
        </w:rPr>
        <w:t>100.00</w:t>
        <w:tab/>
        <w:t>100.00</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0"/>
          <w:cols w:num="2" w:equalWidth="0">
            <w:col w:w="4390" w:space="40"/>
            <w:col w:w="6500"/>
          </w:cols>
        </w:sectPr>
      </w:pPr>
    </w:p>
    <w:p>
      <w:pPr>
        <w:pStyle w:val="BodyText"/>
        <w:spacing w:line="300" w:lineRule="auto" w:before="128"/>
        <w:ind w:left="169" w:right="-8"/>
        <w:jc w:val="left"/>
      </w:pPr>
      <w:r>
        <w:rPr>
          <w:rFonts w:ascii="Times New Roman" w:hAnsi="Times New Roman" w:cs="Times New Roman" w:eastAsia="Times New Roman" w:hint="default"/>
        </w:rPr>
        <w:t>Easy</w:t>
      </w:r>
      <w:r>
        <w:rPr>
          <w:rFonts w:ascii="Times New Roman" w:hAnsi="Times New Roman" w:cs="Times New Roman" w:eastAsia="Times New Roman" w:hint="default"/>
          <w:spacing w:val="-14"/>
        </w:rPr>
        <w:t> </w:t>
      </w:r>
      <w:r>
        <w:rPr>
          <w:rFonts w:ascii="Times New Roman" w:hAnsi="Times New Roman" w:cs="Times New Roman" w:eastAsia="Times New Roman" w:hint="default"/>
        </w:rPr>
        <w:t>Go</w:t>
      </w:r>
      <w:r>
        <w:rPr>
          <w:rFonts w:ascii="Times New Roman" w:hAnsi="Times New Roman" w:cs="Times New Roman" w:eastAsia="Times New Roman" w:hint="default"/>
          <w:spacing w:val="-9"/>
        </w:rPr>
        <w:t> </w:t>
      </w:r>
      <w:r>
        <w:rPr>
          <w:rFonts w:ascii="Times New Roman" w:hAnsi="Times New Roman" w:cs="Times New Roman" w:eastAsia="Times New Roman" w:hint="default"/>
        </w:rPr>
        <w:t>Payment</w:t>
      </w:r>
      <w:r>
        <w:rPr>
          <w:rFonts w:ascii="Times New Roman" w:hAnsi="Times New Roman" w:cs="Times New Roman" w:eastAsia="Times New Roman" w:hint="default"/>
          <w:spacing w:val="-10"/>
        </w:rPr>
        <w:t> </w:t>
      </w:r>
      <w:r>
        <w:rPr>
          <w:rFonts w:ascii="Times New Roman" w:hAnsi="Times New Roman" w:cs="Times New Roman" w:eastAsia="Times New Roman" w:hint="default"/>
        </w:rPr>
        <w:t>Technologies</w:t>
      </w:r>
      <w:r>
        <w:rPr>
          <w:rFonts w:ascii="Times New Roman" w:hAnsi="Times New Roman" w:cs="Times New Roman" w:eastAsia="Times New Roman" w:hint="default"/>
          <w:spacing w:val="-11"/>
        </w:rPr>
        <w:t> </w:t>
      </w:r>
      <w:r>
        <w:rPr>
          <w:rFonts w:ascii="Times New Roman" w:hAnsi="Times New Roman" w:cs="Times New Roman" w:eastAsia="Times New Roman" w:hint="default"/>
        </w:rPr>
        <w:t>Limited</w:t>
      </w:r>
      <w:r>
        <w:rPr/>
        <w:t>（以下简称</w:t>
      </w:r>
      <w:r>
        <w:rPr>
          <w:rFonts w:ascii="Times New Roman" w:hAnsi="Times New Roman" w:cs="Times New Roman" w:eastAsia="Times New Roman" w:hint="default"/>
        </w:rPr>
        <w:t>“</w:t>
      </w:r>
      <w:r>
        <w:rPr/>
        <w:t>香港 乐乐高公司</w:t>
      </w:r>
      <w:r>
        <w:rPr>
          <w:rFonts w:ascii="Times New Roman" w:hAnsi="Times New Roman" w:cs="Times New Roman" w:eastAsia="Times New Roman" w:hint="default"/>
        </w:rPr>
        <w:t>”</w:t>
      </w:r>
      <w:r>
        <w:rPr/>
        <w:t>）</w:t>
      </w:r>
    </w:p>
    <w:p>
      <w:pPr>
        <w:pStyle w:val="BodyText"/>
        <w:tabs>
          <w:tab w:pos="1239" w:val="left" w:leader="none"/>
          <w:tab w:pos="3010" w:val="left" w:leader="none"/>
          <w:tab w:pos="4614" w:val="left" w:leader="none"/>
        </w:tabs>
        <w:spacing w:line="240" w:lineRule="auto" w:before="128"/>
        <w:ind w:left="87" w:right="0"/>
        <w:jc w:val="left"/>
        <w:rPr>
          <w:rFonts w:ascii="Times New Roman" w:hAnsi="Times New Roman" w:cs="Times New Roman" w:eastAsia="Times New Roman" w:hint="default"/>
        </w:rPr>
      </w:pPr>
      <w:r>
        <w:rPr/>
        <w:br w:type="column"/>
      </w:r>
      <w:r>
        <w:rPr/>
        <w:t>控股子公司</w:t>
        <w:tab/>
        <w:t>二级公司</w:t>
        <w:tab/>
      </w:r>
      <w:r>
        <w:rPr>
          <w:rFonts w:ascii="Times New Roman" w:hAnsi="Times New Roman" w:cs="Times New Roman" w:eastAsia="Times New Roman" w:hint="default"/>
          <w:spacing w:val="-1"/>
        </w:rPr>
        <w:t>100.00</w:t>
        <w:tab/>
        <w:t>100.00</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0"/>
          <w:cols w:num="2" w:equalWidth="0">
            <w:col w:w="4398" w:space="40"/>
            <w:col w:w="6492"/>
          </w:cols>
        </w:sectPr>
      </w:pPr>
    </w:p>
    <w:p>
      <w:pPr>
        <w:pStyle w:val="BodyText"/>
        <w:tabs>
          <w:tab w:pos="5676" w:val="left" w:leader="none"/>
          <w:tab w:pos="7536" w:val="left" w:leader="none"/>
          <w:tab w:pos="9140" w:val="left" w:leader="none"/>
        </w:tabs>
        <w:spacing w:line="240" w:lineRule="auto" w:before="128"/>
        <w:ind w:left="169" w:right="1133"/>
        <w:jc w:val="left"/>
        <w:rPr>
          <w:rFonts w:ascii="Times New Roman" w:hAnsi="Times New Roman" w:cs="Times New Roman" w:eastAsia="Times New Roman" w:hint="default"/>
        </w:rPr>
      </w:pPr>
      <w:r>
        <w:rPr/>
        <w:t>深圳市云栖信息科技有限公司（以下简称</w:t>
      </w:r>
      <w:r>
        <w:rPr>
          <w:rFonts w:ascii="Times New Roman" w:hAnsi="Times New Roman" w:cs="Times New Roman" w:eastAsia="Times New Roman" w:hint="default"/>
        </w:rPr>
        <w:t>“</w:t>
      </w:r>
      <w:r>
        <w:rPr/>
        <w:t>云栖公司</w:t>
      </w:r>
      <w:r>
        <w:rPr>
          <w:rFonts w:ascii="Times New Roman" w:hAnsi="Times New Roman" w:cs="Times New Roman" w:eastAsia="Times New Roman" w:hint="default"/>
        </w:rPr>
        <w:t>”</w:t>
      </w:r>
      <w:r>
        <w:rPr/>
        <w:t>）</w:t>
      </w:r>
      <w:r>
        <w:rPr>
          <w:spacing w:val="-36"/>
        </w:rPr>
        <w:t> </w:t>
      </w:r>
      <w:r>
        <w:rPr/>
        <w:t>控股子公司</w:t>
        <w:tab/>
        <w:t>一级公司</w:t>
        <w:tab/>
      </w:r>
      <w:r>
        <w:rPr>
          <w:rFonts w:ascii="Times New Roman" w:hAnsi="Times New Roman" w:cs="Times New Roman" w:eastAsia="Times New Roman" w:hint="default"/>
        </w:rPr>
        <w:t>80.00</w:t>
        <w:tab/>
        <w:t>80.00</w:t>
      </w:r>
    </w:p>
    <w:p>
      <w:pPr>
        <w:spacing w:line="240" w:lineRule="auto" w:before="7"/>
        <w:rPr>
          <w:rFonts w:ascii="Times New Roman" w:hAnsi="Times New Roman" w:cs="Times New Roman" w:eastAsia="Times New Roman" w:hint="default"/>
          <w:sz w:val="11"/>
          <w:szCs w:val="11"/>
        </w:rPr>
      </w:pPr>
    </w:p>
    <w:p>
      <w:pPr>
        <w:pStyle w:val="BodyText"/>
        <w:tabs>
          <w:tab w:pos="5676" w:val="left" w:leader="none"/>
          <w:tab w:pos="7447" w:val="left" w:leader="none"/>
          <w:tab w:pos="9051" w:val="left" w:leader="none"/>
        </w:tabs>
        <w:spacing w:line="240" w:lineRule="auto" w:before="44"/>
        <w:ind w:left="169" w:right="1133"/>
        <w:jc w:val="left"/>
        <w:rPr>
          <w:rFonts w:ascii="Times New Roman" w:hAnsi="Times New Roman" w:cs="Times New Roman" w:eastAsia="Times New Roman" w:hint="default"/>
        </w:rPr>
      </w:pPr>
      <w:r>
        <w:rPr/>
        <w:t>珠海佳博科技有限公司（以下简称</w:t>
      </w:r>
      <w:r>
        <w:rPr>
          <w:rFonts w:ascii="Times New Roman" w:hAnsi="Times New Roman" w:cs="Times New Roman" w:eastAsia="Times New Roman" w:hint="default"/>
        </w:rPr>
        <w:t>“</w:t>
      </w:r>
      <w:r>
        <w:rPr/>
        <w:t>佳博科技公司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t>全资子公司</w:t>
        <w:tab/>
        <w:t>一级公司</w:t>
        <w:tab/>
      </w:r>
      <w:r>
        <w:rPr>
          <w:rFonts w:ascii="Times New Roman" w:hAnsi="Times New Roman" w:cs="Times New Roman" w:eastAsia="Times New Roman" w:hint="default"/>
          <w:spacing w:val="-1"/>
        </w:rPr>
        <w:t>100.00</w:t>
        <w:tab/>
        <w:t>100.00</w:t>
      </w:r>
    </w:p>
    <w:p>
      <w:pPr>
        <w:spacing w:line="240" w:lineRule="auto" w:before="8"/>
        <w:rPr>
          <w:rFonts w:ascii="Times New Roman" w:hAnsi="Times New Roman" w:cs="Times New Roman" w:eastAsia="Times New Roman" w:hint="default"/>
          <w:sz w:val="11"/>
          <w:szCs w:val="11"/>
        </w:rPr>
      </w:pPr>
    </w:p>
    <w:p>
      <w:pPr>
        <w:pStyle w:val="BodyText"/>
        <w:tabs>
          <w:tab w:pos="5676" w:val="left" w:leader="none"/>
          <w:tab w:pos="7447" w:val="left" w:leader="none"/>
          <w:tab w:pos="9051" w:val="left" w:leader="none"/>
        </w:tabs>
        <w:spacing w:line="240" w:lineRule="auto" w:before="44"/>
        <w:ind w:left="169" w:right="1133"/>
        <w:jc w:val="left"/>
        <w:rPr>
          <w:rFonts w:ascii="Times New Roman" w:hAnsi="Times New Roman" w:cs="Times New Roman" w:eastAsia="Times New Roman" w:hint="default"/>
        </w:rPr>
      </w:pPr>
      <w:r>
        <w:rPr>
          <w:spacing w:val="-1"/>
        </w:rPr>
        <w:t>珠海浩盛标签打印机有限公司（以下简称</w:t>
      </w:r>
      <w:r>
        <w:rPr>
          <w:rFonts w:ascii="Times New Roman" w:hAnsi="Times New Roman" w:cs="Times New Roman" w:eastAsia="Times New Roman" w:hint="default"/>
          <w:spacing w:val="-1"/>
        </w:rPr>
        <w:t>“</w:t>
      </w:r>
      <w:r>
        <w:rPr>
          <w:spacing w:val="-1"/>
        </w:rPr>
        <w:t>浩盛标签</w:t>
      </w:r>
      <w:r>
        <w:rPr>
          <w:rFonts w:ascii="Times New Roman" w:hAnsi="Times New Roman" w:cs="Times New Roman" w:eastAsia="Times New Roman" w:hint="default"/>
          <w:spacing w:val="-1"/>
        </w:rPr>
        <w:t>”</w:t>
      </w:r>
      <w:r>
        <w:rPr>
          <w:spacing w:val="-1"/>
        </w:rPr>
        <w:t>）</w:t>
      </w:r>
      <w:r>
        <w:rPr>
          <w:spacing w:val="-11"/>
        </w:rPr>
        <w:t> </w:t>
      </w:r>
      <w:r>
        <w:rPr/>
        <w:t>全资子公司</w:t>
        <w:tab/>
        <w:t>二级公司</w:t>
        <w:tab/>
      </w:r>
      <w:r>
        <w:rPr>
          <w:rFonts w:ascii="Times New Roman" w:hAnsi="Times New Roman" w:cs="Times New Roman" w:eastAsia="Times New Roman" w:hint="default"/>
          <w:spacing w:val="-1"/>
        </w:rPr>
        <w:t>100.00</w:t>
        <w:tab/>
        <w:t>100.00</w:t>
      </w:r>
    </w:p>
    <w:p>
      <w:pPr>
        <w:spacing w:line="240" w:lineRule="auto" w:before="7"/>
        <w:rPr>
          <w:rFonts w:ascii="Times New Roman" w:hAnsi="Times New Roman" w:cs="Times New Roman" w:eastAsia="Times New Roman" w:hint="default"/>
          <w:sz w:val="11"/>
          <w:szCs w:val="11"/>
        </w:rPr>
      </w:pPr>
    </w:p>
    <w:p>
      <w:pPr>
        <w:pStyle w:val="BodyText"/>
        <w:tabs>
          <w:tab w:pos="4524" w:val="left" w:leader="none"/>
          <w:tab w:pos="5676" w:val="left" w:leader="none"/>
          <w:tab w:pos="7447" w:val="left" w:leader="none"/>
          <w:tab w:pos="9051" w:val="left" w:leader="none"/>
        </w:tabs>
        <w:spacing w:line="240" w:lineRule="auto" w:before="44"/>
        <w:ind w:left="169" w:right="1133"/>
        <w:jc w:val="left"/>
        <w:rPr>
          <w:rFonts w:ascii="Times New Roman" w:hAnsi="Times New Roman" w:cs="Times New Roman" w:eastAsia="Times New Roman" w:hint="default"/>
        </w:rPr>
      </w:pPr>
      <w:r>
        <w:rPr>
          <w:spacing w:val="-1"/>
        </w:rPr>
        <w:t>珠海智汇网络设备有限公司（以下简称</w:t>
      </w:r>
      <w:r>
        <w:rPr>
          <w:rFonts w:ascii="Times New Roman" w:hAnsi="Times New Roman" w:cs="Times New Roman" w:eastAsia="Times New Roman" w:hint="default"/>
          <w:spacing w:val="-1"/>
        </w:rPr>
        <w:t>“</w:t>
      </w:r>
      <w:r>
        <w:rPr>
          <w:spacing w:val="-1"/>
        </w:rPr>
        <w:t>智汇网络</w:t>
      </w:r>
      <w:r>
        <w:rPr>
          <w:rFonts w:ascii="Times New Roman" w:hAnsi="Times New Roman" w:cs="Times New Roman" w:eastAsia="Times New Roman" w:hint="default"/>
          <w:spacing w:val="-1"/>
        </w:rPr>
        <w:t>”</w:t>
      </w:r>
      <w:r>
        <w:rPr>
          <w:spacing w:val="-1"/>
        </w:rPr>
        <w:t>）</w:t>
        <w:tab/>
      </w:r>
      <w:r>
        <w:rPr/>
        <w:t>全资子公司</w:t>
        <w:tab/>
        <w:t>二级公司</w:t>
        <w:tab/>
      </w:r>
      <w:r>
        <w:rPr>
          <w:rFonts w:ascii="Times New Roman" w:hAnsi="Times New Roman" w:cs="Times New Roman" w:eastAsia="Times New Roman" w:hint="default"/>
          <w:spacing w:val="-1"/>
        </w:rPr>
        <w:t>100.00</w:t>
        <w:tab/>
        <w:t>100.00</w:t>
      </w:r>
    </w:p>
    <w:p>
      <w:pPr>
        <w:spacing w:line="240" w:lineRule="auto" w:before="7"/>
        <w:rPr>
          <w:rFonts w:ascii="Times New Roman" w:hAnsi="Times New Roman" w:cs="Times New Roman" w:eastAsia="Times New Roman" w:hint="default"/>
          <w:sz w:val="11"/>
          <w:szCs w:val="11"/>
        </w:rPr>
      </w:pPr>
    </w:p>
    <w:p>
      <w:pPr>
        <w:pStyle w:val="BodyText"/>
        <w:tabs>
          <w:tab w:pos="4524" w:val="left" w:leader="none"/>
          <w:tab w:pos="5676" w:val="left" w:leader="none"/>
          <w:tab w:pos="7447" w:val="left" w:leader="none"/>
          <w:tab w:pos="9051" w:val="left" w:leader="none"/>
        </w:tabs>
        <w:spacing w:line="240" w:lineRule="auto" w:before="44"/>
        <w:ind w:left="169" w:right="1133"/>
        <w:jc w:val="left"/>
        <w:rPr>
          <w:rFonts w:ascii="Times New Roman" w:hAnsi="Times New Roman" w:cs="Times New Roman" w:eastAsia="Times New Roman" w:hint="default"/>
        </w:rPr>
      </w:pPr>
      <w:r>
        <w:rPr>
          <w:spacing w:val="-1"/>
        </w:rPr>
        <w:t>珠海盛源信息科技有限公司（以下简称</w:t>
      </w:r>
      <w:r>
        <w:rPr>
          <w:rFonts w:ascii="Times New Roman" w:hAnsi="Times New Roman" w:cs="Times New Roman" w:eastAsia="Times New Roman" w:hint="default"/>
          <w:spacing w:val="-1"/>
        </w:rPr>
        <w:t>“</w:t>
      </w:r>
      <w:r>
        <w:rPr>
          <w:spacing w:val="-1"/>
        </w:rPr>
        <w:t>珠海盛源</w:t>
      </w:r>
      <w:r>
        <w:rPr>
          <w:rFonts w:ascii="Times New Roman" w:hAnsi="Times New Roman" w:cs="Times New Roman" w:eastAsia="Times New Roman" w:hint="default"/>
          <w:spacing w:val="-1"/>
        </w:rPr>
        <w:t>”</w:t>
      </w:r>
      <w:r>
        <w:rPr>
          <w:spacing w:val="-1"/>
        </w:rPr>
        <w:t>）</w:t>
        <w:tab/>
      </w:r>
      <w:r>
        <w:rPr/>
        <w:t>全资子公司</w:t>
        <w:tab/>
        <w:t>二级公司</w:t>
        <w:tab/>
      </w:r>
      <w:r>
        <w:rPr>
          <w:rFonts w:ascii="Times New Roman" w:hAnsi="Times New Roman" w:cs="Times New Roman" w:eastAsia="Times New Roman" w:hint="default"/>
          <w:spacing w:val="-1"/>
        </w:rPr>
        <w:t>100.00</w:t>
        <w:tab/>
        <w:t>100.00</w:t>
      </w:r>
    </w:p>
    <w:p>
      <w:pPr>
        <w:spacing w:line="240" w:lineRule="auto" w:before="7"/>
        <w:rPr>
          <w:rFonts w:ascii="Times New Roman" w:hAnsi="Times New Roman" w:cs="Times New Roman" w:eastAsia="Times New Roman" w:hint="default"/>
          <w:sz w:val="11"/>
          <w:szCs w:val="11"/>
        </w:rPr>
      </w:pPr>
    </w:p>
    <w:p>
      <w:pPr>
        <w:pStyle w:val="BodyText"/>
        <w:tabs>
          <w:tab w:pos="4524" w:val="left" w:leader="none"/>
          <w:tab w:pos="5676" w:val="left" w:leader="none"/>
          <w:tab w:pos="7447" w:val="left" w:leader="none"/>
          <w:tab w:pos="9051" w:val="left" w:leader="none"/>
        </w:tabs>
        <w:spacing w:line="240" w:lineRule="auto" w:before="44"/>
        <w:ind w:left="169" w:right="1133"/>
        <w:jc w:val="left"/>
        <w:rPr>
          <w:rFonts w:ascii="Times New Roman" w:hAnsi="Times New Roman" w:cs="Times New Roman" w:eastAsia="Times New Roman" w:hint="default"/>
        </w:rPr>
      </w:pPr>
      <w:r>
        <w:rPr>
          <w:spacing w:val="-1"/>
        </w:rPr>
        <w:t>珠海佳博网络有限公司（以下简称</w:t>
      </w:r>
      <w:r>
        <w:rPr>
          <w:rFonts w:ascii="Times New Roman" w:hAnsi="Times New Roman" w:cs="Times New Roman" w:eastAsia="Times New Roman" w:hint="default"/>
          <w:spacing w:val="-1"/>
        </w:rPr>
        <w:t>“</w:t>
      </w:r>
      <w:r>
        <w:rPr>
          <w:spacing w:val="-1"/>
        </w:rPr>
        <w:t>佳博网络</w:t>
      </w:r>
      <w:r>
        <w:rPr>
          <w:rFonts w:ascii="Times New Roman" w:hAnsi="Times New Roman" w:cs="Times New Roman" w:eastAsia="Times New Roman" w:hint="default"/>
          <w:spacing w:val="-1"/>
        </w:rPr>
        <w:t>”</w:t>
      </w:r>
      <w:r>
        <w:rPr>
          <w:spacing w:val="-1"/>
        </w:rPr>
        <w:t>）</w:t>
        <w:tab/>
      </w:r>
      <w:r>
        <w:rPr/>
        <w:t>全资子公司</w:t>
        <w:tab/>
        <w:t>二级公司</w:t>
        <w:tab/>
      </w:r>
      <w:r>
        <w:rPr>
          <w:rFonts w:ascii="Times New Roman" w:hAnsi="Times New Roman" w:cs="Times New Roman" w:eastAsia="Times New Roman" w:hint="default"/>
          <w:spacing w:val="-1"/>
        </w:rPr>
        <w:t>100.00</w:t>
        <w:tab/>
        <w:t>100.00</w:t>
      </w:r>
    </w:p>
    <w:p>
      <w:pPr>
        <w:spacing w:line="240" w:lineRule="auto" w:before="5"/>
        <w:rPr>
          <w:rFonts w:ascii="Times New Roman" w:hAnsi="Times New Roman" w:cs="Times New Roman" w:eastAsia="Times New Roman" w:hint="default"/>
          <w:sz w:val="11"/>
          <w:szCs w:val="11"/>
        </w:rPr>
      </w:pPr>
    </w:p>
    <w:p>
      <w:pPr>
        <w:pStyle w:val="BodyText"/>
        <w:tabs>
          <w:tab w:pos="5676" w:val="left" w:leader="none"/>
          <w:tab w:pos="7447" w:val="left" w:leader="none"/>
          <w:tab w:pos="9051" w:val="left" w:leader="none"/>
        </w:tabs>
        <w:spacing w:line="240" w:lineRule="auto" w:before="44"/>
        <w:ind w:left="169" w:right="1133"/>
        <w:jc w:val="left"/>
        <w:rPr>
          <w:rFonts w:ascii="Times New Roman" w:hAnsi="Times New Roman" w:cs="Times New Roman" w:eastAsia="Times New Roman" w:hint="default"/>
        </w:rPr>
      </w:pPr>
      <w:r>
        <w:rPr>
          <w:spacing w:val="-1"/>
        </w:rPr>
        <w:t>深圳市佳博智联软件有限公司（以下简称</w:t>
      </w:r>
      <w:r>
        <w:rPr>
          <w:rFonts w:ascii="Times New Roman" w:hAnsi="Times New Roman" w:cs="Times New Roman" w:eastAsia="Times New Roman" w:hint="default"/>
          <w:spacing w:val="-1"/>
        </w:rPr>
        <w:t>“</w:t>
      </w:r>
      <w:r>
        <w:rPr>
          <w:spacing w:val="-1"/>
        </w:rPr>
        <w:t>智联软件</w:t>
      </w:r>
      <w:r>
        <w:rPr>
          <w:rFonts w:ascii="Times New Roman" w:hAnsi="Times New Roman" w:cs="Times New Roman" w:eastAsia="Times New Roman" w:hint="default"/>
          <w:spacing w:val="-1"/>
        </w:rPr>
        <w:t>”</w:t>
      </w:r>
      <w:r>
        <w:rPr>
          <w:spacing w:val="-1"/>
        </w:rPr>
        <w:t>）</w:t>
      </w:r>
      <w:r>
        <w:rPr>
          <w:spacing w:val="-11"/>
        </w:rPr>
        <w:t> </w:t>
      </w:r>
      <w:r>
        <w:rPr/>
        <w:t>全资子公司</w:t>
        <w:tab/>
        <w:t>二级公司</w:t>
        <w:tab/>
      </w:r>
      <w:r>
        <w:rPr>
          <w:rFonts w:ascii="Times New Roman" w:hAnsi="Times New Roman" w:cs="Times New Roman" w:eastAsia="Times New Roman" w:hint="default"/>
          <w:spacing w:val="-1"/>
        </w:rPr>
        <w:t>100.00</w:t>
        <w:tab/>
        <w:t>100.00</w:t>
      </w:r>
    </w:p>
    <w:p>
      <w:pPr>
        <w:spacing w:line="240" w:lineRule="auto" w:before="7"/>
        <w:rPr>
          <w:rFonts w:ascii="Times New Roman" w:hAnsi="Times New Roman" w:cs="Times New Roman" w:eastAsia="Times New Roman" w:hint="default"/>
          <w:sz w:val="11"/>
          <w:szCs w:val="11"/>
        </w:rPr>
      </w:pPr>
    </w:p>
    <w:p>
      <w:pPr>
        <w:pStyle w:val="BodyText"/>
        <w:tabs>
          <w:tab w:pos="5676" w:val="left" w:leader="none"/>
          <w:tab w:pos="7447" w:val="left" w:leader="none"/>
          <w:tab w:pos="9051" w:val="left" w:leader="none"/>
        </w:tabs>
        <w:spacing w:line="240" w:lineRule="auto" w:before="44"/>
        <w:ind w:left="169" w:right="1133"/>
        <w:jc w:val="left"/>
        <w:rPr>
          <w:rFonts w:ascii="Times New Roman" w:hAnsi="Times New Roman" w:cs="Times New Roman" w:eastAsia="Times New Roman" w:hint="default"/>
        </w:rPr>
      </w:pPr>
      <w:r>
        <w:rPr>
          <w:spacing w:val="-1"/>
        </w:rPr>
        <w:t>深圳市佳博兆丰科技有限公司（以下简称</w:t>
      </w:r>
      <w:r>
        <w:rPr>
          <w:rFonts w:ascii="Times New Roman" w:hAnsi="Times New Roman" w:cs="Times New Roman" w:eastAsia="Times New Roman" w:hint="default"/>
          <w:spacing w:val="-1"/>
        </w:rPr>
        <w:t>“</w:t>
      </w:r>
      <w:r>
        <w:rPr>
          <w:spacing w:val="-1"/>
        </w:rPr>
        <w:t>兆丰科技</w:t>
      </w:r>
      <w:r>
        <w:rPr>
          <w:rFonts w:ascii="Times New Roman" w:hAnsi="Times New Roman" w:cs="Times New Roman" w:eastAsia="Times New Roman" w:hint="default"/>
          <w:spacing w:val="-1"/>
        </w:rPr>
        <w:t>”</w:t>
      </w:r>
      <w:r>
        <w:rPr>
          <w:spacing w:val="-1"/>
        </w:rPr>
        <w:t>）</w:t>
      </w:r>
      <w:r>
        <w:rPr>
          <w:spacing w:val="-11"/>
        </w:rPr>
        <w:t> </w:t>
      </w:r>
      <w:r>
        <w:rPr/>
        <w:t>全资子公司</w:t>
        <w:tab/>
        <w:t>二级公司</w:t>
        <w:tab/>
      </w:r>
      <w:r>
        <w:rPr>
          <w:rFonts w:ascii="Times New Roman" w:hAnsi="Times New Roman" w:cs="Times New Roman" w:eastAsia="Times New Roman" w:hint="default"/>
          <w:spacing w:val="-1"/>
        </w:rPr>
        <w:t>100.00</w:t>
        <w:tab/>
        <w:t>100.00</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0"/>
        </w:sectPr>
      </w:pPr>
    </w:p>
    <w:p>
      <w:pPr>
        <w:spacing w:line="240" w:lineRule="auto" w:before="3"/>
        <w:rPr>
          <w:rFonts w:ascii="Times New Roman" w:hAnsi="Times New Roman" w:cs="Times New Roman" w:eastAsia="Times New Roman" w:hint="default"/>
          <w:sz w:val="29"/>
          <w:szCs w:val="29"/>
        </w:rPr>
      </w:pPr>
    </w:p>
    <w:p>
      <w:pPr>
        <w:pStyle w:val="BodyText"/>
        <w:spacing w:line="338" w:lineRule="auto" w:before="44"/>
        <w:ind w:left="513" w:right="2653"/>
        <w:jc w:val="left"/>
      </w:pPr>
      <w:r>
        <w:rPr>
          <w:rFonts w:ascii="Times New Roman" w:hAnsi="Times New Roman" w:cs="Times New Roman" w:eastAsia="Times New Roman" w:hint="default"/>
        </w:rPr>
        <w:t>*</w:t>
      </w:r>
      <w:r>
        <w:rPr/>
        <w:t>本公司通过非同一控制下企业合并取得佳博科技公司</w:t>
      </w:r>
      <w:r>
        <w:rPr>
          <w:rFonts w:ascii="Times New Roman" w:hAnsi="Times New Roman" w:cs="Times New Roman" w:eastAsia="Times New Roman" w:hint="default"/>
        </w:rPr>
        <w:t>100%</w:t>
      </w:r>
      <w:r>
        <w:rPr/>
        <w:t>股权，本期合并报表范围发生变化。 本期纳入合并财务报表范围的主体较上期相比，增加</w:t>
      </w:r>
      <w:r>
        <w:rPr>
          <w:rFonts w:ascii="Times New Roman" w:hAnsi="Times New Roman" w:cs="Times New Roman" w:eastAsia="Times New Roman" w:hint="default"/>
        </w:rPr>
        <w:t>9</w:t>
      </w:r>
      <w:r>
        <w:rPr/>
        <w:t>户，其中： 本期新纳入合并范围的子公司、特殊目的主体、通过受托经营或承租等方式形成控制权的经营实体</w:t>
      </w:r>
    </w:p>
    <w:p>
      <w:pPr>
        <w:spacing w:line="240" w:lineRule="auto" w:before="9"/>
        <w:rPr>
          <w:rFonts w:ascii="宋体" w:hAnsi="宋体" w:cs="宋体" w:eastAsia="宋体" w:hint="default"/>
          <w:sz w:val="2"/>
          <w:szCs w:val="2"/>
        </w:rPr>
      </w:pPr>
    </w:p>
    <w:tbl>
      <w:tblPr>
        <w:tblW w:w="0" w:type="auto"/>
        <w:jc w:val="left"/>
        <w:tblInd w:w="150" w:type="dxa"/>
        <w:tblLayout w:type="fixed"/>
        <w:tblCellMar>
          <w:top w:w="0" w:type="dxa"/>
          <w:left w:w="0" w:type="dxa"/>
          <w:bottom w:w="0" w:type="dxa"/>
          <w:right w:w="0" w:type="dxa"/>
        </w:tblCellMar>
        <w:tblLook w:val="01E0"/>
      </w:tblPr>
      <w:tblGrid>
        <w:gridCol w:w="4631"/>
        <w:gridCol w:w="4727"/>
      </w:tblGrid>
      <w:tr>
        <w:trPr>
          <w:trHeight w:val="42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6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4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62" w:right="0"/>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42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宏锐软件</w:t>
            </w:r>
          </w:p>
        </w:tc>
        <w:tc>
          <w:tcPr>
            <w:tcW w:w="4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62" w:right="0"/>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42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云栖公司</w:t>
            </w:r>
          </w:p>
        </w:tc>
        <w:tc>
          <w:tcPr>
            <w:tcW w:w="4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62" w:right="0"/>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42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佳博科技公司</w:t>
            </w:r>
          </w:p>
        </w:tc>
        <w:tc>
          <w:tcPr>
            <w:tcW w:w="4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62"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2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浩盛标签</w:t>
            </w:r>
          </w:p>
        </w:tc>
        <w:tc>
          <w:tcPr>
            <w:tcW w:w="4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62"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25"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智汇网络</w:t>
            </w:r>
          </w:p>
        </w:tc>
        <w:tc>
          <w:tcPr>
            <w:tcW w:w="4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62"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28"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珠海盛源</w:t>
            </w:r>
          </w:p>
        </w:tc>
        <w:tc>
          <w:tcPr>
            <w:tcW w:w="4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62"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2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佳博网络</w:t>
            </w:r>
          </w:p>
        </w:tc>
        <w:tc>
          <w:tcPr>
            <w:tcW w:w="4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62"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2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智联软件</w:t>
            </w:r>
          </w:p>
        </w:tc>
        <w:tc>
          <w:tcPr>
            <w:tcW w:w="4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62"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2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兆丰科技</w:t>
            </w:r>
          </w:p>
        </w:tc>
        <w:tc>
          <w:tcPr>
            <w:tcW w:w="4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62"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bl>
    <w:p>
      <w:pPr>
        <w:pStyle w:val="Heading4"/>
        <w:spacing w:line="240" w:lineRule="auto" w:before="49"/>
        <w:ind w:right="1133"/>
        <w:jc w:val="left"/>
        <w:rPr>
          <w:b w:val="0"/>
          <w:bCs w:val="0"/>
        </w:rPr>
      </w:pPr>
      <w:r>
        <w:rPr/>
        <w:t>合并范围变更主体的具体信息详见</w:t>
      </w:r>
      <w:r>
        <w:rPr>
          <w:rFonts w:ascii="Times New Roman" w:hAnsi="Times New Roman" w:cs="Times New Roman" w:eastAsia="Times New Roman" w:hint="default"/>
        </w:rPr>
        <w:t>“</w:t>
      </w:r>
      <w:r>
        <w:rPr/>
        <w:t>本附注八、合并范围的变更</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本附注九、在其他主体中的权益</w:t>
      </w:r>
      <w:r>
        <w:rPr>
          <w:rFonts w:ascii="Times New Roman" w:hAnsi="Times New Roman" w:cs="Times New Roman" w:eastAsia="Times New Roman" w:hint="default"/>
        </w:rPr>
        <w:t>”</w:t>
      </w:r>
      <w:r>
        <w:rPr/>
        <w:t>。</w:t>
      </w:r>
      <w:r>
        <w:rPr>
          <w:b w:val="0"/>
          <w:bCs w:val="0"/>
        </w:rPr>
      </w:r>
    </w:p>
    <w:p>
      <w:pPr>
        <w:spacing w:line="240" w:lineRule="auto" w:before="3"/>
        <w:rPr>
          <w:rFonts w:ascii="宋体" w:hAnsi="宋体" w:cs="宋体" w:eastAsia="宋体" w:hint="default"/>
          <w:b/>
          <w:bCs/>
          <w:sz w:val="24"/>
          <w:szCs w:val="24"/>
        </w:rPr>
      </w:pPr>
    </w:p>
    <w:p>
      <w:pPr>
        <w:pStyle w:val="Heading2"/>
        <w:spacing w:line="240" w:lineRule="auto"/>
        <w:ind w:right="0"/>
        <w:jc w:val="both"/>
        <w:rPr>
          <w:b w:val="0"/>
          <w:bCs w:val="0"/>
        </w:rPr>
      </w:pPr>
      <w:bookmarkStart w:name="四、财务报表的编制基础" w:id="165"/>
      <w:bookmarkEnd w:id="165"/>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编制基础" w:id="166"/>
      <w:bookmarkEnd w:id="166"/>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128"/>
        <w:jc w:val="both"/>
      </w:pPr>
      <w:r>
        <w:rPr>
          <w:spacing w:val="-2"/>
        </w:rPr>
        <w:t>本公司根据实际发生的交易和事项，按照财政部颁布的《企业会计准则——基本准则》和具体企业会计准则、企业会计准则</w:t>
      </w:r>
      <w:r>
        <w:rPr>
          <w:spacing w:val="-63"/>
        </w:rPr>
        <w:t> </w:t>
      </w:r>
      <w:r>
        <w:rPr>
          <w:spacing w:val="-63"/>
        </w:rPr>
      </w:r>
      <w:r>
        <w:rPr>
          <w:spacing w:val="-2"/>
        </w:rPr>
        <w:t>应用指南、企业会计准则解释及其他相关规定（以下合称“企业会计准则”）进行确认和计量，在此基础上，结合中国证券</w:t>
      </w:r>
      <w:r>
        <w:rPr>
          <w:spacing w:val="-70"/>
        </w:rPr>
        <w:t> </w:t>
      </w:r>
      <w:r>
        <w:rPr>
          <w:spacing w:val="-70"/>
        </w:rPr>
      </w:r>
      <w:r>
        <w:rPr>
          <w:spacing w:val="-2"/>
        </w:rPr>
        <w:t>监督管理委员会《公开发行证券的公司信息披露编报规则第</w:t>
      </w:r>
      <w:r>
        <w:rPr>
          <w:rFonts w:ascii="宋体" w:hAnsi="宋体" w:cs="宋体" w:eastAsia="宋体" w:hint="default"/>
          <w:spacing w:val="-2"/>
        </w:rPr>
        <w:t>15</w:t>
      </w:r>
      <w:r>
        <w:rPr>
          <w:spacing w:val="-2"/>
        </w:rPr>
        <w:t>号——财务报告的一般规定》（</w:t>
      </w:r>
      <w:r>
        <w:rPr>
          <w:rFonts w:ascii="宋体" w:hAnsi="宋体" w:cs="宋体" w:eastAsia="宋体" w:hint="default"/>
          <w:spacing w:val="-2"/>
        </w:rPr>
        <w:t>2014</w:t>
      </w:r>
      <w:r>
        <w:rPr>
          <w:spacing w:val="-2"/>
        </w:rPr>
        <w:t>年修订）的规定，编制财</w:t>
      </w:r>
      <w:r>
        <w:rPr>
          <w:spacing w:val="-57"/>
        </w:rPr>
        <w:t> </w:t>
      </w:r>
      <w:r>
        <w:rPr>
          <w:spacing w:val="-57"/>
        </w:rPr>
      </w:r>
      <w:r>
        <w:rPr/>
        <w:t>务报表。</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bookmarkStart w:name="2、持续经营" w:id="167"/>
      <w:bookmarkEnd w:id="167"/>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9"/>
        <w:jc w:val="left"/>
      </w:pPr>
      <w:r>
        <w:rPr>
          <w:spacing w:val="-2"/>
        </w:rPr>
        <w:t>本公司对报告期末起</w:t>
      </w:r>
      <w:r>
        <w:rPr>
          <w:rFonts w:ascii="宋体" w:hAnsi="宋体" w:cs="宋体" w:eastAsia="宋体" w:hint="default"/>
          <w:spacing w:val="-2"/>
        </w:rPr>
        <w:t>12</w:t>
      </w:r>
      <w:r>
        <w:rPr>
          <w:spacing w:val="-2"/>
        </w:rPr>
        <w:t>个月的持续经营能力进行了评价，未发现对持续经营能力产生重大怀疑的事项或情况。因此，本财务</w:t>
      </w:r>
      <w:r>
        <w:rPr>
          <w:spacing w:val="-65"/>
        </w:rPr>
        <w:t> </w:t>
      </w:r>
      <w:r>
        <w:rPr>
          <w:spacing w:val="-65"/>
        </w:rPr>
      </w:r>
      <w:r>
        <w:rPr/>
        <w:t>报表系在持续经营假设的基础上编制。</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bookmarkStart w:name="五、重要会计政策及会计估计" w:id="168"/>
      <w:bookmarkEnd w:id="168"/>
      <w:r>
        <w:rPr>
          <w:b w:val="0"/>
          <w:bCs w:val="0"/>
        </w:rPr>
      </w: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369" w:right="1177" w:hanging="217"/>
        <w:jc w:val="left"/>
      </w:pPr>
      <w:r>
        <w:rPr/>
        <w:t>具体会计政策和会计估计提示： 本公司根据实际生产经营特点针对应收款项坏账准备计提、固定资产折旧、无形资产摊销、收入确认等交易或事项制定</w:t>
      </w:r>
    </w:p>
    <w:p>
      <w:pPr>
        <w:pStyle w:val="BodyText"/>
        <w:spacing w:line="222" w:lineRule="exact"/>
        <w:ind w:right="0"/>
        <w:jc w:val="both"/>
      </w:pPr>
      <w:r>
        <w:rPr/>
        <w:t>了具体会计政策和会计估计。</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bookmarkStart w:name="1、遵循企业会计准则的声明" w:id="169"/>
      <w:bookmarkEnd w:id="169"/>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54" w:firstLine="420"/>
        <w:jc w:val="left"/>
      </w:pPr>
      <w:r>
        <w:rPr/>
        <w:t>本公司所编制的财务报表符合企业会计准则的要求，真实、完整地反映了报告期公司的财务状况、经营成果、现金流 量等有关信息。</w:t>
      </w:r>
    </w:p>
    <w:p>
      <w:pPr>
        <w:spacing w:after="0" w:line="31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2、会计期间" w:id="170"/>
      <w:bookmarkEnd w:id="170"/>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73" w:right="1133"/>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2"/>
        <w:rPr>
          <w:rFonts w:ascii="宋体" w:hAnsi="宋体" w:cs="宋体" w:eastAsia="宋体" w:hint="default"/>
          <w:sz w:val="26"/>
          <w:szCs w:val="26"/>
        </w:rPr>
      </w:pPr>
    </w:p>
    <w:p>
      <w:pPr>
        <w:spacing w:line="544" w:lineRule="auto" w:before="0"/>
        <w:ind w:left="152" w:right="4634" w:firstLine="0"/>
        <w:jc w:val="left"/>
        <w:rPr>
          <w:rFonts w:ascii="宋体" w:hAnsi="宋体" w:cs="宋体" w:eastAsia="宋体" w:hint="default"/>
          <w:sz w:val="21"/>
          <w:szCs w:val="21"/>
        </w:rPr>
      </w:pPr>
      <w:bookmarkStart w:name="3、营业周期" w:id="171"/>
      <w:bookmarkEnd w:id="17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spacing w:val="-104"/>
          <w:sz w:val="21"/>
          <w:szCs w:val="21"/>
        </w:rPr>
        <w:t> </w:t>
      </w:r>
      <w:r>
        <w:rPr>
          <w:rFonts w:ascii="宋体" w:hAnsi="宋体" w:cs="宋体" w:eastAsia="宋体" w:hint="default"/>
          <w:sz w:val="18"/>
          <w:szCs w:val="18"/>
        </w:rPr>
        <w:t>公司经营业务的营业周期较短，以</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个月作为资产和负债的流动性划分标准。 </w:t>
      </w:r>
      <w:bookmarkStart w:name="4、记账本位币" w:id="172"/>
      <w:bookmarkEnd w:id="172"/>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pStyle w:val="BodyText"/>
        <w:spacing w:line="316" w:lineRule="auto" w:before="49"/>
        <w:ind w:left="573" w:right="2593"/>
        <w:jc w:val="left"/>
      </w:pPr>
      <w:r>
        <w:rPr/>
        <w:t>采用人民币为记账本位币。 境外子公司以其经营所处的主要经济环境中的货币为记账本位币，编制财务报表时折算为人民币。</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bookmarkStart w:name="5、同一控制下和非同一控制下企业合并的会计处理方法" w:id="173"/>
      <w:bookmarkEnd w:id="173"/>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2"/>
        <w:rPr>
          <w:rFonts w:ascii="宋体" w:hAnsi="宋体" w:cs="宋体" w:eastAsia="宋体" w:hint="default"/>
          <w:b/>
          <w:bCs/>
          <w:sz w:val="26"/>
          <w:szCs w:val="26"/>
        </w:rPr>
      </w:pPr>
    </w:p>
    <w:p>
      <w:pPr>
        <w:pStyle w:val="Heading4"/>
        <w:spacing w:line="300" w:lineRule="auto" w:before="0"/>
        <w:ind w:left="152" w:right="1133" w:firstLine="360"/>
        <w:jc w:val="left"/>
        <w:rPr>
          <w:b w:val="0"/>
          <w:bCs w:val="0"/>
        </w:rPr>
      </w:pPr>
      <w:r>
        <w:rPr>
          <w:rFonts w:ascii="Times New Roman" w:hAnsi="Times New Roman" w:cs="Times New Roman" w:eastAsia="Times New Roman" w:hint="default"/>
          <w:w w:val="95"/>
        </w:rPr>
        <w:t>1</w:t>
      </w:r>
      <w:r>
        <w:rPr>
          <w:w w:val="95"/>
        </w:rPr>
        <w:t>．分步实现企业合并过程中的各项交易的条款、条件以及经济影响符合以下一种或多种情况，将多次交易事项作为一</w:t>
      </w:r>
      <w:r>
        <w:rPr>
          <w:spacing w:val="-16"/>
          <w:w w:val="95"/>
        </w:rPr>
        <w:t> </w:t>
      </w:r>
      <w:r>
        <w:rPr>
          <w:spacing w:val="-16"/>
          <w:w w:val="95"/>
        </w:rPr>
      </w:r>
      <w:r>
        <w:rPr/>
        <w:t>揽子交易进行会计处理</w:t>
      </w:r>
      <w:r>
        <w:rPr>
          <w:b w:val="0"/>
          <w:bCs w:val="0"/>
        </w:rPr>
      </w:r>
    </w:p>
    <w:p>
      <w:pPr>
        <w:pStyle w:val="BodyText"/>
        <w:spacing w:line="240" w:lineRule="auto" w:before="72"/>
        <w:ind w:left="513" w:right="1133"/>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101"/>
        <w:ind w:left="513" w:right="1133"/>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103"/>
        <w:ind w:left="513" w:right="1133"/>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240" w:lineRule="auto" w:before="103"/>
        <w:ind w:left="513" w:right="1133"/>
        <w:jc w:val="left"/>
      </w:pPr>
      <w:r>
        <w:rPr/>
        <w:t>（</w:t>
      </w:r>
      <w:r>
        <w:rPr>
          <w:rFonts w:ascii="Times New Roman" w:hAnsi="Times New Roman" w:cs="Times New Roman" w:eastAsia="Times New Roman" w:hint="default"/>
        </w:rPr>
        <w:t>4</w:t>
      </w:r>
      <w:r>
        <w:rPr/>
        <w:t>）一项交易单独看是不经济的，但是和其他交易一并考虑时是经济的。</w:t>
      </w:r>
    </w:p>
    <w:p>
      <w:pPr>
        <w:pStyle w:val="BodyText"/>
        <w:spacing w:line="340" w:lineRule="auto" w:before="101"/>
        <w:ind w:left="513" w:right="1129"/>
        <w:jc w:val="left"/>
      </w:pPr>
      <w:r>
        <w:rPr>
          <w:rFonts w:ascii="Times New Roman" w:hAnsi="Times New Roman" w:cs="Times New Roman" w:eastAsia="Times New Roman" w:hint="default"/>
          <w:b/>
          <w:bCs/>
        </w:rPr>
        <w:t>2</w:t>
      </w:r>
      <w:r>
        <w:rPr>
          <w:rFonts w:ascii="宋体" w:hAnsi="宋体" w:cs="宋体" w:eastAsia="宋体" w:hint="default"/>
          <w:b/>
          <w:bCs/>
        </w:rPr>
        <w:t>．同一控制下的企业合并</w:t>
      </w:r>
      <w:r>
        <w:rPr>
          <w:rFonts w:ascii="宋体" w:hAnsi="宋体" w:cs="宋体" w:eastAsia="宋体" w:hint="default"/>
          <w:b/>
          <w:bCs/>
          <w:w w:val="99"/>
        </w:rPr>
        <w:t> </w:t>
      </w:r>
      <w:r>
        <w:rPr>
          <w:spacing w:val="-2"/>
        </w:rPr>
        <w:t>本公司在企业合并中取得的资产和负债，按照合并日在被合并方资产、负债（包括最终控制方收购被合并方而形成的商</w:t>
      </w:r>
    </w:p>
    <w:p>
      <w:pPr>
        <w:pStyle w:val="BodyText"/>
        <w:spacing w:line="316" w:lineRule="auto" w:before="1"/>
        <w:ind w:right="1129"/>
        <w:jc w:val="left"/>
      </w:pPr>
      <w:r>
        <w:rPr>
          <w:spacing w:val="-2"/>
        </w:rPr>
        <w:t>誉）在最终控制方合并财务报表中的账面价值计量。在合并中取得的净资产账面价值与支付的合并对价账面价值（或发行股</w:t>
      </w:r>
      <w:r>
        <w:rPr>
          <w:spacing w:val="-63"/>
        </w:rPr>
        <w:t> </w:t>
      </w:r>
      <w:r>
        <w:rPr>
          <w:spacing w:val="-63"/>
        </w:rPr>
      </w:r>
      <w:r>
        <w:rPr/>
        <w:t>份面值总额）的差额，调整资本公积中的股本溢价，资本公积中的股本溢价不足冲减的，调整留存收益。</w:t>
      </w:r>
    </w:p>
    <w:p>
      <w:pPr>
        <w:pStyle w:val="BodyText"/>
        <w:spacing w:line="240" w:lineRule="auto" w:before="59"/>
        <w:ind w:left="513" w:right="0"/>
        <w:jc w:val="left"/>
      </w:pPr>
      <w:r>
        <w:rPr/>
        <w:t>如果存在或有对价并需要确认预计负债或资产，该预计负债或资产金额与后续或有对价结算金额的差额，调整资本公积</w:t>
      </w:r>
    </w:p>
    <w:p>
      <w:pPr>
        <w:pStyle w:val="BodyText"/>
        <w:spacing w:line="357" w:lineRule="auto" w:before="76"/>
        <w:ind w:left="513" w:right="1129" w:hanging="361"/>
        <w:jc w:val="left"/>
      </w:pPr>
      <w:r>
        <w:rPr/>
        <w:t>（资本溢价或股本溢价），资本公积不足的，调整留存收益。 </w:t>
      </w:r>
      <w:r>
        <w:rPr>
          <w:spacing w:val="-2"/>
        </w:rPr>
        <w:t>对于通过多次交易最终实现企业合并的，属于一揽子交易的，将各项交易作为一项取得控制权的交易进行会计处理；不</w:t>
      </w:r>
    </w:p>
    <w:p>
      <w:pPr>
        <w:pStyle w:val="BodyText"/>
        <w:spacing w:line="224" w:lineRule="exact"/>
        <w:ind w:right="0"/>
        <w:jc w:val="left"/>
      </w:pPr>
      <w:r>
        <w:rPr/>
        <w:t>属于一揽子交易的，在取得控制权日，长期股权投资初始投资成本，与达到合并前的长期股权投资账面价值加上合并日进一</w:t>
      </w:r>
    </w:p>
    <w:p>
      <w:pPr>
        <w:pStyle w:val="BodyText"/>
        <w:spacing w:line="316" w:lineRule="auto" w:before="76"/>
        <w:ind w:right="1044"/>
        <w:jc w:val="both"/>
      </w:pPr>
      <w:r>
        <w:rPr>
          <w:spacing w:val="-2"/>
        </w:rPr>
        <w:t>步取得股份新支付对价的账面价值之和的差额，调整资本公积；资本公积不足冲减的，调整留存收益。对于合并日之前持有</w:t>
      </w:r>
      <w:r>
        <w:rPr>
          <w:spacing w:val="-64"/>
        </w:rPr>
        <w:t> </w:t>
      </w:r>
      <w:r>
        <w:rPr>
          <w:spacing w:val="-64"/>
        </w:rPr>
      </w:r>
      <w:r>
        <w:rPr>
          <w:spacing w:val="-2"/>
        </w:rPr>
        <w:t>的股权投资，因采用权益法核算或金融工具确认和计量准则核算而确认的其他综合收益，暂不进行会计处理，直至处置该项</w:t>
      </w:r>
      <w:r>
        <w:rPr>
          <w:spacing w:val="-63"/>
        </w:rPr>
        <w:t> </w:t>
      </w:r>
      <w:r>
        <w:rPr>
          <w:spacing w:val="-63"/>
        </w:rPr>
      </w:r>
      <w:r>
        <w:rPr>
          <w:spacing w:val="-2"/>
        </w:rPr>
        <w:t>投资时采用与被投资单位直接处置相关资产或负债相同的基础进行会计处理；因采用权益法核算而确认的被投资单位净资产</w:t>
      </w:r>
      <w:r>
        <w:rPr>
          <w:spacing w:val="-64"/>
        </w:rPr>
        <w:t> </w:t>
      </w:r>
      <w:r>
        <w:rPr>
          <w:spacing w:val="-64"/>
        </w:rPr>
      </w:r>
      <w:r>
        <w:rPr>
          <w:spacing w:val="-4"/>
        </w:rPr>
        <w:t>中除净损益、其他综合收益和利润分配以外的所有者权益其他变动，暂不进行会计处理，直至处置该项投资时转入当期损益。</w:t>
      </w:r>
    </w:p>
    <w:p>
      <w:pPr>
        <w:spacing w:line="340" w:lineRule="auto" w:before="59"/>
        <w:ind w:left="513" w:right="112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．非同一控制下的企业合并</w:t>
      </w:r>
      <w:r>
        <w:rPr>
          <w:rFonts w:ascii="宋体" w:hAnsi="宋体" w:cs="宋体" w:eastAsia="宋体" w:hint="default"/>
          <w:b/>
          <w:bCs/>
          <w:w w:val="99"/>
          <w:sz w:val="18"/>
          <w:szCs w:val="18"/>
        </w:rPr>
        <w:t> </w:t>
      </w:r>
      <w:r>
        <w:rPr>
          <w:rFonts w:ascii="宋体" w:hAnsi="宋体" w:cs="宋体" w:eastAsia="宋体" w:hint="default"/>
          <w:spacing w:val="-2"/>
          <w:sz w:val="18"/>
          <w:szCs w:val="18"/>
        </w:rPr>
        <w:t>购买日是指本公司实际取得对被购买方控制权的日期，即被购买方的净资产或生产经营决策的控制权转移给本公司的日</w:t>
      </w:r>
    </w:p>
    <w:p>
      <w:pPr>
        <w:pStyle w:val="BodyText"/>
        <w:spacing w:line="240" w:lineRule="auto" w:before="1"/>
        <w:ind w:right="1133"/>
        <w:jc w:val="left"/>
      </w:pPr>
      <w:r>
        <w:rPr/>
        <w:t>期。同时满足下列条件时，本公司一般认为实现了控制权的转移：</w:t>
      </w:r>
    </w:p>
    <w:p>
      <w:pPr>
        <w:pStyle w:val="BodyText"/>
        <w:spacing w:line="240" w:lineRule="auto" w:before="115"/>
        <w:ind w:left="513" w:right="1133"/>
        <w:jc w:val="left"/>
      </w:pPr>
      <w:r>
        <w:rPr/>
        <w:t>①企业合并合同或协议已获本公司内部权力机构通过。</w:t>
      </w:r>
    </w:p>
    <w:p>
      <w:pPr>
        <w:pStyle w:val="BodyText"/>
        <w:spacing w:line="240" w:lineRule="auto" w:before="117"/>
        <w:ind w:left="513" w:right="1133"/>
        <w:jc w:val="left"/>
      </w:pPr>
      <w:r>
        <w:rPr/>
        <w:t>②企业合并事项需要经过国家有关主管部门审批的，已获得批准。</w:t>
      </w:r>
    </w:p>
    <w:p>
      <w:pPr>
        <w:pStyle w:val="BodyText"/>
        <w:spacing w:line="240" w:lineRule="auto" w:before="117"/>
        <w:ind w:left="513" w:right="1133"/>
        <w:jc w:val="left"/>
      </w:pPr>
      <w:r>
        <w:rPr/>
        <w:t>③已办理了必要的财产权转移手续。</w:t>
      </w:r>
    </w:p>
    <w:p>
      <w:pPr>
        <w:pStyle w:val="BodyText"/>
        <w:spacing w:line="240" w:lineRule="auto" w:before="115"/>
        <w:ind w:left="513" w:right="1133"/>
        <w:jc w:val="left"/>
      </w:pPr>
      <w:r>
        <w:rPr/>
        <w:t>④本公司已支付了合并价款的大部分，并且有能力、有计划支付剩余款项。</w:t>
      </w:r>
    </w:p>
    <w:p>
      <w:pPr>
        <w:pStyle w:val="BodyText"/>
        <w:spacing w:line="360" w:lineRule="auto" w:before="117"/>
        <w:ind w:left="513" w:right="0"/>
        <w:jc w:val="left"/>
      </w:pPr>
      <w:r>
        <w:rPr/>
        <w:t>⑤本公司实际上已经控制了被购买方的财务和经营政策，并享有相应的利益、承担相应的风险。 </w:t>
      </w:r>
      <w:r>
        <w:rPr>
          <w:spacing w:val="-4"/>
        </w:rPr>
        <w:t>本公司在购买日对作为企业合并对价付出的资产、发生或承担的负债按照公允价值计量，公允价值与其账面价值的差额，</w:t>
      </w:r>
    </w:p>
    <w:p>
      <w:pPr>
        <w:pStyle w:val="BodyText"/>
        <w:spacing w:line="222" w:lineRule="exact"/>
        <w:ind w:right="1133"/>
        <w:jc w:val="left"/>
      </w:pPr>
      <w:r>
        <w:rPr/>
        <w:t>计入当期损益。</w:t>
      </w:r>
    </w:p>
    <w:p>
      <w:pPr>
        <w:spacing w:after="0" w:line="222" w:lineRule="exact"/>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2" w:firstLine="360"/>
        <w:jc w:val="both"/>
      </w:pPr>
      <w:r>
        <w:rPr>
          <w:spacing w:val="-2"/>
        </w:rPr>
        <w:t>本公司对合并成本大于合并中取得的被购买方可辨认净资产公允价值份额的差额，确认为商誉；合并成本小于合并中取</w:t>
      </w:r>
      <w:r>
        <w:rPr/>
        <w:t> 得的被购买方可辨认净资产公允价值份额的差额，经复核后，计入当期损益。</w:t>
      </w:r>
    </w:p>
    <w:p>
      <w:pPr>
        <w:pStyle w:val="BodyText"/>
        <w:spacing w:line="316" w:lineRule="auto" w:before="58"/>
        <w:ind w:right="1130" w:firstLine="360"/>
        <w:jc w:val="both"/>
      </w:pPr>
      <w:r>
        <w:rPr>
          <w:spacing w:val="-2"/>
        </w:rPr>
        <w:t>通过多次交换交易分步实现的非同一控制下企业合并，属于一揽子交易的，将各项交易作为一项取得控制权的交易进行</w:t>
      </w:r>
      <w:r>
        <w:rPr/>
        <w:t> </w:t>
      </w:r>
      <w:r>
        <w:rPr>
          <w:spacing w:val="-2"/>
        </w:rPr>
        <w:t>会计处理；不属于一揽子交易的，合并日之前持有的股权投资采用权益法核算的，以购买日之前所持被购买方的股权投资的</w:t>
      </w:r>
      <w:r>
        <w:rPr>
          <w:spacing w:val="-63"/>
        </w:rPr>
        <w:t> </w:t>
      </w:r>
      <w:r>
        <w:rPr>
          <w:spacing w:val="-63"/>
        </w:rPr>
      </w:r>
      <w:r>
        <w:rPr>
          <w:spacing w:val="-2"/>
        </w:rPr>
        <w:t>账面价值与购买日新增投资成本之和，作为该项投资的初始投资成本；购买日之前持有的股权投资因采用权益法核算而确认</w:t>
      </w:r>
      <w:r>
        <w:rPr>
          <w:spacing w:val="-64"/>
        </w:rPr>
        <w:t> </w:t>
      </w:r>
      <w:r>
        <w:rPr>
          <w:spacing w:val="-64"/>
        </w:rPr>
      </w:r>
      <w:r>
        <w:rPr>
          <w:spacing w:val="-2"/>
        </w:rPr>
        <w:t>的其他综合收益，在处置该项投资时采用与被投资单位直接处置相关资产或负债相同的基础进行会计处理。合并日之前持有</w:t>
      </w:r>
      <w:r>
        <w:rPr>
          <w:spacing w:val="-64"/>
        </w:rPr>
        <w:t> </w:t>
      </w:r>
      <w:r>
        <w:rPr>
          <w:spacing w:val="-64"/>
        </w:rPr>
      </w:r>
      <w:r>
        <w:rPr>
          <w:spacing w:val="-2"/>
        </w:rPr>
        <w:t>的股权投资采用金融工具确认和计量准则核算的，以该股权投资在合并日的公允价值加上新增投资成本之和，作为合并日的</w:t>
      </w:r>
      <w:r>
        <w:rPr>
          <w:spacing w:val="-64"/>
        </w:rPr>
        <w:t> </w:t>
      </w:r>
      <w:r>
        <w:rPr>
          <w:spacing w:val="-64"/>
        </w:rPr>
      </w:r>
      <w:r>
        <w:rPr>
          <w:spacing w:val="-2"/>
        </w:rPr>
        <w:t>初始投资成本。原持有股权的公允价值与账面价值之间的差额以及原计入其他综合收益的累计公允价值变动应全部转入合并</w:t>
      </w:r>
      <w:r>
        <w:rPr>
          <w:spacing w:val="-64"/>
        </w:rPr>
        <w:t> </w:t>
      </w:r>
      <w:r>
        <w:rPr>
          <w:spacing w:val="-64"/>
        </w:rPr>
      </w:r>
      <w:r>
        <w:rPr/>
        <w:t>日当期的投资收益。</w:t>
      </w:r>
    </w:p>
    <w:p>
      <w:pPr>
        <w:pStyle w:val="BodyText"/>
        <w:spacing w:line="340" w:lineRule="auto" w:before="57"/>
        <w:ind w:left="513" w:right="1129"/>
        <w:jc w:val="left"/>
      </w:pPr>
      <w:r>
        <w:rPr>
          <w:rFonts w:ascii="Times New Roman" w:hAnsi="Times New Roman" w:cs="Times New Roman" w:eastAsia="Times New Roman" w:hint="default"/>
          <w:b/>
          <w:bCs/>
        </w:rPr>
        <w:t>4</w:t>
      </w:r>
      <w:r>
        <w:rPr>
          <w:rFonts w:ascii="宋体" w:hAnsi="宋体" w:cs="宋体" w:eastAsia="宋体" w:hint="default"/>
          <w:b/>
          <w:bCs/>
        </w:rPr>
        <w:t>．为合并发生的相关费用</w:t>
      </w:r>
      <w:r>
        <w:rPr>
          <w:rFonts w:ascii="宋体" w:hAnsi="宋体" w:cs="宋体" w:eastAsia="宋体" w:hint="default"/>
          <w:b/>
          <w:bCs/>
          <w:w w:val="99"/>
        </w:rPr>
        <w:t> </w:t>
      </w:r>
      <w:r>
        <w:rPr>
          <w:spacing w:val="-2"/>
        </w:rPr>
        <w:t>为企业合并发生的审计、法律服务、评估咨询等中介费用以及其他直接相关费用，于发生时计入当期损益；为企业合并</w:t>
      </w:r>
    </w:p>
    <w:p>
      <w:pPr>
        <w:pStyle w:val="BodyText"/>
        <w:spacing w:line="240" w:lineRule="auto" w:before="1"/>
        <w:ind w:right="1133"/>
        <w:jc w:val="left"/>
      </w:pPr>
      <w:r>
        <w:rPr/>
        <w:t>而发行权益性证券的交易费用，可直接归属于权益性交易的从权益中扣减。</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bookmarkStart w:name="6、合并财务报表的编制方法" w:id="174"/>
      <w:bookmarkEnd w:id="174"/>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45" w:lineRule="auto"/>
        <w:ind w:left="513" w:right="1035"/>
        <w:jc w:val="left"/>
      </w:pPr>
      <w:r>
        <w:rPr>
          <w:rFonts w:ascii="Times New Roman" w:hAnsi="Times New Roman" w:cs="Times New Roman" w:eastAsia="Times New Roman" w:hint="default"/>
          <w:b/>
          <w:bCs/>
        </w:rPr>
        <w:t>1</w:t>
      </w:r>
      <w:r>
        <w:rPr>
          <w:rFonts w:ascii="宋体" w:hAnsi="宋体" w:cs="宋体" w:eastAsia="宋体" w:hint="default"/>
          <w:b/>
          <w:bCs/>
        </w:rPr>
        <w:t>．合并范围</w:t>
      </w:r>
      <w:r>
        <w:rPr>
          <w:rFonts w:ascii="宋体" w:hAnsi="宋体" w:cs="宋体" w:eastAsia="宋体" w:hint="default"/>
          <w:b/>
          <w:bCs/>
          <w:w w:val="99"/>
        </w:rPr>
        <w:t> </w:t>
      </w:r>
      <w:r>
        <w:rPr>
          <w:spacing w:val="-4"/>
        </w:rPr>
        <w:t>本公司合并财务报表的合并范围以控制为基础确定，所有子公司（包括本公司所控制的单独主体）均纳入合并财务报表。</w:t>
      </w:r>
      <w:r>
        <w:rPr>
          <w:spacing w:val="-52"/>
        </w:rPr>
        <w:t> </w:t>
      </w:r>
      <w:r>
        <w:rPr>
          <w:spacing w:val="-52"/>
        </w:rPr>
      </w:r>
      <w:r>
        <w:rPr>
          <w:rFonts w:ascii="Times New Roman" w:hAnsi="Times New Roman" w:cs="Times New Roman" w:eastAsia="Times New Roman" w:hint="default"/>
          <w:b/>
          <w:bCs/>
        </w:rPr>
        <w:t>2</w:t>
      </w:r>
      <w:r>
        <w:rPr>
          <w:rFonts w:ascii="宋体" w:hAnsi="宋体" w:cs="宋体" w:eastAsia="宋体" w:hint="default"/>
          <w:b/>
          <w:bCs/>
        </w:rPr>
        <w:t>．合并程序</w:t>
      </w:r>
      <w:r>
        <w:rPr>
          <w:rFonts w:ascii="宋体" w:hAnsi="宋体" w:cs="宋体" w:eastAsia="宋体" w:hint="default"/>
          <w:b/>
          <w:bCs/>
          <w:w w:val="99"/>
        </w:rPr>
        <w:t> </w:t>
      </w:r>
      <w:r>
        <w:rPr>
          <w:spacing w:val="-2"/>
        </w:rPr>
        <w:t>本公司以自身和各子公司的财务报表为基础，根据其他有关资料，编制合并财务报表。本公司编制合并财务报表，将整</w:t>
      </w:r>
    </w:p>
    <w:p>
      <w:pPr>
        <w:pStyle w:val="BodyText"/>
        <w:spacing w:line="316" w:lineRule="auto"/>
        <w:ind w:right="1129"/>
        <w:jc w:val="left"/>
      </w:pPr>
      <w:r>
        <w:rPr>
          <w:spacing w:val="-2"/>
        </w:rPr>
        <w:t>个企业集团视为一个会计主体，依据相关企业会计准则的确认、计量和列报要求，按照统一的会计政策，反映本企业集团整</w:t>
      </w:r>
      <w:r>
        <w:rPr>
          <w:spacing w:val="-64"/>
        </w:rPr>
        <w:t> </w:t>
      </w:r>
      <w:r>
        <w:rPr>
          <w:spacing w:val="-64"/>
        </w:rPr>
      </w:r>
      <w:r>
        <w:rPr/>
        <w:t>体财务状况、经营成果和现金流量。</w:t>
      </w:r>
    </w:p>
    <w:p>
      <w:pPr>
        <w:pStyle w:val="BodyText"/>
        <w:spacing w:line="316" w:lineRule="auto" w:before="57"/>
        <w:ind w:right="1132" w:firstLine="360"/>
        <w:jc w:val="both"/>
      </w:pPr>
      <w:r>
        <w:rPr>
          <w:spacing w:val="-2"/>
        </w:rPr>
        <w:t>所有纳入合并财务报表合并范围的子公司所采用的会计政策、会计期间与本公司一致，如子公司采用的会计政策、会计</w:t>
      </w:r>
      <w:r>
        <w:rPr/>
        <w:t> 期间与本公司不一致的，在编制合并财务报表时，按本公司的会计政策、会计期间进行必要的调整。</w:t>
      </w:r>
    </w:p>
    <w:p>
      <w:pPr>
        <w:pStyle w:val="BodyText"/>
        <w:spacing w:line="316" w:lineRule="auto" w:before="60"/>
        <w:ind w:right="1128" w:firstLine="360"/>
        <w:jc w:val="both"/>
      </w:pPr>
      <w:r>
        <w:rPr>
          <w:spacing w:val="-2"/>
        </w:rPr>
        <w:t>合并财务报表时抵销本公司与各子公司、各子公司相互之间发生的内部交易对合并资产负债表、合并利润表、合并现金</w:t>
      </w:r>
      <w:r>
        <w:rPr/>
        <w:t> </w:t>
      </w:r>
      <w:r>
        <w:rPr>
          <w:spacing w:val="-2"/>
        </w:rPr>
        <w:t>流量表、合并股东权益变动表的影响。如果站在企业集团合并财务报表角度与以本公司或子公司为会计主体对同一交易的认</w:t>
      </w:r>
      <w:r>
        <w:rPr>
          <w:spacing w:val="-64"/>
        </w:rPr>
        <w:t> </w:t>
      </w:r>
      <w:r>
        <w:rPr>
          <w:spacing w:val="-64"/>
        </w:rPr>
      </w:r>
      <w:r>
        <w:rPr/>
        <w:t>定不同时，从企业集团的角度对该交易予以调整。</w:t>
      </w:r>
    </w:p>
    <w:p>
      <w:pPr>
        <w:pStyle w:val="BodyText"/>
        <w:spacing w:line="316" w:lineRule="auto" w:before="59"/>
        <w:ind w:right="1132" w:firstLine="360"/>
        <w:jc w:val="both"/>
      </w:pPr>
      <w:r>
        <w:rPr>
          <w:spacing w:val="-2"/>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并利润表中净利润项目下和综合收益总额项目下单独列示。子公司少数股东分担的当期亏损超过了少数股东在该子公司期初</w:t>
      </w:r>
      <w:r>
        <w:rPr>
          <w:spacing w:val="-64"/>
        </w:rPr>
        <w:t> </w:t>
      </w:r>
      <w:r>
        <w:rPr>
          <w:spacing w:val="-64"/>
        </w:rPr>
      </w:r>
      <w:r>
        <w:rPr/>
        <w:t>所有者权益中所享有份额而形成的余额，冲减少数股东权益。</w:t>
      </w:r>
    </w:p>
    <w:p>
      <w:pPr>
        <w:pStyle w:val="BodyText"/>
        <w:spacing w:line="316" w:lineRule="auto" w:before="57"/>
        <w:ind w:right="1134" w:firstLine="360"/>
        <w:jc w:val="both"/>
      </w:pPr>
      <w:r>
        <w:rPr>
          <w:spacing w:val="-2"/>
        </w:rPr>
        <w:t>对于同一控制下企业合并取得的子公司，以其资产、负债（包括最终控制方收购该子公司而形成的商誉）在最终控制方</w:t>
      </w:r>
      <w:r>
        <w:rPr/>
        <w:t> 财务报表中的账面价值为基础对其财务报表进行调整。</w:t>
      </w:r>
    </w:p>
    <w:p>
      <w:pPr>
        <w:pStyle w:val="BodyText"/>
        <w:spacing w:line="240" w:lineRule="auto" w:before="59"/>
        <w:ind w:left="513" w:right="1133"/>
        <w:jc w:val="left"/>
      </w:pPr>
      <w:r>
        <w:rPr/>
        <w:t>对于非同一控制下企业合并取得的子公司，以购买日可辨认净资产公允价值为基础对其财务报表进行调整</w:t>
      </w:r>
    </w:p>
    <w:p>
      <w:pPr>
        <w:pStyle w:val="BodyText"/>
        <w:spacing w:line="338" w:lineRule="auto" w:before="117"/>
        <w:ind w:left="513" w:right="1129"/>
        <w:jc w:val="left"/>
      </w:pPr>
      <w:r>
        <w:rPr/>
        <w:t>（</w:t>
      </w:r>
      <w:r>
        <w:rPr>
          <w:rFonts w:ascii="Times New Roman" w:hAnsi="Times New Roman" w:cs="Times New Roman" w:eastAsia="Times New Roman" w:hint="default"/>
        </w:rPr>
        <w:t>1</w:t>
      </w:r>
      <w:r>
        <w:rPr/>
        <w:t>）增加子公司或业务 </w:t>
      </w:r>
      <w:r>
        <w:rPr>
          <w:spacing w:val="-2"/>
        </w:rPr>
        <w:t>在报告期内，若因同一控制下企业合并增加子公司或业务的，则调整合并资产负债表的期初数；将子公司或业务合并当</w:t>
      </w:r>
    </w:p>
    <w:p>
      <w:pPr>
        <w:pStyle w:val="BodyText"/>
        <w:spacing w:line="316" w:lineRule="auto" w:before="3"/>
        <w:ind w:right="1129"/>
        <w:jc w:val="left"/>
      </w:pPr>
      <w:r>
        <w:rPr>
          <w:spacing w:val="-2"/>
        </w:rPr>
        <w:t>期期初至报告期末的收入、费用、利润纳入合并利润表；将子公司或业务合并当期期初至报告期末的现金流量纳入合并现金</w:t>
      </w:r>
      <w:r>
        <w:rPr>
          <w:spacing w:val="-66"/>
        </w:rPr>
        <w:t> </w:t>
      </w:r>
      <w:r>
        <w:rPr>
          <w:spacing w:val="-66"/>
        </w:rPr>
      </w:r>
      <w:r>
        <w:rPr/>
        <w:t>流量表，同时对比较报表的相关项目进行调整，视同合并后的报告主体自最终控制方开始控制时点起一直存在。</w:t>
      </w:r>
    </w:p>
    <w:p>
      <w:pPr>
        <w:pStyle w:val="BodyText"/>
        <w:spacing w:line="316" w:lineRule="auto" w:before="59"/>
        <w:ind w:right="1132" w:firstLine="360"/>
        <w:jc w:val="both"/>
      </w:pPr>
      <w:r>
        <w:rPr>
          <w:spacing w:val="-2"/>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r>
        <w:rPr>
          <w:spacing w:val="-64"/>
        </w:rPr>
        <w:t> </w:t>
      </w:r>
      <w:r>
        <w:rPr>
          <w:spacing w:val="-64"/>
        </w:rPr>
      </w:r>
      <w:r>
        <w:rPr>
          <w:spacing w:val="-2"/>
        </w:rPr>
        <w:t>日孰晚日起至合并日之间已确认有关损益、其他综合收益以及其他净资产变动，分别冲减比较报表期间的期初留存收益或当</w:t>
      </w:r>
      <w:r>
        <w:rPr>
          <w:spacing w:val="-64"/>
        </w:rPr>
        <w:t> </w:t>
      </w:r>
      <w:r>
        <w:rPr>
          <w:spacing w:val="-64"/>
        </w:rPr>
      </w:r>
      <w:r>
        <w:rPr/>
        <w:t>期损益。</w:t>
      </w:r>
    </w:p>
    <w:p>
      <w:pPr>
        <w:pStyle w:val="BodyText"/>
        <w:spacing w:line="316" w:lineRule="auto" w:before="57"/>
        <w:ind w:right="1130" w:firstLine="360"/>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4"/>
        </w:rPr>
        <w:t> </w:t>
      </w:r>
      <w:r>
        <w:rPr>
          <w:spacing w:val="-64"/>
        </w:rPr>
      </w:r>
      <w:r>
        <w:rPr/>
        <w:t>表。</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2" w:firstLine="360"/>
        <w:jc w:val="both"/>
      </w:pP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r>
        <w:rPr>
          <w:spacing w:val="-64"/>
        </w:rPr>
        <w:t> </w:t>
      </w:r>
      <w:r>
        <w:rPr>
          <w:spacing w:val="-64"/>
        </w:rPr>
      </w:r>
      <w:r>
        <w:rPr>
          <w:spacing w:val="-2"/>
        </w:rPr>
        <w:t>权涉及权益法核算下的其他综合收益以及除净损益、其他综合收益和利润分配之外的其他所有者权益变动的，与其相关的其</w:t>
      </w:r>
      <w:r>
        <w:rPr>
          <w:spacing w:val="-64"/>
        </w:rPr>
        <w:t> </w:t>
      </w:r>
      <w:r>
        <w:rPr>
          <w:spacing w:val="-64"/>
        </w:rPr>
      </w:r>
      <w:r>
        <w:rPr>
          <w:spacing w:val="-2"/>
        </w:rPr>
        <w:t>他综合收益、其他所有者权益变动转为购买日所属当期投资收益，由于被投资方重新计量设定受益计划净负债或净资产变动</w:t>
      </w:r>
      <w:r>
        <w:rPr>
          <w:spacing w:val="-64"/>
        </w:rPr>
        <w:t> </w:t>
      </w:r>
      <w:r>
        <w:rPr>
          <w:spacing w:val="-64"/>
        </w:rPr>
      </w:r>
      <w:r>
        <w:rPr/>
        <w:t>而产生的其他综合收益除外。</w:t>
      </w:r>
    </w:p>
    <w:p>
      <w:pPr>
        <w:pStyle w:val="BodyText"/>
        <w:spacing w:line="240" w:lineRule="auto" w:before="58"/>
        <w:ind w:left="513" w:right="1133"/>
        <w:jc w:val="left"/>
      </w:pPr>
      <w:r>
        <w:rPr/>
        <w:t>（</w:t>
      </w:r>
      <w:r>
        <w:rPr>
          <w:rFonts w:ascii="Times New Roman" w:hAnsi="Times New Roman" w:cs="Times New Roman" w:eastAsia="Times New Roman" w:hint="default"/>
        </w:rPr>
        <w:t>2</w:t>
      </w:r>
      <w:r>
        <w:rPr/>
        <w:t>）处置子公司或业务</w:t>
      </w:r>
    </w:p>
    <w:p>
      <w:pPr>
        <w:pStyle w:val="BodyText"/>
        <w:spacing w:line="340" w:lineRule="auto" w:before="101"/>
        <w:ind w:left="513" w:right="1133"/>
        <w:jc w:val="left"/>
      </w:pPr>
      <w:r>
        <w:rPr>
          <w:rFonts w:ascii="Times New Roman" w:hAnsi="Times New Roman" w:cs="Times New Roman" w:eastAsia="Times New Roman" w:hint="default"/>
        </w:rPr>
        <w:t>1</w:t>
      </w:r>
      <w:r>
        <w:rPr/>
        <w:t>）一般处理方法 </w:t>
      </w:r>
      <w:r>
        <w:rPr>
          <w:spacing w:val="-2"/>
        </w:rPr>
        <w:t>在报告期内，本公司处置子公司或业务，则该子公司或业务期初至处置日的收入、费用、利润纳入合并利润表；该子公</w:t>
      </w:r>
    </w:p>
    <w:p>
      <w:pPr>
        <w:pStyle w:val="BodyText"/>
        <w:spacing w:line="360" w:lineRule="auto" w:before="1"/>
        <w:ind w:left="513" w:right="1129" w:hanging="361"/>
        <w:jc w:val="left"/>
      </w:pPr>
      <w:r>
        <w:rPr/>
        <w:t>司或业务期初至处置日的现金流量纳入合并现金流量表。 </w:t>
      </w:r>
      <w:r>
        <w:rPr>
          <w:spacing w:val="-2"/>
        </w:rPr>
        <w:t>因处置部分股权投资或其他原因丧失了对被投资方控制权时，对于处置后的剩余股权投资，本公司按照其在丧失控制权</w:t>
      </w:r>
    </w:p>
    <w:p>
      <w:pPr>
        <w:pStyle w:val="BodyText"/>
        <w:spacing w:line="222" w:lineRule="exact"/>
        <w:ind w:right="0"/>
        <w:jc w:val="left"/>
      </w:pPr>
      <w:r>
        <w:rPr/>
        <w:t>日的公允价值进行重新计量。处置股权取得的对价与剩余股权公允价值之和，减去按原持股比例计算应享有原有子公司自购</w:t>
      </w:r>
    </w:p>
    <w:p>
      <w:pPr>
        <w:pStyle w:val="BodyText"/>
        <w:spacing w:line="319" w:lineRule="auto" w:before="76"/>
        <w:ind w:right="1034"/>
        <w:jc w:val="left"/>
      </w:pPr>
      <w:r>
        <w:rPr>
          <w:spacing w:val="-2"/>
        </w:rPr>
        <w:t>买日或合并日开始持续计算的净资产的份额与商誉之和的差额，计入丧失控制权当期的投资收益。与原有子公司股权投资相</w:t>
      </w:r>
      <w:r>
        <w:rPr>
          <w:spacing w:val="-64"/>
        </w:rPr>
        <w:t> </w:t>
      </w:r>
      <w:r>
        <w:rPr>
          <w:spacing w:val="-64"/>
        </w:rPr>
      </w:r>
      <w:r>
        <w:rPr/>
        <w:t>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BodyText"/>
        <w:spacing w:line="340" w:lineRule="auto" w:before="55"/>
        <w:ind w:left="513" w:right="1129"/>
        <w:jc w:val="left"/>
      </w:pPr>
      <w:r>
        <w:rPr>
          <w:rFonts w:ascii="Times New Roman" w:hAnsi="Times New Roman" w:cs="Times New Roman" w:eastAsia="Times New Roman" w:hint="default"/>
        </w:rPr>
        <w:t>2</w:t>
      </w:r>
      <w:r>
        <w:rPr/>
        <w:t>）分步处置子公司 </w:t>
      </w:r>
      <w:r>
        <w:rPr>
          <w:spacing w:val="-2"/>
        </w:rPr>
        <w:t>通过多次交易分步处置对子公司股权投资直至丧失控制权的，处置对子公司股权投资的各项交易的条款、条件以及经济</w:t>
      </w:r>
    </w:p>
    <w:p>
      <w:pPr>
        <w:pStyle w:val="BodyText"/>
        <w:spacing w:line="343" w:lineRule="auto" w:before="1"/>
        <w:ind w:left="513" w:right="3554" w:hanging="361"/>
        <w:jc w:val="left"/>
      </w:pPr>
      <w:r>
        <w:rPr/>
        <w:t>影响符合以下一种或多种情况，通常表明应将多次交易事项作为一揽子交易进行会计处理： </w:t>
      </w:r>
      <w:r>
        <w:rPr>
          <w:rFonts w:ascii="Times New Roman" w:hAnsi="Times New Roman" w:cs="Times New Roman" w:eastAsia="Times New Roman" w:hint="default"/>
        </w:rPr>
        <w:t>A.</w:t>
      </w:r>
      <w:r>
        <w:rPr/>
        <w:t>这些交易是同时或者在考虑了彼此影响的情况下订立的； </w:t>
      </w:r>
      <w:r>
        <w:rPr>
          <w:rFonts w:ascii="Times New Roman" w:hAnsi="Times New Roman" w:cs="Times New Roman" w:eastAsia="Times New Roman" w:hint="default"/>
        </w:rPr>
        <w:t>B.</w:t>
      </w:r>
      <w:r>
        <w:rPr/>
        <w:t>这些交易整体才能达成一项完整的商业结果； </w:t>
      </w:r>
      <w:r>
        <w:rPr>
          <w:rFonts w:ascii="Times New Roman" w:hAnsi="Times New Roman" w:cs="Times New Roman" w:eastAsia="Times New Roman" w:hint="default"/>
        </w:rPr>
        <w:t>C.</w:t>
      </w:r>
      <w:r>
        <w:rPr/>
        <w:t>一项交易的发生取决于其他至少一项交易的发生； </w:t>
      </w:r>
      <w:r>
        <w:rPr>
          <w:rFonts w:ascii="Times New Roman" w:hAnsi="Times New Roman" w:cs="Times New Roman" w:eastAsia="Times New Roman" w:hint="default"/>
        </w:rPr>
        <w:t>D.</w:t>
      </w:r>
      <w:r>
        <w:rPr/>
        <w:t>一项交易单独看是不经济的，但是和其他交易一并考虑时是经济的。</w:t>
      </w:r>
    </w:p>
    <w:p>
      <w:pPr>
        <w:pStyle w:val="BodyText"/>
        <w:spacing w:line="319" w:lineRule="auto" w:before="15"/>
        <w:ind w:right="1130" w:firstLine="360"/>
        <w:jc w:val="both"/>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3"/>
        </w:rPr>
        <w:t> </w:t>
      </w:r>
      <w:r>
        <w:rPr>
          <w:spacing w:val="-63"/>
        </w:rPr>
      </w:r>
      <w:r>
        <w:rPr/>
        <w:t>合并财务报表中确认为其他综合收益，在丧失控制权时一并转入丧失控制权当期的损益。</w:t>
      </w:r>
    </w:p>
    <w:p>
      <w:pPr>
        <w:pStyle w:val="BodyText"/>
        <w:spacing w:line="316" w:lineRule="auto" w:before="58"/>
        <w:ind w:right="1132" w:firstLine="360"/>
        <w:jc w:val="both"/>
      </w:pP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338" w:lineRule="auto" w:before="59"/>
        <w:ind w:left="513" w:right="1129"/>
        <w:jc w:val="left"/>
      </w:pPr>
      <w:r>
        <w:rPr/>
        <w:t>（</w:t>
      </w:r>
      <w:r>
        <w:rPr>
          <w:rFonts w:ascii="Times New Roman" w:hAnsi="Times New Roman" w:cs="Times New Roman" w:eastAsia="Times New Roman" w:hint="default"/>
        </w:rPr>
        <w:t>3</w:t>
      </w:r>
      <w:r>
        <w:rPr/>
        <w:t>）购买子公司少数股权 </w:t>
      </w:r>
      <w:r>
        <w:rPr>
          <w:spacing w:val="-2"/>
        </w:rPr>
        <w:t>本公司因购买少数股权新取得的长期股权投资与按照新增持股比例计算应享有子公司自购买日（或合并日）开始持续计</w:t>
      </w:r>
    </w:p>
    <w:p>
      <w:pPr>
        <w:pStyle w:val="BodyText"/>
        <w:spacing w:line="316" w:lineRule="auto" w:before="2"/>
        <w:ind w:right="1129"/>
        <w:jc w:val="left"/>
      </w:pPr>
      <w:r>
        <w:rPr>
          <w:spacing w:val="-2"/>
        </w:rPr>
        <w:t>算的净资产份额之间的差额，调整合并资产负债表中的资本公积中的股本溢价，资本公积中的股本溢价不足冲减的，调整留</w:t>
      </w:r>
      <w:r>
        <w:rPr>
          <w:spacing w:val="-63"/>
        </w:rPr>
        <w:t> </w:t>
      </w:r>
      <w:r>
        <w:rPr>
          <w:spacing w:val="-63"/>
        </w:rPr>
      </w:r>
      <w:r>
        <w:rPr/>
        <w:t>存收益。</w:t>
      </w:r>
    </w:p>
    <w:p>
      <w:pPr>
        <w:pStyle w:val="BodyText"/>
        <w:spacing w:line="340" w:lineRule="auto" w:before="59"/>
        <w:ind w:left="513" w:right="1133"/>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在不丧失控制权的情况下因部分处置对子公司的长期股权投资而取得的处置价款与处置长期股权投资相对应享有子公</w:t>
      </w:r>
    </w:p>
    <w:p>
      <w:pPr>
        <w:pStyle w:val="BodyText"/>
        <w:spacing w:line="319" w:lineRule="auto" w:before="1"/>
        <w:ind w:right="1129"/>
        <w:jc w:val="left"/>
      </w:pPr>
      <w:r>
        <w:rPr>
          <w:spacing w:val="-2"/>
        </w:rPr>
        <w:t>司自购买日或合并日开始持续计算的净资产份额之间的差额，调整合并资产负债表中的资本公积中的股本溢价，资本公积中</w:t>
      </w:r>
      <w:r>
        <w:rPr>
          <w:spacing w:val="-63"/>
        </w:rPr>
        <w:t> </w:t>
      </w:r>
      <w:r>
        <w:rPr>
          <w:spacing w:val="-63"/>
        </w:rPr>
      </w:r>
      <w:r>
        <w:rPr/>
        <w:t>的股本溢价不足冲减的，调整留存收益。</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bookmarkStart w:name="7、合营安排分类及共同经营会计处理方法" w:id="175"/>
      <w:bookmarkEnd w:id="175"/>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513" w:right="1129"/>
        <w:jc w:val="left"/>
      </w:pPr>
      <w:r>
        <w:rPr>
          <w:rFonts w:ascii="Times New Roman" w:hAnsi="Times New Roman" w:cs="Times New Roman" w:eastAsia="Times New Roman" w:hint="default"/>
          <w:b/>
          <w:bCs/>
        </w:rPr>
        <w:t>1</w:t>
      </w:r>
      <w:r>
        <w:rPr>
          <w:rFonts w:ascii="宋体" w:hAnsi="宋体" w:cs="宋体" w:eastAsia="宋体" w:hint="default"/>
          <w:b/>
          <w:bCs/>
        </w:rPr>
        <w:t>．合营安排的分类</w:t>
      </w:r>
      <w:r>
        <w:rPr>
          <w:rFonts w:ascii="宋体" w:hAnsi="宋体" w:cs="宋体" w:eastAsia="宋体" w:hint="default"/>
          <w:b/>
          <w:bCs/>
          <w:w w:val="99"/>
        </w:rPr>
        <w:t> </w:t>
      </w:r>
      <w:r>
        <w:rPr>
          <w:spacing w:val="-2"/>
        </w:rPr>
        <w:t>本公司根据合营安排的结构、法律形式以及合营安排中约定的条款、其他相关事实和情况等因素，将合营安排分为共同</w:t>
      </w:r>
    </w:p>
    <w:p>
      <w:pPr>
        <w:pStyle w:val="BodyText"/>
        <w:spacing w:line="357" w:lineRule="auto" w:before="1"/>
        <w:ind w:left="513" w:right="1129" w:hanging="361"/>
        <w:jc w:val="left"/>
      </w:pPr>
      <w:r>
        <w:rPr/>
        <w:t>经营和合营企业。 </w:t>
      </w:r>
      <w:r>
        <w:rPr>
          <w:spacing w:val="-2"/>
        </w:rPr>
        <w:t>未通过单独主体达成的合营安排，划分为共同经营；通过单独主体达成的合营安排，通常划分为合营企业；但有确凿证</w:t>
      </w:r>
    </w:p>
    <w:p>
      <w:pPr>
        <w:pStyle w:val="BodyText"/>
        <w:spacing w:line="224" w:lineRule="exact"/>
        <w:ind w:right="1133"/>
        <w:jc w:val="left"/>
      </w:pPr>
      <w:r>
        <w:rPr/>
        <w:t>据表明满足下列任一条件并且符合相关法律法规规定的合营安排划分为共同经营：</w:t>
      </w:r>
    </w:p>
    <w:p>
      <w:pPr>
        <w:spacing w:after="0" w:line="224" w:lineRule="exact"/>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1133"/>
        <w:jc w:val="left"/>
      </w:pPr>
      <w:r>
        <w:rPr/>
        <w:t>（</w:t>
      </w:r>
      <w:r>
        <w:rPr>
          <w:rFonts w:ascii="Times New Roman" w:hAnsi="Times New Roman" w:cs="Times New Roman" w:eastAsia="Times New Roman" w:hint="default"/>
        </w:rPr>
        <w:t>1</w:t>
      </w:r>
      <w:r>
        <w:rPr/>
        <w:t>）合营安排的法律形式表明，合营方对该安排中的相关资产和负债分别享有权利和承担义务。</w:t>
      </w:r>
    </w:p>
    <w:p>
      <w:pPr>
        <w:pStyle w:val="BodyText"/>
        <w:spacing w:line="240" w:lineRule="auto" w:before="104"/>
        <w:ind w:left="513" w:right="1133"/>
        <w:jc w:val="left"/>
      </w:pPr>
      <w:r>
        <w:rPr/>
        <w:t>（</w:t>
      </w:r>
      <w:r>
        <w:rPr>
          <w:rFonts w:ascii="Times New Roman" w:hAnsi="Times New Roman" w:cs="Times New Roman" w:eastAsia="Times New Roman" w:hint="default"/>
        </w:rPr>
        <w:t>2</w:t>
      </w:r>
      <w:r>
        <w:rPr/>
        <w:t>）合营安排的合同条款约定，合营方对该安排中的相关资产和负债分别享有权利和承担义务。</w:t>
      </w:r>
    </w:p>
    <w:p>
      <w:pPr>
        <w:pStyle w:val="BodyText"/>
        <w:spacing w:line="300" w:lineRule="auto" w:before="101"/>
        <w:ind w:right="1133" w:firstLine="360"/>
        <w:jc w:val="both"/>
      </w:pPr>
      <w:r>
        <w:rPr/>
        <w:t>（</w:t>
      </w:r>
      <w:r>
        <w:rPr>
          <w:rFonts w:ascii="Times New Roman" w:hAnsi="Times New Roman" w:cs="Times New Roman" w:eastAsia="Times New Roman" w:hint="default"/>
        </w:rPr>
        <w:t>3</w:t>
      </w:r>
      <w:r>
        <w:rPr/>
        <w:t>）其他相关事实和情况表明，合营方对该安排中的相关资产和负债分别享有权利和承担义务，如合营方享有与合营 安排相关的几乎所有产出，并且该安排中负债的清偿持续依赖于合营方的支持。</w:t>
      </w:r>
    </w:p>
    <w:p>
      <w:pPr>
        <w:spacing w:line="340" w:lineRule="auto" w:before="72"/>
        <w:ind w:left="513" w:right="175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．共同经营会计处理方法</w:t>
      </w:r>
      <w:r>
        <w:rPr>
          <w:rFonts w:ascii="宋体" w:hAnsi="宋体" w:cs="宋体" w:eastAsia="宋体" w:hint="default"/>
          <w:b/>
          <w:bCs/>
          <w:w w:val="99"/>
          <w:sz w:val="18"/>
          <w:szCs w:val="18"/>
        </w:rPr>
        <w:t> </w:t>
      </w:r>
      <w:r>
        <w:rPr>
          <w:rFonts w:ascii="宋体" w:hAnsi="宋体" w:cs="宋体" w:eastAsia="宋体" w:hint="default"/>
          <w:sz w:val="18"/>
          <w:szCs w:val="18"/>
        </w:rPr>
        <w:t>本公司确认共同经营中利益份额中与本公司相关的下列项目，并按照相关企业会计准则的规定进行会计处理：</w:t>
      </w:r>
    </w:p>
    <w:p>
      <w:pPr>
        <w:pStyle w:val="BodyText"/>
        <w:spacing w:line="240" w:lineRule="auto" w:before="39"/>
        <w:ind w:left="513" w:right="1133"/>
        <w:jc w:val="left"/>
      </w:pPr>
      <w:r>
        <w:rPr/>
        <w:t>（</w:t>
      </w:r>
      <w:r>
        <w:rPr>
          <w:rFonts w:ascii="Times New Roman" w:hAnsi="Times New Roman" w:cs="Times New Roman" w:eastAsia="Times New Roman" w:hint="default"/>
        </w:rPr>
        <w:t>1</w:t>
      </w:r>
      <w:r>
        <w:rPr/>
        <w:t>）确认单独所持有的资产，以及按其份额确认共同持有的资产；</w:t>
      </w:r>
    </w:p>
    <w:p>
      <w:pPr>
        <w:pStyle w:val="BodyText"/>
        <w:spacing w:line="240" w:lineRule="auto" w:before="103"/>
        <w:ind w:left="513" w:right="1133"/>
        <w:jc w:val="left"/>
      </w:pPr>
      <w:r>
        <w:rPr/>
        <w:t>（</w:t>
      </w:r>
      <w:r>
        <w:rPr>
          <w:rFonts w:ascii="Times New Roman" w:hAnsi="Times New Roman" w:cs="Times New Roman" w:eastAsia="Times New Roman" w:hint="default"/>
        </w:rPr>
        <w:t>2</w:t>
      </w:r>
      <w:r>
        <w:rPr/>
        <w:t>）确认单独所承担的负债，以及按其份额确认共同承担的负债；</w:t>
      </w:r>
    </w:p>
    <w:p>
      <w:pPr>
        <w:pStyle w:val="BodyText"/>
        <w:spacing w:line="240" w:lineRule="auto" w:before="103"/>
        <w:ind w:left="513" w:right="1133"/>
        <w:jc w:val="left"/>
      </w:pPr>
      <w:r>
        <w:rPr/>
        <w:t>（</w:t>
      </w:r>
      <w:r>
        <w:rPr>
          <w:rFonts w:ascii="Times New Roman" w:hAnsi="Times New Roman" w:cs="Times New Roman" w:eastAsia="Times New Roman" w:hint="default"/>
        </w:rPr>
        <w:t>3</w:t>
      </w:r>
      <w:r>
        <w:rPr/>
        <w:t>）确认出售其享有的共同经营产出份额所产生的收入；</w:t>
      </w:r>
    </w:p>
    <w:p>
      <w:pPr>
        <w:pStyle w:val="BodyText"/>
        <w:spacing w:line="240" w:lineRule="auto" w:before="101"/>
        <w:ind w:left="513" w:right="1133"/>
        <w:jc w:val="left"/>
      </w:pPr>
      <w:r>
        <w:rPr/>
        <w:t>（</w:t>
      </w:r>
      <w:r>
        <w:rPr>
          <w:rFonts w:ascii="Times New Roman" w:hAnsi="Times New Roman" w:cs="Times New Roman" w:eastAsia="Times New Roman" w:hint="default"/>
        </w:rPr>
        <w:t>4</w:t>
      </w:r>
      <w:r>
        <w:rPr/>
        <w:t>）按其份额确认共同经营因出售产出所产生的收入；</w:t>
      </w:r>
    </w:p>
    <w:p>
      <w:pPr>
        <w:pStyle w:val="BodyText"/>
        <w:spacing w:line="340" w:lineRule="auto" w:before="103"/>
        <w:ind w:left="513" w:right="1129"/>
        <w:jc w:val="left"/>
      </w:pPr>
      <w:r>
        <w:rPr/>
        <w:t>（</w:t>
      </w:r>
      <w:r>
        <w:rPr>
          <w:rFonts w:ascii="Times New Roman" w:hAnsi="Times New Roman" w:cs="Times New Roman" w:eastAsia="Times New Roman" w:hint="default"/>
        </w:rPr>
        <w:t>5</w:t>
      </w:r>
      <w:r>
        <w:rPr/>
        <w:t>）确认单独所发生的费用，以及按其份额确认共同经营发生的费用。 </w:t>
      </w:r>
      <w:r>
        <w:rPr>
          <w:spacing w:val="-2"/>
        </w:rPr>
        <w:t>本公司向共同经营投出或出售资产等（该资产构成业务的除外），在该资产等由共同经营出售给第三方之前，仅确认因</w:t>
      </w:r>
    </w:p>
    <w:p>
      <w:pPr>
        <w:pStyle w:val="BodyText"/>
        <w:spacing w:line="300" w:lineRule="auto" w:before="1"/>
        <w:ind w:right="1124"/>
        <w:jc w:val="left"/>
      </w:pPr>
      <w:r>
        <w:rPr/>
        <w:t>该交易产生的损益中归属于共同经营其他参与方的部分。投出或出售的资产发生符合《企业会计准则第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w:t>
      </w:r>
      <w:r>
        <w:rPr>
          <w:spacing w:val="-82"/>
        </w:rPr>
        <w:t> </w:t>
      </w:r>
      <w:r>
        <w:rPr/>
        <w:t>等规定的资产减值损失的，本公司全额确认该损失。</w:t>
      </w:r>
    </w:p>
    <w:p>
      <w:pPr>
        <w:pStyle w:val="BodyText"/>
        <w:spacing w:line="309" w:lineRule="auto" w:before="70"/>
        <w:ind w:right="1132" w:firstLine="360"/>
        <w:jc w:val="both"/>
      </w:pPr>
      <w:r>
        <w:rPr>
          <w:spacing w:val="-2"/>
        </w:rPr>
        <w:t>本公司自共同经营购买资产等（该资产构成业务的除外），在将该资产等出售给第三方之前，仅确认因该交易产生的损</w:t>
      </w:r>
      <w:r>
        <w:rPr/>
        <w:t> 益中归属于共同经营其他参与方的部分。购入的资产发生符合《企业会计准则第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w:t>
      </w:r>
      <w:r>
        <w:rPr>
          <w:spacing w:val="-83"/>
        </w:rPr>
        <w:t> </w:t>
      </w:r>
      <w:r>
        <w:rPr>
          <w:spacing w:val="-83"/>
        </w:rPr>
      </w:r>
      <w:r>
        <w:rPr/>
        <w:t>的，本公司按承担的份额确认该部分损失。</w:t>
      </w:r>
    </w:p>
    <w:p>
      <w:pPr>
        <w:pStyle w:val="BodyText"/>
        <w:spacing w:line="316" w:lineRule="auto" w:before="65"/>
        <w:ind w:right="1132" w:firstLine="360"/>
        <w:jc w:val="both"/>
      </w:pPr>
      <w:r>
        <w:rPr>
          <w:spacing w:val="-2"/>
        </w:rPr>
        <w:t>本公司对共同经营不享有共同控制，如果本公司享有该共同经营相关资产且承担该共同经营相关负债的，仍按上述原则</w:t>
      </w:r>
      <w:r>
        <w:rPr/>
        <w:t> 进行会计处理，否则，应当按照相关企业会计准则的规定进行会计处理。</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8、现金及现金等价物的确定标准" w:id="176"/>
      <w:bookmarkEnd w:id="176"/>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28" w:firstLine="360"/>
        <w:jc w:val="both"/>
      </w:pPr>
      <w:r>
        <w:rPr>
          <w:spacing w:val="-2"/>
        </w:rPr>
        <w:t>在编制现金流量表时，将本公司库存现金以及可以随时用于支付的存款确认为现金。将同时具备期限短（一般从购买日</w:t>
      </w:r>
      <w:r>
        <w:rPr/>
        <w:t> 起三个月内到期）、流动性强、易于转换为已知金额的现金、价值变动风险很小四个条件的投资，确定为现金等价物。</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bookmarkStart w:name="9、外币业务和外币报表折算" w:id="177"/>
      <w:bookmarkEnd w:id="177"/>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13" w:right="3193"/>
        <w:jc w:val="left"/>
      </w:pPr>
      <w:r>
        <w:rPr>
          <w:rFonts w:ascii="Times New Roman" w:hAnsi="Times New Roman" w:cs="Times New Roman" w:eastAsia="Times New Roman" w:hint="default"/>
          <w:b/>
          <w:bCs/>
        </w:rPr>
        <w:t>1.</w:t>
      </w:r>
      <w:r>
        <w:rPr>
          <w:rFonts w:ascii="宋体" w:hAnsi="宋体" w:cs="宋体" w:eastAsia="宋体" w:hint="default"/>
          <w:b/>
          <w:bCs/>
        </w:rPr>
        <w:t>外币业务</w:t>
      </w:r>
      <w:r>
        <w:rPr>
          <w:rFonts w:ascii="宋体" w:hAnsi="宋体" w:cs="宋体" w:eastAsia="宋体" w:hint="default"/>
          <w:b/>
          <w:bCs/>
          <w:w w:val="99"/>
        </w:rPr>
        <w:t> </w:t>
      </w:r>
      <w:r>
        <w:rPr/>
        <w:t>外币业务交易在初始确认时，采用交易发生日的即期汇率作为折算汇率折合成人民币记账。</w:t>
      </w:r>
    </w:p>
    <w:p>
      <w:pPr>
        <w:pStyle w:val="BodyText"/>
        <w:spacing w:line="316" w:lineRule="auto" w:before="39"/>
        <w:ind w:right="1132" w:firstLine="360"/>
        <w:jc w:val="both"/>
      </w:pPr>
      <w:r>
        <w:rPr>
          <w:spacing w:val="-2"/>
        </w:rPr>
        <w:t>资产负债表日，外币货币性项目按资产负债表日即期汇率折算，由此产生的汇兑差额，除属于与购建符合资本化条件的</w:t>
      </w:r>
      <w:r>
        <w:rPr/>
        <w:t> </w:t>
      </w:r>
      <w:r>
        <w:rPr>
          <w:spacing w:val="-2"/>
        </w:rPr>
        <w:t>资产相关的外币专门借款产生的汇兑差额按照借款费用资本化的原则处理外，均计入当期损益。以历史成本计量的外币非货</w:t>
      </w:r>
      <w:r>
        <w:rPr>
          <w:spacing w:val="-64"/>
        </w:rPr>
        <w:t> </w:t>
      </w:r>
      <w:r>
        <w:rPr>
          <w:spacing w:val="-64"/>
        </w:rPr>
      </w:r>
      <w:r>
        <w:rPr/>
        <w:t>币性项目，仍采用交易发生日的即期汇率折算，不改变其记账本位币金额。</w:t>
      </w:r>
    </w:p>
    <w:p>
      <w:pPr>
        <w:pStyle w:val="BodyText"/>
        <w:spacing w:line="319" w:lineRule="auto" w:before="59"/>
        <w:ind w:right="1132" w:firstLine="360"/>
        <w:jc w:val="both"/>
      </w:pPr>
      <w:r>
        <w:rPr>
          <w:spacing w:val="-2"/>
        </w:rPr>
        <w:t>以公允价值计量的外币非货币性项目，采用公允价值确定日的即期汇率折算，由此产生的汇兑差额作为公允价值变动损</w:t>
      </w:r>
      <w:r>
        <w:rPr/>
        <w:t> 益计入当期损益。如属于可供出售外币非货币性项目的，形成的汇兑差额计入其他综合收益。</w:t>
      </w:r>
    </w:p>
    <w:p>
      <w:pPr>
        <w:pStyle w:val="BodyText"/>
        <w:spacing w:line="338" w:lineRule="auto" w:before="58"/>
        <w:ind w:left="513" w:right="1133"/>
        <w:jc w:val="left"/>
      </w:pPr>
      <w:r>
        <w:rPr>
          <w:rFonts w:ascii="Times New Roman" w:hAnsi="Times New Roman" w:cs="Times New Roman" w:eastAsia="Times New Roman" w:hint="default"/>
          <w:b/>
          <w:bCs/>
        </w:rPr>
        <w:t>2.</w:t>
      </w:r>
      <w:r>
        <w:rPr>
          <w:rFonts w:ascii="宋体" w:hAnsi="宋体" w:cs="宋体" w:eastAsia="宋体" w:hint="default"/>
          <w:b/>
          <w:bCs/>
        </w:rPr>
        <w:t>外币财务报表的折算</w:t>
      </w:r>
      <w:r>
        <w:rPr>
          <w:rFonts w:ascii="宋体" w:hAnsi="宋体" w:cs="宋体" w:eastAsia="宋体" w:hint="default"/>
          <w:b/>
          <w:bCs/>
          <w:w w:val="99"/>
        </w:rPr>
        <w:t>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p>
    <w:p>
      <w:pPr>
        <w:pStyle w:val="BodyText"/>
        <w:spacing w:line="217" w:lineRule="exact"/>
        <w:ind w:right="0"/>
        <w:jc w:val="left"/>
      </w:pPr>
      <w:r>
        <w:rPr/>
        <w:t>目采用发生时的即期汇率折算。利润表中的收入和费用项目，采用交易发生日的即期汇率折算。按照上述折算产生的外币财</w:t>
      </w:r>
    </w:p>
    <w:p>
      <w:pPr>
        <w:pStyle w:val="BodyText"/>
        <w:spacing w:line="360" w:lineRule="auto" w:before="76"/>
        <w:ind w:left="513" w:right="0" w:hanging="361"/>
        <w:jc w:val="left"/>
      </w:pPr>
      <w:r>
        <w:rPr/>
        <w:t>务报表折算差额计入其他综合收益。 </w:t>
      </w:r>
      <w:r>
        <w:rPr>
          <w:spacing w:val="-2"/>
        </w:rPr>
        <w:t>处置境外经营时，将资产负债表中其他综合收益项目中列示的、与该境外经营相关的外币财务报表折算差额，自其他综</w:t>
      </w:r>
    </w:p>
    <w:p>
      <w:pPr>
        <w:pStyle w:val="BodyText"/>
        <w:spacing w:line="222" w:lineRule="exact"/>
        <w:ind w:right="0"/>
        <w:jc w:val="left"/>
      </w:pPr>
      <w:r>
        <w:rPr/>
        <w:t>合收益项目转入处置当期损益</w:t>
      </w:r>
      <w:r>
        <w:rPr>
          <w:spacing w:val="-82"/>
        </w:rPr>
        <w:t>；</w:t>
      </w:r>
      <w:r>
        <w:rPr/>
        <w:t>在处置部分股权投资或其他原因导致持有境外经营权益比例降低但不丧失对境外经营控制权</w:t>
      </w:r>
    </w:p>
    <w:p>
      <w:pPr>
        <w:pStyle w:val="BodyText"/>
        <w:spacing w:line="316" w:lineRule="auto" w:before="76"/>
        <w:ind w:right="1129"/>
        <w:jc w:val="left"/>
      </w:pPr>
      <w:r>
        <w:rPr>
          <w:spacing w:val="-2"/>
        </w:rPr>
        <w:t>时，与该境外经营处置部分相关的外币报表折算差额将归属于少数股东权益，不转入当期损益。在处置境外经营为联营企业</w:t>
      </w:r>
      <w:r>
        <w:rPr>
          <w:spacing w:val="-63"/>
        </w:rPr>
        <w:t> </w:t>
      </w:r>
      <w:r>
        <w:rPr>
          <w:spacing w:val="-63"/>
        </w:rPr>
      </w:r>
      <w:r>
        <w:rPr/>
        <w:t>或合营企业的部分股权时，与该境外经营相关的外币报表折算差额，按处置该境外经营的比例转入处置当期损益。</w:t>
      </w:r>
    </w:p>
    <w:p>
      <w:pPr>
        <w:spacing w:after="0" w:line="31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10、金融工具" w:id="178"/>
      <w:bookmarkEnd w:id="178"/>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left="513" w:right="1129"/>
        <w:jc w:val="left"/>
      </w:pPr>
      <w:r>
        <w:rPr/>
        <w:t>在本公司成为金融工具合同的一方时确认一项金融资产或金融负债。 实际利率法是指计算金融资产或金融负债的摊余成本以及将利息收入或利息费用分摊计入各会计期间的方法。 </w:t>
      </w:r>
      <w:r>
        <w:rPr>
          <w:spacing w:val="-2"/>
        </w:rPr>
        <w:t>实际利率，是指将金融资产或金融负债在预计存续期的估计未来现金流量，折现为该金融资产账面余额或该金融负债摊</w:t>
      </w:r>
    </w:p>
    <w:p>
      <w:pPr>
        <w:pStyle w:val="BodyText"/>
        <w:spacing w:line="237" w:lineRule="exact"/>
        <w:ind w:right="1133"/>
        <w:jc w:val="left"/>
      </w:pPr>
      <w:r>
        <w:rPr/>
        <w:t>余成本所使用的利率。在确定实际利率时，在考虑金融资产或金融负债所有合同条款</w:t>
      </w:r>
      <w:r>
        <w:rPr>
          <w:rFonts w:ascii="Times New Roman" w:hAnsi="Times New Roman" w:cs="Times New Roman" w:eastAsia="Times New Roman" w:hint="default"/>
        </w:rPr>
        <w:t>(</w:t>
      </w:r>
      <w:r>
        <w:rPr/>
        <w:t>如提前还款、展期、看涨期权或其他</w:t>
      </w:r>
    </w:p>
    <w:p>
      <w:pPr>
        <w:pStyle w:val="BodyText"/>
        <w:spacing w:line="340" w:lineRule="auto" w:before="63"/>
        <w:ind w:left="513" w:right="1129" w:hanging="361"/>
        <w:jc w:val="left"/>
      </w:pPr>
      <w:r>
        <w:rPr/>
        <w:t>类似期权等</w:t>
      </w:r>
      <w:r>
        <w:rPr>
          <w:rFonts w:ascii="Times New Roman" w:hAnsi="Times New Roman" w:cs="Times New Roman" w:eastAsia="Times New Roman" w:hint="default"/>
        </w:rPr>
        <w:t>)</w:t>
      </w:r>
      <w:r>
        <w:rPr/>
        <w:t>的基础上估计预期现金流量，但不考虑预期信用损失。 </w:t>
      </w:r>
      <w:r>
        <w:rPr>
          <w:spacing w:val="-2"/>
        </w:rPr>
        <w:t>金融资产或金融负债的摊余成本是以该金融资产或金融负债的初始确认金额扣除已偿还的本金，加上或减去采用实际利</w:t>
      </w:r>
    </w:p>
    <w:p>
      <w:pPr>
        <w:pStyle w:val="BodyText"/>
        <w:spacing w:line="300" w:lineRule="auto" w:before="1"/>
        <w:ind w:right="1133"/>
        <w:jc w:val="left"/>
      </w:pPr>
      <w:r>
        <w:rPr/>
        <w:t>率法将该初始确认金额与到期日金额之间的差额进行摊销形成的累计摊销额，再扣除累计计提的损失准备</w:t>
      </w:r>
      <w:r>
        <w:rPr>
          <w:rFonts w:ascii="Times New Roman" w:hAnsi="Times New Roman" w:cs="Times New Roman" w:eastAsia="Times New Roman" w:hint="default"/>
        </w:rPr>
        <w:t>(</w:t>
      </w:r>
      <w:r>
        <w:rPr/>
        <w:t>仅适用于金融资</w:t>
      </w:r>
      <w:r>
        <w:rPr>
          <w:spacing w:val="-54"/>
        </w:rPr>
        <w:t> </w:t>
      </w:r>
      <w:r>
        <w:rPr>
          <w:spacing w:val="-54"/>
        </w:rPr>
      </w:r>
      <w:r>
        <w:rPr/>
        <w:t>产</w:t>
      </w:r>
      <w:r>
        <w:rPr>
          <w:rFonts w:ascii="Times New Roman" w:hAnsi="Times New Roman" w:cs="Times New Roman" w:eastAsia="Times New Roman" w:hint="default"/>
        </w:rPr>
        <w:t>)</w:t>
      </w:r>
      <w:r>
        <w:rPr/>
        <w:t>。</w:t>
      </w:r>
    </w:p>
    <w:p>
      <w:pPr>
        <w:pStyle w:val="BodyText"/>
        <w:spacing w:line="340" w:lineRule="auto" w:before="51"/>
        <w:ind w:left="513" w:right="2293"/>
        <w:jc w:val="left"/>
      </w:pP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w w:val="99"/>
        </w:rPr>
        <w:t> </w:t>
      </w:r>
      <w:r>
        <w:rPr/>
        <w:t>本公司根据所管理金融资产的业务模式和金融资产的合同现金流量特征，将金融资产划分为以下三类：</w:t>
      </w:r>
    </w:p>
    <w:p>
      <w:pPr>
        <w:pStyle w:val="BodyText"/>
        <w:spacing w:line="240" w:lineRule="auto" w:before="42"/>
        <w:ind w:left="513" w:right="1133"/>
        <w:jc w:val="left"/>
      </w:pPr>
      <w:r>
        <w:rPr/>
        <w:t>（</w:t>
      </w:r>
      <w:r>
        <w:rPr>
          <w:rFonts w:ascii="Times New Roman" w:hAnsi="Times New Roman" w:cs="Times New Roman" w:eastAsia="Times New Roman" w:hint="default"/>
        </w:rPr>
        <w:t>1</w:t>
      </w:r>
      <w:r>
        <w:rPr/>
        <w:t>）以摊余成本计量的金融资产。</w:t>
      </w:r>
    </w:p>
    <w:p>
      <w:pPr>
        <w:pStyle w:val="BodyText"/>
        <w:spacing w:line="240" w:lineRule="auto" w:before="101"/>
        <w:ind w:left="513" w:right="1133"/>
        <w:jc w:val="left"/>
      </w:pPr>
      <w:r>
        <w:rPr/>
        <w:t>（</w:t>
      </w:r>
      <w:r>
        <w:rPr>
          <w:rFonts w:ascii="Times New Roman" w:hAnsi="Times New Roman" w:cs="Times New Roman" w:eastAsia="Times New Roman" w:hint="default"/>
        </w:rPr>
        <w:t>2</w:t>
      </w:r>
      <w:r>
        <w:rPr/>
        <w:t>）以公允价值计量且其变动计入其他综合收益的金融资产。</w:t>
      </w:r>
    </w:p>
    <w:p>
      <w:pPr>
        <w:pStyle w:val="BodyText"/>
        <w:spacing w:line="340" w:lineRule="auto" w:before="103"/>
        <w:ind w:left="513" w:right="1129"/>
        <w:jc w:val="left"/>
      </w:pPr>
      <w:r>
        <w:rPr/>
        <w:t>（</w:t>
      </w:r>
      <w:r>
        <w:rPr>
          <w:rFonts w:ascii="Times New Roman" w:hAnsi="Times New Roman" w:cs="Times New Roman" w:eastAsia="Times New Roman" w:hint="default"/>
        </w:rPr>
        <w:t>3</w:t>
      </w:r>
      <w:r>
        <w:rPr/>
        <w:t>）以公允价值计量且其变动计入当期损益的金融资产。 </w:t>
      </w:r>
      <w:r>
        <w:rPr>
          <w:spacing w:val="-2"/>
        </w:rPr>
        <w:t>金融资产在初始确认时以公允价值计量，但是因销售商品或提供服务等产生的应收账款或应收票据未包含重大融资成分</w:t>
      </w:r>
    </w:p>
    <w:p>
      <w:pPr>
        <w:pStyle w:val="BodyText"/>
        <w:spacing w:line="357" w:lineRule="auto" w:before="1"/>
        <w:ind w:left="513" w:right="1129" w:hanging="361"/>
        <w:jc w:val="left"/>
      </w:pPr>
      <w:r>
        <w:rPr/>
        <w:t>或不考虑不超过一年的融资成分的，按照交易价格进行初始计量。 </w:t>
      </w:r>
      <w:r>
        <w:rPr>
          <w:spacing w:val="-2"/>
        </w:rPr>
        <w:t>对于以公允价值计量且其变动计入当期损益的金融资产，相关交易费用直接计入当期损益，其他类别的金融资产相关交</w:t>
      </w:r>
    </w:p>
    <w:p>
      <w:pPr>
        <w:pStyle w:val="BodyText"/>
        <w:spacing w:line="224" w:lineRule="exact"/>
        <w:ind w:right="1133"/>
        <w:jc w:val="left"/>
      </w:pPr>
      <w:r>
        <w:rPr/>
        <w:t>易费用计入其初始确认金额。</w:t>
      </w:r>
    </w:p>
    <w:p>
      <w:pPr>
        <w:pStyle w:val="BodyText"/>
        <w:spacing w:line="316" w:lineRule="auto" w:before="117"/>
        <w:ind w:right="1129" w:firstLine="360"/>
        <w:jc w:val="left"/>
      </w:pPr>
      <w:r>
        <w:rPr>
          <w:spacing w:val="-2"/>
        </w:rPr>
        <w:t>金融资产的后续计量取决于其分类，当且仅当本公司改变管理金融资产的业务模式时，才对所有受影响的相关金融资产</w:t>
      </w:r>
      <w:r>
        <w:rPr/>
        <w:t> 进行重分类：</w:t>
      </w:r>
    </w:p>
    <w:p>
      <w:pPr>
        <w:pStyle w:val="BodyText"/>
        <w:spacing w:line="338" w:lineRule="auto" w:before="59"/>
        <w:ind w:left="513" w:right="1129"/>
        <w:jc w:val="left"/>
      </w:pPr>
      <w:r>
        <w:rPr/>
        <w:t>（</w:t>
      </w:r>
      <w:r>
        <w:rPr>
          <w:rFonts w:ascii="Times New Roman" w:hAnsi="Times New Roman" w:cs="Times New Roman" w:eastAsia="Times New Roman" w:hint="default"/>
        </w:rPr>
        <w:t>1</w:t>
      </w:r>
      <w:r>
        <w:rPr/>
        <w:t>）分类为以摊余成本计量的金融资产 </w:t>
      </w:r>
      <w:r>
        <w:rPr>
          <w:spacing w:val="-2"/>
        </w:rPr>
        <w:t>金融资产的合同条款规定在特定日期产生的现金流量仅为对本金和以未偿付本金金额为基础的利息的支付，且管理该金</w:t>
      </w:r>
    </w:p>
    <w:p>
      <w:pPr>
        <w:pStyle w:val="BodyText"/>
        <w:spacing w:line="316" w:lineRule="auto" w:before="2"/>
        <w:ind w:right="1129"/>
        <w:jc w:val="left"/>
      </w:pPr>
      <w:r>
        <w:rPr>
          <w:spacing w:val="-2"/>
        </w:rPr>
        <w:t>融资产的业务模式是以收取合同现金流量为目标，则本公司将该金融资产分类为以摊余成本计量的金融资产。本公司分类为</w:t>
      </w:r>
      <w:r>
        <w:rPr>
          <w:spacing w:val="-64"/>
        </w:rPr>
        <w:t> </w:t>
      </w:r>
      <w:r>
        <w:rPr>
          <w:spacing w:val="-64"/>
        </w:rPr>
      </w:r>
      <w:r>
        <w:rPr/>
        <w:t>以摊余成本计量的金融资产包括货币资金、应收票据、应收账款、其他应收款等。</w:t>
      </w:r>
    </w:p>
    <w:p>
      <w:pPr>
        <w:pStyle w:val="BodyText"/>
        <w:spacing w:line="316" w:lineRule="auto" w:before="59"/>
        <w:ind w:right="1129" w:firstLine="360"/>
        <w:jc w:val="left"/>
      </w:pPr>
      <w:r>
        <w:rPr>
          <w:spacing w:val="-2"/>
        </w:rPr>
        <w:t>本公司对此类金融资产采用实际利率法确认利息收入，按摊余成本进行后续计量，其发生减值时或终止确认、修改产生</w:t>
      </w:r>
      <w:r>
        <w:rPr/>
        <w:t> 的利得或损失，计入当期损益。除下列情况外，本公司根据金融资产账面余额乘以实际利率计算确定利息收入：</w:t>
      </w:r>
    </w:p>
    <w:p>
      <w:pPr>
        <w:pStyle w:val="BodyText"/>
        <w:spacing w:line="300" w:lineRule="auto" w:before="59"/>
        <w:ind w:right="1124" w:firstLine="360"/>
        <w:jc w:val="left"/>
      </w:pPr>
      <w:r>
        <w:rPr>
          <w:rFonts w:ascii="Times New Roman" w:hAnsi="Times New Roman" w:cs="Times New Roman" w:eastAsia="Times New Roman" w:hint="default"/>
        </w:rPr>
        <w:t>1</w:t>
      </w:r>
      <w:r>
        <w:rPr/>
        <w:t>）对于购入或源生的已发生信用减值的金融资产，本公司自初始确认起，按照该金融资产的摊余成本和经信用调整的 实际利率计算确定其利息收入。</w:t>
      </w:r>
    </w:p>
    <w:p>
      <w:pPr>
        <w:pStyle w:val="BodyText"/>
        <w:spacing w:line="309" w:lineRule="auto" w:before="70"/>
        <w:ind w:right="1034" w:firstLine="360"/>
        <w:jc w:val="left"/>
      </w:pPr>
      <w:r>
        <w:rPr>
          <w:rFonts w:ascii="Times New Roman" w:hAnsi="Times New Roman" w:cs="Times New Roman" w:eastAsia="Times New Roman" w:hint="default"/>
        </w:rPr>
        <w:t>2</w:t>
      </w:r>
      <w:r>
        <w:rPr/>
        <w:t>）对于购入或源生的未发生信用减值、但在后续期间成为已发生信用减值的金融资产，本公司在后续期间，按照该金 融资产的摊余成本和实际利率计算确定其利息收入。若该金融工具在后续期间因其信用风险有所改善而不再存在信用减值， 本公司转按实际利率乘以该金融资产账面余额来计算确定利息收入。</w:t>
      </w:r>
    </w:p>
    <w:p>
      <w:pPr>
        <w:pStyle w:val="BodyText"/>
        <w:spacing w:line="340" w:lineRule="auto" w:before="65"/>
        <w:ind w:left="513" w:right="1129"/>
        <w:jc w:val="left"/>
      </w:pPr>
      <w:r>
        <w:rPr/>
        <w:t>（</w:t>
      </w:r>
      <w:r>
        <w:rPr>
          <w:rFonts w:ascii="Times New Roman" w:hAnsi="Times New Roman" w:cs="Times New Roman" w:eastAsia="Times New Roman" w:hint="default"/>
        </w:rPr>
        <w:t>2</w:t>
      </w:r>
      <w:r>
        <w:rPr/>
        <w:t>）分类为以公允价值计量且其变动计入其他综合收益的金融资产 </w:t>
      </w:r>
      <w:r>
        <w:rPr>
          <w:spacing w:val="-2"/>
        </w:rPr>
        <w:t>金融资产的合同条款规定在特定日期产生的现金流量仅为对本金和以未偿付本金金额为基础的利息的支付，且管理该金</w:t>
      </w:r>
    </w:p>
    <w:p>
      <w:pPr>
        <w:pStyle w:val="BodyText"/>
        <w:spacing w:line="314" w:lineRule="auto" w:before="1"/>
        <w:ind w:right="1129"/>
        <w:jc w:val="left"/>
      </w:pPr>
      <w:r>
        <w:rPr>
          <w:spacing w:val="-2"/>
        </w:rPr>
        <w:t>融资产的业务模式既以收取合同现金流量为目标又以出售该金融资产为目标，则本公司将该金融资产分类为以公允价值计量</w:t>
      </w:r>
      <w:r>
        <w:rPr>
          <w:spacing w:val="-64"/>
        </w:rPr>
        <w:t> </w:t>
      </w:r>
      <w:r>
        <w:rPr>
          <w:spacing w:val="-64"/>
        </w:rPr>
      </w:r>
      <w:r>
        <w:rPr/>
        <w:t>且其变动计入其他综合收益的金融资产。</w:t>
      </w:r>
    </w:p>
    <w:p>
      <w:pPr>
        <w:pStyle w:val="BodyText"/>
        <w:spacing w:line="316" w:lineRule="auto" w:before="61"/>
        <w:ind w:right="1034" w:firstLine="360"/>
        <w:jc w:val="left"/>
      </w:pPr>
      <w:r>
        <w:rPr>
          <w:spacing w:val="-2"/>
        </w:rPr>
        <w:t>本公司对此类金融资产采用实际利率法确认利息收入。除利息收入、减值损失及汇兑差额确认为当期损益外，其余公允</w:t>
      </w:r>
      <w:r>
        <w:rPr/>
        <w:t> 价值变动计入其他综合收益。当该金融资产终止确认时，之前计入其他综合收益的累计利得或损失从其他综合收益中转出， 计入当期损益。</w:t>
      </w:r>
    </w:p>
    <w:p>
      <w:pPr>
        <w:pStyle w:val="BodyText"/>
        <w:spacing w:line="316" w:lineRule="auto" w:before="59"/>
        <w:ind w:right="1132" w:firstLine="360"/>
        <w:jc w:val="both"/>
      </w:pPr>
      <w:r>
        <w:rPr>
          <w:spacing w:val="-2"/>
        </w:rPr>
        <w:t>以公允价值计量且变动计入其他综合收益的应收票据及应收账款列报为应收款项融资，其他此类金融资产列报为其他债</w:t>
      </w:r>
      <w:r>
        <w:rPr/>
        <w:t> </w:t>
      </w:r>
      <w:r>
        <w:rPr>
          <w:spacing w:val="-2"/>
        </w:rPr>
        <w:t>权投资，其中：自资产负债表日起一年内到期的其他债权投资列报为一年内到期的非流动资产，原到期日在一年以内的其他</w:t>
      </w:r>
      <w:r>
        <w:rPr>
          <w:spacing w:val="-66"/>
        </w:rPr>
        <w:t> </w:t>
      </w:r>
      <w:r>
        <w:rPr>
          <w:spacing w:val="-66"/>
        </w:rPr>
      </w:r>
      <w:r>
        <w:rPr/>
        <w:t>债权投资列报为其他流动资产。</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40" w:lineRule="auto" w:before="44"/>
        <w:ind w:left="513" w:right="1129"/>
        <w:jc w:val="left"/>
      </w:pPr>
      <w:r>
        <w:rPr/>
        <w:t>（</w:t>
      </w:r>
      <w:r>
        <w:rPr>
          <w:rFonts w:ascii="Times New Roman" w:hAnsi="Times New Roman" w:cs="Times New Roman" w:eastAsia="Times New Roman" w:hint="default"/>
        </w:rPr>
        <w:t>3</w:t>
      </w:r>
      <w:r>
        <w:rPr/>
        <w:t>）指定为以公允价值计量且其变动计入其他综合收益的金融资产 </w:t>
      </w:r>
      <w:r>
        <w:rPr>
          <w:spacing w:val="-2"/>
        </w:rPr>
        <w:t>在初始确认时，本公司可以单项金融资产为基础不可撤销地将非交易性权益工具投资指定为以公允价值计量且其变动计</w:t>
      </w:r>
    </w:p>
    <w:p>
      <w:pPr>
        <w:pStyle w:val="BodyText"/>
        <w:spacing w:line="357" w:lineRule="auto" w:before="1"/>
        <w:ind w:left="513" w:right="1129" w:hanging="361"/>
        <w:jc w:val="left"/>
      </w:pPr>
      <w:r>
        <w:rPr/>
        <w:t>入其他综合收益的金融资产。 </w:t>
      </w:r>
      <w:r>
        <w:rPr>
          <w:spacing w:val="-2"/>
        </w:rPr>
        <w:t>此类金融资产的公允价值变动计入其他综合收益，不需计提减值准备。该金融资产终止确认时，之前计入其他综合收益</w:t>
      </w:r>
    </w:p>
    <w:p>
      <w:pPr>
        <w:pStyle w:val="BodyText"/>
        <w:spacing w:line="224" w:lineRule="exact"/>
        <w:ind w:right="0"/>
        <w:jc w:val="left"/>
      </w:pPr>
      <w:r>
        <w:rPr/>
        <w:t>的累计利得或损失从其他综合收益中转出，计入留存收益。本公司持有该权益工具投资期间，在本公司收取股利的权利已经</w:t>
      </w:r>
    </w:p>
    <w:p>
      <w:pPr>
        <w:pStyle w:val="BodyText"/>
        <w:spacing w:line="316" w:lineRule="auto" w:before="76"/>
        <w:ind w:right="1129"/>
        <w:jc w:val="left"/>
      </w:pPr>
      <w:r>
        <w:rPr>
          <w:spacing w:val="-2"/>
        </w:rPr>
        <w:t>确立，与股利相关的经济利益很可能流入本公司，且股利的金额能够可靠计量时，确认股利收入并计入当期损益。本公司对</w:t>
      </w:r>
      <w:r>
        <w:rPr>
          <w:spacing w:val="-65"/>
        </w:rPr>
        <w:t> </w:t>
      </w:r>
      <w:r>
        <w:rPr>
          <w:spacing w:val="-65"/>
        </w:rPr>
      </w:r>
      <w:r>
        <w:rPr/>
        <w:t>此类金融资产在其他权益工具投资项目下列报。</w:t>
      </w:r>
    </w:p>
    <w:p>
      <w:pPr>
        <w:pStyle w:val="BodyText"/>
        <w:spacing w:line="316" w:lineRule="auto" w:before="59"/>
        <w:ind w:right="1132" w:firstLine="360"/>
        <w:jc w:val="both"/>
      </w:pPr>
      <w:r>
        <w:rPr>
          <w:spacing w:val="-2"/>
        </w:rPr>
        <w:t>权益工具投资满足下列条件之一的，属于以公允价值计量且其变动计入当期损益的金融资产：取得该金融资产的目的主</w:t>
      </w:r>
      <w:r>
        <w:rPr/>
        <w:t> </w:t>
      </w:r>
      <w:r>
        <w:rPr>
          <w:spacing w:val="-2"/>
        </w:rPr>
        <w:t>要是为了近期出售；初始确认时属于集中管理的可辨认金融资产工具组合的一部分，且有客观证据表明近期实际存在短期获</w:t>
      </w:r>
      <w:r>
        <w:rPr>
          <w:spacing w:val="-64"/>
        </w:rPr>
        <w:t> </w:t>
      </w:r>
      <w:r>
        <w:rPr>
          <w:spacing w:val="-64"/>
        </w:rPr>
      </w:r>
      <w:r>
        <w:rPr/>
        <w:t>利模式；属于衍生工具（符合财务担保合同定义的以及被指定为有效套期工具的衍生工具除外）。</w:t>
      </w:r>
    </w:p>
    <w:p>
      <w:pPr>
        <w:pStyle w:val="BodyText"/>
        <w:spacing w:line="338" w:lineRule="auto" w:before="59"/>
        <w:ind w:left="513" w:right="1129"/>
        <w:jc w:val="left"/>
      </w:pPr>
      <w:r>
        <w:rPr/>
        <w:t>（</w:t>
      </w:r>
      <w:r>
        <w:rPr>
          <w:rFonts w:ascii="Times New Roman" w:hAnsi="Times New Roman" w:cs="Times New Roman" w:eastAsia="Times New Roman" w:hint="default"/>
        </w:rPr>
        <w:t>4</w:t>
      </w:r>
      <w:r>
        <w:rPr/>
        <w:t>）分类为以公允价值计量且其变动计入当期损益的金融资产 </w:t>
      </w:r>
      <w:r>
        <w:rPr>
          <w:spacing w:val="-2"/>
        </w:rPr>
        <w:t>不符合分类为以摊余成本计量或以公允价值计量且其变动计入其他综合收益的金融资产条件、亦不指定为以公允价值计</w:t>
      </w:r>
    </w:p>
    <w:p>
      <w:pPr>
        <w:pStyle w:val="BodyText"/>
        <w:spacing w:line="360" w:lineRule="auto" w:before="3"/>
        <w:ind w:left="513" w:right="1129" w:hanging="361"/>
        <w:jc w:val="left"/>
      </w:pPr>
      <w:r>
        <w:rPr/>
        <w:t>量且其变动计入其他综合收益的金融资产均分类为以公允价值计量且其变动计入当期损益的金融资产。 </w:t>
      </w:r>
      <w:r>
        <w:rPr>
          <w:spacing w:val="-2"/>
        </w:rPr>
        <w:t>本公司对此类金融资产采用公允价值进行后续计量，将公允价值变动形成的利得或损失以及与此类金融资产相关的股利</w:t>
      </w:r>
    </w:p>
    <w:p>
      <w:pPr>
        <w:pStyle w:val="BodyText"/>
        <w:spacing w:line="222" w:lineRule="exact"/>
        <w:ind w:right="1133"/>
        <w:jc w:val="left"/>
      </w:pPr>
      <w:r>
        <w:rPr/>
        <w:t>和利息收入计入当期损益。</w:t>
      </w:r>
    </w:p>
    <w:p>
      <w:pPr>
        <w:pStyle w:val="BodyText"/>
        <w:spacing w:line="240" w:lineRule="auto" w:before="117"/>
        <w:ind w:left="513" w:right="1133"/>
        <w:jc w:val="left"/>
      </w:pPr>
      <w:r>
        <w:rPr/>
        <w:t>本公司对此类金融资产根据其流动性在交易性金融资产、其他非流动金融资产项目列报。</w:t>
      </w:r>
    </w:p>
    <w:p>
      <w:pPr>
        <w:pStyle w:val="BodyText"/>
        <w:spacing w:line="340" w:lineRule="auto" w:before="115"/>
        <w:ind w:left="513" w:right="1129"/>
        <w:jc w:val="left"/>
      </w:pPr>
      <w:r>
        <w:rPr/>
        <w:t>（</w:t>
      </w:r>
      <w:r>
        <w:rPr>
          <w:rFonts w:ascii="Times New Roman" w:hAnsi="Times New Roman" w:cs="Times New Roman" w:eastAsia="Times New Roman" w:hint="default"/>
        </w:rPr>
        <w:t>5</w:t>
      </w:r>
      <w:r>
        <w:rPr/>
        <w:t>）指定为以公允价值计量且其变动计入当期损益的金融资产 </w:t>
      </w:r>
      <w:r>
        <w:rPr>
          <w:spacing w:val="-2"/>
        </w:rPr>
        <w:t>在初始确认时，本公司为了消除或显著减少会计错配，可以单项金融资产为基础不可撤销地将金融资产指定为以公允价</w:t>
      </w:r>
    </w:p>
    <w:p>
      <w:pPr>
        <w:pStyle w:val="BodyText"/>
        <w:spacing w:line="360" w:lineRule="auto" w:before="1"/>
        <w:ind w:left="513" w:right="1129" w:hanging="361"/>
        <w:jc w:val="left"/>
      </w:pPr>
      <w:r>
        <w:rPr/>
        <w:t>值计量且其变动计入当期损益的金融资产。 </w:t>
      </w:r>
      <w:r>
        <w:rPr>
          <w:spacing w:val="-2"/>
        </w:rPr>
        <w:t>混合合同包含一项或多项嵌入衍生工具，且其主合同不属于以上金融资产的，本公司可以将其整体指定为以公允价值计</w:t>
      </w:r>
    </w:p>
    <w:p>
      <w:pPr>
        <w:pStyle w:val="BodyText"/>
        <w:spacing w:line="222" w:lineRule="exact"/>
        <w:ind w:right="1133"/>
        <w:jc w:val="left"/>
      </w:pPr>
      <w:r>
        <w:rPr/>
        <w:t>量且其变动计入当期损益的金融工具。但下列情况除外：</w:t>
      </w:r>
    </w:p>
    <w:p>
      <w:pPr>
        <w:pStyle w:val="BodyText"/>
        <w:spacing w:line="240" w:lineRule="auto" w:before="115"/>
        <w:ind w:left="513" w:right="1133"/>
        <w:jc w:val="left"/>
      </w:pPr>
      <w:r>
        <w:rPr>
          <w:rFonts w:ascii="Times New Roman" w:hAnsi="Times New Roman" w:cs="Times New Roman" w:eastAsia="Times New Roman" w:hint="default"/>
        </w:rPr>
        <w:t>1</w:t>
      </w:r>
      <w:r>
        <w:rPr/>
        <w:t>）嵌入衍生工具不会对混合合同的现金流量产生重大改变。</w:t>
      </w:r>
    </w:p>
    <w:p>
      <w:pPr>
        <w:pStyle w:val="BodyText"/>
        <w:spacing w:line="300" w:lineRule="auto" w:before="104"/>
        <w:ind w:right="1124" w:firstLine="360"/>
        <w:jc w:val="left"/>
      </w:pPr>
      <w:r>
        <w:rPr>
          <w:rFonts w:ascii="Times New Roman" w:hAnsi="Times New Roman" w:cs="Times New Roman" w:eastAsia="Times New Roman" w:hint="default"/>
        </w:rPr>
        <w:t>2</w:t>
      </w:r>
      <w:r>
        <w:rPr/>
        <w:t>）在初次确定类似的混合合同是否需要分拆时，几乎不需分析就能明确其包含的嵌入衍生工具不应分拆。如嵌入贷款 的提前还款权，允许持有人以接近摊余成本的金额提前偿还贷款，该提前还款权不需要分拆。</w:t>
      </w:r>
    </w:p>
    <w:p>
      <w:pPr>
        <w:pStyle w:val="BodyText"/>
        <w:spacing w:line="316" w:lineRule="auto" w:before="72"/>
        <w:ind w:right="1129" w:firstLine="360"/>
        <w:jc w:val="left"/>
      </w:pPr>
      <w:r>
        <w:rPr>
          <w:spacing w:val="-2"/>
        </w:rPr>
        <w:t>本公司对此类金融资产采用公允价值进行后续计量，将公允价值变动形成的利得或损失以及与此类金融资产相关的股利</w:t>
      </w:r>
      <w:r>
        <w:rPr/>
        <w:t> 和利息收入计入当期损益。</w:t>
      </w:r>
    </w:p>
    <w:p>
      <w:pPr>
        <w:pStyle w:val="BodyText"/>
        <w:spacing w:line="240" w:lineRule="auto" w:before="57"/>
        <w:ind w:left="513" w:right="1133"/>
        <w:jc w:val="left"/>
      </w:pPr>
      <w:r>
        <w:rPr/>
        <w:t>本公司对此类金融资产根据其流动性在交易性金融资产、其他非流动金融资产项目列报。</w:t>
      </w:r>
    </w:p>
    <w:p>
      <w:pPr>
        <w:pStyle w:val="BodyText"/>
        <w:spacing w:line="340" w:lineRule="auto" w:before="117"/>
        <w:ind w:left="513" w:right="1129"/>
        <w:jc w:val="left"/>
      </w:pPr>
      <w:r>
        <w:rPr>
          <w:rFonts w:ascii="Times New Roman" w:hAnsi="Times New Roman" w:cs="Times New Roman" w:eastAsia="Times New Roman" w:hint="default"/>
          <w:b/>
          <w:bCs/>
        </w:rPr>
        <w:t>2.</w:t>
      </w:r>
      <w:r>
        <w:rPr>
          <w:rFonts w:ascii="宋体" w:hAnsi="宋体" w:cs="宋体" w:eastAsia="宋体" w:hint="default"/>
          <w:b/>
          <w:bCs/>
        </w:rPr>
        <w:t>金融负债分类和计量</w:t>
      </w:r>
      <w:r>
        <w:rPr>
          <w:rFonts w:ascii="宋体" w:hAnsi="宋体" w:cs="宋体" w:eastAsia="宋体" w:hint="default"/>
          <w:b/>
          <w:bCs/>
          <w:w w:val="99"/>
        </w:rPr>
        <w:t> </w:t>
      </w:r>
      <w:r>
        <w:rPr>
          <w:spacing w:val="-2"/>
        </w:rPr>
        <w:t>本公司根据所发行金融工具的合同条款及其所反映的经济实质而非仅以法律形式，结合金融负债和权益工具的定义，在</w:t>
      </w:r>
    </w:p>
    <w:p>
      <w:pPr>
        <w:pStyle w:val="BodyText"/>
        <w:spacing w:line="316" w:lineRule="auto" w:before="1"/>
        <w:ind w:right="1129"/>
        <w:jc w:val="left"/>
      </w:pPr>
      <w:r>
        <w:rPr>
          <w:spacing w:val="-2"/>
        </w:rPr>
        <w:t>初始确认时将该金融工具或其组成部分分类为金融负债或权益工具。金融负债在初始确认时分类为：以公允价值计量且其变</w:t>
      </w:r>
      <w:r>
        <w:rPr>
          <w:spacing w:val="-64"/>
        </w:rPr>
        <w:t> </w:t>
      </w:r>
      <w:r>
        <w:rPr>
          <w:spacing w:val="-64"/>
        </w:rPr>
      </w:r>
      <w:r>
        <w:rPr/>
        <w:t>动计入当期损益的金融负债、其他金融负债、被指定为有效套期工具的衍生工具。</w:t>
      </w:r>
    </w:p>
    <w:p>
      <w:pPr>
        <w:pStyle w:val="BodyText"/>
        <w:spacing w:line="316" w:lineRule="auto" w:before="57"/>
        <w:ind w:right="1129" w:firstLine="360"/>
        <w:jc w:val="left"/>
      </w:pPr>
      <w:r>
        <w:rPr>
          <w:spacing w:val="-2"/>
        </w:rPr>
        <w:t>金融负债在初始确认时以公允价值计量。对于以公允价值计量且其变动计入当期损益的金融负债，相关的交易费用直接</w:t>
      </w:r>
      <w:r>
        <w:rPr/>
        <w:t> 计入当期损益；对于其他类别的金融负债，相关交易费用计入初始确认金额。</w:t>
      </w:r>
    </w:p>
    <w:p>
      <w:pPr>
        <w:pStyle w:val="BodyText"/>
        <w:spacing w:line="240" w:lineRule="auto" w:before="60"/>
        <w:ind w:left="513" w:right="1133"/>
        <w:jc w:val="left"/>
      </w:pPr>
      <w:r>
        <w:rPr/>
        <w:t>金融负债的后续计量取决于其分类：</w:t>
      </w:r>
    </w:p>
    <w:p>
      <w:pPr>
        <w:pStyle w:val="BodyText"/>
        <w:spacing w:line="338" w:lineRule="auto" w:before="117"/>
        <w:ind w:left="513" w:right="1129"/>
        <w:jc w:val="left"/>
      </w:pPr>
      <w:r>
        <w:rPr/>
        <w:t>（</w:t>
      </w:r>
      <w:r>
        <w:rPr>
          <w:rFonts w:ascii="Times New Roman" w:hAnsi="Times New Roman" w:cs="Times New Roman" w:eastAsia="Times New Roman" w:hint="default"/>
        </w:rPr>
        <w:t>1</w:t>
      </w:r>
      <w:r>
        <w:rPr/>
        <w:t>）以公允价值计量且其变动计入当期损益的金融负债 </w:t>
      </w:r>
      <w:r>
        <w:rPr>
          <w:spacing w:val="-2"/>
        </w:rPr>
        <w:t>此类金融负债包括交易性金融负债（含属于金融负债的衍生工具）和初始确认时指定为以公允价值计量且其变动计入当</w:t>
      </w:r>
    </w:p>
    <w:p>
      <w:pPr>
        <w:pStyle w:val="BodyText"/>
        <w:spacing w:line="360" w:lineRule="auto" w:before="2"/>
        <w:ind w:left="513" w:right="1129" w:hanging="361"/>
        <w:jc w:val="left"/>
      </w:pPr>
      <w:r>
        <w:rPr/>
        <w:t>期损益的金融负债。 </w:t>
      </w:r>
      <w:r>
        <w:rPr>
          <w:spacing w:val="-2"/>
        </w:rPr>
        <w:t>满足下列条件之一的，属于交易性金融负债：承担相关金融负债的目的主要是为了在近期内出售或回购；属于集中管理</w:t>
      </w:r>
    </w:p>
    <w:p>
      <w:pPr>
        <w:pStyle w:val="BodyText"/>
        <w:spacing w:line="222" w:lineRule="exact"/>
        <w:ind w:right="0"/>
        <w:jc w:val="left"/>
      </w:pPr>
      <w:r>
        <w:rPr/>
        <w:t>的可辨认金融工具组合的一部分，且有客观证据表明企业近期采用短期获利方式模式；属于衍生工具，但是，被指定且为有</w:t>
      </w:r>
    </w:p>
    <w:p>
      <w:pPr>
        <w:pStyle w:val="BodyText"/>
        <w:spacing w:line="316" w:lineRule="auto" w:before="76"/>
        <w:ind w:right="1133"/>
        <w:jc w:val="left"/>
      </w:pPr>
      <w:r>
        <w:rPr>
          <w:spacing w:val="-2"/>
        </w:rPr>
        <w:t>效套期工具的衍生工具、符合财务担保合同的衍生工具除外。交易性金融负债（含属于金融负债的衍生工具），按照公允价</w:t>
      </w:r>
      <w:r>
        <w:rPr>
          <w:spacing w:val="-67"/>
        </w:rPr>
        <w:t> </w:t>
      </w:r>
      <w:r>
        <w:rPr>
          <w:spacing w:val="-67"/>
        </w:rPr>
      </w:r>
      <w:r>
        <w:rPr/>
        <w:t>值进行后续计量，除与套期会计有关外，所有公允价值变动均计入当期损益。</w:t>
      </w:r>
    </w:p>
    <w:p>
      <w:pPr>
        <w:pStyle w:val="BodyText"/>
        <w:spacing w:line="240" w:lineRule="auto" w:before="59"/>
        <w:ind w:left="513" w:right="0"/>
        <w:jc w:val="left"/>
      </w:pPr>
      <w:r>
        <w:rPr/>
        <w:t>在初始确认时，为了提供更相关的会计信息，本公司将满足下列条件之一的金融负债不可撤销地指定为以公允价值计量</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且其变动计入当期损益的金融负债：</w:t>
      </w:r>
    </w:p>
    <w:p>
      <w:pPr>
        <w:pStyle w:val="BodyText"/>
        <w:spacing w:line="240" w:lineRule="auto" w:before="117"/>
        <w:ind w:left="513" w:right="1133"/>
        <w:jc w:val="left"/>
      </w:pPr>
      <w:r>
        <w:rPr>
          <w:rFonts w:ascii="Times New Roman" w:hAnsi="Times New Roman" w:cs="Times New Roman" w:eastAsia="Times New Roman" w:hint="default"/>
        </w:rPr>
        <w:t>1</w:t>
      </w:r>
      <w:r>
        <w:rPr/>
        <w:t>）能够消除或显著减少会计错配。</w:t>
      </w:r>
    </w:p>
    <w:p>
      <w:pPr>
        <w:pStyle w:val="BodyText"/>
        <w:spacing w:line="300" w:lineRule="auto" w:before="101"/>
        <w:ind w:right="1124" w:firstLine="360"/>
        <w:jc w:val="left"/>
      </w:pPr>
      <w:r>
        <w:rPr>
          <w:rFonts w:ascii="Times New Roman" w:hAnsi="Times New Roman" w:cs="Times New Roman" w:eastAsia="Times New Roman" w:hint="default"/>
        </w:rPr>
        <w:t>2</w:t>
      </w:r>
      <w:r>
        <w:rPr/>
        <w:t>）根据正式书面文件载明的企业风险管理或投资策略，以公允价值为基础对金融负债组合或金融资产和金融负债组合 进行管理和业绩评价，并在企业内部以此为基础向关键管理人员报告。</w:t>
      </w:r>
    </w:p>
    <w:p>
      <w:pPr>
        <w:pStyle w:val="BodyText"/>
        <w:spacing w:line="316" w:lineRule="auto" w:before="72"/>
        <w:ind w:right="1131" w:firstLine="360"/>
        <w:jc w:val="both"/>
      </w:pPr>
      <w:r>
        <w:rPr>
          <w:spacing w:val="-2"/>
        </w:rPr>
        <w:t>本公司对此类金融负债采用公允价值进行后续计量，除由本公司自身信用风险变动引起的公允价值变动计入其他综合收</w:t>
      </w:r>
      <w:r>
        <w:rPr/>
        <w:t> </w:t>
      </w:r>
      <w:r>
        <w:rPr>
          <w:spacing w:val="-2"/>
        </w:rPr>
        <w:t>益之外，其他公允价值变动计入当期损益。除非由本公司自身信用风险变动引起的公允价值变动计入其他综合收益会造成或</w:t>
      </w:r>
      <w:r>
        <w:rPr>
          <w:spacing w:val="-63"/>
        </w:rPr>
        <w:t> </w:t>
      </w:r>
      <w:r>
        <w:rPr>
          <w:spacing w:val="-63"/>
        </w:rPr>
      </w:r>
      <w:r>
        <w:rPr/>
        <w:t>扩大损益中的会计错配，本公司将所有公允价值变动（包括自身信用风险变动的影响金额）计入当期损益。</w:t>
      </w:r>
    </w:p>
    <w:p>
      <w:pPr>
        <w:pStyle w:val="BodyText"/>
        <w:spacing w:line="338" w:lineRule="auto" w:before="59"/>
        <w:ind w:left="513" w:right="1129"/>
        <w:jc w:val="left"/>
      </w:pPr>
      <w:r>
        <w:rPr/>
        <w:t>（</w:t>
      </w:r>
      <w:r>
        <w:rPr>
          <w:rFonts w:ascii="Times New Roman" w:hAnsi="Times New Roman" w:cs="Times New Roman" w:eastAsia="Times New Roman" w:hint="default"/>
        </w:rPr>
        <w:t>2</w:t>
      </w:r>
      <w:r>
        <w:rPr/>
        <w:t>）其他金融负债 </w:t>
      </w:r>
      <w:r>
        <w:rPr>
          <w:spacing w:val="-2"/>
        </w:rPr>
        <w:t>除下列各项外，公司将金融负债分类为以摊余成本计量的金融负债，对此类金融负债采用实际利率法，按照摊余成本进</w:t>
      </w:r>
    </w:p>
    <w:p>
      <w:pPr>
        <w:pStyle w:val="BodyText"/>
        <w:spacing w:line="240" w:lineRule="auto" w:before="2"/>
        <w:ind w:right="1133"/>
        <w:jc w:val="left"/>
      </w:pPr>
      <w:r>
        <w:rPr/>
        <w:t>行后续计量，终止确认或摊销产生的利得或损失计入当期损益：</w:t>
      </w:r>
    </w:p>
    <w:p>
      <w:pPr>
        <w:pStyle w:val="BodyText"/>
        <w:spacing w:line="240" w:lineRule="auto" w:before="117"/>
        <w:ind w:left="513" w:right="1133"/>
        <w:jc w:val="left"/>
      </w:pPr>
      <w:r>
        <w:rPr>
          <w:rFonts w:ascii="Times New Roman" w:hAnsi="Times New Roman" w:cs="Times New Roman" w:eastAsia="Times New Roman" w:hint="default"/>
        </w:rPr>
        <w:t>1</w:t>
      </w:r>
      <w:r>
        <w:rPr/>
        <w:t>）以公允价值计量且其变动计入当期损益的金融负债。</w:t>
      </w:r>
    </w:p>
    <w:p>
      <w:pPr>
        <w:pStyle w:val="BodyText"/>
        <w:spacing w:line="240" w:lineRule="auto" w:before="104"/>
        <w:ind w:left="513" w:right="1133"/>
        <w:jc w:val="left"/>
      </w:pPr>
      <w:r>
        <w:rPr>
          <w:rFonts w:ascii="Times New Roman" w:hAnsi="Times New Roman" w:cs="Times New Roman" w:eastAsia="Times New Roman" w:hint="default"/>
        </w:rPr>
        <w:t>2</w:t>
      </w:r>
      <w:r>
        <w:rPr/>
        <w:t>）金融资产转移不符合终止确认条件或继续涉入被转移金融资产所形成的金融负债。</w:t>
      </w:r>
    </w:p>
    <w:p>
      <w:pPr>
        <w:pStyle w:val="BodyText"/>
        <w:spacing w:line="340" w:lineRule="auto" w:before="101"/>
        <w:ind w:left="513" w:right="1129"/>
        <w:jc w:val="left"/>
      </w:pPr>
      <w:r>
        <w:rPr>
          <w:rFonts w:ascii="Times New Roman" w:hAnsi="Times New Roman" w:cs="Times New Roman" w:eastAsia="Times New Roman" w:hint="default"/>
        </w:rPr>
        <w:t>3</w:t>
      </w:r>
      <w:r>
        <w:rPr/>
        <w:t>）不属于本条前两类情形的财务担保合同，以及不属于本条第</w:t>
      </w:r>
      <w:r>
        <w:rPr>
          <w:rFonts w:ascii="Times New Roman" w:hAnsi="Times New Roman" w:cs="Times New Roman" w:eastAsia="Times New Roman" w:hint="default"/>
        </w:rPr>
        <w:t>1</w:t>
      </w:r>
      <w:r>
        <w:rPr/>
        <w:t>）类情形的以低于市场利率贷款的贷款承诺。 </w:t>
      </w:r>
      <w:r>
        <w:rPr>
          <w:spacing w:val="-2"/>
        </w:rPr>
        <w:t>财务担保合同是指当特定债务人到期不能按照最初或修改后的债务工具条款偿付债务时，要求发行方向蒙受损失的合同</w:t>
      </w:r>
    </w:p>
    <w:p>
      <w:pPr>
        <w:pStyle w:val="BodyText"/>
        <w:spacing w:line="316" w:lineRule="auto" w:before="1"/>
        <w:ind w:right="1129"/>
        <w:jc w:val="left"/>
      </w:pPr>
      <w:r>
        <w:rPr>
          <w:spacing w:val="-2"/>
        </w:rPr>
        <w:t>持有人赔付特定金额的合同。不属于指定为以公允价值计量且其变动计入当期损益的金融负债的财务担保合同，在初始确认</w:t>
      </w:r>
      <w:r>
        <w:rPr>
          <w:spacing w:val="-64"/>
        </w:rPr>
        <w:t> </w:t>
      </w:r>
      <w:r>
        <w:rPr>
          <w:spacing w:val="-64"/>
        </w:rPr>
      </w:r>
      <w:r>
        <w:rPr/>
        <w:t>后按照损失准备金额以及初始确认金额扣除担保期内的累计摊销额后的余额孰高进行计量。</w:t>
      </w:r>
    </w:p>
    <w:p>
      <w:pPr>
        <w:pStyle w:val="Heading4"/>
        <w:spacing w:line="240" w:lineRule="auto" w:before="59"/>
        <w:ind w:right="1133"/>
        <w:jc w:val="left"/>
        <w:rPr>
          <w:b w:val="0"/>
          <w:bCs w:val="0"/>
        </w:rPr>
      </w:pPr>
      <w:r>
        <w:rPr>
          <w:rFonts w:ascii="Times New Roman" w:hAnsi="Times New Roman" w:cs="Times New Roman" w:eastAsia="Times New Roman" w:hint="default"/>
        </w:rPr>
        <w:t>3.</w:t>
      </w:r>
      <w:r>
        <w:rPr/>
        <w:t>金融资产和金融负债的终止确认</w:t>
      </w:r>
      <w:r>
        <w:rPr>
          <w:b w:val="0"/>
          <w:bCs w:val="0"/>
        </w:rPr>
      </w:r>
    </w:p>
    <w:p>
      <w:pPr>
        <w:pStyle w:val="BodyText"/>
        <w:spacing w:line="240" w:lineRule="auto" w:before="101"/>
        <w:ind w:left="513" w:right="1133"/>
        <w:jc w:val="left"/>
      </w:pPr>
      <w:r>
        <w:rPr/>
        <w:t>（</w:t>
      </w:r>
      <w:r>
        <w:rPr>
          <w:rFonts w:ascii="Times New Roman" w:hAnsi="Times New Roman" w:cs="Times New Roman" w:eastAsia="Times New Roman" w:hint="default"/>
        </w:rPr>
        <w:t>1</w:t>
      </w:r>
      <w:r>
        <w:rPr/>
        <w:t>）金融资产满足下列条件之一的，终止确认金融资产，即从其账户和资产负债表内予以转销：</w:t>
      </w:r>
    </w:p>
    <w:p>
      <w:pPr>
        <w:pStyle w:val="BodyText"/>
        <w:spacing w:line="240" w:lineRule="auto" w:before="103"/>
        <w:ind w:left="513" w:right="1133"/>
        <w:jc w:val="left"/>
      </w:pPr>
      <w:r>
        <w:rPr>
          <w:rFonts w:ascii="Times New Roman" w:hAnsi="Times New Roman" w:cs="Times New Roman" w:eastAsia="Times New Roman" w:hint="default"/>
        </w:rPr>
        <w:t>1</w:t>
      </w:r>
      <w:r>
        <w:rPr/>
        <w:t>）收取该金融资产现金流量的合同权利终止。</w:t>
      </w:r>
    </w:p>
    <w:p>
      <w:pPr>
        <w:pStyle w:val="BodyText"/>
        <w:spacing w:line="240" w:lineRule="auto" w:before="103"/>
        <w:ind w:left="513" w:right="1133"/>
        <w:jc w:val="left"/>
      </w:pPr>
      <w:r>
        <w:rPr>
          <w:rFonts w:ascii="Times New Roman" w:hAnsi="Times New Roman" w:cs="Times New Roman" w:eastAsia="Times New Roman" w:hint="default"/>
        </w:rPr>
        <w:t>2</w:t>
      </w:r>
      <w:r>
        <w:rPr/>
        <w:t>）该金融资产已转移，且该转移满足金融资产终止确认的规定。</w:t>
      </w:r>
    </w:p>
    <w:p>
      <w:pPr>
        <w:pStyle w:val="BodyText"/>
        <w:spacing w:line="350" w:lineRule="auto" w:before="101"/>
        <w:ind w:left="513" w:right="1129"/>
        <w:jc w:val="left"/>
      </w:pPr>
      <w:r>
        <w:rPr/>
        <w:t>（</w:t>
      </w:r>
      <w:r>
        <w:rPr>
          <w:rFonts w:ascii="Times New Roman" w:hAnsi="Times New Roman" w:cs="Times New Roman" w:eastAsia="Times New Roman" w:hint="default"/>
        </w:rPr>
        <w:t>2</w:t>
      </w:r>
      <w:r>
        <w:rPr/>
        <w:t>）金融负债终止确认条件 金融负债（或其一部分）的现时义务已经解除的，则终止确认该金融负债（或该部分金融负债）。 </w:t>
      </w:r>
      <w:r>
        <w:rPr>
          <w:spacing w:val="-2"/>
        </w:rPr>
        <w:t>本公司与借出方之间签订协议，以承担新金融负债方式替换原金融负债，且新金融负债与原金融负债的合同条款实质上</w:t>
      </w:r>
    </w:p>
    <w:p>
      <w:pPr>
        <w:pStyle w:val="BodyText"/>
        <w:spacing w:line="316" w:lineRule="auto"/>
        <w:ind w:right="0"/>
        <w:jc w:val="left"/>
      </w:pPr>
      <w:r>
        <w:rPr>
          <w:spacing w:val="-4"/>
        </w:rPr>
        <w:t>不同的，或对原金融负债（或其一部分）的合同条款做出实质性修改的，则终止确认原金融负债，同时确认一项新金融负债，</w:t>
      </w:r>
      <w:r>
        <w:rPr>
          <w:spacing w:val="-43"/>
        </w:rPr>
        <w:t> </w:t>
      </w:r>
      <w:r>
        <w:rPr>
          <w:spacing w:val="-43"/>
        </w:rPr>
      </w:r>
      <w:r>
        <w:rPr/>
        <w:t>账面价值与支付的对价（包括转出的非现金资产或承担的负债）之间的差额，计入当期损益。</w:t>
      </w:r>
    </w:p>
    <w:p>
      <w:pPr>
        <w:pStyle w:val="BodyText"/>
        <w:spacing w:line="316" w:lineRule="auto" w:before="57"/>
        <w:ind w:right="0" w:firstLine="360"/>
        <w:jc w:val="left"/>
      </w:pPr>
      <w:r>
        <w:rPr>
          <w:spacing w:val="-2"/>
        </w:rPr>
        <w:t>本公司回购金融负债一部分的，按照继续确认部分和终止确认部分在回购日各自的公允价值占整体公允价值的比例，对</w:t>
      </w:r>
      <w:r>
        <w:rPr/>
        <w:t> </w:t>
      </w:r>
      <w:r>
        <w:rPr>
          <w:spacing w:val="-4"/>
        </w:rPr>
        <w:t>该金融负债整体的账面价值进行分配。分配给终止确认部分的账面价值与支付的对价（包括转出的非现金资产或承担的负债）</w:t>
      </w:r>
      <w:r>
        <w:rPr>
          <w:spacing w:val="-44"/>
        </w:rPr>
        <w:t> </w:t>
      </w:r>
      <w:r>
        <w:rPr>
          <w:spacing w:val="-44"/>
        </w:rPr>
      </w:r>
      <w:r>
        <w:rPr/>
        <w:t>之间的差额，应当计入当期损益。</w:t>
      </w:r>
    </w:p>
    <w:p>
      <w:pPr>
        <w:spacing w:line="340" w:lineRule="auto" w:before="59"/>
        <w:ind w:left="513" w:right="193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金融资产转移的确认依据和计量方法</w:t>
      </w:r>
      <w:r>
        <w:rPr>
          <w:rFonts w:ascii="宋体" w:hAnsi="宋体" w:cs="宋体" w:eastAsia="宋体" w:hint="default"/>
          <w:b/>
          <w:bCs/>
          <w:w w:val="99"/>
          <w:sz w:val="18"/>
          <w:szCs w:val="18"/>
        </w:rPr>
        <w:t> </w:t>
      </w:r>
      <w:r>
        <w:rPr>
          <w:rFonts w:ascii="宋体" w:hAnsi="宋体" w:cs="宋体" w:eastAsia="宋体" w:hint="default"/>
          <w:sz w:val="18"/>
          <w:szCs w:val="18"/>
        </w:rPr>
        <w:t>本公司在发生金融资产转移时，评估其保留金融资产所有权上的风险和报酬的程度，并分别下列情形处理：</w:t>
      </w:r>
    </w:p>
    <w:p>
      <w:pPr>
        <w:pStyle w:val="BodyText"/>
        <w:spacing w:line="300" w:lineRule="auto" w:before="39"/>
        <w:ind w:right="1124" w:firstLine="360"/>
        <w:jc w:val="left"/>
      </w:pPr>
      <w:r>
        <w:rPr/>
        <w:t>（</w:t>
      </w:r>
      <w:r>
        <w:rPr>
          <w:rFonts w:ascii="Times New Roman" w:hAnsi="Times New Roman" w:cs="Times New Roman" w:eastAsia="Times New Roman" w:hint="default"/>
        </w:rPr>
        <w:t>1</w:t>
      </w:r>
      <w:r>
        <w:rPr/>
        <w:t>）转移了金融资产所有权上几乎所有风险和报酬的，则终止确认该金融资产，并将转移中产生或保留的权利和义务 单独确认为资产或负债。</w:t>
      </w:r>
    </w:p>
    <w:p>
      <w:pPr>
        <w:pStyle w:val="BodyText"/>
        <w:spacing w:line="240" w:lineRule="auto" w:before="73"/>
        <w:ind w:left="513" w:right="1133"/>
        <w:jc w:val="left"/>
      </w:pPr>
      <w:r>
        <w:rPr/>
        <w:t>（</w:t>
      </w:r>
      <w:r>
        <w:rPr>
          <w:rFonts w:ascii="Times New Roman" w:hAnsi="Times New Roman" w:cs="Times New Roman" w:eastAsia="Times New Roman" w:hint="default"/>
        </w:rPr>
        <w:t>2</w:t>
      </w:r>
      <w:r>
        <w:rPr/>
        <w:t>）保留了金融资产所有权上几乎所有风险和报酬的，则继续确认该金融资产。</w:t>
      </w:r>
    </w:p>
    <w:p>
      <w:pPr>
        <w:pStyle w:val="BodyText"/>
        <w:spacing w:line="300" w:lineRule="auto" w:before="103"/>
        <w:ind w:right="1124" w:firstLine="360"/>
        <w:jc w:val="left"/>
      </w:pPr>
      <w:r>
        <w:rPr/>
        <w:t>（</w:t>
      </w:r>
      <w:r>
        <w:rPr>
          <w:rFonts w:ascii="Times New Roman" w:hAnsi="Times New Roman" w:cs="Times New Roman" w:eastAsia="Times New Roman" w:hint="default"/>
        </w:rPr>
        <w:t>3</w:t>
      </w:r>
      <w:r>
        <w:rPr/>
        <w:t>）既没有转移也没有保留金融资产所有权上几乎所有风险和报酬的（即除本条（</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）之外的其他情形），则 根据其是否保留了对金融资产的控制，分别下列情形处理：</w:t>
      </w:r>
    </w:p>
    <w:p>
      <w:pPr>
        <w:pStyle w:val="BodyText"/>
        <w:spacing w:line="240" w:lineRule="auto" w:before="70"/>
        <w:ind w:left="513" w:right="0"/>
        <w:jc w:val="left"/>
      </w:pPr>
      <w:r>
        <w:rPr>
          <w:rFonts w:ascii="Times New Roman" w:hAnsi="Times New Roman" w:cs="Times New Roman" w:eastAsia="Times New Roman" w:hint="default"/>
        </w:rPr>
        <w:t>1</w:t>
      </w:r>
      <w:r>
        <w:rPr/>
        <w:t>）未保留对该金融资产控制的，则终止确认该金融资产，并将转移中产生或保留的权利和义务单独确认为资产或负债。</w:t>
      </w:r>
    </w:p>
    <w:p>
      <w:pPr>
        <w:pStyle w:val="BodyText"/>
        <w:spacing w:line="300" w:lineRule="auto" w:before="103"/>
        <w:ind w:right="1124" w:firstLine="360"/>
        <w:jc w:val="left"/>
      </w:pPr>
      <w:r>
        <w:rPr>
          <w:rFonts w:ascii="Times New Roman" w:hAnsi="Times New Roman" w:cs="Times New Roman" w:eastAsia="Times New Roman" w:hint="default"/>
        </w:rPr>
        <w:t>2</w:t>
      </w:r>
      <w:r>
        <w:rPr/>
        <w:t>）保留了对该金融资产控制的，则按照其继续涉入被转移金融资产的程度继续确认有关金融资产，并相应确认相关负 债。继续涉入被转移金融资产的程度，是指本公司承担的被转移金融资产价值变动风险或报酬的程度。</w:t>
      </w:r>
    </w:p>
    <w:p>
      <w:pPr>
        <w:pStyle w:val="BodyText"/>
        <w:spacing w:line="316" w:lineRule="auto" w:before="72"/>
        <w:ind w:right="1129" w:firstLine="360"/>
        <w:jc w:val="left"/>
      </w:pPr>
      <w:r>
        <w:rPr>
          <w:spacing w:val="-2"/>
        </w:rPr>
        <w:t>在判断金融资产转移是否满足上述金融资产终止确认条件时，采用实质重于形式的原则。公司将金融资产转移区分为金</w:t>
      </w:r>
      <w:r>
        <w:rPr/>
        <w:t> 融资产整体转移和部分转移。</w:t>
      </w:r>
    </w:p>
    <w:p>
      <w:pPr>
        <w:pStyle w:val="BodyText"/>
        <w:spacing w:line="240" w:lineRule="auto" w:before="57"/>
        <w:ind w:left="513" w:right="1133"/>
        <w:jc w:val="left"/>
      </w:pPr>
      <w:r>
        <w:rPr/>
        <w:t>（</w:t>
      </w:r>
      <w:r>
        <w:rPr>
          <w:rFonts w:ascii="Times New Roman" w:hAnsi="Times New Roman" w:cs="Times New Roman" w:eastAsia="Times New Roman" w:hint="default"/>
        </w:rPr>
        <w:t>1</w:t>
      </w:r>
      <w:r>
        <w:rPr/>
        <w:t>）金融资产整体转移满足终止确认条件的，将下列两项金额的差额计入当期损益：</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1133"/>
        <w:jc w:val="left"/>
      </w:pPr>
      <w:r>
        <w:rPr>
          <w:rFonts w:ascii="Times New Roman" w:hAnsi="Times New Roman" w:cs="Times New Roman" w:eastAsia="Times New Roman" w:hint="default"/>
        </w:rPr>
        <w:t>1</w:t>
      </w:r>
      <w:r>
        <w:rPr/>
        <w:t>）被转移金融资产在终止确认日的账面价值。</w:t>
      </w:r>
    </w:p>
    <w:p>
      <w:pPr>
        <w:pStyle w:val="BodyText"/>
        <w:spacing w:line="300" w:lineRule="auto" w:before="104"/>
        <w:ind w:right="1133" w:firstLine="360"/>
        <w:jc w:val="both"/>
      </w:pPr>
      <w:r>
        <w:rPr>
          <w:rFonts w:ascii="Times New Roman" w:hAnsi="Times New Roman" w:cs="Times New Roman" w:eastAsia="Times New Roman" w:hint="default"/>
        </w:rPr>
        <w:t>2</w:t>
      </w:r>
      <w:r>
        <w:rPr/>
        <w:t>）因转移金融资产而收到的对价，与原直接计入其他综合收益的公允价值变动累计额中对应终止确认部分的金额（涉 及转移的金融资产为以公允价值计量且其变动计入其他综合收益的金融资产）之和。</w:t>
      </w:r>
    </w:p>
    <w:p>
      <w:pPr>
        <w:pStyle w:val="BodyText"/>
        <w:spacing w:line="309" w:lineRule="auto" w:before="70"/>
        <w:ind w:right="1131" w:firstLine="360"/>
        <w:jc w:val="both"/>
      </w:pPr>
      <w:r>
        <w:rPr/>
        <w:t>（</w:t>
      </w:r>
      <w:r>
        <w:rPr>
          <w:rFonts w:ascii="Times New Roman" w:hAnsi="Times New Roman" w:cs="Times New Roman" w:eastAsia="Times New Roman" w:hint="default"/>
        </w:rPr>
        <w:t>2</w:t>
      </w:r>
      <w:r>
        <w:rPr/>
        <w:t>）金融资产部分转移且该被转移部分整体满足终止确认条件的，将转移前金融资产整体的账面价值，在终止确认部 </w:t>
      </w:r>
      <w:r>
        <w:rPr>
          <w:spacing w:val="-2"/>
        </w:rPr>
        <w:t>分和继续确认部分（在此种情形下，所保留的服务资产应当视同继续确认金融资产的一部分）之间，按照转移日各自的相对</w:t>
      </w:r>
      <w:r>
        <w:rPr>
          <w:spacing w:val="-64"/>
        </w:rPr>
        <w:t> </w:t>
      </w:r>
      <w:r>
        <w:rPr>
          <w:spacing w:val="-64"/>
        </w:rPr>
      </w:r>
      <w:r>
        <w:rPr/>
        <w:t>公允价值进行分摊，并将下列两项金额的差额计入当期损益：</w:t>
      </w:r>
    </w:p>
    <w:p>
      <w:pPr>
        <w:pStyle w:val="BodyText"/>
        <w:spacing w:line="240" w:lineRule="auto" w:before="65"/>
        <w:ind w:left="513" w:right="1133"/>
        <w:jc w:val="left"/>
      </w:pPr>
      <w:r>
        <w:rPr>
          <w:rFonts w:ascii="Times New Roman" w:hAnsi="Times New Roman" w:cs="Times New Roman" w:eastAsia="Times New Roman" w:hint="default"/>
        </w:rPr>
        <w:t>1</w:t>
      </w:r>
      <w:r>
        <w:rPr/>
        <w:t>）终止确认部分在终止确认日的账面价值。</w:t>
      </w:r>
    </w:p>
    <w:p>
      <w:pPr>
        <w:pStyle w:val="BodyText"/>
        <w:spacing w:line="300" w:lineRule="auto" w:before="103"/>
        <w:ind w:right="1133" w:firstLine="360"/>
        <w:jc w:val="both"/>
      </w:pPr>
      <w:r>
        <w:rPr>
          <w:rFonts w:ascii="Times New Roman" w:hAnsi="Times New Roman" w:cs="Times New Roman" w:eastAsia="Times New Roman" w:hint="default"/>
        </w:rPr>
        <w:t>2</w:t>
      </w:r>
      <w:r>
        <w:rPr/>
        <w:t>）终止确认部分收到的对价，与原计入其他综合收益的公允价值变动累计额中对应终止确认部分的金额（涉及转移的 金融资产为以公允价值计量且其变动计入其他综合收益的金融资产）之和。</w:t>
      </w:r>
    </w:p>
    <w:p>
      <w:pPr>
        <w:pStyle w:val="BodyText"/>
        <w:spacing w:line="350" w:lineRule="auto" w:before="70"/>
        <w:ind w:left="513" w:right="1129"/>
        <w:jc w:val="left"/>
      </w:pPr>
      <w:r>
        <w:rPr/>
        <w:t>金融资产转移不满足终止确认条件的，继续确认该金融资产，所收到的对价确认为一项金融负债。 </w:t>
      </w:r>
      <w:r>
        <w:rPr>
          <w:rFonts w:ascii="Times New Roman" w:hAnsi="Times New Roman" w:cs="Times New Roman" w:eastAsia="Times New Roman" w:hint="default"/>
          <w:b/>
          <w:bCs/>
        </w:rPr>
        <w:t>5.</w:t>
      </w:r>
      <w:r>
        <w:rPr>
          <w:rFonts w:ascii="宋体" w:hAnsi="宋体" w:cs="宋体" w:eastAsia="宋体" w:hint="default"/>
          <w:b/>
          <w:bCs/>
        </w:rPr>
        <w:t>金融资产和金融负债公允价值的确定方法</w:t>
      </w:r>
      <w:r>
        <w:rPr>
          <w:rFonts w:ascii="宋体" w:hAnsi="宋体" w:cs="宋体" w:eastAsia="宋体" w:hint="default"/>
          <w:b/>
          <w:bCs/>
          <w:w w:val="99"/>
        </w:rPr>
        <w:t> </w:t>
      </w:r>
      <w:r>
        <w:rPr>
          <w:spacing w:val="-2"/>
        </w:rPr>
        <w:t>存在活跃市场的金融资产或金融负债，以活跃市场的报价确定其公允价值，除非该项金融资产存在针对资产本身的限售</w:t>
      </w:r>
    </w:p>
    <w:p>
      <w:pPr>
        <w:pStyle w:val="BodyText"/>
        <w:spacing w:line="316" w:lineRule="auto"/>
        <w:ind w:right="1034"/>
        <w:jc w:val="left"/>
      </w:pPr>
      <w:r>
        <w:rPr>
          <w:spacing w:val="-2"/>
        </w:rPr>
        <w:t>期。对于针对资产本身的限售的金融资产，按照活跃市场的报价扣除市场参与者因承担指定期间内无法在公开市场上出售该</w:t>
      </w:r>
      <w:r>
        <w:rPr>
          <w:spacing w:val="-64"/>
        </w:rPr>
        <w:t> </w:t>
      </w:r>
      <w:r>
        <w:rPr>
          <w:spacing w:val="-64"/>
        </w:rPr>
      </w:r>
      <w:r>
        <w:rPr/>
        <w:t>金融资产的风险而要求获得的补偿金额后确定。活跃市场的报价包括易于且可定期从交易所、交易商、经纪人、行业集团、 定价机构或监管机构等获得相关资产或负债的报价，且能代表在公平交易基础上实际并经常发生的市场交易。</w:t>
      </w:r>
    </w:p>
    <w:p>
      <w:pPr>
        <w:pStyle w:val="BodyText"/>
        <w:spacing w:line="360" w:lineRule="auto" w:before="57"/>
        <w:ind w:left="513" w:right="1129"/>
        <w:jc w:val="left"/>
      </w:pPr>
      <w:r>
        <w:rPr/>
        <w:t>初始取得或衍生的金融资产或承担的金融负债，以市场交易价格作为确定其公允价值的基础。 </w:t>
      </w:r>
      <w:r>
        <w:rPr>
          <w:spacing w:val="-2"/>
        </w:rPr>
        <w:t>不存在活跃市场的金融资产或金融负债，采用估值技术确定其公允价值。在估值时，本公司采用在当前情况下适用并且</w:t>
      </w:r>
    </w:p>
    <w:p>
      <w:pPr>
        <w:pStyle w:val="BodyText"/>
        <w:spacing w:line="222" w:lineRule="exact"/>
        <w:ind w:right="0"/>
        <w:jc w:val="left"/>
      </w:pPr>
      <w:r>
        <w:rPr/>
        <w:t>有足够可利用数据和其他信息支持的估值技术</w:t>
      </w:r>
      <w:r>
        <w:rPr>
          <w:spacing w:val="-82"/>
        </w:rPr>
        <w:t>，</w:t>
      </w:r>
      <w:r>
        <w:rPr/>
        <w:t>选择与市场参与者在相关资产或负债的交易中所考虑的资产或负债特征相一</w:t>
      </w:r>
    </w:p>
    <w:p>
      <w:pPr>
        <w:pStyle w:val="BodyText"/>
        <w:spacing w:line="316" w:lineRule="auto" w:before="76"/>
        <w:ind w:right="1129"/>
        <w:jc w:val="left"/>
      </w:pPr>
      <w:r>
        <w:rPr>
          <w:spacing w:val="-2"/>
        </w:rPr>
        <w:t>致的输入值，并尽可能优先使用相关可观察输入值。在相关可观察输入值无法取得或取得不切实可行的情况下，使用不可观</w:t>
      </w:r>
      <w:r>
        <w:rPr>
          <w:spacing w:val="-63"/>
        </w:rPr>
        <w:t> </w:t>
      </w:r>
      <w:r>
        <w:rPr>
          <w:spacing w:val="-63"/>
        </w:rPr>
      </w:r>
      <w:r>
        <w:rPr/>
        <w:t>察输入值。</w:t>
      </w:r>
    </w:p>
    <w:p>
      <w:pPr>
        <w:pStyle w:val="BodyText"/>
        <w:spacing w:line="338" w:lineRule="auto" w:before="59"/>
        <w:ind w:left="513" w:right="1129"/>
        <w:jc w:val="left"/>
      </w:pPr>
      <w:r>
        <w:rPr>
          <w:rFonts w:ascii="Times New Roman" w:hAnsi="Times New Roman" w:cs="Times New Roman" w:eastAsia="Times New Roman" w:hint="default"/>
          <w:b/>
          <w:bCs/>
        </w:rPr>
        <w:t>6.</w:t>
      </w:r>
      <w:r>
        <w:rPr>
          <w:rFonts w:ascii="宋体" w:hAnsi="宋体" w:cs="宋体" w:eastAsia="宋体" w:hint="default"/>
          <w:b/>
          <w:bCs/>
        </w:rPr>
        <w:t>金融工具减值</w:t>
      </w:r>
      <w:r>
        <w:rPr>
          <w:rFonts w:ascii="宋体" w:hAnsi="宋体" w:cs="宋体" w:eastAsia="宋体" w:hint="default"/>
          <w:b/>
          <w:bCs/>
          <w:w w:val="99"/>
        </w:rPr>
        <w:t> </w:t>
      </w:r>
      <w:r>
        <w:rPr>
          <w:spacing w:val="-2"/>
        </w:rPr>
        <w:t>本公司以预期信用损失为基础，对分类为以摊余成本计量的金融资产、分类为以公允价值计量且其变动计入其他综合收</w:t>
      </w:r>
    </w:p>
    <w:p>
      <w:pPr>
        <w:pStyle w:val="BodyText"/>
        <w:spacing w:line="360" w:lineRule="auto" w:before="3"/>
        <w:ind w:left="513" w:right="1129" w:hanging="361"/>
        <w:jc w:val="left"/>
      </w:pPr>
      <w:r>
        <w:rPr/>
        <w:t>益的金融资产以及财务担保合同，进行减值会计处理并确认损失准备。 </w:t>
      </w:r>
      <w:r>
        <w:rPr>
          <w:spacing w:val="-2"/>
        </w:rPr>
        <w:t>预期信用损失，是指以发生违约的风险为权重的金融工具信用损失的加权平均值。信用损失，是指本公司按照原实际利</w:t>
      </w:r>
    </w:p>
    <w:p>
      <w:pPr>
        <w:pStyle w:val="BodyText"/>
        <w:spacing w:line="222" w:lineRule="exact"/>
        <w:ind w:right="0"/>
        <w:jc w:val="left"/>
      </w:pPr>
      <w:r>
        <w:rPr/>
        <w:t>率折现的、根据合同应收的所有合同现金流量与预期收取的所有现金流量之间的差额，及全部现金短缺的现值。其中，对于</w:t>
      </w:r>
    </w:p>
    <w:p>
      <w:pPr>
        <w:pStyle w:val="BodyText"/>
        <w:spacing w:line="360" w:lineRule="auto" w:before="76"/>
        <w:ind w:left="513" w:right="1129" w:hanging="361"/>
        <w:jc w:val="left"/>
      </w:pPr>
      <w:r>
        <w:rPr/>
        <w:t>本公司购买或源生的已发生信用减值的金融资产，应按照该金融资产经信用调整的实际利率折现。 </w:t>
      </w:r>
      <w:r>
        <w:rPr>
          <w:spacing w:val="-2"/>
        </w:rPr>
        <w:t>对由收入准则规范的交易形成的应收款项，本公司运用简化计量方法，按照相当于整个存续期内预期信用损失的金额计</w:t>
      </w:r>
    </w:p>
    <w:p>
      <w:pPr>
        <w:pStyle w:val="BodyText"/>
        <w:spacing w:line="222" w:lineRule="exact"/>
        <w:ind w:right="1133"/>
        <w:jc w:val="left"/>
      </w:pPr>
      <w:r>
        <w:rPr/>
        <w:t>量损失准备。</w:t>
      </w:r>
    </w:p>
    <w:p>
      <w:pPr>
        <w:pStyle w:val="BodyText"/>
        <w:spacing w:line="316" w:lineRule="auto" w:before="115"/>
        <w:ind w:right="1130" w:firstLine="360"/>
        <w:jc w:val="both"/>
      </w:pPr>
      <w:r>
        <w:rPr>
          <w:spacing w:val="-2"/>
        </w:rPr>
        <w:t>对于购买或源生的已发生信用减值的金融资产，在资产负债表日仅将自初始确认后整个存续期内预期信用损失的累计变</w:t>
      </w:r>
      <w:r>
        <w:rPr/>
        <w:t> </w:t>
      </w:r>
      <w:r>
        <w:rPr>
          <w:spacing w:val="-2"/>
        </w:rPr>
        <w:t>动确认为损失准备。在每个资产负债表日，将整个存续期内预期信用损失的变动金额作为减值损失或利得计入当期损益。即</w:t>
      </w:r>
      <w:r>
        <w:rPr>
          <w:spacing w:val="-63"/>
        </w:rPr>
        <w:t> </w:t>
      </w:r>
      <w:r>
        <w:rPr>
          <w:spacing w:val="-63"/>
        </w:rPr>
      </w:r>
      <w:r>
        <w:rPr>
          <w:spacing w:val="-2"/>
        </w:rPr>
        <w:t>使该资产负债表日确定的整个存续期内预期信用损失小于初始确认时估计现金流量所反映的预期信用损失的金额，也将预期</w:t>
      </w:r>
      <w:r>
        <w:rPr>
          <w:spacing w:val="-64"/>
        </w:rPr>
        <w:t> </w:t>
      </w:r>
      <w:r>
        <w:rPr>
          <w:spacing w:val="-64"/>
        </w:rPr>
      </w:r>
      <w:r>
        <w:rPr/>
        <w:t>信用损失的有利变动确认为减值利得。</w:t>
      </w:r>
    </w:p>
    <w:p>
      <w:pPr>
        <w:pStyle w:val="BodyText"/>
        <w:spacing w:line="319" w:lineRule="auto" w:before="59"/>
        <w:ind w:right="1132" w:firstLine="360"/>
        <w:jc w:val="both"/>
      </w:pPr>
      <w:r>
        <w:rPr>
          <w:spacing w:val="-2"/>
        </w:rPr>
        <w:t>除上述采用简化计量方法和购买或源生的已发生信用减值以外的其他金融资产，本公司在每个资产负债表日评估相关金</w:t>
      </w:r>
      <w:r>
        <w:rPr/>
        <w:t> 融工具的信用风险自初始确认后是否已显著增加，并按照下列情形分别计量其损失准备、确认预期信用损失及其变动：</w:t>
      </w:r>
    </w:p>
    <w:p>
      <w:pPr>
        <w:pStyle w:val="BodyText"/>
        <w:spacing w:line="300" w:lineRule="auto" w:before="58"/>
        <w:ind w:right="1126" w:firstLine="360"/>
        <w:jc w:val="both"/>
      </w:pPr>
      <w:r>
        <w:rPr/>
        <w:t>（</w:t>
      </w:r>
      <w:r>
        <w:rPr>
          <w:rFonts w:ascii="Times New Roman" w:hAnsi="Times New Roman" w:cs="Times New Roman" w:eastAsia="Times New Roman" w:hint="default"/>
        </w:rPr>
        <w:t>1</w:t>
      </w:r>
      <w:r>
        <w:rPr/>
        <w:t>）如果该金融工具的信用风险自初始确认后并未显著增加，处于第一阶段，则按照相当于该金融工具未来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个月 内预期信用损失的金额计量其损失准备，并按照账面余额和实际利率计算利息收入。</w:t>
      </w:r>
    </w:p>
    <w:p>
      <w:pPr>
        <w:pStyle w:val="BodyText"/>
        <w:spacing w:line="300" w:lineRule="auto" w:before="70"/>
        <w:ind w:right="1133" w:firstLine="360"/>
        <w:jc w:val="both"/>
      </w:pPr>
      <w:r>
        <w:rPr/>
        <w:t>（</w:t>
      </w:r>
      <w:r>
        <w:rPr>
          <w:rFonts w:ascii="Times New Roman" w:hAnsi="Times New Roman" w:cs="Times New Roman" w:eastAsia="Times New Roman" w:hint="default"/>
        </w:rPr>
        <w:t>2</w:t>
      </w:r>
      <w:r>
        <w:rPr/>
        <w:t>）如果该金融工具的信用风险自初始确认后已显著增加但尚未发生信用减值的，处于第二阶段，则按照相当于该金 融工具整个存续期内预期信用损失的金额计量其损失准备，并按照账面余额和实际利率计算利息收入。</w:t>
      </w:r>
    </w:p>
    <w:p>
      <w:pPr>
        <w:pStyle w:val="BodyText"/>
        <w:spacing w:line="300" w:lineRule="auto" w:before="72"/>
        <w:ind w:right="1133" w:firstLine="360"/>
        <w:jc w:val="both"/>
      </w:pPr>
      <w:r>
        <w:rPr/>
        <w:t>（</w:t>
      </w:r>
      <w:r>
        <w:rPr>
          <w:rFonts w:ascii="Times New Roman" w:hAnsi="Times New Roman" w:cs="Times New Roman" w:eastAsia="Times New Roman" w:hint="default"/>
        </w:rPr>
        <w:t>3</w:t>
      </w:r>
      <w:r>
        <w:rPr/>
        <w:t>）如果该金融工具自初始确认后已经发生信用减值的，处于第三阶段，本公司按照相当于该金融工具整个存续期内 预期信用损失的金额计量其损失准备，并按照摊余成本和实际利率计算利息收入。</w:t>
      </w:r>
    </w:p>
    <w:p>
      <w:pPr>
        <w:pStyle w:val="BodyText"/>
        <w:spacing w:line="316" w:lineRule="auto" w:before="72"/>
        <w:ind w:right="1132" w:firstLine="360"/>
        <w:jc w:val="both"/>
      </w:pPr>
      <w:r>
        <w:rPr>
          <w:spacing w:val="-2"/>
        </w:rPr>
        <w:t>金融工具信用损失准备的增加或转回金额，作为减值损失或利得计入当期损益。除分类为以公允价值计量且其变动计入</w:t>
      </w:r>
      <w:r>
        <w:rPr/>
        <w:t> </w:t>
      </w:r>
      <w:r>
        <w:rPr>
          <w:spacing w:val="-2"/>
        </w:rPr>
        <w:t>其他综合收益的金融资产外，信用损失准备抵减金融资产的账面余额。对于分类为以公允价值计量且其变动计入其他综合收</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60" w:lineRule="auto" w:before="44"/>
        <w:ind w:left="513" w:right="1129" w:hanging="361"/>
        <w:jc w:val="left"/>
      </w:pPr>
      <w:r>
        <w:rPr/>
        <w:t>益的金融资产，本公司在其他综合收益中确认其信用损失准备，不减少该金融资产在资产负债表中列示的账面价值。 </w:t>
      </w:r>
      <w:r>
        <w:rPr>
          <w:spacing w:val="-2"/>
        </w:rPr>
        <w:t>本公司在前一会计期间已经按照相当于金融工具整个存续期内预期信用损失的金额计量了损失准备，但在当期资产负债</w:t>
      </w:r>
    </w:p>
    <w:p>
      <w:pPr>
        <w:pStyle w:val="BodyText"/>
        <w:spacing w:line="236" w:lineRule="exact"/>
        <w:ind w:right="0"/>
        <w:jc w:val="left"/>
      </w:pPr>
      <w:r>
        <w:rPr/>
        <w:t>表日，该金融工具已不再属于自初始确认后信用风险显著增加的情形的，本公司在当期资产负债表日按照相当于未来</w:t>
      </w:r>
      <w:r>
        <w:rPr>
          <w:rFonts w:ascii="Times New Roman" w:hAnsi="Times New Roman" w:cs="Times New Roman" w:eastAsia="Times New Roman" w:hint="default"/>
        </w:rPr>
        <w:t>12</w:t>
      </w:r>
      <w:r>
        <w:rPr/>
        <w:t>个月</w:t>
      </w:r>
    </w:p>
    <w:p>
      <w:pPr>
        <w:pStyle w:val="BodyText"/>
        <w:spacing w:line="240" w:lineRule="auto" w:before="63"/>
        <w:ind w:right="1133"/>
        <w:jc w:val="left"/>
      </w:pPr>
      <w:r>
        <w:rPr/>
        <w:t>内预期信用损失的金额计量该金融工具的损失准备，由此形成的损失准备的转回金额作为减值利得计入当期损益。</w:t>
      </w:r>
    </w:p>
    <w:p>
      <w:pPr>
        <w:pStyle w:val="BodyText"/>
        <w:spacing w:line="340" w:lineRule="auto" w:before="115"/>
        <w:ind w:left="513" w:right="1129"/>
        <w:jc w:val="left"/>
      </w:pPr>
      <w:r>
        <w:rPr/>
        <w:t>（</w:t>
      </w:r>
      <w:r>
        <w:rPr>
          <w:rFonts w:ascii="Times New Roman" w:hAnsi="Times New Roman" w:cs="Times New Roman" w:eastAsia="Times New Roman" w:hint="default"/>
        </w:rPr>
        <w:t>1</w:t>
      </w:r>
      <w:r>
        <w:rPr/>
        <w:t>）信用风险显著增加 </w:t>
      </w:r>
      <w:r>
        <w:rPr>
          <w:spacing w:val="-2"/>
        </w:rPr>
        <w:t>本公司利用可获得的合理且有依据的前瞻性信息，通过比较金融工具在资产负债表日发生违约的风险与在初始确认日发</w:t>
      </w:r>
    </w:p>
    <w:p>
      <w:pPr>
        <w:pStyle w:val="BodyText"/>
        <w:spacing w:line="316" w:lineRule="auto" w:before="1"/>
        <w:ind w:right="1129"/>
        <w:jc w:val="left"/>
      </w:pPr>
      <w:r>
        <w:rPr>
          <w:spacing w:val="-2"/>
        </w:rPr>
        <w:t>生违约的风险，以确定金融工具的信用风险自初始确认后是否已显著增加。对于财务担保合同，本公司在应用金融工具减值</w:t>
      </w:r>
      <w:r>
        <w:rPr>
          <w:spacing w:val="-63"/>
        </w:rPr>
        <w:t> </w:t>
      </w:r>
      <w:r>
        <w:rPr>
          <w:spacing w:val="-63"/>
        </w:rPr>
      </w:r>
      <w:r>
        <w:rPr/>
        <w:t>规定时，将本公司成为做出不可撤销承诺的一方之日作为初始确认日。</w:t>
      </w:r>
    </w:p>
    <w:p>
      <w:pPr>
        <w:pStyle w:val="BodyText"/>
        <w:spacing w:line="240" w:lineRule="auto" w:before="59"/>
        <w:ind w:left="513" w:right="1133"/>
        <w:jc w:val="left"/>
      </w:pPr>
      <w:r>
        <w:rPr/>
        <w:t>本公司在评估信用风险是否显著增加时会考虑如下因素：</w:t>
      </w:r>
    </w:p>
    <w:p>
      <w:pPr>
        <w:pStyle w:val="BodyText"/>
        <w:spacing w:line="240" w:lineRule="auto" w:before="115"/>
        <w:ind w:left="513" w:right="1133"/>
        <w:jc w:val="left"/>
      </w:pPr>
      <w:r>
        <w:rPr>
          <w:rFonts w:ascii="Times New Roman" w:hAnsi="Times New Roman" w:cs="Times New Roman" w:eastAsia="Times New Roman" w:hint="default"/>
        </w:rPr>
        <w:t>1</w:t>
      </w:r>
      <w:r>
        <w:rPr/>
        <w:t>）债务人经营成果实际或预期是否发生显著变化；</w:t>
      </w:r>
    </w:p>
    <w:p>
      <w:pPr>
        <w:pStyle w:val="BodyText"/>
        <w:spacing w:line="240" w:lineRule="auto" w:before="103"/>
        <w:ind w:left="513" w:right="1133"/>
        <w:jc w:val="left"/>
      </w:pPr>
      <w:r>
        <w:rPr>
          <w:rFonts w:ascii="Times New Roman" w:hAnsi="Times New Roman" w:cs="Times New Roman" w:eastAsia="Times New Roman" w:hint="default"/>
        </w:rPr>
        <w:t>2</w:t>
      </w:r>
      <w:r>
        <w:rPr/>
        <w:t>）债务人所处的监管、经济或技术环境是否发生显著不利变化；</w:t>
      </w:r>
    </w:p>
    <w:p>
      <w:pPr>
        <w:pStyle w:val="BodyText"/>
        <w:spacing w:line="300" w:lineRule="auto" w:before="104"/>
        <w:ind w:right="1124" w:firstLine="360"/>
        <w:jc w:val="left"/>
      </w:pPr>
      <w:r>
        <w:rPr>
          <w:rFonts w:ascii="Times New Roman" w:hAnsi="Times New Roman" w:cs="Times New Roman" w:eastAsia="Times New Roman" w:hint="default"/>
        </w:rPr>
        <w:t>3</w:t>
      </w:r>
      <w:r>
        <w:rPr/>
        <w:t>）作为债务抵押的担保物价值或第三方提供的担保或信用增级质量是否发生显著变化，这些变化预期将降低债务人按 合同规定期限还款的经济动机或者影响违约概率；</w:t>
      </w:r>
    </w:p>
    <w:p>
      <w:pPr>
        <w:pStyle w:val="BodyText"/>
        <w:spacing w:line="240" w:lineRule="auto" w:before="70"/>
        <w:ind w:left="513" w:right="1133"/>
        <w:jc w:val="left"/>
      </w:pPr>
      <w:r>
        <w:rPr>
          <w:rFonts w:ascii="Times New Roman" w:hAnsi="Times New Roman" w:cs="Times New Roman" w:eastAsia="Times New Roman" w:hint="default"/>
        </w:rPr>
        <w:t>4</w:t>
      </w:r>
      <w:r>
        <w:rPr/>
        <w:t>）债务人预期表现和还款行为是否发生显著变化；</w:t>
      </w:r>
    </w:p>
    <w:p>
      <w:pPr>
        <w:pStyle w:val="BodyText"/>
        <w:spacing w:line="340" w:lineRule="auto" w:before="103"/>
        <w:ind w:left="513" w:right="1129"/>
        <w:jc w:val="left"/>
      </w:pPr>
      <w:r>
        <w:rPr>
          <w:rFonts w:ascii="Times New Roman" w:hAnsi="Times New Roman" w:cs="Times New Roman" w:eastAsia="Times New Roman" w:hint="default"/>
        </w:rPr>
        <w:t>5</w:t>
      </w:r>
      <w:r>
        <w:rPr/>
        <w:t>）本公司对金融工具信用管理方法是否发生变化等。 </w:t>
      </w:r>
      <w:r>
        <w:rPr>
          <w:spacing w:val="-2"/>
        </w:rPr>
        <w:t>于资产负债表日，若本公司判断金融工具只具有较低的信用风险，则本公司假定该金融工具的信用风险自初始确认后并</w:t>
      </w:r>
    </w:p>
    <w:p>
      <w:pPr>
        <w:pStyle w:val="BodyText"/>
        <w:spacing w:line="316" w:lineRule="auto" w:before="1"/>
        <w:ind w:right="0"/>
        <w:jc w:val="left"/>
      </w:pPr>
      <w:r>
        <w:rPr>
          <w:spacing w:val="-2"/>
        </w:rPr>
        <w:t>未显著增加。如果金融工具的违约风险较低，借款人在短期内履行其合同现金流量义务的能力很强，并且即使较长时期内经</w:t>
      </w:r>
      <w:r>
        <w:rPr>
          <w:spacing w:val="-61"/>
        </w:rPr>
        <w:t> </w:t>
      </w:r>
      <w:r>
        <w:rPr>
          <w:spacing w:val="-61"/>
        </w:rPr>
      </w:r>
      <w:r>
        <w:rPr/>
        <w:t>济形势和经营环境存在不利变化但未必一定降低借款人履行其合同现金义务，则该金融工具被视为具有较低的信用风险。</w:t>
      </w:r>
    </w:p>
    <w:p>
      <w:pPr>
        <w:pStyle w:val="BodyText"/>
        <w:spacing w:line="340" w:lineRule="auto" w:before="57"/>
        <w:ind w:left="513" w:right="1033"/>
        <w:jc w:val="left"/>
      </w:pPr>
      <w:r>
        <w:rPr/>
        <w:t>（</w:t>
      </w:r>
      <w:r>
        <w:rPr>
          <w:rFonts w:ascii="Times New Roman" w:hAnsi="Times New Roman" w:cs="Times New Roman" w:eastAsia="Times New Roman" w:hint="default"/>
        </w:rPr>
        <w:t>2</w:t>
      </w:r>
      <w:r>
        <w:rPr/>
        <w:t>）已发生信用减值的金融资产 当对金融资产预期未来现金流量具有不利影响的一项或多项事件发生时，该金融资产成为已发生信用减值的金融资产。</w:t>
      </w:r>
    </w:p>
    <w:p>
      <w:pPr>
        <w:pStyle w:val="BodyText"/>
        <w:spacing w:line="240" w:lineRule="auto" w:before="1"/>
        <w:ind w:right="1133"/>
        <w:jc w:val="left"/>
      </w:pPr>
      <w:r>
        <w:rPr/>
        <w:t>金融资产已发生信用减值的证据包括下列可观察信息：</w:t>
      </w:r>
    </w:p>
    <w:p>
      <w:pPr>
        <w:pStyle w:val="BodyText"/>
        <w:spacing w:line="240" w:lineRule="auto" w:before="117"/>
        <w:ind w:left="513" w:right="1133"/>
        <w:jc w:val="left"/>
      </w:pPr>
      <w:r>
        <w:rPr>
          <w:rFonts w:ascii="Times New Roman" w:hAnsi="Times New Roman" w:cs="Times New Roman" w:eastAsia="Times New Roman" w:hint="default"/>
        </w:rPr>
        <w:t>1</w:t>
      </w:r>
      <w:r>
        <w:rPr/>
        <w:t>）发行方或债务人发生重大财务困难；</w:t>
      </w:r>
    </w:p>
    <w:p>
      <w:pPr>
        <w:pStyle w:val="BodyText"/>
        <w:spacing w:line="240" w:lineRule="auto" w:before="101"/>
        <w:ind w:left="513" w:right="1133"/>
        <w:jc w:val="left"/>
      </w:pPr>
      <w:r>
        <w:rPr>
          <w:rFonts w:ascii="Times New Roman" w:hAnsi="Times New Roman" w:cs="Times New Roman" w:eastAsia="Times New Roman" w:hint="default"/>
        </w:rPr>
        <w:t>2</w:t>
      </w:r>
      <w:r>
        <w:rPr/>
        <w:t>）债务人违反合同，如偿付利息或本金违约或逾期等；</w:t>
      </w:r>
    </w:p>
    <w:p>
      <w:pPr>
        <w:pStyle w:val="BodyText"/>
        <w:spacing w:line="240" w:lineRule="auto" w:before="103"/>
        <w:ind w:left="513" w:right="1133"/>
        <w:jc w:val="left"/>
      </w:pPr>
      <w:r>
        <w:rPr>
          <w:rFonts w:ascii="Times New Roman" w:hAnsi="Times New Roman" w:cs="Times New Roman" w:eastAsia="Times New Roman" w:hint="default"/>
        </w:rPr>
        <w:t>3</w:t>
      </w:r>
      <w:r>
        <w:rPr/>
        <w:t>）债权人出于与债务人财务困难有关的经济或合同考虑，给予债务人在任何其他情况下都不会做出的让步；</w:t>
      </w:r>
    </w:p>
    <w:p>
      <w:pPr>
        <w:pStyle w:val="BodyText"/>
        <w:spacing w:line="240" w:lineRule="auto" w:before="103"/>
        <w:ind w:left="513" w:right="1133"/>
        <w:jc w:val="left"/>
      </w:pPr>
      <w:r>
        <w:rPr>
          <w:rFonts w:ascii="Times New Roman" w:hAnsi="Times New Roman" w:cs="Times New Roman" w:eastAsia="Times New Roman" w:hint="default"/>
        </w:rPr>
        <w:t>4</w:t>
      </w:r>
      <w:r>
        <w:rPr/>
        <w:t>）债务人很可能破产或进行其他财务重组；</w:t>
      </w:r>
    </w:p>
    <w:p>
      <w:pPr>
        <w:pStyle w:val="BodyText"/>
        <w:spacing w:line="240" w:lineRule="auto" w:before="101"/>
        <w:ind w:left="513" w:right="1133"/>
        <w:jc w:val="left"/>
      </w:pPr>
      <w:r>
        <w:rPr>
          <w:rFonts w:ascii="Times New Roman" w:hAnsi="Times New Roman" w:cs="Times New Roman" w:eastAsia="Times New Roman" w:hint="default"/>
        </w:rPr>
        <w:t>5</w:t>
      </w:r>
      <w:r>
        <w:rPr/>
        <w:t>）发行方或债务人财务困难导致该金融资产的活跃市场消失；</w:t>
      </w:r>
    </w:p>
    <w:p>
      <w:pPr>
        <w:pStyle w:val="BodyText"/>
        <w:spacing w:line="340" w:lineRule="auto" w:before="103"/>
        <w:ind w:left="513" w:right="3013"/>
        <w:jc w:val="left"/>
      </w:pPr>
      <w:r>
        <w:rPr>
          <w:rFonts w:ascii="Times New Roman" w:hAnsi="Times New Roman" w:cs="Times New Roman" w:eastAsia="Times New Roman" w:hint="default"/>
        </w:rPr>
        <w:t>6</w:t>
      </w:r>
      <w:r>
        <w:rPr/>
        <w:t>）以大幅折扣购买或源生一项金融资产，该折扣反映了发生信用损失的事实。 金融资产发生信用减值，有可能是多个事件的共同作用所致，未必是可单独识别的事件所致。</w:t>
      </w:r>
    </w:p>
    <w:p>
      <w:pPr>
        <w:pStyle w:val="BodyText"/>
        <w:spacing w:line="340" w:lineRule="auto" w:before="39"/>
        <w:ind w:left="513" w:right="1129"/>
        <w:jc w:val="left"/>
      </w:pPr>
      <w:r>
        <w:rPr/>
        <w:t>（</w:t>
      </w:r>
      <w:r>
        <w:rPr>
          <w:rFonts w:ascii="Times New Roman" w:hAnsi="Times New Roman" w:cs="Times New Roman" w:eastAsia="Times New Roman" w:hint="default"/>
        </w:rPr>
        <w:t>3</w:t>
      </w:r>
      <w:r>
        <w:rPr/>
        <w:t>）预期信用损失的确定 </w:t>
      </w:r>
      <w:r>
        <w:rPr>
          <w:spacing w:val="-2"/>
        </w:rPr>
        <w:t>本公司基于单项和组合评估金融工具的预期信用损失，在评估预期信用损失时，考虑有关过去事项、当前状况以及未来</w:t>
      </w:r>
    </w:p>
    <w:p>
      <w:pPr>
        <w:pStyle w:val="BodyText"/>
        <w:spacing w:line="360" w:lineRule="auto" w:before="1"/>
        <w:ind w:left="513" w:right="1033" w:hanging="361"/>
        <w:jc w:val="left"/>
      </w:pPr>
      <w:r>
        <w:rPr/>
        <w:t>经济状况预测的合理且有依据的信息。 本公司以共同信用风险特征为依据，将金融工具分为不同组合。本公司采用的共同信用风险特征包括：金融工具类型、</w:t>
      </w:r>
    </w:p>
    <w:p>
      <w:pPr>
        <w:pStyle w:val="BodyText"/>
        <w:spacing w:line="223" w:lineRule="exact"/>
        <w:ind w:right="0"/>
        <w:jc w:val="left"/>
      </w:pPr>
      <w:r>
        <w:rPr/>
        <w:t>信用风险评级、账龄组合、逾期账龄组合、合同结算周期、债务人所处行业等。相关金融工具的单项评估标准和组合信用风</w:t>
      </w:r>
    </w:p>
    <w:p>
      <w:pPr>
        <w:pStyle w:val="BodyText"/>
        <w:spacing w:line="357" w:lineRule="auto" w:before="76"/>
        <w:ind w:left="513" w:right="5893" w:hanging="361"/>
        <w:jc w:val="left"/>
      </w:pPr>
      <w:r>
        <w:rPr/>
        <w:t>险特征详见相关金融工具的会计政策。 本公司按照下列方法确定相关金融工具的预期信用损失：</w:t>
      </w:r>
    </w:p>
    <w:p>
      <w:pPr>
        <w:pStyle w:val="BodyText"/>
        <w:spacing w:line="240" w:lineRule="auto" w:before="29"/>
        <w:ind w:left="513" w:right="1133"/>
        <w:jc w:val="left"/>
      </w:pPr>
      <w:r>
        <w:rPr>
          <w:rFonts w:ascii="Times New Roman" w:hAnsi="Times New Roman" w:cs="Times New Roman" w:eastAsia="Times New Roman" w:hint="default"/>
        </w:rPr>
        <w:t>1</w:t>
      </w:r>
      <w:r>
        <w:rPr/>
        <w:t>）对于金融资产，信用损失为本公司应收取的合同现金流量与预期收取的现金流量之间差额的现值。</w:t>
      </w:r>
    </w:p>
    <w:p>
      <w:pPr>
        <w:pStyle w:val="BodyText"/>
        <w:spacing w:line="300" w:lineRule="auto" w:before="103"/>
        <w:ind w:right="1124" w:firstLine="360"/>
        <w:jc w:val="left"/>
      </w:pPr>
      <w:r>
        <w:rPr>
          <w:rFonts w:ascii="Times New Roman" w:hAnsi="Times New Roman" w:cs="Times New Roman" w:eastAsia="Times New Roman" w:hint="default"/>
        </w:rPr>
        <w:t>2</w:t>
      </w:r>
      <w:r>
        <w:rPr/>
        <w:t>）对于财务担保合同，信用损失为本公司就该合同持有人发生的信用损失向其做出赔付的预计付款额，减去本公司预 期向该合同持有人、债务人或任何其他方收取的金额之间差额的现值。</w:t>
      </w:r>
    </w:p>
    <w:p>
      <w:pPr>
        <w:pStyle w:val="BodyText"/>
        <w:spacing w:line="300" w:lineRule="auto" w:before="70"/>
        <w:ind w:right="1124" w:firstLine="360"/>
        <w:jc w:val="left"/>
      </w:pPr>
      <w:r>
        <w:rPr>
          <w:rFonts w:ascii="Times New Roman" w:hAnsi="Times New Roman" w:cs="Times New Roman" w:eastAsia="Times New Roman" w:hint="default"/>
        </w:rPr>
        <w:t>3</w:t>
      </w:r>
      <w:r>
        <w:rPr/>
        <w:t>）对于资产负债表日已发生信用减值但并非购买或源生已发生信用减值的金融资产，信用损失为该金融资产账面余额 与按原实际利率折现的估计未来现金流量的现值之间的差额。</w:t>
      </w:r>
    </w:p>
    <w:p>
      <w:pPr>
        <w:pStyle w:val="BodyText"/>
        <w:spacing w:line="240" w:lineRule="auto" w:before="72"/>
        <w:ind w:left="513" w:right="1133"/>
        <w:jc w:val="left"/>
      </w:pPr>
      <w:r>
        <w:rPr/>
        <w:t>本公司计量金融工具预期信用损失的方法反映的因素包括：通过评价一系列可能的结果而确定的无偏概率加权平均金</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9"/>
        <w:jc w:val="left"/>
      </w:pPr>
      <w:r>
        <w:rPr>
          <w:spacing w:val="-2"/>
        </w:rPr>
        <w:t>额；货币时间价值；在资产负债表日无须付出不必要的额外成本或努力即可获得的有关过去事项、当前状况以及未来经济状</w:t>
      </w:r>
      <w:r>
        <w:rPr>
          <w:spacing w:val="-66"/>
        </w:rPr>
        <w:t> </w:t>
      </w:r>
      <w:r>
        <w:rPr>
          <w:spacing w:val="-66"/>
        </w:rPr>
      </w:r>
      <w:r>
        <w:rPr/>
        <w:t>况预测的合理且有依据的信息。</w:t>
      </w:r>
    </w:p>
    <w:p>
      <w:pPr>
        <w:pStyle w:val="BodyText"/>
        <w:spacing w:line="338" w:lineRule="auto" w:before="58"/>
        <w:ind w:left="513" w:right="1129"/>
        <w:jc w:val="left"/>
      </w:pPr>
      <w:r>
        <w:rPr/>
        <w:t>（</w:t>
      </w:r>
      <w:r>
        <w:rPr>
          <w:rFonts w:ascii="Times New Roman" w:hAnsi="Times New Roman" w:cs="Times New Roman" w:eastAsia="Times New Roman" w:hint="default"/>
        </w:rPr>
        <w:t>4</w:t>
      </w:r>
      <w:r>
        <w:rPr/>
        <w:t>）减记金融资产 </w:t>
      </w:r>
      <w:r>
        <w:rPr>
          <w:spacing w:val="-2"/>
        </w:rPr>
        <w:t>当本公司不再合理预期金融资产合同现金流量能够全部或部分收回的，直接减记该金融资产的账面余额。这种减记构成</w:t>
      </w:r>
    </w:p>
    <w:p>
      <w:pPr>
        <w:pStyle w:val="BodyText"/>
        <w:spacing w:line="240" w:lineRule="auto" w:before="2"/>
        <w:ind w:right="1133"/>
        <w:jc w:val="left"/>
      </w:pPr>
      <w:r>
        <w:rPr/>
        <w:t>相关金融资产的终止确认。</w:t>
      </w:r>
    </w:p>
    <w:p>
      <w:pPr>
        <w:spacing w:line="340" w:lineRule="auto" w:before="117"/>
        <w:ind w:left="513" w:right="112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金融资产及金融负债的抵销</w:t>
      </w:r>
      <w:r>
        <w:rPr>
          <w:rFonts w:ascii="宋体" w:hAnsi="宋体" w:cs="宋体" w:eastAsia="宋体" w:hint="default"/>
          <w:b/>
          <w:bCs/>
          <w:w w:val="99"/>
          <w:sz w:val="18"/>
          <w:szCs w:val="18"/>
        </w:rPr>
        <w:t> </w:t>
      </w:r>
      <w:r>
        <w:rPr>
          <w:rFonts w:ascii="宋体" w:hAnsi="宋体" w:cs="宋体" w:eastAsia="宋体" w:hint="default"/>
          <w:spacing w:val="-2"/>
          <w:sz w:val="18"/>
          <w:szCs w:val="18"/>
        </w:rPr>
        <w:t>金融资产和金融负债在资产负债表内分别列示，没有相互抵销。但是，同时满足下列条件的，以相互抵销后的净额在资</w:t>
      </w:r>
    </w:p>
    <w:p>
      <w:pPr>
        <w:pStyle w:val="BodyText"/>
        <w:spacing w:line="240" w:lineRule="auto" w:before="1"/>
        <w:ind w:right="1133"/>
        <w:jc w:val="left"/>
      </w:pPr>
      <w:r>
        <w:rPr/>
        <w:t>产负债表内列示：</w:t>
      </w:r>
    </w:p>
    <w:p>
      <w:pPr>
        <w:pStyle w:val="BodyText"/>
        <w:spacing w:line="240" w:lineRule="auto" w:before="115"/>
        <w:ind w:left="513" w:right="1133"/>
        <w:jc w:val="left"/>
      </w:pPr>
      <w:r>
        <w:rPr/>
        <w:t>（</w:t>
      </w:r>
      <w:r>
        <w:rPr>
          <w:rFonts w:ascii="Times New Roman" w:hAnsi="Times New Roman" w:cs="Times New Roman" w:eastAsia="Times New Roman" w:hint="default"/>
        </w:rPr>
        <w:t>1</w:t>
      </w:r>
      <w:r>
        <w:rPr/>
        <w:t>）本公司具有抵销已确认金额的法定权利，且该种法定权利是当前可执行的；</w:t>
      </w:r>
    </w:p>
    <w:p>
      <w:pPr>
        <w:pStyle w:val="BodyText"/>
        <w:spacing w:line="240" w:lineRule="auto" w:before="103"/>
        <w:ind w:left="513" w:right="1133"/>
        <w:jc w:val="left"/>
      </w:pPr>
      <w:r>
        <w:rPr/>
        <w:t>（</w:t>
      </w:r>
      <w:r>
        <w:rPr>
          <w:rFonts w:ascii="Times New Roman" w:hAnsi="Times New Roman" w:cs="Times New Roman" w:eastAsia="Times New Roman" w:hint="default"/>
        </w:rPr>
        <w:t>2</w:t>
      </w:r>
      <w:r>
        <w:rPr/>
        <w:t>）本公司计划以净额结算，或同时变现该金融资产和清偿该金融负债。</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11、应收票据" w:id="179"/>
      <w:bookmarkEnd w:id="179"/>
      <w:r>
        <w:rPr>
          <w:b w:val="0"/>
          <w:bCs w:val="0"/>
        </w:rPr>
      </w:r>
      <w:r>
        <w:rPr>
          <w:rFonts w:ascii="Times New Roman" w:hAnsi="Times New Roman" w:cs="Times New Roman" w:eastAsia="Times New Roman" w:hint="default"/>
        </w:rPr>
        <w:t>11</w:t>
      </w:r>
      <w:r>
        <w:rPr/>
        <w:t>、应收票据</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left="513" w:right="1129"/>
        <w:jc w:val="left"/>
      </w:pPr>
      <w:r>
        <w:rPr/>
        <w:t>本公司对应收票据的预期信用损失的确定方法及会计处理方法详见本附注四、（九）</w:t>
      </w:r>
      <w:r>
        <w:rPr>
          <w:rFonts w:ascii="Times New Roman" w:hAnsi="Times New Roman" w:cs="Times New Roman" w:eastAsia="Times New Roman" w:hint="default"/>
        </w:rPr>
        <w:t>6.</w:t>
      </w:r>
      <w:r>
        <w:rPr/>
        <w:t>金融工具减值。 </w:t>
      </w:r>
      <w:r>
        <w:rPr>
          <w:spacing w:val="-2"/>
        </w:rPr>
        <w:t>当在单项工具层面无法以合理成本评估预期信用损失的充分证据时，本公司参考历史信用损失经验，结合当前状况以及</w:t>
      </w:r>
    </w:p>
    <w:p>
      <w:pPr>
        <w:pStyle w:val="BodyText"/>
        <w:spacing w:line="316" w:lineRule="auto" w:before="2"/>
        <w:ind w:right="1119"/>
        <w:jc w:val="left"/>
      </w:pPr>
      <w:r>
        <w:rPr>
          <w:spacing w:val="-2"/>
        </w:rPr>
        <w:t>对未来经济状况的判断，依据信用风险特征将应收票据划分为若干组合，在组合基础上计算预期信用损失。确定组合的依据</w:t>
      </w:r>
      <w:r>
        <w:rPr>
          <w:spacing w:val="-62"/>
        </w:rPr>
        <w:t> </w:t>
      </w:r>
      <w:r>
        <w:rPr>
          <w:spacing w:val="-62"/>
        </w:rPr>
      </w:r>
      <w:r>
        <w:rPr/>
        <w:t>如下：</w:t>
      </w:r>
    </w:p>
    <w:p>
      <w:pPr>
        <w:spacing w:line="240" w:lineRule="auto" w:before="12"/>
        <w:rPr>
          <w:rFonts w:ascii="宋体" w:hAnsi="宋体" w:cs="宋体" w:eastAsia="宋体" w:hint="default"/>
          <w:sz w:val="3"/>
          <w:szCs w:val="3"/>
        </w:rPr>
      </w:pPr>
    </w:p>
    <w:tbl>
      <w:tblPr>
        <w:tblW w:w="0" w:type="auto"/>
        <w:jc w:val="left"/>
        <w:tblInd w:w="150" w:type="dxa"/>
        <w:tblLayout w:type="fixed"/>
        <w:tblCellMar>
          <w:top w:w="0" w:type="dxa"/>
          <w:left w:w="0" w:type="dxa"/>
          <w:bottom w:w="0" w:type="dxa"/>
          <w:right w:w="0" w:type="dxa"/>
        </w:tblCellMar>
        <w:tblLook w:val="01E0"/>
      </w:tblPr>
      <w:tblGrid>
        <w:gridCol w:w="1524"/>
        <w:gridCol w:w="5843"/>
        <w:gridCol w:w="2309"/>
      </w:tblGrid>
      <w:tr>
        <w:trPr>
          <w:trHeight w:val="341" w:hRule="exact"/>
        </w:trPr>
        <w:tc>
          <w:tcPr>
            <w:tcW w:w="15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391"/>
              <w:jc w:val="right"/>
              <w:rPr>
                <w:rFonts w:ascii="宋体" w:hAnsi="宋体" w:cs="宋体" w:eastAsia="宋体" w:hint="default"/>
                <w:sz w:val="18"/>
                <w:szCs w:val="18"/>
              </w:rPr>
            </w:pPr>
            <w:r>
              <w:rPr>
                <w:rFonts w:ascii="宋体" w:hAnsi="宋体" w:cs="宋体" w:eastAsia="宋体" w:hint="default"/>
                <w:sz w:val="18"/>
                <w:szCs w:val="18"/>
              </w:rPr>
              <w:t>组合名称</w:t>
            </w:r>
          </w:p>
        </w:tc>
        <w:tc>
          <w:tcPr>
            <w:tcW w:w="58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c>
          <w:tcPr>
            <w:tcW w:w="23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665" w:hRule="exact"/>
        </w:trPr>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423"/>
              <w:jc w:val="right"/>
              <w:rPr>
                <w:rFonts w:ascii="宋体" w:hAnsi="宋体" w:cs="宋体" w:eastAsia="宋体" w:hint="default"/>
                <w:sz w:val="18"/>
                <w:szCs w:val="18"/>
              </w:rPr>
            </w:pPr>
            <w:r>
              <w:rPr>
                <w:rFonts w:ascii="宋体" w:hAnsi="宋体" w:cs="宋体" w:eastAsia="宋体" w:hint="default"/>
                <w:sz w:val="18"/>
                <w:szCs w:val="18"/>
              </w:rPr>
              <w:t>银行承兑票据</w:t>
            </w:r>
          </w:p>
        </w:tc>
        <w:tc>
          <w:tcPr>
            <w:tcW w:w="58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4" w:right="-20"/>
              <w:jc w:val="left"/>
              <w:rPr>
                <w:rFonts w:ascii="宋体" w:hAnsi="宋体" w:cs="宋体" w:eastAsia="宋体" w:hint="default"/>
                <w:sz w:val="18"/>
                <w:szCs w:val="18"/>
              </w:rPr>
            </w:pPr>
            <w:r>
              <w:rPr>
                <w:rFonts w:ascii="宋体" w:hAnsi="宋体" w:cs="宋体" w:eastAsia="宋体" w:hint="default"/>
                <w:spacing w:val="-3"/>
                <w:sz w:val="18"/>
                <w:szCs w:val="18"/>
              </w:rPr>
              <w:t>出票人具有较高的信用评级，历史上未发生票据违约，信用损失风险极低，</w:t>
            </w:r>
            <w:r>
              <w:rPr>
                <w:rFonts w:ascii="宋体" w:hAnsi="宋体" w:cs="宋体" w:eastAsia="宋体" w:hint="default"/>
                <w:spacing w:val="-69"/>
                <w:sz w:val="18"/>
                <w:szCs w:val="18"/>
              </w:rPr>
              <w:t> </w:t>
            </w:r>
            <w:r>
              <w:rPr>
                <w:rFonts w:ascii="宋体" w:hAnsi="宋体" w:cs="宋体" w:eastAsia="宋体" w:hint="default"/>
                <w:sz w:val="18"/>
                <w:szCs w:val="18"/>
              </w:rPr>
              <w:t>在短期内履行其支付合同现金流量义务的能力很强</w:t>
            </w:r>
          </w:p>
        </w:tc>
        <w:tc>
          <w:tcPr>
            <w:tcW w:w="2309" w:type="dxa"/>
            <w:vMerge w:val="restart"/>
            <w:tcBorders>
              <w:top w:val="single" w:sz="6" w:space="0" w:color="000000"/>
              <w:left w:val="single" w:sz="6" w:space="0" w:color="000000"/>
              <w:right w:val="single" w:sz="6" w:space="0" w:color="000000"/>
            </w:tcBorders>
          </w:tcPr>
          <w:p>
            <w:pPr>
              <w:pStyle w:val="TableParagraph"/>
              <w:spacing w:line="316" w:lineRule="auto" w:before="25"/>
              <w:ind w:left="4" w:right="-12"/>
              <w:jc w:val="both"/>
              <w:rPr>
                <w:rFonts w:ascii="宋体" w:hAnsi="宋体" w:cs="宋体" w:eastAsia="宋体" w:hint="default"/>
                <w:sz w:val="18"/>
                <w:szCs w:val="18"/>
              </w:rPr>
            </w:pPr>
            <w:r>
              <w:rPr>
                <w:rFonts w:ascii="宋体" w:hAnsi="宋体" w:cs="宋体" w:eastAsia="宋体" w:hint="default"/>
                <w:spacing w:val="-5"/>
                <w:sz w:val="18"/>
                <w:szCs w:val="18"/>
              </w:rPr>
              <w:t>参考历史信用经验，结合当前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1"/>
                <w:sz w:val="18"/>
                <w:szCs w:val="18"/>
              </w:rPr>
              <w:t>状况以及未来经济状况的预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期计量坏账准备</w:t>
            </w:r>
          </w:p>
        </w:tc>
      </w:tr>
      <w:tr>
        <w:trPr>
          <w:trHeight w:val="348" w:hRule="exact"/>
        </w:trPr>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23"/>
              <w:jc w:val="right"/>
              <w:rPr>
                <w:rFonts w:ascii="宋体" w:hAnsi="宋体" w:cs="宋体" w:eastAsia="宋体" w:hint="default"/>
                <w:sz w:val="18"/>
                <w:szCs w:val="18"/>
              </w:rPr>
            </w:pPr>
            <w:r>
              <w:rPr>
                <w:rFonts w:ascii="宋体" w:hAnsi="宋体" w:cs="宋体" w:eastAsia="宋体" w:hint="default"/>
                <w:sz w:val="18"/>
                <w:szCs w:val="18"/>
              </w:rPr>
              <w:t>商业承兑票据</w:t>
            </w:r>
          </w:p>
        </w:tc>
        <w:tc>
          <w:tcPr>
            <w:tcW w:w="5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出票人与银行相比信用评级较低，信用损失风险比银行承兑票据高</w:t>
            </w:r>
          </w:p>
        </w:tc>
        <w:tc>
          <w:tcPr>
            <w:tcW w:w="2309" w:type="dxa"/>
            <w:vMerge/>
            <w:tcBorders>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2、应收账款" w:id="180"/>
      <w:bookmarkEnd w:id="180"/>
      <w:r>
        <w:rPr>
          <w:b w:val="0"/>
          <w:bCs w:val="0"/>
        </w:rPr>
      </w:r>
      <w:r>
        <w:rPr>
          <w:rFonts w:ascii="Times New Roman" w:hAnsi="Times New Roman" w:cs="Times New Roman" w:eastAsia="Times New Roman" w:hint="default"/>
        </w:rPr>
        <w:t>12</w:t>
      </w:r>
      <w:r>
        <w:rPr/>
        <w:t>、应收账款</w:t>
      </w:r>
      <w:r>
        <w:rPr>
          <w:b w:val="0"/>
          <w:bCs w:val="0"/>
        </w:rPr>
      </w:r>
    </w:p>
    <w:p>
      <w:pPr>
        <w:spacing w:line="240" w:lineRule="auto" w:before="2"/>
        <w:rPr>
          <w:rFonts w:ascii="宋体" w:hAnsi="宋体" w:cs="宋体" w:eastAsia="宋体" w:hint="default"/>
          <w:b/>
          <w:bCs/>
          <w:sz w:val="26"/>
          <w:szCs w:val="26"/>
        </w:rPr>
      </w:pPr>
    </w:p>
    <w:p>
      <w:pPr>
        <w:pStyle w:val="BodyText"/>
        <w:spacing w:line="350" w:lineRule="auto"/>
        <w:ind w:left="513" w:right="1129"/>
        <w:jc w:val="left"/>
      </w:pPr>
      <w:r>
        <w:rPr/>
        <w:t>本公司对应收账款的预期信用损失的确定方法及会计处理方法详见本附注四、（九）</w:t>
      </w:r>
      <w:r>
        <w:rPr>
          <w:rFonts w:ascii="Times New Roman" w:hAnsi="Times New Roman" w:cs="Times New Roman" w:eastAsia="Times New Roman" w:hint="default"/>
        </w:rPr>
        <w:t>6.</w:t>
      </w:r>
      <w:r>
        <w:rPr/>
        <w:t>金融工具减值。 本公司在单项工具层面能以合理成本评估预期信用损失的充分证据的应收账款单独确定其信用损失。 </w:t>
      </w:r>
      <w:r>
        <w:rPr>
          <w:spacing w:val="-2"/>
        </w:rPr>
        <w:t>当在单项工具层面无法以合理成本评估预期信用损失的充分证据时，本公司参考历史信用损失经验，结合当前状况以及</w:t>
      </w:r>
    </w:p>
    <w:p>
      <w:pPr>
        <w:pStyle w:val="BodyText"/>
        <w:spacing w:line="316" w:lineRule="auto"/>
        <w:ind w:right="1129"/>
        <w:jc w:val="left"/>
      </w:pPr>
      <w:r>
        <w:rPr>
          <w:spacing w:val="-2"/>
        </w:rPr>
        <w:t>对未来经济状况的判断，依据信用风险特征将应收账款划分为若干组合，在组合基础上计算预期信用损失。确定组合的依据</w:t>
      </w:r>
      <w:r>
        <w:rPr>
          <w:spacing w:val="-63"/>
        </w:rPr>
        <w:t> </w:t>
      </w:r>
      <w:r>
        <w:rPr>
          <w:spacing w:val="-63"/>
        </w:rPr>
      </w:r>
      <w:r>
        <w:rPr/>
        <w:t>如下：</w:t>
      </w:r>
    </w:p>
    <w:p>
      <w:pPr>
        <w:spacing w:line="240" w:lineRule="auto" w:before="10"/>
        <w:rPr>
          <w:rFonts w:ascii="宋体" w:hAnsi="宋体" w:cs="宋体" w:eastAsia="宋体" w:hint="default"/>
          <w:sz w:val="3"/>
          <w:szCs w:val="3"/>
        </w:rPr>
      </w:pPr>
    </w:p>
    <w:tbl>
      <w:tblPr>
        <w:tblW w:w="0" w:type="auto"/>
        <w:jc w:val="left"/>
        <w:tblInd w:w="150" w:type="dxa"/>
        <w:tblLayout w:type="fixed"/>
        <w:tblCellMar>
          <w:top w:w="0" w:type="dxa"/>
          <w:left w:w="0" w:type="dxa"/>
          <w:bottom w:w="0" w:type="dxa"/>
          <w:right w:w="0" w:type="dxa"/>
        </w:tblCellMar>
        <w:tblLook w:val="01E0"/>
      </w:tblPr>
      <w:tblGrid>
        <w:gridCol w:w="1450"/>
        <w:gridCol w:w="3070"/>
        <w:gridCol w:w="5115"/>
      </w:tblGrid>
      <w:tr>
        <w:trPr>
          <w:trHeight w:val="331" w:hRule="exact"/>
        </w:trPr>
        <w:tc>
          <w:tcPr>
            <w:tcW w:w="14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358"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30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计提方法</w:t>
            </w:r>
          </w:p>
        </w:tc>
        <w:tc>
          <w:tcPr>
            <w:tcW w:w="511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677" w:hRule="exact"/>
        </w:trPr>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4"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34"/>
              <w:ind w:left="2" w:right="171"/>
              <w:jc w:val="left"/>
              <w:rPr>
                <w:rFonts w:ascii="宋体" w:hAnsi="宋体" w:cs="宋体" w:eastAsia="宋体" w:hint="default"/>
                <w:sz w:val="18"/>
                <w:szCs w:val="18"/>
              </w:rPr>
            </w:pPr>
            <w:r>
              <w:rPr>
                <w:rFonts w:ascii="宋体" w:hAnsi="宋体" w:cs="宋体" w:eastAsia="宋体" w:hint="default"/>
                <w:sz w:val="18"/>
                <w:szCs w:val="18"/>
              </w:rPr>
              <w:t>按账龄与整个存续期预期信用损失率 对照表计提</w:t>
            </w:r>
          </w:p>
        </w:tc>
        <w:tc>
          <w:tcPr>
            <w:tcW w:w="51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34"/>
              <w:ind w:left="4" w:right="54"/>
              <w:jc w:val="left"/>
              <w:rPr>
                <w:rFonts w:ascii="宋体" w:hAnsi="宋体" w:cs="宋体" w:eastAsia="宋体" w:hint="default"/>
                <w:sz w:val="18"/>
                <w:szCs w:val="18"/>
              </w:rPr>
            </w:pPr>
            <w:r>
              <w:rPr>
                <w:rFonts w:ascii="宋体" w:hAnsi="宋体" w:cs="宋体" w:eastAsia="宋体" w:hint="default"/>
                <w:sz w:val="18"/>
                <w:szCs w:val="18"/>
              </w:rPr>
              <w:t>本公司根据以往的历史经验对应收款项计提比例作出最佳估计， 参考应收款项的账龄进行信用风险组合分类</w:t>
            </w:r>
          </w:p>
        </w:tc>
      </w:tr>
      <w:tr>
        <w:trPr>
          <w:trHeight w:val="970" w:hRule="exact"/>
        </w:trPr>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4" w:right="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2"/>
                <w:sz w:val="18"/>
                <w:szCs w:val="18"/>
              </w:rPr>
              <w:t> </w:t>
            </w:r>
            <w:r>
              <w:rPr>
                <w:rFonts w:ascii="宋体" w:hAnsi="宋体" w:cs="宋体" w:eastAsia="宋体" w:hint="default"/>
                <w:sz w:val="18"/>
                <w:szCs w:val="18"/>
              </w:rPr>
              <w:t>并</w:t>
            </w:r>
            <w:r>
              <w:rPr>
                <w:rFonts w:ascii="宋体" w:hAnsi="宋体" w:cs="宋体" w:eastAsia="宋体" w:hint="default"/>
                <w:spacing w:val="-62"/>
                <w:sz w:val="18"/>
                <w:szCs w:val="18"/>
              </w:rPr>
              <w:t> </w:t>
            </w:r>
            <w:r>
              <w:rPr>
                <w:rFonts w:ascii="宋体" w:hAnsi="宋体" w:cs="宋体" w:eastAsia="宋体" w:hint="default"/>
                <w:sz w:val="18"/>
                <w:szCs w:val="18"/>
              </w:rPr>
              <w:t>范</w:t>
            </w:r>
            <w:r>
              <w:rPr>
                <w:rFonts w:ascii="宋体" w:hAnsi="宋体" w:cs="宋体" w:eastAsia="宋体" w:hint="default"/>
                <w:spacing w:val="-62"/>
                <w:sz w:val="18"/>
                <w:szCs w:val="18"/>
              </w:rPr>
              <w:t> </w:t>
            </w:r>
            <w:r>
              <w:rPr>
                <w:rFonts w:ascii="宋体" w:hAnsi="宋体" w:cs="宋体" w:eastAsia="宋体" w:hint="default"/>
                <w:sz w:val="18"/>
                <w:szCs w:val="18"/>
              </w:rPr>
              <w:t>围</w:t>
            </w:r>
            <w:r>
              <w:rPr>
                <w:rFonts w:ascii="宋体" w:hAnsi="宋体" w:cs="宋体" w:eastAsia="宋体" w:hint="default"/>
                <w:spacing w:val="-62"/>
                <w:sz w:val="18"/>
                <w:szCs w:val="18"/>
              </w:rPr>
              <w:t> </w:t>
            </w:r>
            <w:r>
              <w:rPr>
                <w:rFonts w:ascii="宋体" w:hAnsi="宋体" w:cs="宋体" w:eastAsia="宋体" w:hint="default"/>
                <w:sz w:val="18"/>
                <w:szCs w:val="18"/>
              </w:rPr>
              <w:t>内</w:t>
            </w:r>
            <w:r>
              <w:rPr>
                <w:rFonts w:ascii="宋体" w:hAnsi="宋体" w:cs="宋体" w:eastAsia="宋体" w:hint="default"/>
                <w:spacing w:val="-64"/>
                <w:sz w:val="18"/>
                <w:szCs w:val="18"/>
              </w:rPr>
              <w:t> </w:t>
            </w:r>
            <w:r>
              <w:rPr>
                <w:rFonts w:ascii="宋体" w:hAnsi="宋体" w:cs="宋体" w:eastAsia="宋体" w:hint="default"/>
                <w:sz w:val="18"/>
                <w:szCs w:val="18"/>
              </w:rPr>
              <w:t>关</w:t>
            </w:r>
            <w:r>
              <w:rPr>
                <w:rFonts w:ascii="宋体" w:hAnsi="宋体" w:cs="宋体" w:eastAsia="宋体" w:hint="default"/>
                <w:spacing w:val="-62"/>
                <w:sz w:val="18"/>
                <w:szCs w:val="18"/>
              </w:rPr>
              <w:t> </w:t>
            </w:r>
            <w:r>
              <w:rPr>
                <w:rFonts w:ascii="宋体" w:hAnsi="宋体" w:cs="宋体" w:eastAsia="宋体" w:hint="default"/>
                <w:sz w:val="18"/>
                <w:szCs w:val="18"/>
              </w:rPr>
              <w:t>联</w:t>
            </w:r>
            <w:r>
              <w:rPr>
                <w:rFonts w:ascii="宋体" w:hAnsi="宋体" w:cs="宋体" w:eastAsia="宋体" w:hint="default"/>
                <w:sz w:val="18"/>
                <w:szCs w:val="18"/>
              </w:rPr>
              <w:t> 方</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参考历史信用损失经验，结合当前状况 以及对未来经济状况的预期计提坏账 准备</w:t>
            </w:r>
          </w:p>
        </w:tc>
        <w:tc>
          <w:tcPr>
            <w:tcW w:w="5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合并范围内关联方在合并时进行抵销</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40" w:lineRule="auto" w:before="36"/>
        <w:ind w:right="1133"/>
        <w:jc w:val="left"/>
        <w:rPr>
          <w:b w:val="0"/>
          <w:bCs w:val="0"/>
        </w:rPr>
      </w:pPr>
      <w:bookmarkStart w:name="13、应收款项融资" w:id="181"/>
      <w:bookmarkEnd w:id="181"/>
      <w:r>
        <w:rPr>
          <w:b w:val="0"/>
          <w:bCs w:val="0"/>
        </w:rPr>
      </w:r>
      <w:r>
        <w:rPr>
          <w:rFonts w:ascii="Times New Roman" w:hAnsi="Times New Roman" w:cs="Times New Roman" w:eastAsia="Times New Roman" w:hint="default"/>
        </w:rPr>
        <w:t>13</w:t>
      </w:r>
      <w:r>
        <w:rPr/>
        <w:t>、应收款项融资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本公司对应收款项融资的预期信用损失的确定方法及会计处理方法详见本附注四、（九）</w:t>
      </w:r>
      <w:r>
        <w:rPr>
          <w:rFonts w:ascii="Times New Roman" w:hAnsi="Times New Roman" w:cs="Times New Roman" w:eastAsia="Times New Roman" w:hint="default"/>
        </w:rPr>
        <w:t>6.</w:t>
      </w:r>
      <w:r>
        <w:rPr/>
        <w:t>金融工具减值。</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14、其他应收款" w:id="182"/>
      <w:bookmarkEnd w:id="182"/>
      <w:r>
        <w:rPr>
          <w:b w:val="0"/>
          <w:bCs w:val="0"/>
        </w:rPr>
      </w:r>
      <w:r>
        <w:rPr>
          <w:rFonts w:ascii="Times New Roman" w:hAnsi="Times New Roman" w:cs="Times New Roman" w:eastAsia="Times New Roman" w:hint="default"/>
        </w:rPr>
        <w:t>14</w:t>
      </w:r>
      <w:r>
        <w:rPr/>
        <w:t>、其他应收款</w:t>
      </w:r>
      <w:r>
        <w:rPr>
          <w:b w:val="0"/>
          <w:bCs w:val="0"/>
        </w:rPr>
      </w:r>
    </w:p>
    <w:p>
      <w:pPr>
        <w:spacing w:line="240" w:lineRule="auto" w:before="5"/>
        <w:rPr>
          <w:rFonts w:ascii="宋体" w:hAnsi="宋体" w:cs="宋体" w:eastAsia="宋体" w:hint="default"/>
          <w:b/>
          <w:bCs/>
          <w:sz w:val="26"/>
          <w:szCs w:val="26"/>
        </w:rPr>
      </w:pPr>
    </w:p>
    <w:p>
      <w:pPr>
        <w:pStyle w:val="BodyText"/>
        <w:spacing w:line="352" w:lineRule="auto"/>
        <w:ind w:left="513" w:right="1129" w:hanging="361"/>
        <w:jc w:val="left"/>
      </w:pPr>
      <w:r>
        <w:rPr/>
        <w:t>其他应收款的预期信用损失的确定方法及会计处理方法 本公司对其他应收款的预期信用损失的确定方法及会计处理方法详见本附注四、（九）</w:t>
      </w:r>
      <w:r>
        <w:rPr>
          <w:rFonts w:ascii="Times New Roman" w:hAnsi="Times New Roman" w:cs="Times New Roman" w:eastAsia="Times New Roman" w:hint="default"/>
        </w:rPr>
        <w:t>6.</w:t>
      </w:r>
      <w:r>
        <w:rPr/>
        <w:t>金融工具减值。 本公司对在单项工具层面能以合理成本评估预期信用损失的充分证据的其他应收款单独确定其信用损失。 </w:t>
      </w:r>
      <w:r>
        <w:rPr>
          <w:spacing w:val="-2"/>
        </w:rPr>
        <w:t>当在单项工具层面无法以合理成本评估预期信用损失的充分证据时，本公司参考历史信用损失经验，结合当前状况以及</w:t>
      </w:r>
    </w:p>
    <w:p>
      <w:pPr>
        <w:pStyle w:val="BodyText"/>
        <w:spacing w:line="316" w:lineRule="auto"/>
        <w:ind w:right="1129"/>
        <w:jc w:val="left"/>
      </w:pPr>
      <w:r>
        <w:rPr>
          <w:spacing w:val="-2"/>
        </w:rPr>
        <w:t>对未来经济状况的判断，依据信用风险特征将其他应收款划分为若干组合，在组合基础上计算预期信用损失。确定组合的依</w:t>
      </w:r>
      <w:r>
        <w:rPr>
          <w:spacing w:val="-63"/>
        </w:rPr>
        <w:t> </w:t>
      </w:r>
      <w:r>
        <w:rPr>
          <w:spacing w:val="-63"/>
        </w:rPr>
      </w:r>
      <w:r>
        <w:rPr/>
        <w:t>据如下：</w:t>
      </w:r>
    </w:p>
    <w:p>
      <w:pPr>
        <w:spacing w:line="240" w:lineRule="auto" w:before="3"/>
        <w:rPr>
          <w:rFonts w:ascii="宋体" w:hAnsi="宋体" w:cs="宋体" w:eastAsia="宋体" w:hint="default"/>
          <w:sz w:val="5"/>
          <w:szCs w:val="5"/>
        </w:rPr>
      </w:pPr>
    </w:p>
    <w:tbl>
      <w:tblPr>
        <w:tblW w:w="0" w:type="auto"/>
        <w:jc w:val="left"/>
        <w:tblInd w:w="150" w:type="dxa"/>
        <w:tblLayout w:type="fixed"/>
        <w:tblCellMar>
          <w:top w:w="0" w:type="dxa"/>
          <w:left w:w="0" w:type="dxa"/>
          <w:bottom w:w="0" w:type="dxa"/>
          <w:right w:w="0" w:type="dxa"/>
        </w:tblCellMar>
        <w:tblLook w:val="01E0"/>
      </w:tblPr>
      <w:tblGrid>
        <w:gridCol w:w="1414"/>
        <w:gridCol w:w="3260"/>
        <w:gridCol w:w="4933"/>
      </w:tblGrid>
      <w:tr>
        <w:trPr>
          <w:trHeight w:val="329" w:hRule="exact"/>
        </w:trPr>
        <w:tc>
          <w:tcPr>
            <w:tcW w:w="14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341"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32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计提方法</w:t>
            </w:r>
          </w:p>
        </w:tc>
        <w:tc>
          <w:tcPr>
            <w:tcW w:w="49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658" w:hRule="exact"/>
        </w:trPr>
        <w:tc>
          <w:tcPr>
            <w:tcW w:w="141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1351" w:right="2" w:hanging="1350"/>
              <w:jc w:val="left"/>
              <w:rPr>
                <w:rFonts w:ascii="宋体" w:hAnsi="宋体" w:cs="宋体" w:eastAsia="宋体" w:hint="default"/>
                <w:sz w:val="18"/>
                <w:szCs w:val="18"/>
              </w:rPr>
            </w:pPr>
            <w:r>
              <w:rPr>
                <w:rFonts w:ascii="宋体" w:hAnsi="宋体" w:cs="宋体" w:eastAsia="宋体" w:hint="default"/>
                <w:sz w:val="18"/>
                <w:szCs w:val="18"/>
              </w:rPr>
              <w:t>按账龄与整个存续期预期信用损失率对照 表计提</w:t>
            </w:r>
          </w:p>
        </w:tc>
        <w:tc>
          <w:tcPr>
            <w:tcW w:w="493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7"/>
              <w:jc w:val="left"/>
              <w:rPr>
                <w:rFonts w:ascii="宋体" w:hAnsi="宋体" w:cs="宋体" w:eastAsia="宋体" w:hint="default"/>
                <w:sz w:val="18"/>
                <w:szCs w:val="18"/>
              </w:rPr>
            </w:pPr>
            <w:r>
              <w:rPr>
                <w:rFonts w:ascii="宋体" w:hAnsi="宋体" w:cs="宋体" w:eastAsia="宋体" w:hint="default"/>
                <w:spacing w:val="8"/>
                <w:sz w:val="18"/>
                <w:szCs w:val="18"/>
              </w:rPr>
              <w:t>本公司根据以往的历史经验对应收款项计提比例作出最佳估</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计，参考应收款项的账龄进行信用风险组合分类</w:t>
            </w:r>
          </w:p>
        </w:tc>
      </w:tr>
      <w:tr>
        <w:trPr>
          <w:trHeight w:val="661" w:hRule="exact"/>
        </w:trPr>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17"/>
              <w:jc w:val="left"/>
              <w:rPr>
                <w:rFonts w:ascii="宋体" w:hAnsi="宋体" w:cs="宋体" w:eastAsia="宋体" w:hint="default"/>
                <w:sz w:val="18"/>
                <w:szCs w:val="18"/>
              </w:rPr>
            </w:pPr>
            <w:r>
              <w:rPr>
                <w:rFonts w:ascii="宋体" w:hAnsi="宋体" w:cs="宋体" w:eastAsia="宋体" w:hint="default"/>
                <w:spacing w:val="18"/>
                <w:sz w:val="18"/>
                <w:szCs w:val="18"/>
              </w:rPr>
              <w:t>合并范围内关联</w:t>
            </w:r>
            <w:r>
              <w:rPr>
                <w:rFonts w:ascii="宋体" w:hAnsi="宋体" w:cs="宋体" w:eastAsia="宋体" w:hint="default"/>
                <w:spacing w:val="-69"/>
                <w:sz w:val="18"/>
                <w:szCs w:val="18"/>
              </w:rPr>
              <w:t> </w:t>
            </w:r>
            <w:r>
              <w:rPr>
                <w:rFonts w:ascii="宋体" w:hAnsi="宋体" w:cs="宋体" w:eastAsia="宋体" w:hint="default"/>
                <w:sz w:val="18"/>
                <w:szCs w:val="18"/>
              </w:rPr>
              <w:t>方</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91" w:right="2" w:hanging="89"/>
              <w:jc w:val="left"/>
              <w:rPr>
                <w:rFonts w:ascii="宋体" w:hAnsi="宋体" w:cs="宋体" w:eastAsia="宋体" w:hint="default"/>
                <w:sz w:val="18"/>
                <w:szCs w:val="18"/>
              </w:rPr>
            </w:pPr>
            <w:r>
              <w:rPr>
                <w:rFonts w:ascii="宋体" w:hAnsi="宋体" w:cs="宋体" w:eastAsia="宋体" w:hint="default"/>
                <w:sz w:val="18"/>
                <w:szCs w:val="18"/>
              </w:rPr>
              <w:t>参考历史信用损失经验，结合当前状况以 及对未来经济状况的预期计提坏账准备</w:t>
            </w:r>
          </w:p>
        </w:tc>
        <w:tc>
          <w:tcPr>
            <w:tcW w:w="4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合并范围内关联方在合并时进行抵销</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5、存货" w:id="183"/>
      <w:bookmarkEnd w:id="183"/>
      <w:r>
        <w:rPr>
          <w:b w:val="0"/>
          <w:bCs w:val="0"/>
        </w:rPr>
      </w:r>
      <w:r>
        <w:rPr>
          <w:rFonts w:ascii="Times New Roman" w:hAnsi="Times New Roman" w:cs="Times New Roman" w:eastAsia="Times New Roman" w:hint="default"/>
        </w:rPr>
        <w:t>15</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513" w:right="1129"/>
        <w:jc w:val="left"/>
      </w:pP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w w:val="99"/>
        </w:rPr>
        <w:t> </w:t>
      </w:r>
      <w:r>
        <w:rPr>
          <w:spacing w:val="-2"/>
        </w:rPr>
        <w:t>存货是指本公司在日常活动中持有以备出售的产成品或商品、处在生产过程中的在产品、在生产过程或提供劳务过程中</w:t>
      </w:r>
    </w:p>
    <w:p>
      <w:pPr>
        <w:pStyle w:val="BodyText"/>
        <w:spacing w:line="240" w:lineRule="auto" w:before="2"/>
        <w:ind w:right="1133"/>
        <w:jc w:val="left"/>
      </w:pPr>
      <w:r>
        <w:rPr/>
        <w:t>耗用的材料和物料等。主要包括原材料、委托加工物资、在产品、库存商品、发出商品等。</w:t>
      </w:r>
    </w:p>
    <w:p>
      <w:pPr>
        <w:spacing w:line="345" w:lineRule="auto" w:before="117"/>
        <w:ind w:left="513" w:right="112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．存货的计价方法</w:t>
      </w:r>
      <w:r>
        <w:rPr>
          <w:rFonts w:ascii="宋体" w:hAnsi="宋体" w:cs="宋体" w:eastAsia="宋体" w:hint="default"/>
          <w:b/>
          <w:bCs/>
          <w:w w:val="99"/>
          <w:sz w:val="18"/>
          <w:szCs w:val="18"/>
        </w:rPr>
        <w:t> </w:t>
      </w:r>
      <w:r>
        <w:rPr>
          <w:rFonts w:ascii="宋体" w:hAnsi="宋体" w:cs="宋体" w:eastAsia="宋体" w:hint="default"/>
          <w:sz w:val="18"/>
          <w:szCs w:val="18"/>
        </w:rPr>
        <w:t>存货在取得时，按成本进行初始计量，包括采购成本、加工成本和其他成本。存货发出时按加权平均法计价。 </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．存货可变现净值的确定依据及存货跌价准备的计提方法</w:t>
      </w:r>
      <w:r>
        <w:rPr>
          <w:rFonts w:ascii="宋体" w:hAnsi="宋体" w:cs="宋体" w:eastAsia="宋体" w:hint="default"/>
          <w:b/>
          <w:bCs/>
          <w:w w:val="99"/>
          <w:sz w:val="18"/>
          <w:szCs w:val="18"/>
        </w:rPr>
        <w:t> </w:t>
      </w:r>
      <w:r>
        <w:rPr>
          <w:rFonts w:ascii="宋体" w:hAnsi="宋体" w:cs="宋体" w:eastAsia="宋体" w:hint="default"/>
          <w:spacing w:val="-2"/>
          <w:sz w:val="18"/>
          <w:szCs w:val="18"/>
        </w:rPr>
        <w:t>期末对存货进行全面清查后，按存货的成本与可变现净值孰低提取或调整存货跌价准备。产成品、库存商品和用于出售</w:t>
      </w:r>
    </w:p>
    <w:p>
      <w:pPr>
        <w:pStyle w:val="BodyText"/>
        <w:spacing w:line="316" w:lineRule="auto"/>
        <w:ind w:right="0"/>
        <w:jc w:val="left"/>
      </w:pPr>
      <w:r>
        <w:rPr>
          <w:spacing w:val="-4"/>
        </w:rPr>
        <w:t>的材料等直接用于出售的商品存货，在正常生产经营过程中，以该存货的估计售价减去估计的销售费用和相关税费后的金额，</w:t>
      </w:r>
      <w:r>
        <w:rPr>
          <w:spacing w:val="-44"/>
        </w:rPr>
        <w:t> </w:t>
      </w:r>
      <w:r>
        <w:rPr>
          <w:spacing w:val="-44"/>
        </w:rPr>
      </w:r>
      <w:r>
        <w:rPr>
          <w:spacing w:val="-2"/>
        </w:rPr>
        <w:t>确定其可变现净值；需要经过加工的材料存货，在正常生产经营过程中，以所生产的产成品的估计售价减去至完工时估计将</w:t>
      </w:r>
      <w:r>
        <w:rPr>
          <w:spacing w:val="-63"/>
        </w:rPr>
        <w:t> </w:t>
      </w:r>
      <w:r>
        <w:rPr>
          <w:spacing w:val="-63"/>
        </w:rPr>
      </w:r>
      <w:r>
        <w:rPr>
          <w:spacing w:val="-2"/>
        </w:rPr>
        <w:t>要发生的成本、估计的销售费用和相关税费后的金额，确定其可变现净值；为执行销售合同或者劳务合同而持有的存货，其</w:t>
      </w:r>
      <w:r>
        <w:rPr>
          <w:spacing w:val="-64"/>
        </w:rPr>
        <w:t> </w:t>
      </w:r>
      <w:r>
        <w:rPr>
          <w:spacing w:val="-64"/>
        </w:rPr>
      </w:r>
      <w:r>
        <w:rPr>
          <w:spacing w:val="-2"/>
        </w:rPr>
        <w:t>可变现净值以合同价格为基础计算，若持有存货的数量多于销售合同订购数量的，超出部分的存货的可变现净值以一般销售</w:t>
      </w:r>
      <w:r>
        <w:rPr>
          <w:spacing w:val="-64"/>
        </w:rPr>
        <w:t> </w:t>
      </w:r>
      <w:r>
        <w:rPr>
          <w:spacing w:val="-64"/>
        </w:rPr>
      </w:r>
      <w:r>
        <w:rPr/>
        <w:t>价格为基础计算。</w:t>
      </w:r>
    </w:p>
    <w:p>
      <w:pPr>
        <w:pStyle w:val="BodyText"/>
        <w:spacing w:line="316" w:lineRule="auto" w:before="59"/>
        <w:ind w:right="1130"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3"/>
        </w:rPr>
        <w:t> </w:t>
      </w:r>
      <w:r>
        <w:rPr>
          <w:spacing w:val="-63"/>
        </w:rPr>
      </w:r>
      <w:r>
        <w:rPr/>
        <w:t>货跌价准备。</w:t>
      </w:r>
    </w:p>
    <w:p>
      <w:pPr>
        <w:pStyle w:val="BodyText"/>
        <w:spacing w:line="316" w:lineRule="auto" w:before="57"/>
        <w:ind w:right="1130" w:firstLine="360"/>
        <w:jc w:val="both"/>
      </w:pPr>
      <w:r>
        <w:rPr>
          <w:spacing w:val="-2"/>
        </w:rPr>
        <w:t>以前减记存货价值的影响因素已经消失的，减记的金额予以恢复，并在原已计提的存货跌价准备金额内转回，转回的金</w:t>
      </w:r>
      <w:r>
        <w:rPr/>
        <w:t> 额计入当期损益。</w:t>
      </w:r>
    </w:p>
    <w:p>
      <w:pPr>
        <w:spacing w:line="348" w:lineRule="auto" w:before="60"/>
        <w:ind w:left="513" w:right="759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采用永续盘存制。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．低值易耗品和包装物的摊销方法</w:t>
      </w:r>
      <w:r>
        <w:rPr>
          <w:rFonts w:ascii="宋体" w:hAnsi="宋体" w:cs="宋体" w:eastAsia="宋体" w:hint="default"/>
          <w:sz w:val="18"/>
          <w:szCs w:val="18"/>
        </w:rPr>
      </w:r>
    </w:p>
    <w:p>
      <w:pPr>
        <w:pStyle w:val="BodyText"/>
        <w:spacing w:line="240" w:lineRule="auto" w:before="14"/>
        <w:ind w:left="513" w:right="1133"/>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103"/>
        <w:ind w:left="513" w:right="1133"/>
        <w:jc w:val="left"/>
      </w:pPr>
      <w:r>
        <w:rPr/>
        <w:t>（</w:t>
      </w:r>
      <w:r>
        <w:rPr>
          <w:rFonts w:ascii="Times New Roman" w:hAnsi="Times New Roman" w:cs="Times New Roman" w:eastAsia="Times New Roman" w:hint="default"/>
        </w:rPr>
        <w:t>2</w:t>
      </w:r>
      <w:r>
        <w:rPr/>
        <w:t>）包装物采用一次转销法。</w:t>
      </w:r>
    </w:p>
    <w:p>
      <w:pPr>
        <w:pStyle w:val="BodyText"/>
        <w:spacing w:line="240" w:lineRule="auto" w:before="101"/>
        <w:ind w:left="513" w:right="1133"/>
        <w:jc w:val="left"/>
      </w:pPr>
      <w:r>
        <w:rPr/>
        <w:t>（</w:t>
      </w:r>
      <w:r>
        <w:rPr>
          <w:rFonts w:ascii="Times New Roman" w:hAnsi="Times New Roman" w:cs="Times New Roman" w:eastAsia="Times New Roman" w:hint="default"/>
        </w:rPr>
        <w:t>3</w:t>
      </w:r>
      <w:r>
        <w:rPr/>
        <w:t>）其他周转材料采用一次转销法摊销。</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16、持有待售资产" w:id="184"/>
      <w:bookmarkEnd w:id="184"/>
      <w:r>
        <w:rPr>
          <w:b w:val="0"/>
          <w:bCs w:val="0"/>
        </w:rPr>
      </w:r>
      <w:r>
        <w:rPr>
          <w:rFonts w:ascii="Times New Roman" w:hAnsi="Times New Roman" w:cs="Times New Roman" w:eastAsia="Times New Roman" w:hint="default"/>
        </w:rPr>
        <w:t>16</w:t>
      </w:r>
      <w:r>
        <w:rPr/>
        <w:t>、持有待售资产</w:t>
      </w:r>
      <w:r>
        <w:rPr>
          <w:b w:val="0"/>
          <w:bCs w:val="0"/>
        </w:rPr>
      </w:r>
    </w:p>
    <w:p>
      <w:pPr>
        <w:spacing w:line="240" w:lineRule="auto" w:before="5"/>
        <w:rPr>
          <w:rFonts w:ascii="宋体" w:hAnsi="宋体" w:cs="宋体" w:eastAsia="宋体" w:hint="default"/>
          <w:b/>
          <w:bCs/>
          <w:sz w:val="26"/>
          <w:szCs w:val="26"/>
        </w:rPr>
      </w:pPr>
    </w:p>
    <w:p>
      <w:pPr>
        <w:spacing w:line="338" w:lineRule="auto" w:before="0"/>
        <w:ind w:left="513" w:right="427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划分为持有待售确认标准</w:t>
      </w:r>
      <w:r>
        <w:rPr>
          <w:rFonts w:ascii="宋体" w:hAnsi="宋体" w:cs="宋体" w:eastAsia="宋体" w:hint="default"/>
          <w:b/>
          <w:bCs/>
          <w:w w:val="99"/>
          <w:sz w:val="18"/>
          <w:szCs w:val="18"/>
        </w:rPr>
        <w:t> </w:t>
      </w:r>
      <w:r>
        <w:rPr>
          <w:rFonts w:ascii="宋体" w:hAnsi="宋体" w:cs="宋体" w:eastAsia="宋体" w:hint="default"/>
          <w:sz w:val="18"/>
          <w:szCs w:val="18"/>
        </w:rPr>
        <w:t>本公司将同时满足下列条件的非流动资产或处置组确认为持有待售组成部分：</w:t>
      </w:r>
    </w:p>
    <w:p>
      <w:pPr>
        <w:pStyle w:val="BodyText"/>
        <w:spacing w:line="240" w:lineRule="auto" w:before="43"/>
        <w:ind w:left="513" w:right="1133"/>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00" w:lineRule="auto" w:before="103"/>
        <w:ind w:right="1133" w:firstLine="360"/>
        <w:jc w:val="both"/>
      </w:pPr>
      <w:r>
        <w:rPr/>
        <w:t>（</w:t>
      </w:r>
      <w:r>
        <w:rPr>
          <w:rFonts w:ascii="Times New Roman" w:hAnsi="Times New Roman" w:cs="Times New Roman" w:eastAsia="Times New Roman" w:hint="default"/>
        </w:rPr>
        <w:t>2</w:t>
      </w:r>
      <w:r>
        <w:rPr/>
        <w:t>）出售极可能发生，即本公司已经就一项出售计划作出决议，并已获得监管部门批准（如适用），且获得确定的购 买承诺，预计出售将在一年内完成。</w:t>
      </w:r>
    </w:p>
    <w:p>
      <w:pPr>
        <w:pStyle w:val="BodyText"/>
        <w:spacing w:line="316" w:lineRule="auto" w:before="70"/>
        <w:ind w:right="1130" w:firstLine="360"/>
        <w:jc w:val="both"/>
      </w:pPr>
      <w:r>
        <w:rPr>
          <w:spacing w:val="-2"/>
        </w:rPr>
        <w:t>确定的购买承诺，是指本公司与其他方签订的具有法律约束力的购买协议，该协议包含交易价格、时间和足够严厉的违</w:t>
      </w:r>
      <w:r>
        <w:rPr/>
        <w:t> 约惩罚等重要条款，使协议出现重大调整或者撤销的可能性极小。</w:t>
      </w:r>
    </w:p>
    <w:p>
      <w:pPr>
        <w:pStyle w:val="BodyText"/>
        <w:spacing w:line="340" w:lineRule="auto" w:before="59"/>
        <w:ind w:left="513" w:right="1129"/>
        <w:jc w:val="left"/>
      </w:pPr>
      <w:r>
        <w:rPr>
          <w:rFonts w:ascii="Times New Roman" w:hAnsi="Times New Roman" w:cs="Times New Roman" w:eastAsia="Times New Roman" w:hint="default"/>
          <w:b/>
          <w:bCs/>
        </w:rPr>
        <w:t>2.</w:t>
      </w:r>
      <w:r>
        <w:rPr>
          <w:rFonts w:ascii="宋体" w:hAnsi="宋体" w:cs="宋体" w:eastAsia="宋体" w:hint="default"/>
          <w:b/>
          <w:bCs/>
        </w:rPr>
        <w:t>持有待售核算方法</w:t>
      </w:r>
      <w:r>
        <w:rPr>
          <w:rFonts w:ascii="宋体" w:hAnsi="宋体" w:cs="宋体" w:eastAsia="宋体" w:hint="default"/>
          <w:b/>
          <w:bCs/>
          <w:w w:val="99"/>
        </w:rPr>
        <w:t> </w:t>
      </w:r>
      <w:r>
        <w:rPr>
          <w:spacing w:val="-2"/>
        </w:rPr>
        <w:t>本公司对于持有待售的非流动资产或处置组不计提折旧或摊销，其账面价值高于公允价值减去出售费用后的净额的，应</w:t>
      </w:r>
    </w:p>
    <w:p>
      <w:pPr>
        <w:pStyle w:val="BodyText"/>
        <w:spacing w:line="319" w:lineRule="auto" w:before="1"/>
        <w:ind w:right="1129"/>
        <w:jc w:val="left"/>
      </w:pPr>
      <w:r>
        <w:rPr>
          <w:spacing w:val="-2"/>
        </w:rPr>
        <w:t>当将账面价值减记至公允价值减去出售费用后的净额，减记的金额确认为资产减值损失，计入当期损益，同时计提持有待售</w:t>
      </w:r>
      <w:r>
        <w:rPr>
          <w:spacing w:val="-63"/>
        </w:rPr>
        <w:t> </w:t>
      </w:r>
      <w:r>
        <w:rPr>
          <w:spacing w:val="-63"/>
        </w:rPr>
      </w:r>
      <w:r>
        <w:rPr/>
        <w:t>资产减值准备。</w:t>
      </w:r>
    </w:p>
    <w:p>
      <w:pPr>
        <w:pStyle w:val="BodyText"/>
        <w:spacing w:line="316" w:lineRule="auto" w:before="55"/>
        <w:ind w:right="1132" w:firstLine="360"/>
        <w:jc w:val="both"/>
      </w:pPr>
      <w:r>
        <w:rPr>
          <w:spacing w:val="-2"/>
        </w:rPr>
        <w:t>对于取得日划分为持有待售类别的非流动资产或处置组，在初始计量时比较假定其不划分为持有待售类别情况下的初始</w:t>
      </w:r>
      <w:r>
        <w:rPr/>
        <w:t> 计量金额和公允价值减去出售费用后的净额，以两者孰低计量。</w:t>
      </w:r>
    </w:p>
    <w:p>
      <w:pPr>
        <w:pStyle w:val="BodyText"/>
        <w:spacing w:line="316" w:lineRule="auto" w:before="59"/>
        <w:ind w:right="1129" w:firstLine="360"/>
        <w:jc w:val="both"/>
      </w:pPr>
      <w:r>
        <w:rPr>
          <w:spacing w:val="-2"/>
        </w:rPr>
        <w:t>上述原则适用于所有非流动资产，但不包括采用公允价值模式进行后续计量的投资性房地产、采用公允价值减去出售费</w:t>
      </w:r>
      <w:r>
        <w:rPr/>
        <w:t> </w:t>
      </w:r>
      <w:r>
        <w:rPr>
          <w:spacing w:val="-2"/>
        </w:rPr>
        <w:t>用后的净额计量的生物资产、职工薪酬形成的资产、递延所得税资产、由金融工具相关会计准则规范的金融资产、由保险合</w:t>
      </w:r>
      <w:r>
        <w:rPr>
          <w:spacing w:val="-64"/>
        </w:rPr>
        <w:t> </w:t>
      </w:r>
      <w:r>
        <w:rPr>
          <w:spacing w:val="-64"/>
        </w:rPr>
      </w:r>
      <w:r>
        <w:rPr/>
        <w:t>同相关会计准则规范的保险合同所产生的权利。</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17、其他债权投资" w:id="185"/>
      <w:bookmarkEnd w:id="185"/>
      <w:r>
        <w:rPr>
          <w:b w:val="0"/>
          <w:bCs w:val="0"/>
        </w:rPr>
      </w:r>
      <w:r>
        <w:rPr>
          <w:rFonts w:ascii="Times New Roman" w:hAnsi="Times New Roman" w:cs="Times New Roman" w:eastAsia="Times New Roman" w:hint="default"/>
        </w:rPr>
        <w:t>17</w:t>
      </w:r>
      <w:r>
        <w:rPr/>
        <w:t>、其他债权投资</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133"/>
        <w:jc w:val="left"/>
      </w:pPr>
      <w:r>
        <w:rPr/>
        <w:t>本公司对其他债权投资的预期信用损失的确定方法及会计处理方法详见本附注四、（九）金融工具</w:t>
      </w:r>
      <w:r>
        <w:rPr>
          <w:rFonts w:ascii="Times New Roman" w:hAnsi="Times New Roman" w:cs="Times New Roman" w:eastAsia="Times New Roman" w:hint="default"/>
        </w:rPr>
        <w:t>6.</w:t>
      </w:r>
      <w:r>
        <w:rPr/>
        <w:t>金融工具减值。</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18、长期股权投资" w:id="186"/>
      <w:bookmarkEnd w:id="186"/>
      <w:r>
        <w:rPr>
          <w:b w:val="0"/>
          <w:bCs w:val="0"/>
        </w:rPr>
      </w:r>
      <w:r>
        <w:rPr>
          <w:rFonts w:ascii="Times New Roman" w:hAnsi="Times New Roman" w:cs="Times New Roman" w:eastAsia="Times New Roman" w:hint="default"/>
        </w:rPr>
        <w:t>18</w:t>
      </w:r>
      <w:r>
        <w:rPr/>
        <w:t>、长期股权投资</w:t>
      </w:r>
      <w:r>
        <w:rPr>
          <w:b w:val="0"/>
          <w:bCs w:val="0"/>
        </w:rPr>
      </w:r>
    </w:p>
    <w:p>
      <w:pPr>
        <w:spacing w:line="240" w:lineRule="auto" w:before="4"/>
        <w:rPr>
          <w:rFonts w:ascii="宋体" w:hAnsi="宋体" w:cs="宋体" w:eastAsia="宋体" w:hint="default"/>
          <w:b/>
          <w:bCs/>
          <w:sz w:val="26"/>
          <w:szCs w:val="26"/>
        </w:rPr>
      </w:pPr>
    </w:p>
    <w:p>
      <w:pPr>
        <w:pStyle w:val="Heading4"/>
        <w:spacing w:line="240" w:lineRule="auto" w:before="0"/>
        <w:ind w:right="1133"/>
        <w:jc w:val="left"/>
        <w:rPr>
          <w:b w:val="0"/>
          <w:bCs w:val="0"/>
        </w:rPr>
      </w:pPr>
      <w:r>
        <w:rPr>
          <w:rFonts w:ascii="Times New Roman" w:hAnsi="Times New Roman" w:cs="Times New Roman" w:eastAsia="Times New Roman" w:hint="default"/>
        </w:rPr>
        <w:t>1</w:t>
      </w:r>
      <w:r>
        <w:rPr/>
        <w:t>．初始投资成本的确定</w:t>
      </w:r>
      <w:r>
        <w:rPr>
          <w:b w:val="0"/>
          <w:bCs w:val="0"/>
        </w:rPr>
      </w:r>
    </w:p>
    <w:p>
      <w:pPr>
        <w:pStyle w:val="BodyText"/>
        <w:spacing w:line="300" w:lineRule="auto" w:before="103"/>
        <w:ind w:right="1133" w:firstLine="360"/>
        <w:jc w:val="both"/>
      </w:pPr>
      <w:r>
        <w:rPr/>
        <w:t>（</w:t>
      </w:r>
      <w:r>
        <w:rPr>
          <w:rFonts w:ascii="Times New Roman" w:hAnsi="Times New Roman" w:cs="Times New Roman" w:eastAsia="Times New Roman" w:hint="default"/>
        </w:rPr>
        <w:t>1</w:t>
      </w:r>
      <w:r>
        <w:rPr/>
        <w:t>）企业合并形成的长期股权投资，具体会计政策详见本附注五、（四）同一控制下和非同一控制下企业合并的会计 处理方法。</w:t>
      </w:r>
    </w:p>
    <w:p>
      <w:pPr>
        <w:pStyle w:val="BodyText"/>
        <w:spacing w:line="340" w:lineRule="auto" w:before="70"/>
        <w:ind w:left="513" w:right="1129"/>
        <w:jc w:val="left"/>
      </w:pPr>
      <w:r>
        <w:rPr/>
        <w:t>（</w:t>
      </w:r>
      <w:r>
        <w:rPr>
          <w:rFonts w:ascii="Times New Roman" w:hAnsi="Times New Roman" w:cs="Times New Roman" w:eastAsia="Times New Roman" w:hint="default"/>
        </w:rPr>
        <w:t>2</w:t>
      </w:r>
      <w:r>
        <w:rPr/>
        <w:t>）其他方式取得的长期股权投资 </w:t>
      </w:r>
      <w:r>
        <w:rPr>
          <w:spacing w:val="-2"/>
        </w:rPr>
        <w:t>以支付现金方式取得的长期股权投资，按照实际支付的购买价款作为初始投资成本。初始投资成本包括与取得长期股权</w:t>
      </w:r>
    </w:p>
    <w:p>
      <w:pPr>
        <w:pStyle w:val="BodyText"/>
        <w:spacing w:line="360" w:lineRule="auto" w:before="1"/>
        <w:ind w:left="513" w:right="1129" w:hanging="361"/>
        <w:jc w:val="left"/>
      </w:pPr>
      <w:r>
        <w:rPr/>
        <w:t>投资直接相关的费用、税金及其他必要支出。 </w:t>
      </w:r>
      <w:r>
        <w:rPr>
          <w:spacing w:val="-2"/>
        </w:rPr>
        <w:t>以发行权益性证券取得的长期股权投资，按照发行权益性证券的公允价值作为初始投资成本；发行或取得自身权益工具</w:t>
      </w:r>
    </w:p>
    <w:p>
      <w:pPr>
        <w:pStyle w:val="BodyText"/>
        <w:spacing w:line="222" w:lineRule="exact"/>
        <w:ind w:right="1133"/>
        <w:jc w:val="left"/>
      </w:pPr>
      <w:r>
        <w:rPr/>
        <w:t>时发生的交易费用，可直接归属于权益性交易的从权益中扣减。</w:t>
      </w:r>
    </w:p>
    <w:p>
      <w:pPr>
        <w:pStyle w:val="BodyText"/>
        <w:spacing w:line="319" w:lineRule="auto" w:before="115"/>
        <w:ind w:right="1132" w:firstLine="360"/>
        <w:jc w:val="both"/>
      </w:pPr>
      <w:r>
        <w:rPr>
          <w:spacing w:val="-2"/>
        </w:rPr>
        <w:t>在非货币性资产交换具备商业实质和换入资产或换出资产的公允价值能够可靠计量的前提下，非货币性资产交换换入的</w:t>
      </w:r>
      <w:r>
        <w:rPr/>
        <w:t> </w:t>
      </w:r>
      <w:r>
        <w:rPr>
          <w:spacing w:val="-2"/>
        </w:rPr>
        <w:t>长期股权投资以换出资产的公允价值为基础确定其初始投资成本，除非有确凿证据表明换入资产的公允价值更加可靠；不满</w:t>
      </w:r>
      <w:r>
        <w:rPr>
          <w:spacing w:val="-64"/>
        </w:rPr>
        <w:t> </w:t>
      </w:r>
      <w:r>
        <w:rPr>
          <w:spacing w:val="-64"/>
        </w:rPr>
      </w:r>
      <w:r>
        <w:rPr/>
        <w:t>足上述前提的非货币性资产交换，以换出资产的账面价值和应支付的相关税费作为换入长期股权投资的初始投资成本。</w:t>
      </w:r>
    </w:p>
    <w:p>
      <w:pPr>
        <w:pStyle w:val="BodyText"/>
        <w:spacing w:line="240" w:lineRule="auto" w:before="58"/>
        <w:ind w:left="513" w:right="1133"/>
        <w:jc w:val="left"/>
      </w:pPr>
      <w:r>
        <w:rPr/>
        <w:t>通过债务重组取得的长期股权投资，其初始投资成本按照公允价值为基础确定。</w:t>
      </w:r>
    </w:p>
    <w:p>
      <w:pPr>
        <w:pStyle w:val="Heading4"/>
        <w:spacing w:line="240" w:lineRule="auto" w:before="117"/>
        <w:ind w:right="1133"/>
        <w:jc w:val="left"/>
        <w:rPr>
          <w:b w:val="0"/>
          <w:bCs w:val="0"/>
        </w:rPr>
      </w:pPr>
      <w:r>
        <w:rPr>
          <w:rFonts w:ascii="Times New Roman" w:hAnsi="Times New Roman" w:cs="Times New Roman" w:eastAsia="Times New Roman" w:hint="default"/>
        </w:rPr>
        <w:t>2</w:t>
      </w:r>
      <w:r>
        <w:rPr/>
        <w:t>．后续计量及损益确认</w:t>
      </w:r>
      <w:r>
        <w:rPr>
          <w:b w:val="0"/>
          <w:bCs w:val="0"/>
        </w:rPr>
      </w:r>
    </w:p>
    <w:p>
      <w:pPr>
        <w:pStyle w:val="BodyText"/>
        <w:spacing w:line="340" w:lineRule="auto" w:before="101"/>
        <w:ind w:left="513" w:right="1129"/>
        <w:jc w:val="left"/>
      </w:pPr>
      <w:r>
        <w:rPr/>
        <w:t>（</w:t>
      </w:r>
      <w:r>
        <w:rPr>
          <w:rFonts w:ascii="Times New Roman" w:hAnsi="Times New Roman" w:cs="Times New Roman" w:eastAsia="Times New Roman" w:hint="default"/>
        </w:rPr>
        <w:t>1</w:t>
      </w:r>
      <w:r>
        <w:rPr/>
        <w:t>）成本法 </w:t>
      </w:r>
      <w:r>
        <w:rPr>
          <w:spacing w:val="-2"/>
        </w:rPr>
        <w:t>本公司能够对被投资单位实施控制的长期股权投资采用成本法核算，并按照初始投资成本计价，追加或收回投资调整长</w:t>
      </w:r>
    </w:p>
    <w:p>
      <w:pPr>
        <w:pStyle w:val="BodyText"/>
        <w:spacing w:line="360" w:lineRule="auto" w:before="1"/>
        <w:ind w:left="513" w:right="1129" w:hanging="361"/>
        <w:jc w:val="left"/>
      </w:pPr>
      <w:r>
        <w:rPr/>
        <w:t>期股权投资的成本。 </w:t>
      </w:r>
      <w:r>
        <w:rPr>
          <w:spacing w:val="-2"/>
        </w:rPr>
        <w:t>除取得投资时实际支付的价款或对价中包含的已宣告但尚未发放的现金股利或利润外，本公司按照享有被投资单位宣告</w:t>
      </w:r>
    </w:p>
    <w:p>
      <w:pPr>
        <w:spacing w:after="0" w:line="36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分派的现金股利或利润确认为当期投资收益。</w:t>
      </w:r>
    </w:p>
    <w:p>
      <w:pPr>
        <w:pStyle w:val="BodyText"/>
        <w:spacing w:line="338" w:lineRule="auto" w:before="117"/>
        <w:ind w:left="513" w:right="1129"/>
        <w:jc w:val="left"/>
      </w:pPr>
      <w:r>
        <w:rPr/>
        <w:t>（</w:t>
      </w:r>
      <w:r>
        <w:rPr>
          <w:rFonts w:ascii="Times New Roman" w:hAnsi="Times New Roman" w:cs="Times New Roman" w:eastAsia="Times New Roman" w:hint="default"/>
        </w:rPr>
        <w:t>2</w:t>
      </w:r>
      <w:r>
        <w:rPr/>
        <w:t>）权益法 </w:t>
      </w:r>
      <w:r>
        <w:rPr>
          <w:spacing w:val="-2"/>
        </w:rPr>
        <w:t>本公司对联营企业和合营企业的长期股权投资采用权益法核算；对于其中一部分通过风险投资机构、共同基金、信托公</w:t>
      </w:r>
    </w:p>
    <w:p>
      <w:pPr>
        <w:pStyle w:val="BodyText"/>
        <w:spacing w:line="360" w:lineRule="auto" w:before="2"/>
        <w:ind w:left="513" w:right="1129" w:hanging="361"/>
        <w:jc w:val="left"/>
      </w:pPr>
      <w:r>
        <w:rPr/>
        <w:t>司或包括投连险基金在内的类似主体间接持有的联营企业的权益性投资，采用公允价值计量且其变动计入损益。 </w:t>
      </w:r>
      <w:r>
        <w:rPr>
          <w:spacing w:val="-2"/>
        </w:rPr>
        <w:t>长期股权投资的初始投资成本大于投资时应享有被投资单位可辨认净资产公允价值份额的差额，不调整长期股权投资的</w:t>
      </w:r>
    </w:p>
    <w:p>
      <w:pPr>
        <w:pStyle w:val="BodyText"/>
        <w:spacing w:line="222" w:lineRule="exact"/>
        <w:ind w:right="1133"/>
        <w:jc w:val="left"/>
      </w:pPr>
      <w:r>
        <w:rPr/>
        <w:t>初始投资成本；初始投资成本小于投资时应享有被投资单位可辨认净资产公允价值份额的差额，计入当期损益。</w:t>
      </w:r>
    </w:p>
    <w:p>
      <w:pPr>
        <w:pStyle w:val="BodyText"/>
        <w:spacing w:line="316" w:lineRule="auto" w:before="117"/>
        <w:ind w:right="1034" w:firstLine="360"/>
        <w:jc w:val="left"/>
      </w:pPr>
      <w:r>
        <w:rPr>
          <w:spacing w:val="-2"/>
        </w:rPr>
        <w:t>本公司取得长期股权投资后，按照应享有或应分担的被投资单位实现的净损益和其他综合收益的份额，分别确认投资收</w:t>
      </w:r>
      <w:r>
        <w:rPr/>
        <w:t> 益和其他综合收益，同时调整长期股权投资的账面价值；并按照被投资单位宣告分派的利润或现金股利计算应享有的部分， </w:t>
      </w:r>
      <w:r>
        <w:rPr>
          <w:spacing w:val="-2"/>
        </w:rPr>
        <w:t>相应减少长期股权投资的账面价值；对于被投资单位除净损益、其他综合收益和利润分配以外所有者权益的其他变动，调整</w:t>
      </w:r>
      <w:r>
        <w:rPr>
          <w:spacing w:val="-63"/>
        </w:rPr>
        <w:t> </w:t>
      </w:r>
      <w:r>
        <w:rPr>
          <w:spacing w:val="-63"/>
        </w:rPr>
      </w:r>
      <w:r>
        <w:rPr/>
        <w:t>长期股权投资的账面价值并计入所有者权益。</w:t>
      </w:r>
    </w:p>
    <w:p>
      <w:pPr>
        <w:pStyle w:val="BodyText"/>
        <w:spacing w:line="319" w:lineRule="auto" w:before="57"/>
        <w:ind w:right="1132" w:firstLine="360"/>
        <w:jc w:val="both"/>
      </w:pPr>
      <w:r>
        <w:rPr>
          <w:spacing w:val="-2"/>
        </w:rPr>
        <w:t>本公司在确认应享有被投资单位净损益的份额时，以取得投资时被投资单位各项可辨认资产等的公允价值为基础，对被</w:t>
      </w:r>
      <w:r>
        <w:rPr/>
        <w:t> </w:t>
      </w:r>
      <w:r>
        <w:rPr>
          <w:spacing w:val="-2"/>
        </w:rPr>
        <w:t>投资单位的净利润进行调整后确认。本公司与联营企业、合营企业之间发生的未实现内部交易损益按照应享有的比例计算归</w:t>
      </w:r>
      <w:r>
        <w:rPr>
          <w:spacing w:val="-64"/>
        </w:rPr>
        <w:t> </w:t>
      </w:r>
      <w:r>
        <w:rPr>
          <w:spacing w:val="-64"/>
        </w:rPr>
      </w:r>
      <w:r>
        <w:rPr/>
        <w:t>属于本公司的部分予以抵销，在此基础上确认投资损益。</w:t>
      </w:r>
    </w:p>
    <w:p>
      <w:pPr>
        <w:pStyle w:val="BodyText"/>
        <w:spacing w:line="316" w:lineRule="auto" w:before="58"/>
        <w:ind w:right="1034" w:firstLine="360"/>
        <w:jc w:val="left"/>
      </w:pPr>
      <w:r>
        <w:rPr>
          <w:spacing w:val="-2"/>
        </w:rPr>
        <w:t>本公司确认应分担被投资单位发生的亏损时，按照以下顺序进行处理：首先，冲减长期股权投资的账面价值。其次，长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pStyle w:val="BodyText"/>
        <w:spacing w:line="316" w:lineRule="auto" w:before="59"/>
        <w:ind w:right="1129" w:firstLine="360"/>
        <w:jc w:val="left"/>
      </w:pPr>
      <w:r>
        <w:rPr>
          <w:spacing w:val="-2"/>
        </w:rPr>
        <w:t>被投资单位以后期间实现盈利的，公司在扣除未确认的亏损分担额后，按与上述相反的顺序处理，减记已确认预计负债</w:t>
      </w:r>
      <w:r>
        <w:rPr/>
        <w:t> 的账面余额、恢复其他实质上构成对被投资单位净投资的长期权益及长期股权投资的账面价值后，恢复确认投资收益。</w:t>
      </w:r>
    </w:p>
    <w:p>
      <w:pPr>
        <w:pStyle w:val="Heading4"/>
        <w:spacing w:line="240" w:lineRule="auto" w:before="57"/>
        <w:ind w:right="1133"/>
        <w:jc w:val="left"/>
        <w:rPr>
          <w:b w:val="0"/>
          <w:bCs w:val="0"/>
        </w:rPr>
      </w:pPr>
      <w:r>
        <w:rPr>
          <w:rFonts w:ascii="Times New Roman" w:hAnsi="Times New Roman" w:cs="Times New Roman" w:eastAsia="Times New Roman" w:hint="default"/>
        </w:rPr>
        <w:t>3</w:t>
      </w:r>
      <w:r>
        <w:rPr/>
        <w:t>．长期股权投资核算方法的转换</w:t>
      </w:r>
      <w:r>
        <w:rPr>
          <w:b w:val="0"/>
          <w:bCs w:val="0"/>
        </w:rPr>
      </w:r>
    </w:p>
    <w:p>
      <w:pPr>
        <w:pStyle w:val="BodyText"/>
        <w:spacing w:line="340" w:lineRule="auto" w:before="103"/>
        <w:ind w:left="513" w:right="1129"/>
        <w:jc w:val="left"/>
      </w:pPr>
      <w:r>
        <w:rPr/>
        <w:t>（</w:t>
      </w:r>
      <w:r>
        <w:rPr>
          <w:rFonts w:ascii="Times New Roman" w:hAnsi="Times New Roman" w:cs="Times New Roman" w:eastAsia="Times New Roman" w:hint="default"/>
        </w:rPr>
        <w:t>1</w:t>
      </w:r>
      <w:r>
        <w:rPr/>
        <w:t>）公允价值计量转权益法核算 </w:t>
      </w:r>
      <w:r>
        <w:rPr>
          <w:spacing w:val="-2"/>
        </w:rPr>
        <w:t>本公司原持有的对被投资单位不具有控制、共同控制或重大影响的按金融工具确认和计量准则进行会计处理的权益性投</w:t>
      </w:r>
    </w:p>
    <w:p>
      <w:pPr>
        <w:pStyle w:val="BodyText"/>
        <w:spacing w:line="300" w:lineRule="auto" w:before="1"/>
        <w:ind w:right="0"/>
        <w:jc w:val="left"/>
      </w:pPr>
      <w:r>
        <w:rPr>
          <w:spacing w:val="-2"/>
        </w:rPr>
        <w:t>资，因追加投资等原因能够对被投资单位施加重大影响或实施共同控制但不构成控制的，按照《企业会计准则第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w:t>
      </w:r>
      <w:r>
        <w:rPr>
          <w:spacing w:val="-60"/>
        </w:rPr>
        <w:t> </w:t>
      </w:r>
      <w:r>
        <w:rPr/>
        <w:t>融工具确认和计量》确定的原持有的股权投资的公允价值加上新增投资成本之和，作为改按权益法核算的初始投资成本。</w:t>
      </w:r>
    </w:p>
    <w:p>
      <w:pPr>
        <w:pStyle w:val="BodyText"/>
        <w:spacing w:line="316" w:lineRule="auto" w:before="70"/>
        <w:ind w:right="1129" w:firstLine="360"/>
        <w:jc w:val="left"/>
      </w:pPr>
      <w:r>
        <w:rPr>
          <w:spacing w:val="-2"/>
        </w:rPr>
        <w:t>原持有的股权投资分类为可供出售金融资产的，其公允价值与账面价值之间的差额，以及原计入其他综合收益的累计公</w:t>
      </w:r>
      <w:r>
        <w:rPr/>
        <w:t> 允价值变动转入改按权益法核算的当期损益。</w:t>
      </w:r>
    </w:p>
    <w:p>
      <w:pPr>
        <w:pStyle w:val="BodyText"/>
        <w:spacing w:line="316" w:lineRule="auto" w:before="59"/>
        <w:ind w:right="1133" w:firstLine="360"/>
        <w:jc w:val="left"/>
      </w:pPr>
      <w:r>
        <w:rPr/>
        <w:t>按权益法核算的初始投资成本小于按照追加投资后全新的持股比例计算确定的应享有被投资单位在追加投资日可辨认 净资产公允价值份额之间的差额，调整长期股权投资的账面价值，并计入当期营业外收入。</w:t>
      </w:r>
    </w:p>
    <w:p>
      <w:pPr>
        <w:pStyle w:val="BodyText"/>
        <w:spacing w:line="338" w:lineRule="auto" w:before="59"/>
        <w:ind w:left="513" w:right="1129"/>
        <w:jc w:val="left"/>
      </w:pPr>
      <w:r>
        <w:rPr/>
        <w:t>（</w:t>
      </w:r>
      <w:r>
        <w:rPr>
          <w:rFonts w:ascii="Times New Roman" w:hAnsi="Times New Roman" w:cs="Times New Roman" w:eastAsia="Times New Roman" w:hint="default"/>
        </w:rPr>
        <w:t>2</w:t>
      </w:r>
      <w:r>
        <w:rPr/>
        <w:t>）公允价值计量或权益法核算转成本法核算 </w:t>
      </w:r>
      <w:r>
        <w:rPr>
          <w:spacing w:val="-2"/>
        </w:rPr>
        <w:t>本公司原持有的对被投资单位不具有控制、共同控制或重大影响的按金融工具确认和计量准则进行会计处理的权益性投</w:t>
      </w:r>
    </w:p>
    <w:p>
      <w:pPr>
        <w:pStyle w:val="BodyText"/>
        <w:spacing w:line="316" w:lineRule="auto" w:before="2"/>
        <w:ind w:right="1129"/>
        <w:jc w:val="left"/>
      </w:pPr>
      <w:r>
        <w:rPr>
          <w:spacing w:val="-2"/>
        </w:rPr>
        <w:t>资，或原持有对联营企业、合营企业的长期股权投资，因追加投资等原因能够对非同一控制下的被投资单位实施控制的，在</w:t>
      </w:r>
      <w:r>
        <w:rPr>
          <w:spacing w:val="-66"/>
        </w:rPr>
        <w:t> </w:t>
      </w:r>
      <w:r>
        <w:rPr>
          <w:spacing w:val="-66"/>
        </w:rPr>
      </w:r>
      <w:r>
        <w:rPr/>
        <w:t>编制个别财务报表时，按照原持有的股权投资账面价值加上新增投资成本之和，作为改按成本法核算的初始投资成本。</w:t>
      </w:r>
    </w:p>
    <w:p>
      <w:pPr>
        <w:pStyle w:val="BodyText"/>
        <w:spacing w:line="319" w:lineRule="auto" w:before="59"/>
        <w:ind w:right="1129" w:firstLine="360"/>
        <w:jc w:val="left"/>
      </w:pPr>
      <w:r>
        <w:rPr>
          <w:spacing w:val="-2"/>
        </w:rPr>
        <w:t>购买日之前持有的股权投资因采用权益法核算而确认的其他综合收益，在处置该项投资时采用与被投资单位直接处置相</w:t>
      </w:r>
      <w:r>
        <w:rPr/>
        <w:t> 关资产或负债相同的基础进行会计处理。</w:t>
      </w:r>
    </w:p>
    <w:p>
      <w:pPr>
        <w:pStyle w:val="BodyText"/>
        <w:spacing w:line="300" w:lineRule="auto" w:before="58"/>
        <w:ind w:right="0" w:firstLine="360"/>
        <w:jc w:val="left"/>
      </w:pPr>
      <w:r>
        <w:rPr>
          <w:spacing w:val="-2"/>
        </w:rPr>
        <w:t>购买日之前持有的股权投资按照《企业会计准则第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金融工具确认和计量》的有关规定进行会计处理的，原计入</w:t>
      </w:r>
      <w:r>
        <w:rPr/>
        <w:t> 其他综合收益的累计公允价值变动在改按成本法核算时转入当期损益。</w:t>
      </w:r>
    </w:p>
    <w:p>
      <w:pPr>
        <w:pStyle w:val="BodyText"/>
        <w:spacing w:line="340" w:lineRule="auto" w:before="70"/>
        <w:ind w:left="513" w:right="1129"/>
        <w:jc w:val="left"/>
      </w:pPr>
      <w:r>
        <w:rPr/>
        <w:t>（</w:t>
      </w:r>
      <w:r>
        <w:rPr>
          <w:rFonts w:ascii="Times New Roman" w:hAnsi="Times New Roman" w:cs="Times New Roman" w:eastAsia="Times New Roman" w:hint="default"/>
        </w:rPr>
        <w:t>3</w:t>
      </w:r>
      <w:r>
        <w:rPr/>
        <w:t>）权益法核算转公允价值计量 </w:t>
      </w:r>
      <w:r>
        <w:rPr>
          <w:spacing w:val="-2"/>
        </w:rPr>
        <w:t>本公司因处置部分股权投资等原因丧失了对被投资单位的共同控制或重大影响的，处置后的剩余股权改按《企业会计准</w:t>
      </w:r>
    </w:p>
    <w:p>
      <w:pPr>
        <w:pStyle w:val="BodyText"/>
        <w:spacing w:line="300" w:lineRule="auto" w:before="1"/>
        <w:ind w:right="1129"/>
        <w:jc w:val="left"/>
      </w:pPr>
      <w:r>
        <w:rPr>
          <w:spacing w:val="-2"/>
        </w:rPr>
        <w:t>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金融工具确认和计量》核算，其在丧失共同控制或重大影响之日的公允价值与账面价值之间的差额计入当期损</w:t>
      </w:r>
      <w:r>
        <w:rPr>
          <w:spacing w:val="-63"/>
        </w:rPr>
        <w:t> </w:t>
      </w:r>
      <w:r>
        <w:rPr>
          <w:spacing w:val="-63"/>
        </w:rPr>
      </w:r>
      <w:r>
        <w:rPr/>
        <w:t>益。</w:t>
      </w:r>
    </w:p>
    <w:p>
      <w:pPr>
        <w:pStyle w:val="BodyText"/>
        <w:spacing w:line="316" w:lineRule="auto" w:before="72"/>
        <w:ind w:right="1129" w:firstLine="360"/>
        <w:jc w:val="left"/>
      </w:pPr>
      <w:r>
        <w:rPr>
          <w:spacing w:val="-2"/>
        </w:rPr>
        <w:t>原股权投资因采用权益法核算而确认的其他综合收益，在终止采用权益法核算时采用与被投资单位直接处置相关资产或</w:t>
      </w:r>
      <w:r>
        <w:rPr/>
        <w:t> 负债相同的基础进行会计处理。</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40" w:lineRule="auto" w:before="44"/>
        <w:ind w:left="513" w:right="1129"/>
        <w:jc w:val="left"/>
      </w:pPr>
      <w:r>
        <w:rPr/>
        <w:t>（</w:t>
      </w:r>
      <w:r>
        <w:rPr>
          <w:rFonts w:ascii="Times New Roman" w:hAnsi="Times New Roman" w:cs="Times New Roman" w:eastAsia="Times New Roman" w:hint="default"/>
        </w:rPr>
        <w:t>4</w:t>
      </w:r>
      <w:r>
        <w:rPr/>
        <w:t>）成本法转权益法 </w:t>
      </w:r>
      <w:r>
        <w:rPr>
          <w:spacing w:val="-2"/>
        </w:rPr>
        <w:t>本公司因处置部分权益性投资等原因丧失了对被投资单位的控制的，在编制个别财务报表时，处置后的剩余股权能够对</w:t>
      </w:r>
    </w:p>
    <w:p>
      <w:pPr>
        <w:pStyle w:val="BodyText"/>
        <w:spacing w:line="240" w:lineRule="auto" w:before="1"/>
        <w:ind w:right="0"/>
        <w:jc w:val="left"/>
      </w:pPr>
      <w:r>
        <w:rPr/>
        <w:t>被投资单位实施共同控制或施加重大影响的，改按权益法核算，并对该剩余股权视同自取得时即采用权益法核算进行调整。</w:t>
      </w:r>
    </w:p>
    <w:p>
      <w:pPr>
        <w:pStyle w:val="BodyText"/>
        <w:spacing w:line="340" w:lineRule="auto" w:before="115"/>
        <w:ind w:left="513" w:right="1129"/>
        <w:jc w:val="left"/>
      </w:pPr>
      <w:r>
        <w:rPr/>
        <w:t>（</w:t>
      </w:r>
      <w:r>
        <w:rPr>
          <w:rFonts w:ascii="Times New Roman" w:hAnsi="Times New Roman" w:cs="Times New Roman" w:eastAsia="Times New Roman" w:hint="default"/>
        </w:rPr>
        <w:t>5</w:t>
      </w:r>
      <w:r>
        <w:rPr/>
        <w:t>）成本法转公允价值计量 </w:t>
      </w:r>
      <w:r>
        <w:rPr>
          <w:spacing w:val="-2"/>
        </w:rPr>
        <w:t>本公司因处置部分权益性投资等原因丧失了对被投资单位的控制的，在编制个别财务报表时，处置后的剩余股权不能对</w:t>
      </w:r>
    </w:p>
    <w:p>
      <w:pPr>
        <w:pStyle w:val="BodyText"/>
        <w:spacing w:line="300" w:lineRule="auto" w:before="1"/>
        <w:ind w:right="1129"/>
        <w:jc w:val="left"/>
      </w:pPr>
      <w:r>
        <w:rPr>
          <w:spacing w:val="-2"/>
        </w:rPr>
        <w:t>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w:t>
      </w:r>
      <w:r>
        <w:rPr>
          <w:spacing w:val="-64"/>
        </w:rPr>
        <w:t> </w:t>
      </w:r>
      <w:r>
        <w:rPr>
          <w:spacing w:val="-64"/>
        </w:rPr>
      </w:r>
      <w:r>
        <w:rPr/>
        <w:t>理，其在丧失控制之日的公允价值与账面价值间的差额计入当期损益。</w:t>
      </w:r>
    </w:p>
    <w:p>
      <w:pPr>
        <w:pStyle w:val="BodyText"/>
        <w:spacing w:line="338" w:lineRule="auto" w:before="72"/>
        <w:ind w:left="513" w:right="1129"/>
        <w:jc w:val="left"/>
      </w:pPr>
      <w:r>
        <w:rPr>
          <w:rFonts w:ascii="Times New Roman" w:hAnsi="Times New Roman" w:cs="Times New Roman" w:eastAsia="Times New Roman" w:hint="default"/>
          <w:b/>
          <w:bCs/>
        </w:rPr>
        <w:t>4</w:t>
      </w:r>
      <w:r>
        <w:rPr>
          <w:rFonts w:ascii="宋体" w:hAnsi="宋体" w:cs="宋体" w:eastAsia="宋体" w:hint="default"/>
          <w:b/>
          <w:bCs/>
        </w:rPr>
        <w:t>．长期股权投资的处置</w:t>
      </w:r>
      <w:r>
        <w:rPr>
          <w:rFonts w:ascii="宋体" w:hAnsi="宋体" w:cs="宋体" w:eastAsia="宋体" w:hint="default"/>
          <w:b/>
          <w:bCs/>
          <w:w w:val="99"/>
        </w:rPr>
        <w:t> </w:t>
      </w:r>
      <w:r>
        <w:rPr>
          <w:spacing w:val="-2"/>
        </w:rPr>
        <w:t>处置长期股权投资，其账面价值与实际取得价款之间的差额，应当计入当期损益。采用权益法核算的长期股权投资，在</w:t>
      </w:r>
    </w:p>
    <w:p>
      <w:pPr>
        <w:pStyle w:val="BodyText"/>
        <w:spacing w:line="316" w:lineRule="auto" w:before="2"/>
        <w:ind w:right="1129"/>
        <w:jc w:val="left"/>
      </w:pPr>
      <w:r>
        <w:rPr>
          <w:spacing w:val="-2"/>
        </w:rPr>
        <w:t>处置该项投资时，采用与被投资单位直接处置相关资产或负债相同的基础，按相应比例对原计入其他综合收益的部分进行会</w:t>
      </w:r>
      <w:r>
        <w:rPr>
          <w:spacing w:val="-64"/>
        </w:rPr>
        <w:t> </w:t>
      </w:r>
      <w:r>
        <w:rPr>
          <w:spacing w:val="-64"/>
        </w:rPr>
      </w:r>
      <w:r>
        <w:rPr/>
        <w:t>计处理。</w:t>
      </w:r>
    </w:p>
    <w:p>
      <w:pPr>
        <w:pStyle w:val="BodyText"/>
        <w:spacing w:line="319" w:lineRule="auto" w:before="59"/>
        <w:ind w:right="1132" w:firstLine="360"/>
        <w:jc w:val="both"/>
      </w:pPr>
      <w:r>
        <w:rPr>
          <w:spacing w:val="-2"/>
        </w:rPr>
        <w:t>处置对子公司股权投资的各项交易的条款、条件以及经济影响符合以下一种或多种情况，将多次交易事项作为一揽子交</w:t>
      </w:r>
      <w:r>
        <w:rPr/>
        <w:t> 易进行会计处理：</w:t>
      </w:r>
    </w:p>
    <w:p>
      <w:pPr>
        <w:pStyle w:val="BodyText"/>
        <w:spacing w:line="240" w:lineRule="auto" w:before="58"/>
        <w:ind w:left="513" w:right="1133"/>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101"/>
        <w:ind w:left="513" w:right="1133"/>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103"/>
        <w:ind w:left="513" w:right="1133"/>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338" w:lineRule="auto" w:before="103"/>
        <w:ind w:left="513" w:right="1129"/>
        <w:jc w:val="left"/>
      </w:pPr>
      <w:r>
        <w:rPr/>
        <w:t>（</w:t>
      </w:r>
      <w:r>
        <w:rPr>
          <w:rFonts w:ascii="Times New Roman" w:hAnsi="Times New Roman" w:cs="Times New Roman" w:eastAsia="Times New Roman" w:hint="default"/>
        </w:rPr>
        <w:t>4</w:t>
      </w:r>
      <w:r>
        <w:rPr/>
        <w:t>）一项交易单独看是不经济的，但是和其他交易一并考虑时是经济的。 </w:t>
      </w:r>
      <w:r>
        <w:rPr>
          <w:spacing w:val="-2"/>
        </w:rPr>
        <w:t>因处置部分股权投资或其他原因丧失了对原有子公司控制权的，不属于一揽子交易的，区分个别财务报表和合并财务报</w:t>
      </w:r>
    </w:p>
    <w:p>
      <w:pPr>
        <w:pStyle w:val="BodyText"/>
        <w:spacing w:line="240" w:lineRule="auto" w:before="2"/>
        <w:ind w:right="1133"/>
        <w:jc w:val="left"/>
      </w:pPr>
      <w:r>
        <w:rPr/>
        <w:t>表进行相关会计处理：</w:t>
      </w:r>
    </w:p>
    <w:p>
      <w:pPr>
        <w:pStyle w:val="BodyText"/>
        <w:spacing w:line="307" w:lineRule="auto" w:before="117"/>
        <w:ind w:right="1131" w:firstLine="360"/>
        <w:jc w:val="both"/>
      </w:pPr>
      <w:r>
        <w:rPr/>
        <w:t>（</w:t>
      </w:r>
      <w:r>
        <w:rPr>
          <w:rFonts w:ascii="Times New Roman" w:hAnsi="Times New Roman" w:cs="Times New Roman" w:eastAsia="Times New Roman" w:hint="default"/>
        </w:rPr>
        <w:t>1</w:t>
      </w:r>
      <w:r>
        <w:rPr/>
        <w:t>）在个别财务报表中，对于处置的股权，其账面价值与实际取得价款之间的差额计入当期损益。处置后的剩余股权 </w:t>
      </w:r>
      <w:r>
        <w:rPr>
          <w:spacing w:val="-2"/>
        </w:rPr>
        <w:t>能够对被投资单位实施共同控制或施加重大影响的，改按权益法核算，并对该剩余股权视同自取得时即采用权益法核算进行</w:t>
      </w:r>
      <w:r>
        <w:rPr>
          <w:spacing w:val="-64"/>
        </w:rPr>
        <w:t> </w:t>
      </w:r>
      <w:r>
        <w:rPr>
          <w:spacing w:val="-64"/>
        </w:rPr>
      </w:r>
      <w:r>
        <w:rPr>
          <w:spacing w:val="-2"/>
        </w:rPr>
        <w:t>调整；处置后的剩余股权不能对被投资单位实施共同控制或施加重大影响的，改按《企业会计准则第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w:t>
      </w:r>
      <w:r>
        <w:rPr>
          <w:spacing w:val="-63"/>
        </w:rPr>
        <w:t> </w:t>
      </w:r>
      <w:r>
        <w:rPr>
          <w:spacing w:val="-63"/>
        </w:rPr>
      </w:r>
      <w:r>
        <w:rPr/>
        <w:t>和计量》的有关规定进行会计处理，其在丧失控制之日的公允价值与账面价值间的差额计入当期损益。</w:t>
      </w:r>
    </w:p>
    <w:p>
      <w:pPr>
        <w:pStyle w:val="BodyText"/>
        <w:spacing w:line="314" w:lineRule="auto" w:before="67"/>
        <w:ind w:right="1130" w:firstLine="360"/>
        <w:jc w:val="both"/>
      </w:pPr>
      <w:r>
        <w:rPr/>
        <w:t>（</w:t>
      </w:r>
      <w:r>
        <w:rPr>
          <w:rFonts w:ascii="Times New Roman" w:hAnsi="Times New Roman" w:cs="Times New Roman" w:eastAsia="Times New Roman" w:hint="default"/>
        </w:rPr>
        <w:t>2</w:t>
      </w:r>
      <w:r>
        <w:rPr/>
        <w:t>）在合并财务报表中，对于在丧失对子公司控制权以前的各项交易，处置价款与处置长期股权投资相应对享有子公 </w:t>
      </w:r>
      <w:r>
        <w:rPr>
          <w:spacing w:val="-2"/>
        </w:rPr>
        <w:t>司自购买日或合并日开始持续计算的净资产份额之间的差额，调整资本公积（股本溢价），资本公积不足冲减的，调整留存</w:t>
      </w:r>
      <w:r>
        <w:rPr>
          <w:spacing w:val="-64"/>
        </w:rPr>
        <w:t> </w:t>
      </w:r>
      <w:r>
        <w:rPr>
          <w:spacing w:val="-64"/>
        </w:rPr>
      </w:r>
      <w:r>
        <w:rPr>
          <w:spacing w:val="-2"/>
        </w:rPr>
        <w:t>收益；在丧失对子公司控制权时，对于剩余股权，按照其在丧失控制权日的公允价值进行重新计量。处置股权取得的对价与</w:t>
      </w:r>
      <w:r>
        <w:rPr>
          <w:spacing w:val="-64"/>
        </w:rPr>
        <w:t> </w:t>
      </w:r>
      <w:r>
        <w:rPr>
          <w:spacing w:val="-64"/>
        </w:rPr>
      </w:r>
      <w:r>
        <w:rPr>
          <w:spacing w:val="-2"/>
        </w:rPr>
        <w:t>剩余股权公允价值之和，减去按原持股比例计算应享有原有子公司自购买日开始持续计算的净资产的份额之间的差额，计入</w:t>
      </w:r>
      <w:r>
        <w:rPr>
          <w:spacing w:val="-64"/>
        </w:rPr>
        <w:t> </w:t>
      </w:r>
      <w:r>
        <w:rPr>
          <w:spacing w:val="-64"/>
        </w:rPr>
      </w:r>
      <w:r>
        <w:rPr>
          <w:spacing w:val="-2"/>
        </w:rPr>
        <w:t>丧失控制权当期的投资收益，同时冲减商誉。与原有子公司股权投资相关的其他综合收益等，在丧失控制权时转为当期投资</w:t>
      </w:r>
      <w:r>
        <w:rPr>
          <w:spacing w:val="-63"/>
        </w:rPr>
        <w:t> </w:t>
      </w:r>
      <w:r>
        <w:rPr>
          <w:spacing w:val="-63"/>
        </w:rPr>
      </w:r>
      <w:r>
        <w:rPr/>
        <w:t>收益。</w:t>
      </w:r>
    </w:p>
    <w:p>
      <w:pPr>
        <w:pStyle w:val="BodyText"/>
        <w:spacing w:line="316" w:lineRule="auto" w:before="59"/>
        <w:ind w:right="1132" w:firstLine="360"/>
        <w:jc w:val="both"/>
      </w:pPr>
      <w:r>
        <w:rPr>
          <w:spacing w:val="-2"/>
        </w:rPr>
        <w:t>处置对子公司股权投资直至丧失控制权的各项交易属于一揽子交易的，将各项交易作为一项处置子公司股权投资并丧失</w:t>
      </w:r>
      <w:r>
        <w:rPr/>
        <w:t> 控制权的交易进行会计处理，区分个别财务报表和合并财务报表进行相关会计处理：</w:t>
      </w:r>
    </w:p>
    <w:p>
      <w:pPr>
        <w:pStyle w:val="BodyText"/>
        <w:spacing w:line="300" w:lineRule="auto" w:before="59"/>
        <w:ind w:right="1133" w:firstLine="360"/>
        <w:jc w:val="both"/>
      </w:pPr>
      <w:r>
        <w:rPr/>
        <w:t>（</w:t>
      </w:r>
      <w:r>
        <w:rPr>
          <w:rFonts w:ascii="Times New Roman" w:hAnsi="Times New Roman" w:cs="Times New Roman" w:eastAsia="Times New Roman" w:hint="default"/>
        </w:rPr>
        <w:t>1</w:t>
      </w:r>
      <w:r>
        <w:rPr/>
        <w:t>）在个别财务报表中，在丧失控制权之前每一次处置价款与处置的股权对应的长期股权投资账面价值之间的差额， 确认为其他综合收益，在丧失控制权时一并转入丧失控制权当期的损益。</w:t>
      </w:r>
    </w:p>
    <w:p>
      <w:pPr>
        <w:pStyle w:val="BodyText"/>
        <w:spacing w:line="300" w:lineRule="auto" w:before="73"/>
        <w:ind w:right="1133" w:firstLine="360"/>
        <w:jc w:val="both"/>
      </w:pPr>
      <w:r>
        <w:rPr/>
        <w:t>（</w:t>
      </w:r>
      <w:r>
        <w:rPr>
          <w:rFonts w:ascii="Times New Roman" w:hAnsi="Times New Roman" w:cs="Times New Roman" w:eastAsia="Times New Roman" w:hint="default"/>
        </w:rPr>
        <w:t>2</w:t>
      </w:r>
      <w:r>
        <w:rPr/>
        <w:t>）在合并财务报表中，在丧失控制权之前每一次处置价款与处置投资对应的享有该子公司净资产份额的差额，确认 为其他综合收益，在丧失控制权时一并转入丧失控制权当期的损益。</w:t>
      </w:r>
    </w:p>
    <w:p>
      <w:pPr>
        <w:spacing w:line="340" w:lineRule="auto" w:before="70"/>
        <w:ind w:left="513" w:right="112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．共同控制、重大影响的判断标准</w:t>
      </w:r>
      <w:r>
        <w:rPr>
          <w:rFonts w:ascii="宋体" w:hAnsi="宋体" w:cs="宋体" w:eastAsia="宋体" w:hint="default"/>
          <w:b/>
          <w:bCs/>
          <w:w w:val="99"/>
          <w:sz w:val="18"/>
          <w:szCs w:val="18"/>
        </w:rPr>
        <w:t> </w:t>
      </w:r>
      <w:r>
        <w:rPr>
          <w:rFonts w:ascii="宋体" w:hAnsi="宋体" w:cs="宋体" w:eastAsia="宋体" w:hint="default"/>
          <w:spacing w:val="-2"/>
          <w:sz w:val="18"/>
          <w:szCs w:val="18"/>
        </w:rPr>
        <w:t>如果本公司按照相关约定与其他参与方集体控制某项安排，并且对该安排回报具有重大影响的活动决策，需要经过分享</w:t>
      </w:r>
    </w:p>
    <w:p>
      <w:pPr>
        <w:pStyle w:val="BodyText"/>
        <w:spacing w:line="360" w:lineRule="auto" w:before="1"/>
        <w:ind w:left="513" w:right="1129" w:hanging="361"/>
        <w:jc w:val="left"/>
      </w:pPr>
      <w:r>
        <w:rPr/>
        <w:t>控制权的参与方一致同意时才存在，则视为本公司与其他参与方共同控制某项安排，该安排即属于合营安排。 </w:t>
      </w:r>
      <w:r>
        <w:rPr>
          <w:spacing w:val="-2"/>
        </w:rPr>
        <w:t>合营安排通过单独主体达成的，根据相关约定判断本公司对该单独主体的净资产享有权利时，将该单独主体作为合营企</w:t>
      </w:r>
    </w:p>
    <w:p>
      <w:pPr>
        <w:pStyle w:val="BodyText"/>
        <w:spacing w:line="222" w:lineRule="exact"/>
        <w:ind w:right="0"/>
        <w:jc w:val="left"/>
      </w:pPr>
      <w:r>
        <w:rPr/>
        <w:t>业，采用权益法核算。若根据相关约定判断本公司并非对该单独主体的净资产享有权利时，该单独主体作为共同经营，本公</w:t>
      </w:r>
    </w:p>
    <w:p>
      <w:pPr>
        <w:pStyle w:val="BodyText"/>
        <w:spacing w:line="357" w:lineRule="auto" w:before="76"/>
        <w:ind w:left="513" w:right="1129" w:hanging="361"/>
        <w:jc w:val="left"/>
      </w:pPr>
      <w:r>
        <w:rPr/>
        <w:t>司确认与共同经营利益份额相关的项目，并按照相关企业会计准则的规定进行会计处理。 </w:t>
      </w:r>
      <w:r>
        <w:rPr>
          <w:spacing w:val="-2"/>
        </w:rPr>
        <w:t>重大影响，是指投资方对被投资单位的财务和经营政策有参与决策的权力，但并不能够控制或者与其他方一起共同控制</w:t>
      </w:r>
    </w:p>
    <w:p>
      <w:pPr>
        <w:spacing w:after="0" w:line="357"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0"/>
        <w:jc w:val="left"/>
      </w:pPr>
      <w:r>
        <w:rPr>
          <w:spacing w:val="-2"/>
        </w:rPr>
        <w:t>这些政策的制定。本公司通过以下一种或多种情形，并综合考虑所有事实和情况后，判断对被投资单位具有重大影响。（</w:t>
      </w:r>
      <w:r>
        <w:rPr>
          <w:rFonts w:ascii="Times New Roman" w:hAnsi="Times New Roman" w:cs="Times New Roman" w:eastAsia="Times New Roman" w:hint="default"/>
          <w:spacing w:val="-2"/>
        </w:rPr>
        <w:t>1</w:t>
      </w:r>
      <w:r>
        <w:rPr>
          <w:spacing w:val="-2"/>
        </w:rPr>
        <w:t>）</w:t>
      </w:r>
      <w:r>
        <w:rPr>
          <w:spacing w:val="-64"/>
        </w:rPr>
        <w:t> </w:t>
      </w:r>
      <w:r>
        <w:rPr>
          <w:spacing w:val="-2"/>
        </w:rPr>
        <w:t>在被投资单位的董事会或类似权力机构中派有代表；（</w:t>
      </w:r>
      <w:r>
        <w:rPr>
          <w:rFonts w:ascii="Times New Roman" w:hAnsi="Times New Roman" w:cs="Times New Roman" w:eastAsia="Times New Roman" w:hint="default"/>
          <w:spacing w:val="-2"/>
        </w:rPr>
        <w:t>2</w:t>
      </w:r>
      <w:r>
        <w:rPr>
          <w:spacing w:val="-2"/>
        </w:rPr>
        <w:t>）参与被投资单位财务和经营政策制定过程；（</w:t>
      </w:r>
      <w:r>
        <w:rPr>
          <w:rFonts w:ascii="Times New Roman" w:hAnsi="Times New Roman" w:cs="Times New Roman" w:eastAsia="Times New Roman" w:hint="default"/>
          <w:spacing w:val="-2"/>
        </w:rPr>
        <w:t>3</w:t>
      </w:r>
      <w:r>
        <w:rPr>
          <w:spacing w:val="-2"/>
        </w:rPr>
        <w:t>）与被投资单位之</w:t>
      </w:r>
      <w:r>
        <w:rPr>
          <w:spacing w:val="-64"/>
        </w:rPr>
        <w:t> </w:t>
      </w:r>
      <w:r>
        <w:rPr>
          <w:spacing w:val="-64"/>
        </w:rPr>
      </w:r>
      <w:r>
        <w:rPr/>
        <w:t>间发生重要交易；（</w:t>
      </w:r>
      <w:r>
        <w:rPr>
          <w:rFonts w:ascii="Times New Roman" w:hAnsi="Times New Roman" w:cs="Times New Roman" w:eastAsia="Times New Roman" w:hint="default"/>
        </w:rPr>
        <w:t>4</w:t>
      </w:r>
      <w:r>
        <w:rPr/>
        <w:t>）向被投资单位派出管理人员；（</w:t>
      </w:r>
      <w:r>
        <w:rPr>
          <w:rFonts w:ascii="Times New Roman" w:hAnsi="Times New Roman" w:cs="Times New Roman" w:eastAsia="Times New Roman" w:hint="default"/>
        </w:rPr>
        <w:t>5</w:t>
      </w:r>
      <w:r>
        <w:rPr/>
        <w:t>）向被投资单位提供关键技术资料。</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bookmarkStart w:name="19、固定资产" w:id="187"/>
      <w:bookmarkEnd w:id="187"/>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确认条件" w:id="188"/>
      <w:bookmarkEnd w:id="188"/>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29"/>
        <w:jc w:val="left"/>
      </w:pPr>
      <w:r>
        <w:rPr>
          <w:spacing w:val="-2"/>
        </w:rPr>
        <w:t>固定资产指为生产商品、提供劳务、出租或经营管理而持有，并且使用寿命超过一个会计年度的有形资产。固定资产在同时</w:t>
      </w:r>
      <w:r>
        <w:rPr>
          <w:spacing w:val="-65"/>
        </w:rPr>
        <w:t> </w:t>
      </w:r>
      <w:r>
        <w:rPr>
          <w:spacing w:val="-65"/>
        </w:rPr>
      </w:r>
      <w:r>
        <w:rPr/>
        <w:t>满足下列条件时予以确认：</w:t>
      </w:r>
    </w:p>
    <w:p>
      <w:pPr>
        <w:pStyle w:val="BodyText"/>
        <w:spacing w:line="240" w:lineRule="auto" w:before="59"/>
        <w:ind w:right="1133"/>
        <w:jc w:val="left"/>
      </w:pPr>
      <w:r>
        <w:rPr/>
        <w:t>（</w:t>
      </w: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101"/>
        <w:ind w:right="1133"/>
        <w:jc w:val="left"/>
      </w:pPr>
      <w:r>
        <w:rPr/>
        <w:t>（</w:t>
      </w:r>
      <w:r>
        <w:rPr>
          <w:rFonts w:ascii="Times New Roman" w:hAnsi="Times New Roman" w:cs="Times New Roman" w:eastAsia="Times New Roman" w:hint="default"/>
        </w:rPr>
        <w:t>2</w:t>
      </w:r>
      <w:r>
        <w:rPr/>
        <w:t>）该固定资产的成本能够可靠地计量。</w:t>
      </w:r>
    </w:p>
    <w:p>
      <w:pPr>
        <w:spacing w:line="240" w:lineRule="auto" w:before="3"/>
        <w:rPr>
          <w:rFonts w:ascii="宋体" w:hAnsi="宋体" w:cs="宋体" w:eastAsia="宋体" w:hint="default"/>
          <w:sz w:val="26"/>
          <w:szCs w:val="26"/>
        </w:rPr>
      </w:pPr>
    </w:p>
    <w:p>
      <w:pPr>
        <w:pStyle w:val="Heading3"/>
        <w:spacing w:line="240" w:lineRule="auto"/>
        <w:ind w:right="1133"/>
        <w:jc w:val="left"/>
        <w:rPr>
          <w:b w:val="0"/>
          <w:bCs w:val="0"/>
        </w:rPr>
      </w:pPr>
      <w:bookmarkStart w:name="（2） 初始计量" w:id="189"/>
      <w:bookmarkEnd w:id="189"/>
      <w:r>
        <w:rPr>
          <w:b w:val="0"/>
          <w:bCs w:val="0"/>
        </w:rPr>
      </w:r>
      <w:r>
        <w:rPr/>
        <w:t>（</w:t>
      </w:r>
      <w:r>
        <w:rPr>
          <w:rFonts w:ascii="Times New Roman" w:hAnsi="Times New Roman" w:cs="Times New Roman" w:eastAsia="Times New Roman" w:hint="default"/>
        </w:rPr>
        <w:t>2</w:t>
      </w:r>
      <w:r>
        <w:rPr/>
        <w:t>）</w:t>
      </w:r>
      <w:r>
        <w:rPr>
          <w:spacing w:val="-2"/>
        </w:rPr>
        <w:t> </w:t>
      </w:r>
      <w:r>
        <w:rPr/>
        <w:t>初始计量</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本公司固定资产按成本进行初始计量。</w:t>
      </w:r>
    </w:p>
    <w:p>
      <w:pPr>
        <w:pStyle w:val="BodyText"/>
        <w:spacing w:line="300" w:lineRule="auto" w:before="117"/>
        <w:ind w:right="1124" w:firstLine="360"/>
        <w:jc w:val="left"/>
      </w:pPr>
      <w:r>
        <w:rPr/>
        <w:t>（</w:t>
      </w:r>
      <w:r>
        <w:rPr>
          <w:rFonts w:ascii="Times New Roman" w:hAnsi="Times New Roman" w:cs="Times New Roman" w:eastAsia="Times New Roman" w:hint="default"/>
        </w:rPr>
        <w:t>1</w:t>
      </w:r>
      <w:r>
        <w:rPr/>
        <w:t>）外购的固定资产的成本包括买价、进口关税等相关税费，以及为使固定资产达到预定可使用状态前所发生的可直 接归属于该资产的其他支出。</w:t>
      </w:r>
    </w:p>
    <w:p>
      <w:pPr>
        <w:pStyle w:val="BodyText"/>
        <w:spacing w:line="240" w:lineRule="auto" w:before="70"/>
        <w:ind w:left="513" w:right="1133"/>
        <w:jc w:val="left"/>
      </w:pPr>
      <w:r>
        <w:rPr/>
        <w:t>（</w:t>
      </w:r>
      <w:r>
        <w:rPr>
          <w:rFonts w:ascii="Times New Roman" w:hAnsi="Times New Roman" w:cs="Times New Roman" w:eastAsia="Times New Roman" w:hint="default"/>
        </w:rPr>
        <w:t>2</w:t>
      </w:r>
      <w:r>
        <w:rPr/>
        <w:t>）自行建造固定资产的成本，由建造该项资产达到预定可使用状态前所发生的必要支出构成。</w:t>
      </w:r>
    </w:p>
    <w:p>
      <w:pPr>
        <w:pStyle w:val="BodyText"/>
        <w:spacing w:line="300" w:lineRule="auto" w:before="103"/>
        <w:ind w:right="1124" w:firstLine="360"/>
        <w:jc w:val="left"/>
      </w:pPr>
      <w:r>
        <w:rPr/>
        <w:t>（</w:t>
      </w:r>
      <w:r>
        <w:rPr>
          <w:rFonts w:ascii="Times New Roman" w:hAnsi="Times New Roman" w:cs="Times New Roman" w:eastAsia="Times New Roman" w:hint="default"/>
        </w:rPr>
        <w:t>3</w:t>
      </w:r>
      <w:r>
        <w:rPr/>
        <w:t>）投资者投入的固定资产，按投资合同或协议约定的价值作为入账价值，但合同或协议约定价值不公允的按公允价 值入账。</w:t>
      </w:r>
    </w:p>
    <w:p>
      <w:pPr>
        <w:pStyle w:val="BodyText"/>
        <w:spacing w:line="300" w:lineRule="auto" w:before="72"/>
        <w:ind w:right="1124" w:firstLine="360"/>
        <w:jc w:val="left"/>
      </w:pPr>
      <w:r>
        <w:rPr/>
        <w:t>（</w:t>
      </w:r>
      <w:r>
        <w:rPr>
          <w:rFonts w:ascii="Times New Roman" w:hAnsi="Times New Roman" w:cs="Times New Roman" w:eastAsia="Times New Roman" w:hint="default"/>
        </w:rPr>
        <w:t>4</w:t>
      </w:r>
      <w:r>
        <w:rPr/>
        <w:t>）购买固定资产的价款超过正常信用条件延期支付，实质上具有融资性质的，固定资产的成本以购买价款的现值为 基础确定。实际支付的价款与购买价款的现值之间的差额，除应予资本化的以外，在信用期间内计入当期损益。</w:t>
      </w:r>
    </w:p>
    <w:p>
      <w:pPr>
        <w:spacing w:line="240" w:lineRule="auto" w:before="8"/>
        <w:rPr>
          <w:rFonts w:ascii="宋体" w:hAnsi="宋体" w:cs="宋体" w:eastAsia="宋体" w:hint="default"/>
          <w:sz w:val="23"/>
          <w:szCs w:val="23"/>
        </w:rPr>
      </w:pPr>
    </w:p>
    <w:p>
      <w:pPr>
        <w:pStyle w:val="Heading3"/>
        <w:spacing w:line="240" w:lineRule="auto"/>
        <w:ind w:right="1133"/>
        <w:jc w:val="left"/>
        <w:rPr>
          <w:b w:val="0"/>
          <w:bCs w:val="0"/>
        </w:rPr>
      </w:pPr>
      <w:bookmarkStart w:name="（3） 后续计量及处置" w:id="190"/>
      <w:bookmarkEnd w:id="190"/>
      <w:r>
        <w:rPr>
          <w:b w:val="0"/>
          <w:bCs w:val="0"/>
        </w:rPr>
      </w:r>
      <w:r>
        <w:rPr/>
        <w:t>（</w:t>
      </w:r>
      <w:r>
        <w:rPr>
          <w:rFonts w:ascii="Times New Roman" w:hAnsi="Times New Roman" w:cs="Times New Roman" w:eastAsia="Times New Roman" w:hint="default"/>
        </w:rPr>
        <w:t>3</w:t>
      </w:r>
      <w:r>
        <w:rPr/>
        <w:t>） 后续计量及处置</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13" w:right="1129"/>
        <w:jc w:val="left"/>
      </w:pPr>
      <w:r>
        <w:rPr/>
        <w:t>（</w:t>
      </w:r>
      <w:r>
        <w:rPr>
          <w:rFonts w:ascii="Times New Roman" w:hAnsi="Times New Roman" w:cs="Times New Roman" w:eastAsia="Times New Roman" w:hint="default"/>
        </w:rPr>
        <w:t>1</w:t>
      </w:r>
      <w:r>
        <w:rPr/>
        <w:t>）固定资产折旧 </w:t>
      </w:r>
      <w:r>
        <w:rPr>
          <w:spacing w:val="-2"/>
        </w:rPr>
        <w:t>固定资产折旧按其入账价值减去预计净残值后在预计使用寿命内计提。对计提了减值准备的固定资产，则在未来期间按</w:t>
      </w:r>
    </w:p>
    <w:p>
      <w:pPr>
        <w:pStyle w:val="BodyText"/>
        <w:spacing w:line="357" w:lineRule="auto" w:before="1"/>
        <w:ind w:left="513" w:right="1129" w:hanging="361"/>
        <w:jc w:val="left"/>
      </w:pPr>
      <w:r>
        <w:rPr/>
        <w:t>扣除减值准备后的账面价值及依据尚可使用年限确定折旧额；已提足折旧仍继续使用的固定资产不计提折旧。 </w:t>
      </w:r>
      <w:r>
        <w:rPr>
          <w:spacing w:val="-2"/>
        </w:rPr>
        <w:t>本公司根据固定资产的性质和使用情况，确定固定资产的使用寿命和预计净残值。并在年度终了，对固定资产的使用寿</w:t>
      </w:r>
    </w:p>
    <w:p>
      <w:pPr>
        <w:pStyle w:val="BodyText"/>
        <w:spacing w:line="224" w:lineRule="exact"/>
        <w:ind w:right="1133"/>
        <w:jc w:val="left"/>
      </w:pPr>
      <w:r>
        <w:rPr/>
        <w:t>命、预计净残值和折旧方法进行复核，如与原先估计数存在差异的，进行相应的调整。</w:t>
      </w:r>
    </w:p>
    <w:p>
      <w:pPr>
        <w:pStyle w:val="BodyText"/>
        <w:spacing w:line="240" w:lineRule="auto" w:before="117"/>
        <w:ind w:left="513" w:right="1133"/>
        <w:jc w:val="left"/>
      </w:pPr>
      <w:r>
        <w:rPr/>
        <w:t>各类固定资产的折旧方法、折旧年限和年折旧率如下：</w:t>
      </w:r>
    </w:p>
    <w:p>
      <w:pPr>
        <w:spacing w:line="240" w:lineRule="auto" w:before="4"/>
        <w:rPr>
          <w:rFonts w:ascii="宋体" w:hAnsi="宋体" w:cs="宋体" w:eastAsia="宋体" w:hint="default"/>
          <w:sz w:val="8"/>
          <w:szCs w:val="8"/>
        </w:rPr>
      </w:pPr>
    </w:p>
    <w:tbl>
      <w:tblPr>
        <w:tblW w:w="0" w:type="auto"/>
        <w:jc w:val="left"/>
        <w:tblInd w:w="150" w:type="dxa"/>
        <w:tblLayout w:type="fixed"/>
        <w:tblCellMar>
          <w:top w:w="0" w:type="dxa"/>
          <w:left w:w="0" w:type="dxa"/>
          <w:bottom w:w="0" w:type="dxa"/>
          <w:right w:w="0" w:type="dxa"/>
        </w:tblCellMar>
        <w:tblLook w:val="01E0"/>
      </w:tblPr>
      <w:tblGrid>
        <w:gridCol w:w="2283"/>
        <w:gridCol w:w="2125"/>
        <w:gridCol w:w="1769"/>
        <w:gridCol w:w="1767"/>
        <w:gridCol w:w="1704"/>
      </w:tblGrid>
      <w:tr>
        <w:trPr>
          <w:trHeight w:val="346" w:hRule="exact"/>
        </w:trPr>
        <w:tc>
          <w:tcPr>
            <w:tcW w:w="22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7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17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8"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10-50</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0-5</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1.90-10.00</w:t>
            </w:r>
          </w:p>
        </w:tc>
      </w:tr>
      <w:tr>
        <w:trPr>
          <w:trHeight w:val="349"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5"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5</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19.00</w:t>
            </w:r>
          </w:p>
        </w:tc>
      </w:tr>
      <w:tr>
        <w:trPr>
          <w:trHeight w:val="346"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5</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19.00</w:t>
            </w:r>
          </w:p>
        </w:tc>
      </w:tr>
      <w:tr>
        <w:trPr>
          <w:trHeight w:val="348"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5</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5</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19.00</w:t>
            </w:r>
          </w:p>
        </w:tc>
      </w:tr>
      <w:tr>
        <w:trPr>
          <w:trHeight w:val="348"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出租</w:t>
            </w:r>
            <w:r>
              <w:rPr>
                <w:rFonts w:ascii="Times New Roman" w:hAnsi="Times New Roman" w:cs="Times New Roman" w:eastAsia="Times New Roman" w:hint="default"/>
                <w:sz w:val="18"/>
                <w:szCs w:val="18"/>
              </w:rPr>
              <w:t>POS</w:t>
            </w:r>
            <w:r>
              <w:rPr>
                <w:rFonts w:ascii="宋体" w:hAnsi="宋体" w:cs="宋体" w:eastAsia="宋体" w:hint="default"/>
                <w:sz w:val="18"/>
                <w:szCs w:val="18"/>
              </w:rPr>
              <w:t>机</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5</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19.00</w:t>
            </w:r>
          </w:p>
        </w:tc>
      </w:tr>
    </w:tbl>
    <w:p>
      <w:pPr>
        <w:pStyle w:val="BodyText"/>
        <w:spacing w:line="338" w:lineRule="auto" w:before="49"/>
        <w:ind w:left="513" w:right="1129"/>
        <w:jc w:val="left"/>
      </w:pPr>
      <w:r>
        <w:rPr/>
        <w:t>（</w:t>
      </w:r>
      <w:r>
        <w:rPr>
          <w:rFonts w:ascii="Times New Roman" w:hAnsi="Times New Roman" w:cs="Times New Roman" w:eastAsia="Times New Roman" w:hint="default"/>
        </w:rPr>
        <w:t>2</w:t>
      </w:r>
      <w:r>
        <w:rPr/>
        <w:t>）固定资产的后续支出 </w:t>
      </w:r>
      <w:r>
        <w:rPr>
          <w:spacing w:val="-2"/>
        </w:rPr>
        <w:t>与固定资产有关的后续支出，符合固定资产确认条件的，计入固定资产成本；不符合固定资产确认条件的，在发生时计</w:t>
      </w:r>
      <w:r>
        <w:rPr/>
      </w:r>
    </w:p>
    <w:p>
      <w:pPr>
        <w:pStyle w:val="BodyText"/>
        <w:spacing w:line="240" w:lineRule="auto" w:before="2"/>
        <w:ind w:right="1133"/>
        <w:jc w:val="left"/>
      </w:pPr>
      <w:r>
        <w:rPr/>
        <w:t>入当期损益。</w:t>
      </w:r>
    </w:p>
    <w:p>
      <w:pPr>
        <w:pStyle w:val="BodyText"/>
        <w:spacing w:line="240" w:lineRule="auto" w:before="117"/>
        <w:ind w:left="513" w:right="1133"/>
        <w:jc w:val="left"/>
      </w:pPr>
      <w:r>
        <w:rPr/>
        <w:t>（</w:t>
      </w:r>
      <w:r>
        <w:rPr>
          <w:rFonts w:ascii="Times New Roman" w:hAnsi="Times New Roman" w:cs="Times New Roman" w:eastAsia="Times New Roman" w:hint="default"/>
        </w:rPr>
        <w:t>3</w:t>
      </w:r>
      <w:r>
        <w:rPr/>
        <w:t>）固定资产处置</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3" w:firstLine="360"/>
        <w:jc w:val="left"/>
      </w:pPr>
      <w:r>
        <w:rPr>
          <w:spacing w:val="-2"/>
        </w:rPr>
        <w:t>当固定资产被处置、或者预期通过使用或处置不能产生经济利益时，终止确认该固定资产。固定资产出售、转让、报废</w:t>
      </w:r>
      <w:r>
        <w:rPr/>
        <w:t> 或毁损的处置收入扣除其账面价值和相关税费后的金额计入当期损益。</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bookmarkStart w:name="（4）融资租入固定资产的认定依据、计价和折旧方法" w:id="191"/>
      <w:bookmarkEnd w:id="191"/>
      <w:r>
        <w:rPr>
          <w:b w:val="0"/>
          <w:bCs w:val="0"/>
        </w:rPr>
      </w:r>
      <w:r>
        <w:rPr/>
        <w:t>（</w:t>
      </w:r>
      <w:r>
        <w:rPr>
          <w:rFonts w:ascii="Times New Roman" w:hAnsi="Times New Roman" w:cs="Times New Roman" w:eastAsia="Times New Roman" w:hint="default"/>
        </w:rPr>
        <w:t>4</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当本公司租入的固定资产符合下列一项或数项标准时，确认为融资租入固定资产：</w:t>
      </w:r>
    </w:p>
    <w:p>
      <w:pPr>
        <w:pStyle w:val="BodyText"/>
        <w:spacing w:line="240" w:lineRule="auto" w:before="115"/>
        <w:ind w:left="513" w:right="1133"/>
        <w:jc w:val="left"/>
      </w:pPr>
      <w:r>
        <w:rPr/>
        <w:t>（</w:t>
      </w:r>
      <w:r>
        <w:rPr>
          <w:rFonts w:ascii="Times New Roman" w:hAnsi="Times New Roman" w:cs="Times New Roman" w:eastAsia="Times New Roman" w:hint="default"/>
        </w:rPr>
        <w:t>1</w:t>
      </w:r>
      <w:r>
        <w:rPr/>
        <w:t>）在租赁期届满时，租赁资产的所有权转移给本公司。</w:t>
      </w:r>
    </w:p>
    <w:p>
      <w:pPr>
        <w:pStyle w:val="BodyText"/>
        <w:spacing w:line="300" w:lineRule="auto" w:before="103"/>
        <w:ind w:right="1124" w:firstLine="360"/>
        <w:jc w:val="left"/>
      </w:pPr>
      <w:r>
        <w:rPr/>
        <w:t>（</w:t>
      </w:r>
      <w:r>
        <w:rPr>
          <w:rFonts w:ascii="Times New Roman" w:hAnsi="Times New Roman" w:cs="Times New Roman" w:eastAsia="Times New Roman" w:hint="default"/>
        </w:rPr>
        <w:t>2</w:t>
      </w:r>
      <w:r>
        <w:rPr/>
        <w:t>）本公司有购买租赁资产的选择权，所订立的购买价款预计将远低于行使选择权时租赁资产的公允价值，因而在租 赁开始日就可以合理确定本公司将会行使这种选择权。</w:t>
      </w:r>
    </w:p>
    <w:p>
      <w:pPr>
        <w:pStyle w:val="BodyText"/>
        <w:spacing w:line="240" w:lineRule="auto" w:before="72"/>
        <w:ind w:left="513" w:right="1133"/>
        <w:jc w:val="left"/>
      </w:pPr>
      <w:r>
        <w:rPr/>
        <w:t>（</w:t>
      </w:r>
      <w:r>
        <w:rPr>
          <w:rFonts w:ascii="Times New Roman" w:hAnsi="Times New Roman" w:cs="Times New Roman" w:eastAsia="Times New Roman" w:hint="default"/>
        </w:rPr>
        <w:t>3</w:t>
      </w:r>
      <w:r>
        <w:rPr/>
        <w:t>）即使资产的所有权不转移，但租赁期占租赁资产使用寿命的大部分。</w:t>
      </w:r>
    </w:p>
    <w:p>
      <w:pPr>
        <w:pStyle w:val="BodyText"/>
        <w:spacing w:line="240" w:lineRule="auto" w:before="101"/>
        <w:ind w:left="513" w:right="1133"/>
        <w:jc w:val="left"/>
      </w:pPr>
      <w:r>
        <w:rPr/>
        <w:t>（</w:t>
      </w:r>
      <w:r>
        <w:rPr>
          <w:rFonts w:ascii="Times New Roman" w:hAnsi="Times New Roman" w:cs="Times New Roman" w:eastAsia="Times New Roman" w:hint="default"/>
        </w:rPr>
        <w:t>4</w:t>
      </w:r>
      <w:r>
        <w:rPr/>
        <w:t>）本公司在租赁开始日的最低租赁付款额现值，几乎相当于租赁开始日租赁资产公允价值。</w:t>
      </w:r>
    </w:p>
    <w:p>
      <w:pPr>
        <w:pStyle w:val="BodyText"/>
        <w:spacing w:line="340" w:lineRule="auto" w:before="103"/>
        <w:ind w:left="513" w:right="1129"/>
        <w:jc w:val="left"/>
      </w:pPr>
      <w:r>
        <w:rPr/>
        <w:t>（</w:t>
      </w:r>
      <w:r>
        <w:rPr>
          <w:rFonts w:ascii="Times New Roman" w:hAnsi="Times New Roman" w:cs="Times New Roman" w:eastAsia="Times New Roman" w:hint="default"/>
        </w:rPr>
        <w:t>5</w:t>
      </w:r>
      <w:r>
        <w:rPr/>
        <w:t>）租赁资产性质特殊，如果不作较大改造，只有本公司才能使用。 </w:t>
      </w:r>
      <w:r>
        <w:rPr>
          <w:spacing w:val="-2"/>
        </w:rPr>
        <w:t>融资租赁租入的固定资产，按租赁开始日租赁资产公允价值与最低租赁付款额的现值两者中较低者，作为入账价值。最</w:t>
      </w:r>
    </w:p>
    <w:p>
      <w:pPr>
        <w:pStyle w:val="BodyText"/>
        <w:spacing w:line="316" w:lineRule="auto" w:before="1"/>
        <w:ind w:right="1130"/>
        <w:jc w:val="both"/>
      </w:pPr>
      <w:r>
        <w:rPr>
          <w:spacing w:val="-2"/>
        </w:rPr>
        <w:t>低租赁付款额作为长期应付款的入账价值，其差额作为未确认融资费用。在租赁谈判和签订租赁合同过程中发生的，可归属</w:t>
      </w:r>
      <w:r>
        <w:rPr>
          <w:spacing w:val="-63"/>
        </w:rPr>
        <w:t> </w:t>
      </w:r>
      <w:r>
        <w:rPr>
          <w:spacing w:val="-63"/>
        </w:rPr>
      </w:r>
      <w:r>
        <w:rPr>
          <w:spacing w:val="-2"/>
        </w:rPr>
        <w:t>于租赁项目的手续费、律师费、差旅费、印花税等初始直接费用，计入租入资产价值。未确认融资费用在租赁期内各个期间</w:t>
      </w:r>
      <w:r>
        <w:rPr>
          <w:spacing w:val="-67"/>
        </w:rPr>
        <w:t> </w:t>
      </w:r>
      <w:r>
        <w:rPr>
          <w:spacing w:val="-67"/>
        </w:rPr>
      </w:r>
      <w:r>
        <w:rPr/>
        <w:t>采用实际利率法进行分摊。</w:t>
      </w:r>
    </w:p>
    <w:p>
      <w:pPr>
        <w:pStyle w:val="BodyText"/>
        <w:spacing w:line="316" w:lineRule="auto" w:before="57"/>
        <w:ind w:right="1130" w:firstLine="360"/>
        <w:jc w:val="both"/>
      </w:pPr>
      <w:r>
        <w:rPr>
          <w:spacing w:val="-2"/>
        </w:rPr>
        <w:t>本公司采用与自有固定资产相一致的折旧政策计提融资租入固定资产折旧。能够合理确定租赁期届满时取得租赁资产所</w:t>
      </w:r>
      <w:r>
        <w:rPr/>
        <w:t> </w:t>
      </w:r>
      <w:r>
        <w:rPr>
          <w:spacing w:val="-2"/>
        </w:rPr>
        <w:t>有权的，在租赁资产使用寿命内计提折旧。无法合理确定租赁期届满时能够取得租赁资产所有权的，在租赁期与租赁资产使</w:t>
      </w:r>
      <w:r>
        <w:rPr>
          <w:spacing w:val="-63"/>
        </w:rPr>
        <w:t> </w:t>
      </w:r>
      <w:r>
        <w:rPr>
          <w:spacing w:val="-63"/>
        </w:rPr>
      </w:r>
      <w:r>
        <w:rPr/>
        <w:t>用寿命两者中较短的期间内计提折旧。</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20、在建工程" w:id="192"/>
      <w:bookmarkEnd w:id="192"/>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513" w:right="1033"/>
        <w:jc w:val="left"/>
      </w:pPr>
      <w:r>
        <w:rPr>
          <w:rFonts w:ascii="Times New Roman" w:hAnsi="Times New Roman" w:cs="Times New Roman" w:eastAsia="Times New Roman" w:hint="default"/>
          <w:b/>
          <w:bCs/>
        </w:rPr>
        <w:t>1</w:t>
      </w:r>
      <w:r>
        <w:rPr>
          <w:rFonts w:ascii="宋体" w:hAnsi="宋体" w:cs="宋体" w:eastAsia="宋体" w:hint="default"/>
          <w:b/>
          <w:bCs/>
        </w:rPr>
        <w:t>．在建工程初始计量</w:t>
      </w:r>
      <w:r>
        <w:rPr>
          <w:rFonts w:ascii="宋体" w:hAnsi="宋体" w:cs="宋体" w:eastAsia="宋体" w:hint="default"/>
          <w:b/>
          <w:bCs/>
          <w:w w:val="99"/>
        </w:rPr>
        <w:t> </w:t>
      </w:r>
      <w:r>
        <w:rPr/>
        <w:t>本公司自行建造的在建工程按实际成本计价，实际成本由建造该项资产达到预定可使用状态前所发生的必要支出构成，</w:t>
      </w:r>
    </w:p>
    <w:p>
      <w:pPr>
        <w:pStyle w:val="BodyText"/>
        <w:spacing w:line="350" w:lineRule="auto" w:before="2"/>
        <w:ind w:left="513" w:right="1129" w:hanging="361"/>
        <w:jc w:val="left"/>
      </w:pPr>
      <w:r>
        <w:rPr/>
        <w:t>包括工程用物资成本、人工成本、交纳的相关税费、应予资本化的借款费用以及应分摊的间接费用等。 </w:t>
      </w:r>
      <w:r>
        <w:rPr>
          <w:rFonts w:ascii="Times New Roman" w:hAnsi="Times New Roman" w:cs="Times New Roman" w:eastAsia="Times New Roman" w:hint="default"/>
          <w:b/>
          <w:bCs/>
        </w:rPr>
        <w:t>2</w:t>
      </w:r>
      <w:r>
        <w:rPr>
          <w:rFonts w:ascii="宋体" w:hAnsi="宋体" w:cs="宋体" w:eastAsia="宋体" w:hint="default"/>
          <w:b/>
          <w:bCs/>
        </w:rPr>
        <w:t>．在建工程结转为固定资产的标准和时点</w:t>
      </w:r>
      <w:r>
        <w:rPr>
          <w:rFonts w:ascii="宋体" w:hAnsi="宋体" w:cs="宋体" w:eastAsia="宋体" w:hint="default"/>
          <w:b/>
          <w:bCs/>
          <w:w w:val="99"/>
        </w:rPr>
        <w:t> </w:t>
      </w:r>
      <w:r>
        <w:rPr>
          <w:spacing w:val="-2"/>
        </w:rPr>
        <w:t>在建工程项目按建造该项资产达到预定可使用状态前所发生的全部支出，作为固定资产的入账价值。所建造的在建工程</w:t>
      </w:r>
    </w:p>
    <w:p>
      <w:pPr>
        <w:pStyle w:val="BodyText"/>
        <w:spacing w:line="316" w:lineRule="auto"/>
        <w:ind w:right="0"/>
        <w:jc w:val="left"/>
      </w:pPr>
      <w:r>
        <w:rPr>
          <w:spacing w:val="-4"/>
        </w:rPr>
        <w:t>已达到预定可使用状态，但尚未办理竣工决算的，自达到预定可使用状态之日起，根据工程预算、造价或者工程实际成本等，</w:t>
      </w:r>
      <w:r>
        <w:rPr>
          <w:spacing w:val="-46"/>
        </w:rPr>
        <w:t> </w:t>
      </w:r>
      <w:r>
        <w:rPr>
          <w:spacing w:val="-46"/>
        </w:rPr>
      </w:r>
      <w:r>
        <w:rPr>
          <w:spacing w:val="-2"/>
        </w:rPr>
        <w:t>按估计的价值转入固定资产，并按本公司固定资产折旧政策计提固定资产的折旧，待办理竣工决算后，再按实际成本调整原</w:t>
      </w:r>
      <w:r>
        <w:rPr>
          <w:spacing w:val="-63"/>
        </w:rPr>
        <w:t> </w:t>
      </w:r>
      <w:r>
        <w:rPr>
          <w:spacing w:val="-63"/>
        </w:rPr>
      </w:r>
      <w:r>
        <w:rPr/>
        <w:t>来的暂估价值，但不调整原已计提的折旧额。</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bookmarkStart w:name="21、借款费用" w:id="193"/>
      <w:bookmarkEnd w:id="193"/>
      <w:r>
        <w:rPr>
          <w:b w:val="0"/>
          <w:bCs w:val="0"/>
        </w:rPr>
      </w:r>
      <w:r>
        <w:rPr>
          <w:rFonts w:ascii="Times New Roman" w:hAnsi="Times New Roman" w:cs="Times New Roman" w:eastAsia="Times New Roman" w:hint="default"/>
        </w:rPr>
        <w:t>21</w:t>
      </w:r>
      <w:r>
        <w:rPr/>
        <w:t>、借款费用</w:t>
      </w:r>
      <w:r>
        <w:rPr>
          <w:b w:val="0"/>
          <w:bCs w:val="0"/>
        </w:rPr>
      </w:r>
    </w:p>
    <w:p>
      <w:pPr>
        <w:spacing w:line="240" w:lineRule="auto" w:before="4"/>
        <w:rPr>
          <w:rFonts w:ascii="宋体" w:hAnsi="宋体" w:cs="宋体" w:eastAsia="宋体" w:hint="default"/>
          <w:b/>
          <w:bCs/>
          <w:sz w:val="26"/>
          <w:szCs w:val="26"/>
        </w:rPr>
      </w:pPr>
    </w:p>
    <w:p>
      <w:pPr>
        <w:spacing w:line="340" w:lineRule="auto" w:before="0"/>
        <w:ind w:left="513" w:right="112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．借款费用资本化的确认原则</w:t>
      </w:r>
      <w:r>
        <w:rPr>
          <w:rFonts w:ascii="宋体" w:hAnsi="宋体" w:cs="宋体" w:eastAsia="宋体" w:hint="default"/>
          <w:b/>
          <w:bCs/>
          <w:w w:val="99"/>
          <w:sz w:val="18"/>
          <w:szCs w:val="18"/>
        </w:rPr>
        <w:t> </w:t>
      </w:r>
      <w:r>
        <w:rPr>
          <w:rFonts w:ascii="宋体" w:hAnsi="宋体" w:cs="宋体" w:eastAsia="宋体" w:hint="default"/>
          <w:spacing w:val="-2"/>
          <w:sz w:val="18"/>
          <w:szCs w:val="18"/>
        </w:rPr>
        <w:t>本公司发生的借款费用，可直接归属于符合资本化条件的资产的购建或者生产的，予以资本化，计入相关资产成本；其</w:t>
      </w:r>
    </w:p>
    <w:p>
      <w:pPr>
        <w:pStyle w:val="BodyText"/>
        <w:spacing w:line="360" w:lineRule="auto" w:before="1"/>
        <w:ind w:left="513" w:right="1133" w:hanging="361"/>
        <w:jc w:val="left"/>
      </w:pPr>
      <w:r>
        <w:rPr/>
        <w:t>他借款费用，在发生时根据其发生额确认为费用，计入当期损益。 符合资本化条件的资产，是指需要经过相当长时间的购建或者生产活动才能达到预定可使用或者可销售状态的固定资</w:t>
      </w:r>
    </w:p>
    <w:p>
      <w:pPr>
        <w:pStyle w:val="BodyText"/>
        <w:spacing w:line="222" w:lineRule="exact"/>
        <w:ind w:right="1133"/>
        <w:jc w:val="left"/>
      </w:pPr>
      <w:r>
        <w:rPr/>
        <w:t>产、投资性房地产和存货等资产。</w:t>
      </w:r>
    </w:p>
    <w:p>
      <w:pPr>
        <w:pStyle w:val="BodyText"/>
        <w:spacing w:line="240" w:lineRule="auto" w:before="115"/>
        <w:ind w:left="513" w:right="1133"/>
        <w:jc w:val="left"/>
      </w:pPr>
      <w:r>
        <w:rPr/>
        <w:t>借款费用同时满足下列条件时开始资本化：</w:t>
      </w:r>
    </w:p>
    <w:p>
      <w:pPr>
        <w:pStyle w:val="BodyText"/>
        <w:spacing w:line="300" w:lineRule="auto" w:before="117"/>
        <w:ind w:right="1124" w:firstLine="36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 担带息债务形式发生的支出；</w:t>
      </w:r>
    </w:p>
    <w:p>
      <w:pPr>
        <w:pStyle w:val="BodyText"/>
        <w:spacing w:line="240" w:lineRule="auto" w:before="72"/>
        <w:ind w:left="513" w:right="1133"/>
        <w:jc w:val="left"/>
      </w:pPr>
      <w:r>
        <w:rPr/>
        <w:t>（</w:t>
      </w:r>
      <w:r>
        <w:rPr>
          <w:rFonts w:ascii="Times New Roman" w:hAnsi="Times New Roman" w:cs="Times New Roman" w:eastAsia="Times New Roman" w:hint="default"/>
        </w:rPr>
        <w:t>2</w:t>
      </w:r>
      <w:r>
        <w:rPr/>
        <w:t>）借款费用已经发生；</w:t>
      </w:r>
    </w:p>
    <w:p>
      <w:pPr>
        <w:pStyle w:val="BodyText"/>
        <w:spacing w:line="240" w:lineRule="auto" w:before="101"/>
        <w:ind w:left="513" w:right="1133"/>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55" w:lineRule="auto" w:before="44"/>
        <w:ind w:left="513" w:right="1129"/>
        <w:jc w:val="left"/>
      </w:pPr>
      <w:r>
        <w:rPr>
          <w:rFonts w:ascii="Times New Roman" w:hAnsi="Times New Roman" w:cs="Times New Roman" w:eastAsia="Times New Roman" w:hint="default"/>
          <w:b/>
          <w:bCs/>
        </w:rPr>
        <w:t>2</w:t>
      </w:r>
      <w:r>
        <w:rPr>
          <w:rFonts w:ascii="宋体" w:hAnsi="宋体" w:cs="宋体" w:eastAsia="宋体" w:hint="default"/>
          <w:b/>
          <w:bCs/>
        </w:rPr>
        <w:t>．借款费用资本化期间</w:t>
      </w:r>
      <w:r>
        <w:rPr>
          <w:rFonts w:ascii="宋体" w:hAnsi="宋体" w:cs="宋体" w:eastAsia="宋体" w:hint="default"/>
          <w:b/>
          <w:bCs/>
          <w:w w:val="99"/>
        </w:rPr>
        <w:t> </w:t>
      </w: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26" w:lineRule="exact"/>
        <w:ind w:right="1133"/>
        <w:jc w:val="left"/>
      </w:pPr>
      <w:r>
        <w:rPr/>
        <w:t>款费用资本化。</w:t>
      </w:r>
    </w:p>
    <w:p>
      <w:pPr>
        <w:pStyle w:val="BodyText"/>
        <w:spacing w:line="340" w:lineRule="auto" w:before="115"/>
        <w:ind w:left="513" w:right="0"/>
        <w:jc w:val="left"/>
      </w:pP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99"/>
        </w:rPr>
        <w:t> </w:t>
      </w: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个月的，则借款费用暂停资本化；</w:t>
      </w:r>
    </w:p>
    <w:p>
      <w:pPr>
        <w:pStyle w:val="BodyText"/>
        <w:spacing w:line="215" w:lineRule="exact"/>
        <w:ind w:right="0"/>
        <w:jc w:val="left"/>
      </w:pPr>
      <w:r>
        <w:rPr/>
        <w:t>该项中断如是所购建或生产的符合资本化条件的资产达到预定可使用状态或者可销售状态必要的程序</w:t>
      </w:r>
      <w:r>
        <w:rPr>
          <w:spacing w:val="-82"/>
        </w:rPr>
        <w:t>，</w:t>
      </w:r>
      <w:r>
        <w:rPr/>
        <w:t>则借款费用继续资本</w:t>
      </w:r>
    </w:p>
    <w:p>
      <w:pPr>
        <w:pStyle w:val="BodyText"/>
        <w:spacing w:line="348" w:lineRule="auto" w:before="76"/>
        <w:ind w:left="513" w:right="1129" w:hanging="361"/>
        <w:jc w:val="left"/>
      </w:pPr>
      <w:r>
        <w:rPr/>
        <w:t>化。在中断期间发生的借款费用确认为当期损益，直至资产的购建或者生产活动重新开始后借款费用继续资本化。 </w:t>
      </w:r>
      <w:r>
        <w:rPr>
          <w:rFonts w:ascii="Times New Roman" w:hAnsi="Times New Roman" w:cs="Times New Roman" w:eastAsia="Times New Roman" w:hint="default"/>
          <w:b/>
          <w:bCs/>
        </w:rPr>
        <w:t>4</w:t>
      </w:r>
      <w:r>
        <w:rPr>
          <w:rFonts w:ascii="宋体" w:hAnsi="宋体" w:cs="宋体" w:eastAsia="宋体" w:hint="default"/>
          <w:b/>
          <w:bCs/>
        </w:rPr>
        <w:t>．借款费用资本化金额的计算方法</w:t>
      </w:r>
      <w:r>
        <w:rPr>
          <w:rFonts w:ascii="宋体" w:hAnsi="宋体" w:cs="宋体" w:eastAsia="宋体" w:hint="default"/>
          <w:b/>
          <w:bCs/>
          <w:w w:val="99"/>
        </w:rPr>
        <w:t> </w:t>
      </w:r>
      <w:r>
        <w:rPr>
          <w:spacing w:val="-2"/>
        </w:rPr>
        <w:t>专门借款的利息费用（扣除尚未动用的借款资金存入银行取得的利息收入或者进行暂时性投资取得的投资收益）及其辅</w:t>
      </w:r>
    </w:p>
    <w:p>
      <w:pPr>
        <w:pStyle w:val="BodyText"/>
        <w:spacing w:line="360" w:lineRule="auto"/>
        <w:ind w:left="513" w:right="1129" w:hanging="361"/>
        <w:jc w:val="left"/>
      </w:pPr>
      <w:r>
        <w:rPr/>
        <w:t>助费用在所购建或者生产的符合资本化条件的资产达到预定可使用或者可销售状态前，予以资本化。 </w:t>
      </w:r>
      <w:r>
        <w:rPr>
          <w:spacing w:val="-2"/>
        </w:rPr>
        <w:t>根据累计资产支出超过专门借款部分的资产支出加权平均数乘以所占用一般借款的资本化率，计算确定一般借款应予资</w:t>
      </w:r>
    </w:p>
    <w:p>
      <w:pPr>
        <w:pStyle w:val="BodyText"/>
        <w:spacing w:line="222" w:lineRule="exact"/>
        <w:ind w:right="1133"/>
        <w:jc w:val="left"/>
      </w:pPr>
      <w:r>
        <w:rPr/>
        <w:t>本化的利息金额。资本化率根据一般借款加权平均利率计算确定。</w:t>
      </w:r>
    </w:p>
    <w:p>
      <w:pPr>
        <w:pStyle w:val="BodyText"/>
        <w:spacing w:line="240" w:lineRule="auto" w:before="117"/>
        <w:ind w:left="513" w:right="1133"/>
        <w:jc w:val="left"/>
      </w:pPr>
      <w:r>
        <w:rPr/>
        <w:t>借款存在折价或者溢价的，按照实际利率法确定每一会计期间应摊销的折价或者溢价金额，调整每期利息金额。</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2、无形资产" w:id="194"/>
      <w:bookmarkEnd w:id="194"/>
      <w:r>
        <w:rPr>
          <w:b w:val="0"/>
          <w:bCs w:val="0"/>
        </w:rPr>
      </w:r>
      <w:r>
        <w:rPr>
          <w:rFonts w:ascii="Times New Roman" w:hAnsi="Times New Roman" w:cs="Times New Roman" w:eastAsia="Times New Roman" w:hint="default"/>
        </w:rPr>
        <w:t>22</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 无形资产与开发支出" w:id="195"/>
      <w:bookmarkEnd w:id="195"/>
      <w:r>
        <w:rPr>
          <w:b w:val="0"/>
          <w:bCs w:val="0"/>
        </w:rPr>
      </w:r>
      <w:r>
        <w:rPr/>
        <w:t>（</w:t>
      </w:r>
      <w:r>
        <w:rPr>
          <w:rFonts w:ascii="Times New Roman" w:hAnsi="Times New Roman" w:cs="Times New Roman" w:eastAsia="Times New Roman" w:hint="default"/>
        </w:rPr>
        <w:t>1</w:t>
      </w:r>
      <w:r>
        <w:rPr/>
        <w:t>）</w:t>
      </w:r>
      <w:r>
        <w:rPr>
          <w:spacing w:val="-3"/>
        </w:rPr>
        <w:t> </w:t>
      </w:r>
      <w:r>
        <w:rPr/>
        <w:t>无形资产与开发支出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5" w:firstLine="360"/>
        <w:jc w:val="both"/>
      </w:pPr>
      <w:r>
        <w:rPr>
          <w:spacing w:val="-2"/>
        </w:rPr>
        <w:t>无形资产是指本公司拥有或者控制的没有实物形态的可辨认非货币性资产，包括土地使用权、软件、高尔夫会费、专利</w:t>
      </w:r>
      <w:r>
        <w:rPr/>
        <w:t> 权、著作权及商标等。</w:t>
      </w:r>
    </w:p>
    <w:p>
      <w:pPr>
        <w:pStyle w:val="BodyText"/>
        <w:spacing w:line="340" w:lineRule="auto" w:before="57"/>
        <w:ind w:left="513" w:right="0"/>
        <w:jc w:val="left"/>
      </w:pPr>
      <w:r>
        <w:rPr>
          <w:rFonts w:ascii="Times New Roman" w:hAnsi="Times New Roman" w:cs="Times New Roman" w:eastAsia="Times New Roman" w:hint="default"/>
          <w:b/>
          <w:bCs/>
        </w:rPr>
        <w:t>1</w:t>
      </w:r>
      <w:r>
        <w:rPr>
          <w:rFonts w:ascii="宋体" w:hAnsi="宋体" w:cs="宋体" w:eastAsia="宋体" w:hint="default"/>
          <w:b/>
          <w:bCs/>
        </w:rPr>
        <w:t>．无形资产的初始计量</w:t>
      </w:r>
      <w:r>
        <w:rPr>
          <w:rFonts w:ascii="宋体" w:hAnsi="宋体" w:cs="宋体" w:eastAsia="宋体" w:hint="default"/>
          <w:b/>
          <w:bCs/>
          <w:w w:val="99"/>
        </w:rPr>
        <w:t> </w:t>
      </w:r>
      <w:r>
        <w:rPr>
          <w:spacing w:val="-2"/>
        </w:rPr>
        <w:t>外购无形资产的成本，包括购买价款、相关税费以及直接归属于使该项资产达到预定用途所发生的其他支出。购买无形</w:t>
      </w:r>
    </w:p>
    <w:p>
      <w:pPr>
        <w:pStyle w:val="BodyText"/>
        <w:spacing w:line="360" w:lineRule="auto" w:before="1"/>
        <w:ind w:left="513" w:right="1129" w:hanging="361"/>
        <w:jc w:val="left"/>
      </w:pPr>
      <w:r>
        <w:rPr/>
        <w:t>资产的价款超过正常信用条件延期支付，实质上具有融资性质的，无形资产的成本以购买价款的现值为基础确定。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w:t>
      </w:r>
    </w:p>
    <w:p>
      <w:pPr>
        <w:pStyle w:val="BodyText"/>
        <w:spacing w:line="222" w:lineRule="exact"/>
        <w:ind w:right="1133"/>
        <w:jc w:val="left"/>
      </w:pPr>
      <w:r>
        <w:rPr/>
        <w:t>与该用以抵债的无形资产公允价值之间的差额，计入当期损益。</w:t>
      </w:r>
    </w:p>
    <w:p>
      <w:pPr>
        <w:pStyle w:val="BodyText"/>
        <w:spacing w:line="316" w:lineRule="auto" w:before="115"/>
        <w:ind w:right="1131" w:firstLine="360"/>
        <w:jc w:val="both"/>
      </w:pPr>
      <w:r>
        <w:rPr>
          <w:spacing w:val="-2"/>
        </w:rPr>
        <w:t>在非货币性资产交换具备商业实质且换入资产或换出资产的公允价值能够可靠计量的前提下，非货币性资产交换换入的</w:t>
      </w:r>
      <w:r>
        <w:rPr/>
        <w:t> </w:t>
      </w:r>
      <w:r>
        <w:rPr>
          <w:spacing w:val="-2"/>
        </w:rPr>
        <w:t>无形资产以换出资产的公允价值为基础确定其入账价值，除非有确凿证据表明换入资产的公允价值更加可靠；不满足上述前</w:t>
      </w:r>
      <w:r>
        <w:rPr>
          <w:spacing w:val="-63"/>
        </w:rPr>
        <w:t> </w:t>
      </w:r>
      <w:r>
        <w:rPr>
          <w:spacing w:val="-63"/>
        </w:rPr>
      </w:r>
      <w:r>
        <w:rPr/>
        <w:t>提的非货币性资产交换，以换出资产的账面价值和应支付的相关税费作为换入无形资产的成本，不确认损益。</w:t>
      </w:r>
    </w:p>
    <w:p>
      <w:pPr>
        <w:pStyle w:val="BodyText"/>
        <w:spacing w:line="316" w:lineRule="auto" w:before="59"/>
        <w:ind w:right="1132" w:firstLine="360"/>
        <w:jc w:val="both"/>
      </w:pPr>
      <w:r>
        <w:rPr>
          <w:spacing w:val="-2"/>
        </w:rPr>
        <w:t>以同一控制下的企业吸收合并方式取得的无形资产按被合并方的账面价值确定其入账价值；以非同一控制下的企业吸收</w:t>
      </w:r>
      <w:r>
        <w:rPr/>
        <w:t> 合并方式取得的无形资产按公允价值确定其入账价值。</w:t>
      </w:r>
    </w:p>
    <w:p>
      <w:pPr>
        <w:pStyle w:val="BodyText"/>
        <w:spacing w:line="316" w:lineRule="auto" w:before="60"/>
        <w:ind w:right="1134" w:firstLine="360"/>
        <w:jc w:val="both"/>
      </w:pPr>
      <w:r>
        <w:rPr>
          <w:spacing w:val="-2"/>
        </w:rPr>
        <w:t>内部自行开发的无形资产，其成本包括：开发该无形资产时耗用的材料、劳务成本、注册费、在开发过程中使用的其他</w:t>
      </w:r>
      <w:r>
        <w:rPr/>
        <w:t> 专利权和特许权的摊销以及满足资本化条件的利息费用，以及为使该无形资产达到预定用途前所发生的其他直接费用。</w:t>
      </w:r>
    </w:p>
    <w:p>
      <w:pPr>
        <w:spacing w:line="340" w:lineRule="auto" w:before="57"/>
        <w:ind w:left="513" w:right="247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．无形资产的后续计量</w:t>
      </w:r>
      <w:r>
        <w:rPr>
          <w:rFonts w:ascii="宋体" w:hAnsi="宋体" w:cs="宋体" w:eastAsia="宋体" w:hint="default"/>
          <w:b/>
          <w:bCs/>
          <w:w w:val="99"/>
          <w:sz w:val="18"/>
          <w:szCs w:val="18"/>
        </w:rPr>
        <w:t> </w:t>
      </w:r>
      <w:r>
        <w:rPr>
          <w:rFonts w:ascii="宋体" w:hAnsi="宋体" w:cs="宋体" w:eastAsia="宋体" w:hint="default"/>
          <w:sz w:val="18"/>
          <w:szCs w:val="18"/>
        </w:rPr>
        <w:t>本公司在取得无形资产时分析判断其使用寿命，划分为使用寿命有限和使用寿命不确定的无形资产。</w:t>
      </w:r>
    </w:p>
    <w:p>
      <w:pPr>
        <w:pStyle w:val="BodyText"/>
        <w:spacing w:line="338" w:lineRule="auto" w:before="41"/>
        <w:ind w:left="513" w:right="1129"/>
        <w:jc w:val="left"/>
      </w:pPr>
      <w:r>
        <w:rPr/>
        <w:t>（</w:t>
      </w:r>
      <w:r>
        <w:rPr>
          <w:rFonts w:ascii="Times New Roman" w:hAnsi="Times New Roman" w:cs="Times New Roman" w:eastAsia="Times New Roman" w:hint="default"/>
        </w:rPr>
        <w:t>1</w:t>
      </w:r>
      <w:r>
        <w:rPr/>
        <w:t>）使用寿命有限的无形资产 </w:t>
      </w:r>
      <w:r>
        <w:rPr>
          <w:spacing w:val="-2"/>
        </w:rPr>
        <w:t>对于使用寿命有限的无形资产，在为企业带来经济利益的期限内按直线法摊销。使用寿命有限的无形资产预计寿命及依</w:t>
      </w:r>
    </w:p>
    <w:p>
      <w:pPr>
        <w:pStyle w:val="BodyText"/>
        <w:spacing w:line="240" w:lineRule="auto" w:before="2"/>
        <w:ind w:right="1133"/>
        <w:jc w:val="left"/>
      </w:pPr>
      <w:r>
        <w:rPr/>
        <w:t>据如下：</w:t>
      </w:r>
    </w:p>
    <w:p>
      <w:pPr>
        <w:spacing w:line="240" w:lineRule="auto" w:before="4"/>
        <w:rPr>
          <w:rFonts w:ascii="宋体" w:hAnsi="宋体" w:cs="宋体" w:eastAsia="宋体" w:hint="default"/>
          <w:sz w:val="8"/>
          <w:szCs w:val="8"/>
        </w:rPr>
      </w:pPr>
    </w:p>
    <w:tbl>
      <w:tblPr>
        <w:tblW w:w="0" w:type="auto"/>
        <w:jc w:val="left"/>
        <w:tblInd w:w="150" w:type="dxa"/>
        <w:tblLayout w:type="fixed"/>
        <w:tblCellMar>
          <w:top w:w="0" w:type="dxa"/>
          <w:left w:w="0" w:type="dxa"/>
          <w:bottom w:w="0" w:type="dxa"/>
          <w:right w:w="0" w:type="dxa"/>
        </w:tblCellMar>
        <w:tblLook w:val="01E0"/>
      </w:tblPr>
      <w:tblGrid>
        <w:gridCol w:w="2369"/>
        <w:gridCol w:w="3354"/>
        <w:gridCol w:w="3925"/>
      </w:tblGrid>
      <w:tr>
        <w:trPr>
          <w:trHeight w:val="335" w:hRule="exact"/>
        </w:trPr>
        <w:tc>
          <w:tcPr>
            <w:tcW w:w="23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9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依据</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50" w:type="dxa"/>
        <w:tblLayout w:type="fixed"/>
        <w:tblCellMar>
          <w:top w:w="0" w:type="dxa"/>
          <w:left w:w="0" w:type="dxa"/>
          <w:bottom w:w="0" w:type="dxa"/>
          <w:right w:w="0" w:type="dxa"/>
        </w:tblCellMar>
        <w:tblLook w:val="01E0"/>
      </w:tblPr>
      <w:tblGrid>
        <w:gridCol w:w="2369"/>
        <w:gridCol w:w="3354"/>
        <w:gridCol w:w="3925"/>
      </w:tblGrid>
      <w:tr>
        <w:trPr>
          <w:trHeight w:val="348" w:hRule="exact"/>
        </w:trPr>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3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根据预计使用年限</w:t>
            </w:r>
          </w:p>
        </w:tc>
      </w:tr>
      <w:tr>
        <w:trPr>
          <w:trHeight w:val="346" w:hRule="exact"/>
        </w:trPr>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3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根据预计使用年限</w:t>
            </w:r>
          </w:p>
        </w:tc>
      </w:tr>
      <w:tr>
        <w:trPr>
          <w:trHeight w:val="348" w:hRule="exact"/>
        </w:trPr>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高尔夫会费</w:t>
            </w:r>
          </w:p>
        </w:tc>
        <w:tc>
          <w:tcPr>
            <w:tcW w:w="3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根据预计经济利益影响期限</w:t>
            </w:r>
          </w:p>
        </w:tc>
      </w:tr>
      <w:tr>
        <w:trPr>
          <w:trHeight w:val="346" w:hRule="exact"/>
        </w:trPr>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专利权、著作权</w:t>
            </w:r>
          </w:p>
        </w:tc>
        <w:tc>
          <w:tcPr>
            <w:tcW w:w="3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年与剩余使用寿命孰短</w:t>
            </w:r>
          </w:p>
        </w:tc>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根据预计经济利益影响期限</w:t>
            </w:r>
          </w:p>
        </w:tc>
      </w:tr>
      <w:tr>
        <w:trPr>
          <w:trHeight w:val="348" w:hRule="exact"/>
        </w:trPr>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3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根据预计经济利益影响期限</w:t>
            </w:r>
          </w:p>
        </w:tc>
      </w:tr>
    </w:tbl>
    <w:p>
      <w:pPr>
        <w:pStyle w:val="BodyText"/>
        <w:spacing w:line="357" w:lineRule="auto" w:before="49"/>
        <w:ind w:left="513" w:right="1033"/>
        <w:jc w:val="left"/>
      </w:pPr>
      <w:r>
        <w:rPr/>
        <w:t>每期末，对使用寿命有限的无形资产的使用寿命及摊销方法进行复核，如与原先估计数存在差异的，进行相应的调整。 经复核，本期期末无形资产的使用寿命及摊销方法与以前估计未有不同。</w:t>
      </w:r>
    </w:p>
    <w:p>
      <w:pPr>
        <w:pStyle w:val="BodyText"/>
        <w:spacing w:line="340" w:lineRule="auto" w:before="29"/>
        <w:ind w:left="513" w:right="3913"/>
        <w:jc w:val="left"/>
      </w:pPr>
      <w:r>
        <w:rPr/>
        <w:t>（</w:t>
      </w:r>
      <w:r>
        <w:rPr>
          <w:rFonts w:ascii="Times New Roman" w:hAnsi="Times New Roman" w:cs="Times New Roman" w:eastAsia="Times New Roman" w:hint="default"/>
        </w:rPr>
        <w:t>2</w:t>
      </w:r>
      <w:r>
        <w:rPr/>
        <w:t>）使用寿命不确定的无形资产 无法预见无形资产为企业带来经济利益期限的，视为使用寿命不确定的无形资产。</w:t>
      </w:r>
    </w:p>
    <w:p>
      <w:pPr>
        <w:pStyle w:val="BodyText"/>
        <w:spacing w:line="316" w:lineRule="auto" w:before="39"/>
        <w:ind w:right="1129" w:firstLine="360"/>
        <w:jc w:val="left"/>
      </w:pPr>
      <w:r>
        <w:rPr>
          <w:spacing w:val="-2"/>
        </w:rPr>
        <w:t>对于使用寿命不确定的无形资产，在持有期间内不摊销，每期末对无形资产的寿命进行复核。如果期末重新复核后仍为</w:t>
      </w:r>
      <w:r>
        <w:rPr/>
        <w:t> 不确定的，在每个会计期间继续进行减值测试。</w:t>
      </w:r>
    </w:p>
    <w:p>
      <w:pPr>
        <w:spacing w:line="348" w:lineRule="auto" w:before="60"/>
        <w:ind w:left="513" w:right="2653" w:firstLine="0"/>
        <w:jc w:val="left"/>
        <w:rPr>
          <w:rFonts w:ascii="宋体" w:hAnsi="宋体" w:cs="宋体" w:eastAsia="宋体" w:hint="default"/>
          <w:sz w:val="18"/>
          <w:szCs w:val="18"/>
        </w:rPr>
      </w:pPr>
      <w:r>
        <w:rPr>
          <w:rFonts w:ascii="宋体" w:hAnsi="宋体" w:cs="宋体" w:eastAsia="宋体" w:hint="default"/>
          <w:sz w:val="18"/>
          <w:szCs w:val="18"/>
        </w:rPr>
        <w:t>经复核，本公司无使用寿命不确定的无形资产。 </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．划分公司内部研究开发项目的研究阶段和开发阶段具体标准</w:t>
      </w:r>
      <w:r>
        <w:rPr>
          <w:rFonts w:ascii="宋体" w:hAnsi="宋体" w:cs="宋体" w:eastAsia="宋体" w:hint="default"/>
          <w:b/>
          <w:bCs/>
          <w:w w:val="99"/>
          <w:sz w:val="18"/>
          <w:szCs w:val="18"/>
        </w:rPr>
        <w:t> </w:t>
      </w:r>
      <w:r>
        <w:rPr>
          <w:rFonts w:ascii="宋体" w:hAnsi="宋体" w:cs="宋体" w:eastAsia="宋体" w:hint="default"/>
          <w:sz w:val="18"/>
          <w:szCs w:val="18"/>
        </w:rPr>
        <w:t>研究阶段：为获取并理解新的科学或技术知识等而进行的独创性的有计划调查、研究活动的阶段。</w:t>
      </w:r>
    </w:p>
    <w:p>
      <w:pPr>
        <w:pStyle w:val="BodyText"/>
        <w:spacing w:line="316" w:lineRule="auto" w:before="36"/>
        <w:ind w:right="1129" w:firstLine="360"/>
        <w:jc w:val="left"/>
      </w:pPr>
      <w:r>
        <w:rPr>
          <w:spacing w:val="-2"/>
        </w:rPr>
        <w:t>开发阶段：在进行商业性生产或使用前，将研究成果或其他知识应用于某项计划或设计，以生产出新的或具有实质性改</w:t>
      </w:r>
      <w:r>
        <w:rPr/>
        <w:t> 进的材料、装置、产品等活动的阶段。</w:t>
      </w:r>
    </w:p>
    <w:p>
      <w:pPr>
        <w:spacing w:line="348" w:lineRule="auto" w:before="59"/>
        <w:ind w:left="513" w:right="4453" w:firstLine="0"/>
        <w:jc w:val="left"/>
        <w:rPr>
          <w:rFonts w:ascii="宋体" w:hAnsi="宋体" w:cs="宋体" w:eastAsia="宋体" w:hint="default"/>
          <w:sz w:val="18"/>
          <w:szCs w:val="18"/>
        </w:rPr>
      </w:pPr>
      <w:r>
        <w:rPr>
          <w:rFonts w:ascii="宋体" w:hAnsi="宋体" w:cs="宋体" w:eastAsia="宋体" w:hint="default"/>
          <w:sz w:val="18"/>
          <w:szCs w:val="18"/>
        </w:rPr>
        <w:t>内部研究开发项目研究阶段的支出，在发生时计入当期损益。 </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．开发阶段支出符合资本化的具体标准</w:t>
      </w:r>
      <w:r>
        <w:rPr>
          <w:rFonts w:ascii="宋体" w:hAnsi="宋体" w:cs="宋体" w:eastAsia="宋体" w:hint="default"/>
          <w:b/>
          <w:bCs/>
          <w:w w:val="99"/>
          <w:sz w:val="18"/>
          <w:szCs w:val="18"/>
        </w:rPr>
        <w:t> </w:t>
      </w:r>
      <w:r>
        <w:rPr>
          <w:rFonts w:ascii="宋体" w:hAnsi="宋体" w:cs="宋体" w:eastAsia="宋体" w:hint="default"/>
          <w:sz w:val="18"/>
          <w:szCs w:val="18"/>
        </w:rPr>
        <w:t>内部研究开发项目开发阶段的支出，同时满足下列条件时确认为无形资产：</w:t>
      </w:r>
    </w:p>
    <w:p>
      <w:pPr>
        <w:pStyle w:val="BodyText"/>
        <w:spacing w:line="240" w:lineRule="auto" w:before="36"/>
        <w:ind w:left="513" w:right="1133"/>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01"/>
        <w:ind w:left="513" w:right="1133"/>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00" w:lineRule="auto" w:before="104"/>
        <w:ind w:right="1124" w:firstLine="36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 形资产将在内部使用的，能够证明其有用性；</w:t>
      </w:r>
    </w:p>
    <w:p>
      <w:pPr>
        <w:pStyle w:val="BodyText"/>
        <w:spacing w:line="240" w:lineRule="auto" w:before="72"/>
        <w:ind w:left="513" w:right="1133"/>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40" w:lineRule="auto" w:before="101"/>
        <w:ind w:left="513" w:right="1129"/>
        <w:jc w:val="left"/>
      </w:pPr>
      <w:r>
        <w:rPr/>
        <w:t>（</w:t>
      </w:r>
      <w:r>
        <w:rPr>
          <w:rFonts w:ascii="Times New Roman" w:hAnsi="Times New Roman" w:cs="Times New Roman" w:eastAsia="Times New Roman" w:hint="default"/>
        </w:rPr>
        <w:t>5</w:t>
      </w:r>
      <w:r>
        <w:rPr/>
        <w:t>）归属于该无形资产开发阶段的支出能够可靠地计量。 </w:t>
      </w:r>
      <w:r>
        <w:rPr>
          <w:spacing w:val="-2"/>
        </w:rPr>
        <w:t>不满足上述条件的开发阶段的支出，于发生时计入当期损益。以前期间已计入损益的开发支出不在以后期间重新确认为</w:t>
      </w:r>
    </w:p>
    <w:p>
      <w:pPr>
        <w:pStyle w:val="BodyText"/>
        <w:spacing w:line="240" w:lineRule="auto" w:before="1"/>
        <w:ind w:right="1133"/>
        <w:jc w:val="left"/>
      </w:pPr>
      <w:r>
        <w:rPr/>
        <w:t>资产。已资本化的开发阶段的支出在资产负债表上列示为开发支出，自该项目达到预定用途之日起转为无形资产。</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3、长期资产减值" w:id="196"/>
      <w:bookmarkEnd w:id="196"/>
      <w:r>
        <w:rPr>
          <w:b w:val="0"/>
          <w:bCs w:val="0"/>
        </w:rPr>
      </w:r>
      <w:r>
        <w:rPr>
          <w:rFonts w:ascii="Times New Roman" w:hAnsi="Times New Roman" w:cs="Times New Roman" w:eastAsia="Times New Roman" w:hint="default"/>
        </w:rPr>
        <w:t>23</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9" w:firstLine="360"/>
        <w:jc w:val="left"/>
      </w:pPr>
      <w:r>
        <w:rPr>
          <w:spacing w:val="-2"/>
        </w:rPr>
        <w:t>本公司在资产负债表日判断长期资产是否存在可能发生减值的迹象。如果长期资产存在减值迹象的，以单项资产为基础</w:t>
      </w:r>
      <w:r>
        <w:rPr/>
        <w:t> 估计其可收回金额；难以对单项资产的可收回金额进行估计的，以该资产所属的资产组为基础确定资产组的可收回金额。</w:t>
      </w:r>
    </w:p>
    <w:p>
      <w:pPr>
        <w:pStyle w:val="BodyText"/>
        <w:spacing w:line="360" w:lineRule="auto" w:before="58"/>
        <w:ind w:left="513" w:right="1033"/>
        <w:jc w:val="left"/>
      </w:pPr>
      <w:r>
        <w:rPr/>
        <w:t>资产可收回金额的估计，根据其公允价值减去处置费用后的净额与资产预计未来现金流量的现值两者之间较高者确定。 </w:t>
      </w:r>
      <w:r>
        <w:rPr>
          <w:spacing w:val="-2"/>
        </w:rPr>
        <w:t>可收回金额的计量结果表明，长期资产的可收回金额低于其账面价值的，将长期资产的账面价值减记至可收回金额，减</w:t>
      </w:r>
    </w:p>
    <w:p>
      <w:pPr>
        <w:pStyle w:val="BodyText"/>
        <w:spacing w:line="222" w:lineRule="exact"/>
        <w:ind w:right="0"/>
        <w:jc w:val="left"/>
      </w:pPr>
      <w:r>
        <w:rPr/>
        <w:t>记的金额确认为资产减值损失，计入当期损益，同时计提相应的资产减值准备。资产减值损失一经确认，在以后会计期间不</w:t>
      </w:r>
    </w:p>
    <w:p>
      <w:pPr>
        <w:pStyle w:val="BodyText"/>
        <w:spacing w:line="240" w:lineRule="auto" w:before="76"/>
        <w:ind w:right="1133"/>
        <w:jc w:val="left"/>
      </w:pPr>
      <w:r>
        <w:rPr/>
        <w:t>得转回。</w:t>
      </w:r>
    </w:p>
    <w:p>
      <w:pPr>
        <w:pStyle w:val="BodyText"/>
        <w:spacing w:line="316" w:lineRule="auto" w:before="117"/>
        <w:ind w:right="1129" w:firstLine="360"/>
        <w:jc w:val="left"/>
      </w:pPr>
      <w:r>
        <w:rPr>
          <w:spacing w:val="-2"/>
        </w:rPr>
        <w:t>资产减值损失确认后，减值资产的折旧或者摊销费用在未来期间作相应调整，以使该资产在剩余使用寿命内，系统地分</w:t>
      </w:r>
      <w:r>
        <w:rPr/>
        <w:t> 摊调整后的资产账面价值（扣除预计净残值）。</w:t>
      </w:r>
    </w:p>
    <w:p>
      <w:pPr>
        <w:pStyle w:val="BodyText"/>
        <w:spacing w:line="360" w:lineRule="auto" w:before="57"/>
        <w:ind w:left="513" w:right="1129"/>
        <w:jc w:val="left"/>
      </w:pPr>
      <w:r>
        <w:rPr/>
        <w:t>因企业合并所形成的商誉和使用寿命不确定的无形资产，无论是否存在减值迹象，每年都进行减值测试。 </w:t>
      </w:r>
      <w:r>
        <w:rPr>
          <w:spacing w:val="-2"/>
        </w:rPr>
        <w:t>在对商誉进行减值测试时，将商誉的账面价值分摊至预期从企业合并的协同效应中受益的资产组或资产组组合。在对包</w:t>
      </w:r>
    </w:p>
    <w:p>
      <w:pPr>
        <w:pStyle w:val="BodyText"/>
        <w:spacing w:line="222" w:lineRule="exact"/>
        <w:ind w:right="0"/>
        <w:jc w:val="left"/>
      </w:pPr>
      <w:r>
        <w:rPr/>
        <w:t>含商誉的相关资产组或者资产组组合进行减值测试时，如与商誉相关的资产组或者资产组组合存在减值迹象的，先对不包含</w:t>
      </w:r>
    </w:p>
    <w:p>
      <w:pPr>
        <w:spacing w:after="0" w:line="222" w:lineRule="exact"/>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1"/>
        <w:jc w:val="both"/>
      </w:pPr>
      <w:r>
        <w:rPr>
          <w:spacing w:val="-2"/>
        </w:rPr>
        <w:t>商誉的资产组或者资产组组合进行减值测试，计算可收回金额，并与相关账面价值相比较，确认相应的减值损失。再对包含</w:t>
      </w:r>
      <w:r>
        <w:rPr>
          <w:spacing w:val="-64"/>
        </w:rPr>
        <w:t> </w:t>
      </w:r>
      <w:r>
        <w:rPr>
          <w:spacing w:val="-64"/>
        </w:rPr>
      </w:r>
      <w:r>
        <w:rPr>
          <w:spacing w:val="-2"/>
        </w:rPr>
        <w:t>商誉的资产组或者资产组组合进行减值测试，比较这些相关资产组或者资产组组合的账面价值（包括所分摊的商誉的账面价</w:t>
      </w:r>
      <w:r>
        <w:rPr>
          <w:spacing w:val="-64"/>
        </w:rPr>
        <w:t> </w:t>
      </w:r>
      <w:r>
        <w:rPr>
          <w:spacing w:val="-64"/>
        </w:rPr>
      </w:r>
      <w:r>
        <w:rPr/>
        <w:t>值部分）与其可收回金额，如相关资产组或者资产组组合的可收回金额低于其账面价值的，确认商誉的减值损失。</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bookmarkStart w:name="24、长期待摊费用" w:id="197"/>
      <w:bookmarkEnd w:id="197"/>
      <w:r>
        <w:rPr>
          <w:b w:val="0"/>
          <w:bCs w:val="0"/>
        </w:rPr>
      </w:r>
      <w:r>
        <w:rPr>
          <w:rFonts w:ascii="Times New Roman" w:hAnsi="Times New Roman" w:cs="Times New Roman" w:eastAsia="Times New Roman" w:hint="default"/>
        </w:rPr>
        <w:t>24</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513" w:right="1123"/>
        <w:jc w:val="left"/>
      </w:pPr>
      <w:r>
        <w:rPr>
          <w:rFonts w:ascii="Times New Roman" w:hAnsi="Times New Roman" w:cs="Times New Roman" w:eastAsia="Times New Roman" w:hint="default"/>
          <w:b/>
          <w:bCs/>
        </w:rPr>
        <w:t>1</w:t>
      </w:r>
      <w:r>
        <w:rPr>
          <w:rFonts w:ascii="宋体" w:hAnsi="宋体" w:cs="宋体" w:eastAsia="宋体" w:hint="default"/>
          <w:b/>
          <w:bCs/>
        </w:rPr>
        <w:t>．摊销方法</w:t>
      </w:r>
      <w:r>
        <w:rPr>
          <w:rFonts w:ascii="宋体" w:hAnsi="宋体" w:cs="宋体" w:eastAsia="宋体" w:hint="default"/>
          <w:b/>
          <w:bCs/>
          <w:w w:val="99"/>
        </w:rPr>
        <w:t> </w:t>
      </w:r>
      <w:r>
        <w:rPr/>
        <w:t>长期待摊费用，是指本公司已经发生但应由本期和以后各期负担的分摊期限在</w:t>
      </w:r>
      <w:r>
        <w:rPr>
          <w:rFonts w:ascii="Times New Roman" w:hAnsi="Times New Roman" w:cs="Times New Roman" w:eastAsia="Times New Roman" w:hint="default"/>
        </w:rPr>
        <w:t>1</w:t>
      </w:r>
      <w:r>
        <w:rPr/>
        <w:t>年以上的各项费用。长期待摊费用在受</w:t>
      </w:r>
    </w:p>
    <w:p>
      <w:pPr>
        <w:pStyle w:val="BodyText"/>
        <w:spacing w:line="217" w:lineRule="exact"/>
        <w:ind w:right="0"/>
        <w:jc w:val="both"/>
      </w:pPr>
      <w:r>
        <w:rPr/>
        <w:t>益期内按直线法分期摊销。</w:t>
      </w:r>
    </w:p>
    <w:p>
      <w:pPr>
        <w:pStyle w:val="Heading4"/>
        <w:spacing w:line="240" w:lineRule="auto" w:before="117"/>
        <w:ind w:right="1133"/>
        <w:jc w:val="left"/>
        <w:rPr>
          <w:b w:val="0"/>
          <w:bCs w:val="0"/>
        </w:rPr>
      </w:pPr>
      <w:r>
        <w:rPr>
          <w:rFonts w:ascii="Times New Roman" w:hAnsi="Times New Roman" w:cs="Times New Roman" w:eastAsia="Times New Roman" w:hint="default"/>
        </w:rPr>
        <w:t>2</w:t>
      </w:r>
      <w:r>
        <w:rPr/>
        <w:t>．摊销年限</w:t>
      </w:r>
      <w:r>
        <w:rPr>
          <w:b w:val="0"/>
          <w:bCs w:val="0"/>
        </w:rPr>
      </w:r>
    </w:p>
    <w:p>
      <w:pPr>
        <w:spacing w:line="240" w:lineRule="auto" w:before="4"/>
        <w:rPr>
          <w:rFonts w:ascii="宋体" w:hAnsi="宋体" w:cs="宋体" w:eastAsia="宋体" w:hint="default"/>
          <w:b/>
          <w:bCs/>
          <w:sz w:val="7"/>
          <w:szCs w:val="7"/>
        </w:rPr>
      </w:pPr>
    </w:p>
    <w:tbl>
      <w:tblPr>
        <w:tblW w:w="0" w:type="auto"/>
        <w:jc w:val="left"/>
        <w:tblInd w:w="258" w:type="dxa"/>
        <w:tblLayout w:type="fixed"/>
        <w:tblCellMar>
          <w:top w:w="0" w:type="dxa"/>
          <w:left w:w="0" w:type="dxa"/>
          <w:bottom w:w="0" w:type="dxa"/>
          <w:right w:w="0" w:type="dxa"/>
        </w:tblCellMar>
        <w:tblLook w:val="01E0"/>
      </w:tblPr>
      <w:tblGrid>
        <w:gridCol w:w="4508"/>
        <w:gridCol w:w="4988"/>
      </w:tblGrid>
      <w:tr>
        <w:trPr>
          <w:trHeight w:val="346" w:hRule="exact"/>
        </w:trPr>
        <w:tc>
          <w:tcPr>
            <w:tcW w:w="45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9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摊销年限</w:t>
            </w:r>
          </w:p>
        </w:tc>
      </w:tr>
      <w:tr>
        <w:trPr>
          <w:trHeight w:val="349" w:hRule="exact"/>
        </w:trPr>
        <w:tc>
          <w:tcPr>
            <w:tcW w:w="4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4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年</w:t>
            </w:r>
          </w:p>
        </w:tc>
      </w:tr>
      <w:tr>
        <w:trPr>
          <w:trHeight w:val="346" w:hRule="exact"/>
        </w:trPr>
        <w:tc>
          <w:tcPr>
            <w:tcW w:w="4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4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r>
      <w:tr>
        <w:trPr>
          <w:trHeight w:val="348" w:hRule="exact"/>
        </w:trPr>
        <w:tc>
          <w:tcPr>
            <w:tcW w:w="4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4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按实际受益期间</w:t>
            </w:r>
          </w:p>
        </w:tc>
      </w:tr>
      <w:tr>
        <w:trPr>
          <w:trHeight w:val="348" w:hRule="exact"/>
        </w:trPr>
        <w:tc>
          <w:tcPr>
            <w:tcW w:w="4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会员费及其他</w:t>
            </w:r>
          </w:p>
        </w:tc>
        <w:tc>
          <w:tcPr>
            <w:tcW w:w="4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按实际受益期间</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bookmarkStart w:name="25、职工薪酬" w:id="198"/>
      <w:bookmarkEnd w:id="198"/>
      <w:r>
        <w:rPr>
          <w:b w:val="0"/>
          <w:bCs w:val="0"/>
        </w:rPr>
      </w:r>
      <w:r>
        <w:rPr>
          <w:rFonts w:ascii="Times New Roman" w:hAnsi="Times New Roman" w:cs="Times New Roman" w:eastAsia="Times New Roman" w:hint="default"/>
        </w:rPr>
        <w:t>25</w:t>
      </w:r>
      <w:r>
        <w:rPr/>
        <w:t>、职工薪酬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短期薪酬的会计处理方法" w:id="199"/>
      <w:bookmarkEnd w:id="199"/>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420"/>
        <w:jc w:val="both"/>
      </w:pPr>
      <w:r>
        <w:rPr/>
        <w:t>短期薪酬是指本公司在职工提供相关服务的年度报告期间结束后十二个月内需要全部予以支付的职工薪酬，离职后福 </w:t>
      </w:r>
      <w:r>
        <w:rPr>
          <w:spacing w:val="-2"/>
        </w:rPr>
        <w:t>利和辞退福利除外。本公司在职工提供服务的会计期间，将应付的短期薪酬确认为负债，并根据职工提供服务的受益对象计</w:t>
      </w:r>
      <w:r>
        <w:rPr>
          <w:spacing w:val="-63"/>
        </w:rPr>
        <w:t> </w:t>
      </w:r>
      <w:r>
        <w:rPr>
          <w:spacing w:val="-63"/>
        </w:rPr>
      </w:r>
      <w:r>
        <w:rPr/>
        <w:t>入相关资产成本和费用。</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bookmarkStart w:name="（2）离职后福利的会计处理方法" w:id="200"/>
      <w:bookmarkEnd w:id="200"/>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43" w:firstLine="420"/>
        <w:jc w:val="both"/>
      </w:pPr>
      <w:r>
        <w:rPr>
          <w:spacing w:val="-1"/>
        </w:rPr>
        <w:t>离职后福利是指本公司为获得职工提供的服务而在职工退休或与企业解除劳动关系后，提供的各种形式的报酬和福利，</w:t>
      </w:r>
      <w:r>
        <w:rPr/>
        <w:t> 短期薪酬和辞退福利除外。</w:t>
      </w:r>
    </w:p>
    <w:p>
      <w:pPr>
        <w:pStyle w:val="BodyText"/>
        <w:spacing w:line="316" w:lineRule="auto" w:before="19"/>
        <w:ind w:left="573" w:right="1153"/>
        <w:jc w:val="left"/>
      </w:pPr>
      <w:r>
        <w:rPr/>
        <w:t>本公司的离职后福利计划全部为设定提存计划。 离职后福利设定提存计划主要为参加由各地劳动及社会保障机构组织实施的社会基本养老保险、失业保险等；在职工</w:t>
      </w:r>
    </w:p>
    <w:p>
      <w:pPr>
        <w:pStyle w:val="BodyText"/>
        <w:spacing w:line="316" w:lineRule="auto" w:before="19"/>
        <w:ind w:left="573" w:right="1394" w:hanging="421"/>
        <w:jc w:val="left"/>
      </w:pPr>
      <w:r>
        <w:rPr/>
        <w:t>为本公司提供服务的会计期间，将根据设定提存计划计算的应缴存金额确认为负债，并计入当期损益或相关资产成本。 本公司按照国家规定的标准定期缴付上述款项后，不再有其他的支付义务。</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3）辞退福利的会计处理方法" w:id="201"/>
      <w:bookmarkEnd w:id="201"/>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1" w:firstLine="420"/>
        <w:jc w:val="both"/>
      </w:pPr>
      <w:r>
        <w:rPr/>
        <w:t>辞退福利是指本公司在职工劳动合同到期之前解除与职工的劳动关系，或者为鼓励职工自愿接受裁减而给予职工的补 </w:t>
      </w:r>
      <w:r>
        <w:rPr>
          <w:spacing w:val="-2"/>
        </w:rPr>
        <w:t>偿，在本公司不能单方面撤回解除劳动关系计划或裁减建议时和确认与涉及支付辞退福利的重组相关的成本费用时两者孰早</w:t>
      </w:r>
      <w:r>
        <w:rPr>
          <w:spacing w:val="-63"/>
        </w:rPr>
        <w:t> </w:t>
      </w:r>
      <w:r>
        <w:rPr>
          <w:spacing w:val="-63"/>
        </w:rPr>
      </w:r>
      <w:r>
        <w:rPr/>
        <w:t>日，确认因解除与职工的劳动关系给予补偿而产生的负债，同时计入当期损益。</w:t>
      </w:r>
    </w:p>
    <w:p>
      <w:pPr>
        <w:pStyle w:val="BodyText"/>
        <w:spacing w:line="316" w:lineRule="auto" w:before="19"/>
        <w:ind w:right="1131" w:firstLine="420"/>
        <w:jc w:val="both"/>
      </w:pPr>
      <w:r>
        <w:rPr/>
        <w:t>本公司向接受内部退休安排的职工提供内退福利。内退福利是指，向未达到国家规定的退休年龄、经本公司管理层批 </w:t>
      </w:r>
      <w:r>
        <w:rPr>
          <w:spacing w:val="-2"/>
        </w:rPr>
        <w:t>准自愿退出工作岗位的职工支付的工资及为其缴纳的社会保险费等。本公司自内部退休安排开始之日起至职工达到正常退休</w:t>
      </w:r>
      <w:r>
        <w:rPr>
          <w:spacing w:val="-64"/>
        </w:rPr>
        <w:t> </w:t>
      </w:r>
      <w:r>
        <w:rPr>
          <w:spacing w:val="-64"/>
        </w:rPr>
      </w:r>
      <w:r>
        <w:rPr>
          <w:spacing w:val="-2"/>
        </w:rPr>
        <w:t>年龄止，向内退职工支付内部退养福利。对于内退福利，本公司比照辞退福利进行会计处理，在符合辞退福利相关确认条件</w:t>
      </w:r>
      <w:r>
        <w:rPr>
          <w:spacing w:val="-64"/>
        </w:rPr>
        <w:t> </w:t>
      </w:r>
      <w:r>
        <w:rPr>
          <w:spacing w:val="-64"/>
        </w:rPr>
      </w:r>
      <w:r>
        <w:rPr>
          <w:spacing w:val="-2"/>
        </w:rPr>
        <w:t>时，将自职工停止提供服务日至正常退休日期间拟支付的内退职工工资和缴纳的社会保险费等，确认为负债，一次性计入当</w:t>
      </w:r>
      <w:r>
        <w:rPr>
          <w:spacing w:val="-65"/>
        </w:rPr>
        <w:t> </w:t>
      </w:r>
      <w:r>
        <w:rPr>
          <w:spacing w:val="-65"/>
        </w:rPr>
      </w:r>
      <w:r>
        <w:rPr/>
        <w:t>期损益。内退福利的精算假设变化及福利标准调整引起的差异于发生时计入当期损益。</w:t>
      </w:r>
    </w:p>
    <w:p>
      <w:pPr>
        <w:spacing w:after="0" w:line="316"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line="520" w:lineRule="auto" w:before="36"/>
        <w:ind w:left="152" w:right="2473" w:firstLine="0"/>
        <w:jc w:val="left"/>
        <w:rPr>
          <w:rFonts w:ascii="宋体" w:hAnsi="宋体" w:cs="宋体" w:eastAsia="宋体" w:hint="default"/>
          <w:sz w:val="21"/>
          <w:szCs w:val="21"/>
        </w:rPr>
      </w:pPr>
      <w:bookmarkStart w:name="（4）其他长期职工福利的会计处理方法" w:id="202"/>
      <w:bookmarkEnd w:id="2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其他长期职工福利是指除短期薪酬、离职后福利、辞退福利之外的其他所有职工福利。</w:t>
      </w:r>
      <w:r>
        <w:rPr>
          <w:rFonts w:ascii="宋体" w:hAnsi="宋体" w:cs="宋体" w:eastAsia="宋体" w:hint="default"/>
          <w:spacing w:val="-32"/>
          <w:sz w:val="21"/>
          <w:szCs w:val="21"/>
        </w:rPr>
        <w:t> </w:t>
      </w:r>
      <w:r>
        <w:rPr>
          <w:rFonts w:ascii="宋体" w:hAnsi="宋体" w:cs="宋体" w:eastAsia="宋体" w:hint="default"/>
          <w:spacing w:val="-32"/>
          <w:sz w:val="21"/>
          <w:szCs w:val="21"/>
        </w:rPr>
      </w:r>
      <w:bookmarkStart w:name="26、预计负债" w:id="203"/>
      <w:bookmarkEnd w:id="203"/>
      <w:r>
        <w:rPr>
          <w:rFonts w:ascii="宋体" w:hAnsi="宋体" w:cs="宋体" w:eastAsia="宋体" w:hint="default"/>
          <w:spacing w:val="-32"/>
          <w:sz w:val="21"/>
          <w:szCs w:val="21"/>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、预计负债</w:t>
      </w:r>
      <w:r>
        <w:rPr>
          <w:rFonts w:ascii="宋体" w:hAnsi="宋体" w:cs="宋体" w:eastAsia="宋体" w:hint="default"/>
          <w:sz w:val="21"/>
          <w:szCs w:val="21"/>
        </w:rPr>
      </w:r>
    </w:p>
    <w:p>
      <w:pPr>
        <w:pStyle w:val="BodyText"/>
        <w:spacing w:line="352" w:lineRule="auto" w:before="70"/>
        <w:ind w:left="513" w:right="4813"/>
        <w:jc w:val="left"/>
      </w:pPr>
      <w:r>
        <w:rPr>
          <w:rFonts w:ascii="Times New Roman" w:hAnsi="Times New Roman" w:cs="Times New Roman" w:eastAsia="Times New Roman" w:hint="default"/>
          <w:b/>
          <w:bCs/>
        </w:rPr>
        <w:t>1</w:t>
      </w:r>
      <w:r>
        <w:rPr>
          <w:rFonts w:ascii="宋体" w:hAnsi="宋体" w:cs="宋体" w:eastAsia="宋体" w:hint="default"/>
          <w:b/>
          <w:bCs/>
        </w:rPr>
        <w:t>．预计负债的确认标准</w:t>
      </w:r>
      <w:r>
        <w:rPr>
          <w:rFonts w:ascii="宋体" w:hAnsi="宋体" w:cs="宋体" w:eastAsia="宋体" w:hint="default"/>
          <w:b/>
          <w:bCs/>
          <w:w w:val="99"/>
        </w:rPr>
        <w:t> </w:t>
      </w:r>
      <w:r>
        <w:rPr/>
        <w:t>与或有事项相关的义务同时满足下列条件时，本公司确认为预计负债： 该义务是本公司承担的现时义务； 履行该义务很可能导致经济利益流出本公司； 该义务的金额能够可靠地计量。</w:t>
      </w:r>
    </w:p>
    <w:p>
      <w:pPr>
        <w:spacing w:line="340" w:lineRule="auto" w:before="30"/>
        <w:ind w:left="513" w:right="427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．预计负债的计量方法</w:t>
      </w:r>
      <w:r>
        <w:rPr>
          <w:rFonts w:ascii="宋体" w:hAnsi="宋体" w:cs="宋体" w:eastAsia="宋体" w:hint="default"/>
          <w:b/>
          <w:bCs/>
          <w:w w:val="99"/>
          <w:sz w:val="18"/>
          <w:szCs w:val="18"/>
        </w:rPr>
        <w:t> </w:t>
      </w:r>
      <w:r>
        <w:rPr>
          <w:rFonts w:ascii="宋体" w:hAnsi="宋体" w:cs="宋体" w:eastAsia="宋体" w:hint="default"/>
          <w:sz w:val="18"/>
          <w:szCs w:val="18"/>
        </w:rPr>
        <w:t>本公司预计负债按履行相关现时义务所需的支出的最佳估计数进行初始计量。</w:t>
      </w:r>
    </w:p>
    <w:p>
      <w:pPr>
        <w:pStyle w:val="BodyText"/>
        <w:spacing w:line="316" w:lineRule="auto" w:before="41"/>
        <w:ind w:right="1130" w:firstLine="360"/>
        <w:jc w:val="both"/>
      </w:pPr>
      <w:r>
        <w:rPr>
          <w:spacing w:val="-2"/>
        </w:rPr>
        <w:t>本公司在确定最佳估计数时，综合考虑与或有事项有关的风险、不确定性和货币时间价值等因素。对于货币时间价值影</w:t>
      </w:r>
      <w:r>
        <w:rPr/>
        <w:t> 响重大的，通过对相关未来现金流出进行折现后确定最佳估计数。</w:t>
      </w:r>
    </w:p>
    <w:p>
      <w:pPr>
        <w:pStyle w:val="BodyText"/>
        <w:spacing w:line="360" w:lineRule="auto" w:before="57"/>
        <w:ind w:left="513" w:right="1129"/>
        <w:jc w:val="left"/>
      </w:pPr>
      <w:r>
        <w:rPr/>
        <w:t>最佳估计数分别以下情况处理： </w:t>
      </w:r>
      <w:r>
        <w:rPr>
          <w:spacing w:val="-2"/>
        </w:rPr>
        <w:t>所需支出存在一个连续范围（或区间），且该范围内各种结果发生的可能性相同的，则最佳估计数按照该范围的中间值</w:t>
      </w:r>
    </w:p>
    <w:p>
      <w:pPr>
        <w:pStyle w:val="BodyText"/>
        <w:spacing w:line="222" w:lineRule="exact"/>
        <w:ind w:right="1133"/>
        <w:jc w:val="left"/>
      </w:pPr>
      <w:r>
        <w:rPr/>
        <w:t>即上下限金额的平均数确定。</w:t>
      </w:r>
    </w:p>
    <w:p>
      <w:pPr>
        <w:pStyle w:val="BodyText"/>
        <w:spacing w:line="316" w:lineRule="auto" w:before="117"/>
        <w:ind w:right="1129" w:firstLine="360"/>
        <w:jc w:val="both"/>
      </w:pPr>
      <w:r>
        <w:rPr>
          <w:spacing w:val="-2"/>
        </w:rPr>
        <w:t>所需支出不存在一个连续范围（或区间），或虽然存在一个连续范围但该范围内各种结果发生的可能性不相同的，如或</w:t>
      </w:r>
      <w:r>
        <w:rPr/>
        <w:t> </w:t>
      </w:r>
      <w:r>
        <w:rPr>
          <w:spacing w:val="-2"/>
        </w:rPr>
        <w:t>有事项涉及单个项目的，则最佳估计数按照最可能发生金额确定；如或有事项涉及多个项目的，则最佳估计数按各种可能结</w:t>
      </w:r>
      <w:r>
        <w:rPr>
          <w:spacing w:val="-62"/>
        </w:rPr>
        <w:t> </w:t>
      </w:r>
      <w:r>
        <w:rPr>
          <w:spacing w:val="-62"/>
        </w:rPr>
      </w:r>
      <w:r>
        <w:rPr/>
        <w:t>果及相关概率计算确定。</w:t>
      </w:r>
    </w:p>
    <w:p>
      <w:pPr>
        <w:pStyle w:val="BodyText"/>
        <w:spacing w:line="319" w:lineRule="auto" w:before="57"/>
        <w:ind w:right="1051" w:firstLine="360"/>
        <w:jc w:val="both"/>
      </w:pPr>
      <w:r>
        <w:rPr/>
        <w:t>本公司清偿预计负债所需支出全部或部分预期由第三方补偿的，补偿金额在基本确定能够收到时，作为资产单独确认， 确认的补偿金额不超过预计负债的账面价值。</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bookmarkStart w:name="27、收入" w:id="204"/>
      <w:bookmarkEnd w:id="204"/>
      <w:r>
        <w:rPr>
          <w:b w:val="0"/>
          <w:bCs w:val="0"/>
        </w:rPr>
      </w:r>
      <w:r>
        <w:rPr>
          <w:rFonts w:ascii="Times New Roman" w:hAnsi="Times New Roman" w:cs="Times New Roman" w:eastAsia="Times New Roman" w:hint="default"/>
        </w:rPr>
        <w:t>27</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340" w:lineRule="auto" w:before="101"/>
        <w:ind w:left="513" w:right="112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．销售商品收入确认时间的具体判断标准</w:t>
      </w:r>
      <w:r>
        <w:rPr>
          <w:rFonts w:ascii="宋体" w:hAnsi="宋体" w:cs="宋体" w:eastAsia="宋体" w:hint="default"/>
          <w:b/>
          <w:bCs/>
          <w:w w:val="99"/>
          <w:sz w:val="18"/>
          <w:szCs w:val="18"/>
        </w:rPr>
        <w:t> </w:t>
      </w:r>
      <w:r>
        <w:rPr>
          <w:rFonts w:ascii="宋体" w:hAnsi="宋体" w:cs="宋体" w:eastAsia="宋体" w:hint="default"/>
          <w:spacing w:val="-2"/>
          <w:sz w:val="18"/>
          <w:szCs w:val="18"/>
        </w:rPr>
        <w:t>公司已将商品所有权上的主要风险和报酬转移给购买方；公司既没有保留与所有权相联系的继续管理权，也没有对已售</w:t>
      </w:r>
    </w:p>
    <w:p>
      <w:pPr>
        <w:pStyle w:val="BodyText"/>
        <w:spacing w:line="316" w:lineRule="auto" w:before="1"/>
        <w:ind w:right="0"/>
        <w:jc w:val="left"/>
      </w:pPr>
      <w:r>
        <w:rPr>
          <w:spacing w:val="-2"/>
        </w:rPr>
        <w:t>出的商品实施有效控制；收入的金额能够可靠地计量；相关的经济利益很可能流入企业；相关的已发生或将发生的成本能够</w:t>
      </w:r>
      <w:r>
        <w:rPr>
          <w:spacing w:val="-61"/>
        </w:rPr>
        <w:t> </w:t>
      </w:r>
      <w:r>
        <w:rPr>
          <w:spacing w:val="-61"/>
        </w:rPr>
      </w:r>
      <w:r>
        <w:rPr/>
        <w:t>可靠地计量时，确认商品销售收入实现。</w:t>
      </w:r>
    </w:p>
    <w:p>
      <w:pPr>
        <w:pStyle w:val="BodyText"/>
        <w:spacing w:line="319" w:lineRule="auto" w:before="59"/>
        <w:ind w:right="1130" w:firstLine="360"/>
        <w:jc w:val="both"/>
      </w:pPr>
      <w:r>
        <w:rPr>
          <w:spacing w:val="-2"/>
        </w:rPr>
        <w:t>设备内销收入：公司在销售合同或销售订单签订后，按约定向客户发货，设备送达客户指定的交货地点，不需要安装调</w:t>
      </w:r>
      <w:r>
        <w:rPr/>
        <w:t> </w:t>
      </w:r>
      <w:r>
        <w:rPr>
          <w:spacing w:val="-2"/>
        </w:rPr>
        <w:t>试或验收的，在取得客户签字确认的签收单后，根据签收单上的客户签收日期作为设备销售收入确认的时点；需要安装调试</w:t>
      </w:r>
      <w:r>
        <w:rPr>
          <w:spacing w:val="-63"/>
        </w:rPr>
        <w:t> </w:t>
      </w:r>
      <w:r>
        <w:rPr>
          <w:spacing w:val="-63"/>
        </w:rPr>
      </w:r>
      <w:r>
        <w:rPr>
          <w:spacing w:val="-2"/>
        </w:rPr>
        <w:t>或验收的，在取得客户出具的安装调试报告或验收单后，根据安装调试报告或验收单的确认日期作为设备销售收入确认的时</w:t>
      </w:r>
      <w:r>
        <w:rPr>
          <w:spacing w:val="-64"/>
        </w:rPr>
        <w:t> </w:t>
      </w:r>
      <w:r>
        <w:rPr>
          <w:spacing w:val="-64"/>
        </w:rPr>
      </w:r>
      <w:r>
        <w:rPr/>
        <w:t>点。</w:t>
      </w:r>
    </w:p>
    <w:p>
      <w:pPr>
        <w:pStyle w:val="BodyText"/>
        <w:spacing w:line="360" w:lineRule="auto" w:before="55"/>
        <w:ind w:left="513" w:right="1129"/>
        <w:jc w:val="left"/>
      </w:pPr>
      <w:r>
        <w:rPr/>
        <w:t>设备外销收入：根据合同中相关权利和义务的约定，订单货物已经报关离岸时确认销售收入的实现。 </w:t>
      </w:r>
      <w:r>
        <w:rPr>
          <w:spacing w:val="-2"/>
        </w:rPr>
        <w:t>合同或协议价款的收取采用递延方式，实质上具有融资性质的，按照应收的合同或协议价款的公允价值确定销售商品收</w:t>
      </w:r>
    </w:p>
    <w:p>
      <w:pPr>
        <w:pStyle w:val="BodyText"/>
        <w:spacing w:line="222" w:lineRule="exact"/>
        <w:ind w:right="1133"/>
        <w:jc w:val="left"/>
      </w:pPr>
      <w:r>
        <w:rPr/>
        <w:t>入金额。</w:t>
      </w:r>
    </w:p>
    <w:p>
      <w:pPr>
        <w:spacing w:line="338" w:lineRule="auto" w:before="117"/>
        <w:ind w:left="513" w:right="103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．确认让渡资产使用权收入的依据</w:t>
      </w:r>
      <w:r>
        <w:rPr>
          <w:rFonts w:ascii="宋体" w:hAnsi="宋体" w:cs="宋体" w:eastAsia="宋体" w:hint="default"/>
          <w:b/>
          <w:bCs/>
          <w:w w:val="99"/>
          <w:sz w:val="18"/>
          <w:szCs w:val="18"/>
        </w:rPr>
        <w:t> </w:t>
      </w:r>
      <w:r>
        <w:rPr>
          <w:rFonts w:ascii="宋体" w:hAnsi="宋体" w:cs="宋体" w:eastAsia="宋体" w:hint="default"/>
          <w:sz w:val="18"/>
          <w:szCs w:val="18"/>
        </w:rPr>
        <w:t>与交易相关的经济利益很可能流入企业，收入的金额能够可靠地计量时，分别下列情况确定让渡资产使用权收入金额：</w:t>
      </w:r>
    </w:p>
    <w:p>
      <w:pPr>
        <w:pStyle w:val="BodyText"/>
        <w:spacing w:line="240" w:lineRule="auto" w:before="43"/>
        <w:ind w:left="513" w:right="1133"/>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1133"/>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338" w:lineRule="auto" w:before="104"/>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．提供劳务收入的确认依据和方法</w:t>
      </w:r>
      <w:r>
        <w:rPr>
          <w:rFonts w:ascii="宋体" w:hAnsi="宋体" w:cs="宋体" w:eastAsia="宋体" w:hint="default"/>
          <w:b/>
          <w:bCs/>
          <w:w w:val="99"/>
          <w:sz w:val="18"/>
          <w:szCs w:val="18"/>
        </w:rPr>
        <w:t> </w:t>
      </w:r>
      <w:r>
        <w:rPr>
          <w:rFonts w:ascii="宋体" w:hAnsi="宋体" w:cs="宋体" w:eastAsia="宋体" w:hint="default"/>
          <w:spacing w:val="-4"/>
          <w:sz w:val="18"/>
          <w:szCs w:val="18"/>
        </w:rPr>
        <w:t>在资产负债表日提供劳务交易的结果能够可靠估计的，采用完工百分比法确认提供劳务收入。提供劳务交易的完工进度，</w:t>
      </w:r>
    </w:p>
    <w:p>
      <w:pPr>
        <w:pStyle w:val="BodyText"/>
        <w:spacing w:line="360" w:lineRule="auto" w:before="2"/>
        <w:ind w:left="513" w:right="5533" w:hanging="361"/>
        <w:jc w:val="left"/>
      </w:pPr>
      <w:r>
        <w:rPr/>
        <w:t>依据已完工作的测量确定。 提供劳务交易的结果能够可靠估计，是指同时满足下列条件：</w:t>
      </w:r>
    </w:p>
    <w:p>
      <w:pPr>
        <w:pStyle w:val="BodyText"/>
        <w:spacing w:line="240" w:lineRule="auto" w:before="27"/>
        <w:ind w:left="513" w:right="1133"/>
        <w:jc w:val="left"/>
      </w:pPr>
      <w:r>
        <w:rPr/>
        <w:t>（</w:t>
      </w:r>
      <w:r>
        <w:rPr>
          <w:rFonts w:ascii="Times New Roman" w:hAnsi="Times New Roman" w:cs="Times New Roman" w:eastAsia="Times New Roman" w:hint="default"/>
        </w:rPr>
        <w:t>1</w:t>
      </w:r>
      <w:r>
        <w:rPr/>
        <w:t>）收入的金额能够可靠地计量；</w:t>
      </w:r>
    </w:p>
    <w:p>
      <w:pPr>
        <w:pStyle w:val="BodyText"/>
        <w:spacing w:line="240" w:lineRule="auto" w:before="101"/>
        <w:ind w:left="513" w:right="1133"/>
        <w:jc w:val="left"/>
      </w:pPr>
      <w:r>
        <w:rPr/>
        <w:t>（</w:t>
      </w:r>
      <w:r>
        <w:rPr>
          <w:rFonts w:ascii="Times New Roman" w:hAnsi="Times New Roman" w:cs="Times New Roman" w:eastAsia="Times New Roman" w:hint="default"/>
        </w:rPr>
        <w:t>2</w:t>
      </w:r>
      <w:r>
        <w:rPr/>
        <w:t>）相关的经济利益很可能流入企业；</w:t>
      </w:r>
    </w:p>
    <w:p>
      <w:pPr>
        <w:pStyle w:val="BodyText"/>
        <w:spacing w:line="240" w:lineRule="auto" w:before="103"/>
        <w:ind w:left="513" w:right="1133"/>
        <w:jc w:val="left"/>
      </w:pPr>
      <w:r>
        <w:rPr/>
        <w:t>（</w:t>
      </w:r>
      <w:r>
        <w:rPr>
          <w:rFonts w:ascii="Times New Roman" w:hAnsi="Times New Roman" w:cs="Times New Roman" w:eastAsia="Times New Roman" w:hint="default"/>
        </w:rPr>
        <w:t>3</w:t>
      </w:r>
      <w:r>
        <w:rPr/>
        <w:t>）交易的完工进度能够可靠地确定；</w:t>
      </w:r>
    </w:p>
    <w:p>
      <w:pPr>
        <w:pStyle w:val="BodyText"/>
        <w:spacing w:line="338" w:lineRule="auto" w:before="103"/>
        <w:ind w:left="513" w:right="1129"/>
        <w:jc w:val="left"/>
      </w:pPr>
      <w:r>
        <w:rPr/>
        <w:t>（</w:t>
      </w:r>
      <w:r>
        <w:rPr>
          <w:rFonts w:ascii="Times New Roman" w:hAnsi="Times New Roman" w:cs="Times New Roman" w:eastAsia="Times New Roman" w:hint="default"/>
        </w:rPr>
        <w:t>4</w:t>
      </w:r>
      <w:r>
        <w:rPr/>
        <w:t>）交易中已发生和将发生的成本能够可靠地计量。 </w:t>
      </w:r>
      <w:r>
        <w:rPr>
          <w:spacing w:val="-2"/>
        </w:rPr>
        <w:t>按照已收或应收的合同或协议价款确定提供劳务收入总额，但已收或应收的合同或协议价款不公允的除外。资产负债表</w:t>
      </w:r>
    </w:p>
    <w:p>
      <w:pPr>
        <w:pStyle w:val="BodyText"/>
        <w:spacing w:line="319" w:lineRule="auto" w:before="2"/>
        <w:ind w:right="0"/>
        <w:jc w:val="left"/>
      </w:pPr>
      <w:r>
        <w:rPr>
          <w:spacing w:val="-4"/>
        </w:rPr>
        <w:t>日按照提供劳务收入总额乘以完工进度扣除以前会计期间累计已确认提供劳务收入后的金额，确认当期提供劳务收入；同时，</w:t>
      </w:r>
      <w:r>
        <w:rPr>
          <w:spacing w:val="-44"/>
        </w:rPr>
        <w:t> </w:t>
      </w:r>
      <w:r>
        <w:rPr>
          <w:spacing w:val="-44"/>
        </w:rPr>
      </w:r>
      <w:r>
        <w:rPr/>
        <w:t>按照提供劳务估计总成本乘以完工进度扣除以前会计期间累计已确认劳务成本后的金额，结转当期劳务成本。</w:t>
      </w:r>
    </w:p>
    <w:p>
      <w:pPr>
        <w:pStyle w:val="BodyText"/>
        <w:spacing w:line="240" w:lineRule="auto" w:before="58"/>
        <w:ind w:left="513" w:right="1133"/>
        <w:jc w:val="left"/>
      </w:pPr>
      <w:r>
        <w:rPr/>
        <w:t>在资产负债表日提供劳务交易结果不能够可靠估计的，分别下列情况处理：</w:t>
      </w:r>
    </w:p>
    <w:p>
      <w:pPr>
        <w:pStyle w:val="BodyText"/>
        <w:spacing w:line="300" w:lineRule="auto" w:before="117"/>
        <w:ind w:right="1124" w:firstLine="360"/>
        <w:jc w:val="left"/>
      </w:pPr>
      <w:r>
        <w:rPr/>
        <w:t>（</w:t>
      </w:r>
      <w:r>
        <w:rPr>
          <w:rFonts w:ascii="Times New Roman" w:hAnsi="Times New Roman" w:cs="Times New Roman" w:eastAsia="Times New Roman" w:hint="default"/>
        </w:rPr>
        <w:t>1</w:t>
      </w:r>
      <w:r>
        <w:rPr/>
        <w:t>）已经发生的劳务成本预计能够得到补偿的，按照已经发生的劳务成本金额确认提供劳务收入，并按相同金额结转 劳务成本。</w:t>
      </w:r>
    </w:p>
    <w:p>
      <w:pPr>
        <w:pStyle w:val="BodyText"/>
        <w:spacing w:line="340" w:lineRule="auto" w:before="70"/>
        <w:ind w:left="513" w:right="1129"/>
        <w:jc w:val="left"/>
      </w:pPr>
      <w:r>
        <w:rPr/>
        <w:t>（</w:t>
      </w:r>
      <w:r>
        <w:rPr>
          <w:rFonts w:ascii="Times New Roman" w:hAnsi="Times New Roman" w:cs="Times New Roman" w:eastAsia="Times New Roman" w:hint="default"/>
        </w:rPr>
        <w:t>2</w:t>
      </w:r>
      <w:r>
        <w:rPr/>
        <w:t>）已经发生的劳务成本预计不能够得到补偿的，将已经发生的劳务成本计入当期损益，不确认提供劳务收入。 </w:t>
      </w:r>
      <w:r>
        <w:rPr>
          <w:spacing w:val="-2"/>
        </w:rPr>
        <w:t>本公司与其他企业签订的合同或协议包括销售商品和提供劳务时，销售商品部分和提供劳务部分能够区分且能够单独计</w:t>
      </w:r>
    </w:p>
    <w:p>
      <w:pPr>
        <w:pStyle w:val="BodyText"/>
        <w:spacing w:line="316" w:lineRule="auto" w:before="1"/>
        <w:ind w:right="0"/>
        <w:jc w:val="left"/>
      </w:pPr>
      <w:r>
        <w:rPr>
          <w:spacing w:val="-2"/>
        </w:rPr>
        <w:t>量的，将销售商品的部分作为销售商品处理，将提供劳务的部分作为提供劳务处理。销售商品部分和提供劳务部分不能够区</w:t>
      </w:r>
      <w:r>
        <w:rPr>
          <w:spacing w:val="-61"/>
        </w:rPr>
        <w:t> </w:t>
      </w:r>
      <w:r>
        <w:rPr>
          <w:spacing w:val="-61"/>
        </w:rPr>
      </w:r>
      <w:r>
        <w:rPr/>
        <w:t>分，或虽能区分但不能够单独计量的，将销售商品部分和提供劳务部分全部作为销售商品处理。</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28、政府补助" w:id="205"/>
      <w:bookmarkEnd w:id="205"/>
      <w:r>
        <w:rPr>
          <w:b w:val="0"/>
          <w:bCs w:val="0"/>
        </w:rPr>
      </w:r>
      <w:r>
        <w:rPr>
          <w:rFonts w:ascii="Times New Roman" w:hAnsi="Times New Roman" w:cs="Times New Roman" w:eastAsia="Times New Roman" w:hint="default"/>
        </w:rPr>
        <w:t>28</w:t>
      </w:r>
      <w:r>
        <w:rPr/>
        <w:t>、政府补助</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left="513" w:right="1129"/>
        <w:jc w:val="left"/>
      </w:pPr>
      <w:r>
        <w:rPr>
          <w:rFonts w:ascii="Times New Roman" w:hAnsi="Times New Roman" w:cs="Times New Roman" w:eastAsia="Times New Roman" w:hint="default"/>
          <w:b/>
          <w:bCs/>
        </w:rPr>
        <w:t>1</w:t>
      </w:r>
      <w:r>
        <w:rPr>
          <w:rFonts w:ascii="宋体" w:hAnsi="宋体" w:cs="宋体" w:eastAsia="宋体" w:hint="default"/>
          <w:b/>
          <w:bCs/>
        </w:rPr>
        <w:t>．类型</w:t>
      </w:r>
      <w:r>
        <w:rPr>
          <w:rFonts w:ascii="宋体" w:hAnsi="宋体" w:cs="宋体" w:eastAsia="宋体" w:hint="default"/>
          <w:b/>
          <w:bCs/>
          <w:w w:val="99"/>
        </w:rPr>
        <w:t> </w:t>
      </w:r>
      <w:r>
        <w:rPr>
          <w:spacing w:val="-2"/>
        </w:rPr>
        <w:t>政府补助，是本公司从政府无偿取得的货币性资产与非货币性资产。根据相关政府文件规定的补助对象，将政府补助划</w:t>
      </w:r>
    </w:p>
    <w:p>
      <w:pPr>
        <w:pStyle w:val="BodyText"/>
        <w:spacing w:line="360" w:lineRule="auto" w:before="2"/>
        <w:ind w:left="513" w:right="0" w:hanging="361"/>
        <w:jc w:val="left"/>
      </w:pPr>
      <w:r>
        <w:rPr/>
        <w:t>分为与资产相关的政府补助和与收益相关的政府补助。 </w:t>
      </w:r>
      <w:r>
        <w:rPr>
          <w:spacing w:val="-4"/>
        </w:rPr>
        <w:t>与资产相关的政府补助，是指本公司取得的、用于购建或以其他方式形成长期资产的政府补助。与收益相关的政府补助，</w:t>
      </w:r>
    </w:p>
    <w:p>
      <w:pPr>
        <w:pStyle w:val="BodyText"/>
        <w:spacing w:line="222" w:lineRule="exact"/>
        <w:ind w:right="1133"/>
        <w:jc w:val="left"/>
      </w:pPr>
      <w:r>
        <w:rPr/>
        <w:t>是指除与资产相关的政府补助之外的政府补助。</w:t>
      </w:r>
    </w:p>
    <w:p>
      <w:pPr>
        <w:pStyle w:val="BodyText"/>
        <w:spacing w:line="338" w:lineRule="auto" w:before="117"/>
        <w:ind w:left="513" w:right="1129"/>
        <w:jc w:val="left"/>
      </w:pPr>
      <w:r>
        <w:rPr>
          <w:rFonts w:ascii="Times New Roman" w:hAnsi="Times New Roman" w:cs="Times New Roman" w:eastAsia="Times New Roman" w:hint="default"/>
          <w:b/>
          <w:bCs/>
        </w:rPr>
        <w:t>2</w:t>
      </w:r>
      <w:r>
        <w:rPr>
          <w:rFonts w:ascii="宋体" w:hAnsi="宋体" w:cs="宋体" w:eastAsia="宋体" w:hint="default"/>
          <w:b/>
          <w:bCs/>
        </w:rPr>
        <w:t>．政府补助的确认</w:t>
      </w:r>
      <w:r>
        <w:rPr>
          <w:rFonts w:ascii="宋体" w:hAnsi="宋体" w:cs="宋体" w:eastAsia="宋体" w:hint="default"/>
          <w:b/>
          <w:bCs/>
          <w:w w:val="99"/>
        </w:rPr>
        <w:t> </w:t>
      </w:r>
      <w:r>
        <w:rPr>
          <w:spacing w:val="-2"/>
        </w:rPr>
        <w:t>对期末有证据表明公司能够符合财政扶持政策规定的相关条件且预计能够收到财政扶持资金的，按应收金额确认政府补</w:t>
      </w:r>
    </w:p>
    <w:p>
      <w:pPr>
        <w:pStyle w:val="BodyText"/>
        <w:spacing w:line="360" w:lineRule="auto" w:before="2"/>
        <w:ind w:left="513" w:right="1129" w:hanging="361"/>
        <w:jc w:val="left"/>
      </w:pPr>
      <w:r>
        <w:rPr/>
        <w:t>助。除此之外，政府补助均在实际收到时确认。 </w:t>
      </w:r>
      <w:r>
        <w:rPr>
          <w:spacing w:val="-2"/>
        </w:rPr>
        <w:t>政府补助为货币性资产的，按照收到或应收的金额计量。政府补助为非货币性资产的，按照公允价值计量；公允价值不</w:t>
      </w:r>
    </w:p>
    <w:p>
      <w:pPr>
        <w:pStyle w:val="BodyText"/>
        <w:spacing w:line="236" w:lineRule="exact"/>
        <w:ind w:right="1133"/>
        <w:jc w:val="left"/>
      </w:pPr>
      <w:r>
        <w:rPr/>
        <w:t>能够可靠取得的，按照名义金额（人民币</w:t>
      </w:r>
      <w:r>
        <w:rPr>
          <w:rFonts w:ascii="Times New Roman" w:hAnsi="Times New Roman" w:cs="Times New Roman" w:eastAsia="Times New Roman" w:hint="default"/>
        </w:rPr>
        <w:t>1</w:t>
      </w:r>
      <w:r>
        <w:rPr/>
        <w:t>元）计量。按照名义金额计量的政府补助，直接计入当期损益。</w:t>
      </w:r>
    </w:p>
    <w:p>
      <w:pPr>
        <w:pStyle w:val="BodyText"/>
        <w:spacing w:line="338" w:lineRule="auto" w:before="103"/>
        <w:ind w:left="513" w:right="1129"/>
        <w:jc w:val="left"/>
      </w:pPr>
      <w:r>
        <w:rPr>
          <w:rFonts w:ascii="Times New Roman" w:hAnsi="Times New Roman" w:cs="Times New Roman" w:eastAsia="Times New Roman" w:hint="default"/>
          <w:b/>
          <w:bCs/>
        </w:rPr>
        <w:t>3</w:t>
      </w:r>
      <w:r>
        <w:rPr>
          <w:rFonts w:ascii="宋体" w:hAnsi="宋体" w:cs="宋体" w:eastAsia="宋体" w:hint="default"/>
          <w:b/>
          <w:bCs/>
        </w:rPr>
        <w:t>．会计处理方法</w:t>
      </w:r>
      <w:r>
        <w:rPr>
          <w:rFonts w:ascii="宋体" w:hAnsi="宋体" w:cs="宋体" w:eastAsia="宋体" w:hint="default"/>
          <w:b/>
          <w:bCs/>
          <w:w w:val="99"/>
        </w:rPr>
        <w:t> </w:t>
      </w:r>
      <w:r>
        <w:rPr>
          <w:spacing w:val="-2"/>
        </w:rPr>
        <w:t>本公司根据经济业务的实质，确定某一类政府补助业务应当采用总额法还是净额法进行会计处理。通常情况下，本公司</w:t>
      </w:r>
    </w:p>
    <w:p>
      <w:pPr>
        <w:pStyle w:val="BodyText"/>
        <w:spacing w:line="240" w:lineRule="auto" w:before="2"/>
        <w:ind w:right="1133"/>
        <w:jc w:val="left"/>
      </w:pPr>
      <w:r>
        <w:rPr/>
        <w:t>对于同类或类似政府补助业务只选用一种方法，且对该业务一贯地运用该方法。</w:t>
      </w:r>
    </w:p>
    <w:p>
      <w:pPr>
        <w:spacing w:line="240" w:lineRule="auto" w:before="4"/>
        <w:rPr>
          <w:rFonts w:ascii="宋体" w:hAnsi="宋体" w:cs="宋体" w:eastAsia="宋体" w:hint="default"/>
          <w:sz w:val="8"/>
          <w:szCs w:val="8"/>
        </w:rPr>
      </w:pPr>
    </w:p>
    <w:tbl>
      <w:tblPr>
        <w:tblW w:w="0" w:type="auto"/>
        <w:jc w:val="left"/>
        <w:tblInd w:w="150" w:type="dxa"/>
        <w:tblLayout w:type="fixed"/>
        <w:tblCellMar>
          <w:top w:w="0" w:type="dxa"/>
          <w:left w:w="0" w:type="dxa"/>
          <w:bottom w:w="0" w:type="dxa"/>
          <w:right w:w="0" w:type="dxa"/>
        </w:tblCellMar>
        <w:tblLook w:val="01E0"/>
      </w:tblPr>
      <w:tblGrid>
        <w:gridCol w:w="4887"/>
        <w:gridCol w:w="4734"/>
      </w:tblGrid>
      <w:tr>
        <w:trPr>
          <w:trHeight w:val="334" w:hRule="exact"/>
        </w:trPr>
        <w:tc>
          <w:tcPr>
            <w:tcW w:w="48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核算内容</w:t>
            </w:r>
          </w:p>
        </w:tc>
      </w:tr>
      <w:tr>
        <w:trPr>
          <w:trHeight w:val="360" w:hRule="exact"/>
        </w:trPr>
        <w:tc>
          <w:tcPr>
            <w:tcW w:w="4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4" w:right="0"/>
              <w:jc w:val="left"/>
              <w:rPr>
                <w:rFonts w:ascii="宋体" w:hAnsi="宋体" w:cs="宋体" w:eastAsia="宋体" w:hint="default"/>
                <w:sz w:val="18"/>
                <w:szCs w:val="18"/>
              </w:rPr>
            </w:pPr>
            <w:r>
              <w:rPr>
                <w:rFonts w:ascii="宋体" w:hAnsi="宋体" w:cs="宋体" w:eastAsia="宋体" w:hint="default"/>
                <w:sz w:val="18"/>
                <w:szCs w:val="18"/>
              </w:rPr>
              <w:t>采用总额法核算的政府补助类别</w:t>
            </w:r>
          </w:p>
        </w:tc>
        <w:tc>
          <w:tcPr>
            <w:tcW w:w="4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4" w:right="0"/>
              <w:jc w:val="left"/>
              <w:rPr>
                <w:rFonts w:ascii="宋体" w:hAnsi="宋体" w:cs="宋体" w:eastAsia="宋体" w:hint="default"/>
                <w:sz w:val="18"/>
                <w:szCs w:val="18"/>
              </w:rPr>
            </w:pPr>
            <w:r>
              <w:rPr>
                <w:rFonts w:ascii="宋体" w:hAnsi="宋体" w:cs="宋体" w:eastAsia="宋体" w:hint="default"/>
                <w:sz w:val="18"/>
                <w:szCs w:val="18"/>
              </w:rPr>
              <w:t>与资产、收益相关的政府补助</w:t>
            </w:r>
          </w:p>
        </w:tc>
      </w:tr>
    </w:tbl>
    <w:p>
      <w:pPr>
        <w:pStyle w:val="BodyText"/>
        <w:spacing w:line="360" w:lineRule="auto" w:before="49"/>
        <w:ind w:left="513" w:right="1033"/>
        <w:jc w:val="left"/>
      </w:pPr>
      <w:r>
        <w:rPr/>
        <w:t>与资产相关的政府补助，确认为递延收益，按照所建造或购买的资产使用年限内按照合理、系统的方法分期计入损益； </w:t>
      </w:r>
      <w:r>
        <w:rPr>
          <w:spacing w:val="-2"/>
        </w:rPr>
        <w:t>与收益相关的政府补助，用于补偿企业以后期间的相关费用或损失的，确认为递延收益，在确认相关费用或损失的期间</w:t>
      </w:r>
    </w:p>
    <w:p>
      <w:pPr>
        <w:pStyle w:val="BodyText"/>
        <w:spacing w:line="222" w:lineRule="exact"/>
        <w:ind w:right="1133"/>
        <w:jc w:val="left"/>
      </w:pPr>
      <w:r>
        <w:rPr/>
        <w:t>计入当期损益；用于补偿企业已发生的相关费用或损失的，取得时直接计入当期损益。</w:t>
      </w:r>
    </w:p>
    <w:p>
      <w:pPr>
        <w:pStyle w:val="BodyText"/>
        <w:spacing w:line="240" w:lineRule="auto" w:before="114"/>
        <w:ind w:left="513" w:right="1133"/>
        <w:jc w:val="left"/>
      </w:pPr>
      <w:r>
        <w:rPr/>
        <w:t>与企业日常活动相关的政府补助计入其他收益；与企业日常活动无关的政府补助计入营业外收支。</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9" w:firstLine="360"/>
        <w:jc w:val="left"/>
      </w:pPr>
      <w:r>
        <w:rPr>
          <w:spacing w:val="-2"/>
        </w:rPr>
        <w:t>收到与政策性优惠贷款贴息相关的政府补助冲减相关借款费用；取得贷款银行提供的政策性优惠利率贷款的，以实际收</w:t>
      </w:r>
      <w:r>
        <w:rPr/>
        <w:t> 到的借款金额作为借款的入账价值，按照借款本金和该政策性优惠利率计算相关借款费用。</w:t>
      </w:r>
    </w:p>
    <w:p>
      <w:pPr>
        <w:pStyle w:val="BodyText"/>
        <w:spacing w:line="316" w:lineRule="auto" w:before="58"/>
        <w:ind w:right="1034" w:firstLine="360"/>
        <w:jc w:val="left"/>
      </w:pPr>
      <w:r>
        <w:rPr/>
        <w:t>已确认的政府补助需要返还时，初始确认时冲减相关资产账面价值的，调整资产账面价值；存在相关递延收益余额的， 冲减相关递延收益账面余额，超出部分计入当期损益；不存在相关递延收益的，直接计入当期损益。</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bookmarkStart w:name="29、递延所得税资产/递延所得税负债" w:id="206"/>
      <w:bookmarkEnd w:id="206"/>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29" w:firstLine="360"/>
        <w:jc w:val="left"/>
      </w:pPr>
      <w:r>
        <w:rPr>
          <w:spacing w:val="-1"/>
        </w:rPr>
        <w:t>递延所得税资产和递延所得税负债根据资产和负债的计税基础与其账面价值的差额</w:t>
      </w:r>
      <w:r>
        <w:rPr>
          <w:rFonts w:ascii="Times New Roman" w:hAnsi="Times New Roman" w:cs="Times New Roman" w:eastAsia="Times New Roman" w:hint="default"/>
          <w:spacing w:val="-1"/>
        </w:rPr>
        <w:t>(</w:t>
      </w:r>
      <w:r>
        <w:rPr>
          <w:spacing w:val="-1"/>
        </w:rPr>
        <w:t>暂时性差异</w:t>
      </w:r>
      <w:r>
        <w:rPr>
          <w:rFonts w:ascii="Times New Roman" w:hAnsi="Times New Roman" w:cs="Times New Roman" w:eastAsia="Times New Roman" w:hint="default"/>
          <w:spacing w:val="-1"/>
        </w:rPr>
        <w:t>)</w:t>
      </w:r>
      <w:r>
        <w:rPr>
          <w:spacing w:val="-1"/>
        </w:rPr>
        <w:t>计算确认。于资产负债</w:t>
      </w:r>
      <w:r>
        <w:rPr/>
        <w:t> 表日，递延所得税资产和递延所得税负债，按照预期收回该资产或清偿该负债期间的适用税率计量。</w:t>
      </w:r>
    </w:p>
    <w:p>
      <w:pPr>
        <w:spacing w:line="340" w:lineRule="auto" w:before="72"/>
        <w:ind w:left="513" w:right="112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．确认递延所得税资产的依据</w:t>
      </w:r>
      <w:r>
        <w:rPr>
          <w:rFonts w:ascii="宋体" w:hAnsi="宋体" w:cs="宋体" w:eastAsia="宋体" w:hint="default"/>
          <w:b/>
          <w:bCs/>
          <w:w w:val="99"/>
          <w:sz w:val="18"/>
          <w:szCs w:val="18"/>
        </w:rPr>
        <w:t> </w:t>
      </w:r>
      <w:r>
        <w:rPr>
          <w:rFonts w:ascii="宋体" w:hAnsi="宋体" w:cs="宋体" w:eastAsia="宋体" w:hint="default"/>
          <w:spacing w:val="-2"/>
          <w:sz w:val="18"/>
          <w:szCs w:val="18"/>
        </w:rPr>
        <w:t>本公司以很可能取得用来抵扣可抵扣暂时性差异、能够结转以后年度的可抵扣亏损和税款抵减的应纳税所得额为限，确</w:t>
      </w:r>
    </w:p>
    <w:p>
      <w:pPr>
        <w:pStyle w:val="BodyText"/>
        <w:spacing w:line="319" w:lineRule="auto" w:before="1"/>
        <w:ind w:right="1129"/>
        <w:jc w:val="left"/>
      </w:pPr>
      <w:r>
        <w:rPr>
          <w:spacing w:val="-2"/>
        </w:rPr>
        <w:t>认由可抵扣暂时性差异产生的递延所得税资产。但是，同时具有下列特征的交易中因资产或负债的初始确认所产生的递延所</w:t>
      </w:r>
      <w:r>
        <w:rPr>
          <w:spacing w:val="-64"/>
        </w:rPr>
        <w:t> </w:t>
      </w:r>
      <w:r>
        <w:rPr>
          <w:spacing w:val="-64"/>
        </w:rPr>
      </w:r>
      <w:r>
        <w:rPr/>
        <w:t>得税资产不予确认：</w:t>
      </w:r>
    </w:p>
    <w:p>
      <w:pPr>
        <w:pStyle w:val="BodyText"/>
        <w:spacing w:line="240" w:lineRule="auto" w:before="55"/>
        <w:ind w:left="513" w:right="1133"/>
        <w:jc w:val="left"/>
      </w:pPr>
      <w:r>
        <w:rPr/>
        <w:t>（</w:t>
      </w:r>
      <w:r>
        <w:rPr>
          <w:rFonts w:ascii="Times New Roman" w:hAnsi="Times New Roman" w:cs="Times New Roman" w:eastAsia="Times New Roman" w:hint="default"/>
        </w:rPr>
        <w:t>1</w:t>
      </w:r>
      <w:r>
        <w:rPr/>
        <w:t>）该交易不是企业合并；</w:t>
      </w:r>
    </w:p>
    <w:p>
      <w:pPr>
        <w:pStyle w:val="BodyText"/>
        <w:spacing w:line="340" w:lineRule="auto" w:before="103"/>
        <w:ind w:left="513" w:right="1129"/>
        <w:jc w:val="left"/>
      </w:pPr>
      <w:r>
        <w:rPr/>
        <w:t>（</w:t>
      </w:r>
      <w:r>
        <w:rPr>
          <w:rFonts w:ascii="Times New Roman" w:hAnsi="Times New Roman" w:cs="Times New Roman" w:eastAsia="Times New Roman" w:hint="default"/>
        </w:rPr>
        <w:t>2</w:t>
      </w:r>
      <w:r>
        <w:rPr/>
        <w:t>）交易发生时既不影响会计利润也不影响应纳税所得额或可抵扣亏损。 </w:t>
      </w:r>
      <w:r>
        <w:rPr>
          <w:spacing w:val="-2"/>
        </w:rPr>
        <w:t>对于与联营企业投资相关的可抵扣暂时性差异，同时满足下列条件的，确认相应的递延所得税资产：暂时性差异在可预</w:t>
      </w:r>
    </w:p>
    <w:p>
      <w:pPr>
        <w:pStyle w:val="BodyText"/>
        <w:spacing w:line="348" w:lineRule="auto" w:before="1"/>
        <w:ind w:left="513" w:right="3373" w:hanging="361"/>
        <w:jc w:val="left"/>
      </w:pPr>
      <w:r>
        <w:rPr/>
        <w:t>见的未来很可能转回，且未来很可能获得用来抵扣可抵扣暂时性差异的应纳税所得额。 </w:t>
      </w:r>
      <w:r>
        <w:rPr>
          <w:rFonts w:ascii="Times New Roman" w:hAnsi="Times New Roman" w:cs="Times New Roman" w:eastAsia="Times New Roman" w:hint="default"/>
          <w:b/>
          <w:bCs/>
        </w:rPr>
        <w:t>2</w:t>
      </w:r>
      <w:r>
        <w:rPr>
          <w:rFonts w:ascii="宋体" w:hAnsi="宋体" w:cs="宋体" w:eastAsia="宋体" w:hint="default"/>
          <w:b/>
          <w:bCs/>
        </w:rPr>
        <w:t>．确认递延所得税负债的依据</w:t>
      </w:r>
      <w:r>
        <w:rPr>
          <w:rFonts w:ascii="宋体" w:hAnsi="宋体" w:cs="宋体" w:eastAsia="宋体" w:hint="default"/>
          <w:b/>
          <w:bCs/>
          <w:w w:val="99"/>
        </w:rPr>
        <w:t> </w:t>
      </w:r>
      <w:r>
        <w:rPr/>
        <w:t>公司将当期与以前期间应交未交的应纳税暂时性差异确认为递延所得税负债。但不包括：</w:t>
      </w:r>
    </w:p>
    <w:p>
      <w:pPr>
        <w:pStyle w:val="BodyText"/>
        <w:spacing w:line="240" w:lineRule="auto" w:before="36"/>
        <w:ind w:left="513" w:right="1133"/>
        <w:jc w:val="left"/>
      </w:pPr>
      <w:r>
        <w:rPr/>
        <w:t>（</w:t>
      </w:r>
      <w:r>
        <w:rPr>
          <w:rFonts w:ascii="Times New Roman" w:hAnsi="Times New Roman" w:cs="Times New Roman" w:eastAsia="Times New Roman" w:hint="default"/>
        </w:rPr>
        <w:t>1</w:t>
      </w:r>
      <w:r>
        <w:rPr/>
        <w:t>）商誉的初始确认所形成的暂时性差异；</w:t>
      </w:r>
    </w:p>
    <w:p>
      <w:pPr>
        <w:pStyle w:val="BodyText"/>
        <w:spacing w:line="300" w:lineRule="auto" w:before="101"/>
        <w:ind w:right="1124" w:firstLine="360"/>
        <w:jc w:val="left"/>
      </w:pPr>
      <w:r>
        <w:rPr/>
        <w:t>（</w:t>
      </w:r>
      <w:r>
        <w:rPr>
          <w:rFonts w:ascii="Times New Roman" w:hAnsi="Times New Roman" w:cs="Times New Roman" w:eastAsia="Times New Roman" w:hint="default"/>
        </w:rPr>
        <w:t>2</w:t>
      </w:r>
      <w:r>
        <w:rPr/>
        <w:t>）非企业合并形成的交易或事项，且该交易或事项发生时既不影响会计利润，也不影响应纳税所得额（或可抵扣亏 损）所形成的暂时性差异；</w:t>
      </w:r>
    </w:p>
    <w:p>
      <w:pPr>
        <w:pStyle w:val="BodyText"/>
        <w:spacing w:line="300" w:lineRule="auto" w:before="72"/>
        <w:ind w:right="1124" w:firstLine="360"/>
        <w:jc w:val="left"/>
      </w:pPr>
      <w:r>
        <w:rPr/>
        <w:t>（</w:t>
      </w:r>
      <w:r>
        <w:rPr>
          <w:rFonts w:ascii="Times New Roman" w:hAnsi="Times New Roman" w:cs="Times New Roman" w:eastAsia="Times New Roman" w:hint="default"/>
        </w:rPr>
        <w:t>3</w:t>
      </w:r>
      <w:r>
        <w:rPr/>
        <w:t>）对于与子公司、联营企业投资相关的应纳税暂时性差异，该暂时性差异转回的时间能够控制并且该暂时性差异在 可预见的未来很可能不会转回。</w:t>
      </w:r>
    </w:p>
    <w:p>
      <w:pPr>
        <w:pStyle w:val="Heading4"/>
        <w:spacing w:line="240" w:lineRule="auto" w:before="72"/>
        <w:ind w:right="1133"/>
        <w:jc w:val="left"/>
        <w:rPr>
          <w:b w:val="0"/>
          <w:bCs w:val="0"/>
        </w:rPr>
      </w:pPr>
      <w:r>
        <w:rPr>
          <w:rFonts w:ascii="Times New Roman" w:hAnsi="Times New Roman" w:cs="Times New Roman" w:eastAsia="Times New Roman" w:hint="default"/>
        </w:rPr>
        <w:t>3</w:t>
      </w:r>
      <w:r>
        <w:rPr/>
        <w:t>．同时满足下列条件时，将递延所得税资产及递延所得税负债以抵销后的净额列示</w:t>
      </w:r>
      <w:r>
        <w:rPr>
          <w:b w:val="0"/>
          <w:bCs w:val="0"/>
        </w:rPr>
      </w:r>
    </w:p>
    <w:p>
      <w:pPr>
        <w:pStyle w:val="BodyText"/>
        <w:spacing w:line="240" w:lineRule="auto" w:before="101"/>
        <w:ind w:left="513" w:right="1133"/>
        <w:jc w:val="left"/>
      </w:pPr>
      <w:r>
        <w:rPr/>
        <w:t>（</w:t>
      </w:r>
      <w:r>
        <w:rPr>
          <w:rFonts w:ascii="Times New Roman" w:hAnsi="Times New Roman" w:cs="Times New Roman" w:eastAsia="Times New Roman" w:hint="default"/>
        </w:rPr>
        <w:t>1</w:t>
      </w:r>
      <w:r>
        <w:rPr/>
        <w:t>）企业拥有以净额结算当期所得税资产及当期所得税负债的法定权利；</w:t>
      </w:r>
    </w:p>
    <w:p>
      <w:pPr>
        <w:pStyle w:val="BodyText"/>
        <w:spacing w:line="309" w:lineRule="auto" w:before="103"/>
        <w:ind w:right="1133" w:firstLine="360"/>
        <w:jc w:val="both"/>
      </w:pPr>
      <w:r>
        <w:rPr/>
        <w:t>（</w:t>
      </w:r>
      <w:r>
        <w:rPr>
          <w:rFonts w:ascii="Times New Roman" w:hAnsi="Times New Roman" w:cs="Times New Roman" w:eastAsia="Times New Roman" w:hint="default"/>
        </w:rPr>
        <w:t>2</w:t>
      </w:r>
      <w:r>
        <w:rPr/>
        <w:t>）递延所得税资产和递延所得税负债是与同一税收征管部门对同一纳税主体征收的所得税相关或者对不同的纳税主 </w:t>
      </w:r>
      <w:r>
        <w:rPr>
          <w:spacing w:val="-2"/>
        </w:rPr>
        <w:t>体相关，但在未来每一具有重要性的递延所得税资产和递延所得税负债转回的期间内，涉及的纳税主体体意图以净额结算当</w:t>
      </w:r>
      <w:r>
        <w:rPr>
          <w:spacing w:val="-64"/>
        </w:rPr>
        <w:t> </w:t>
      </w:r>
      <w:r>
        <w:rPr>
          <w:spacing w:val="-64"/>
        </w:rPr>
      </w:r>
      <w:r>
        <w:rPr/>
        <w:t>期所得税资产及当期所得税负债或是同时取得资产、清偿债务。</w:t>
      </w:r>
    </w:p>
    <w:p>
      <w:pPr>
        <w:spacing w:line="240" w:lineRule="auto" w:before="3"/>
        <w:rPr>
          <w:rFonts w:ascii="宋体" w:hAnsi="宋体" w:cs="宋体" w:eastAsia="宋体" w:hint="default"/>
          <w:sz w:val="23"/>
          <w:szCs w:val="23"/>
        </w:rPr>
      </w:pPr>
    </w:p>
    <w:p>
      <w:pPr>
        <w:pStyle w:val="Heading3"/>
        <w:spacing w:line="240" w:lineRule="auto"/>
        <w:ind w:right="1133"/>
        <w:jc w:val="left"/>
        <w:rPr>
          <w:b w:val="0"/>
          <w:bCs w:val="0"/>
        </w:rPr>
      </w:pPr>
      <w:bookmarkStart w:name="30、租赁" w:id="207"/>
      <w:bookmarkEnd w:id="207"/>
      <w:r>
        <w:rPr>
          <w:b w:val="0"/>
          <w:bCs w:val="0"/>
        </w:rPr>
      </w:r>
      <w:r>
        <w:rPr>
          <w:rFonts w:ascii="Times New Roman" w:hAnsi="Times New Roman" w:cs="Times New Roman" w:eastAsia="Times New Roman" w:hint="default"/>
        </w:rPr>
        <w:t>30</w:t>
      </w:r>
      <w:r>
        <w:rPr/>
        <w:t>、租赁</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经营租赁的会计处理方法" w:id="208"/>
      <w:bookmarkEnd w:id="208"/>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left="513" w:right="1129"/>
        <w:jc w:val="left"/>
      </w:pPr>
      <w:r>
        <w:rPr/>
        <w:t>（</w:t>
      </w:r>
      <w:r>
        <w:rPr>
          <w:rFonts w:ascii="Times New Roman" w:hAnsi="Times New Roman" w:cs="Times New Roman" w:eastAsia="Times New Roman" w:hint="default"/>
        </w:rPr>
        <w:t>1</w:t>
      </w:r>
      <w:r>
        <w:rPr/>
        <w:t>）经营租入资产 </w:t>
      </w:r>
      <w:r>
        <w:rPr>
          <w:spacing w:val="-2"/>
        </w:rPr>
        <w:t>公司租入资产所支付的租赁费，在不扣除免租期的整个租赁期内，按直线法进行分摊，计入当期费用。公司支付的与租</w:t>
      </w:r>
    </w:p>
    <w:p>
      <w:pPr>
        <w:pStyle w:val="BodyText"/>
        <w:spacing w:line="357" w:lineRule="auto" w:before="1"/>
        <w:ind w:left="513" w:right="1129" w:hanging="361"/>
        <w:jc w:val="left"/>
      </w:pPr>
      <w:r>
        <w:rPr/>
        <w:t>赁交易相关的初始直接费用，计入当期费用。 </w:t>
      </w:r>
      <w:r>
        <w:rPr>
          <w:spacing w:val="-2"/>
        </w:rPr>
        <w:t>资产出租方承担了应由公司承担的与租赁相关的费用时，公司将该部分费用从租金总额中扣除，按扣除后的租金费用在</w:t>
      </w:r>
    </w:p>
    <w:p>
      <w:pPr>
        <w:pStyle w:val="BodyText"/>
        <w:spacing w:line="224" w:lineRule="exact"/>
        <w:ind w:right="1133"/>
        <w:jc w:val="left"/>
      </w:pPr>
      <w:r>
        <w:rPr/>
        <w:t>租赁期内分摊，计入当期费用。</w:t>
      </w:r>
    </w:p>
    <w:p>
      <w:pPr>
        <w:pStyle w:val="BodyText"/>
        <w:spacing w:line="340" w:lineRule="auto" w:before="117"/>
        <w:ind w:left="513" w:right="1129"/>
        <w:jc w:val="left"/>
      </w:pPr>
      <w:r>
        <w:rPr/>
        <w:t>（</w:t>
      </w:r>
      <w:r>
        <w:rPr>
          <w:rFonts w:ascii="Times New Roman" w:hAnsi="Times New Roman" w:cs="Times New Roman" w:eastAsia="Times New Roman" w:hint="default"/>
        </w:rPr>
        <w:t>2</w:t>
      </w:r>
      <w:r>
        <w:rPr/>
        <w:t>）经营租出资产 </w:t>
      </w:r>
      <w:r>
        <w:rPr>
          <w:spacing w:val="-2"/>
        </w:rPr>
        <w:t>公司出租资产所收取的租赁费，在不扣除免租期的整个租赁期内，按直线法进行分摊，确认为租赁收入。公司支付的与</w:t>
      </w:r>
    </w:p>
    <w:p>
      <w:pPr>
        <w:pStyle w:val="BodyText"/>
        <w:spacing w:line="240" w:lineRule="auto"/>
        <w:ind w:right="0"/>
        <w:jc w:val="left"/>
      </w:pPr>
      <w:r>
        <w:rPr/>
        <w:t>租赁交易相关的初始直接费用，计入当期费用；如金额较大的，则予以资本化，在整个租赁期间内按照与租赁收入确认相同</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60" w:lineRule="auto" w:before="44"/>
        <w:ind w:left="513" w:right="1129" w:hanging="361"/>
        <w:jc w:val="left"/>
      </w:pPr>
      <w:r>
        <w:rPr/>
        <w:t>的基础分期计入当期收益。 </w:t>
      </w:r>
      <w:r>
        <w:rPr>
          <w:spacing w:val="-2"/>
        </w:rPr>
        <w:t>公司承担了应由承租方承担的与租赁相关的费用时，公司将该部分费用从租金收入总额中扣除，按扣除后的租金费用在</w:t>
      </w:r>
    </w:p>
    <w:p>
      <w:pPr>
        <w:pStyle w:val="BodyText"/>
        <w:spacing w:line="222" w:lineRule="exact"/>
        <w:ind w:right="1133"/>
        <w:jc w:val="left"/>
      </w:pPr>
      <w:r>
        <w:rPr/>
        <w:t>租赁期内分配。</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融资租赁的会计处理方法" w:id="209"/>
      <w:bookmarkEnd w:id="209"/>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24" w:firstLine="360"/>
        <w:jc w:val="left"/>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）融资租入资产：公司在承租开始日，将租赁资产公允价值与最低租赁付款额现值两者中较低者作为租入资产的入 账价值，将最低租赁付款额作为长期应付款的入账价值，其差额作为未确认的融资费用。</w:t>
      </w:r>
    </w:p>
    <w:p>
      <w:pPr>
        <w:pStyle w:val="BodyText"/>
        <w:spacing w:line="240" w:lineRule="auto" w:before="72"/>
        <w:ind w:left="513" w:right="1133"/>
        <w:jc w:val="left"/>
      </w:pPr>
      <w:r>
        <w:rPr/>
        <w:t>公司采用实际利率法对未确认的融资费用，在资产租赁期间内摊销，计入财务费用。</w:t>
      </w:r>
    </w:p>
    <w:p>
      <w:pPr>
        <w:pStyle w:val="BodyText"/>
        <w:spacing w:line="309" w:lineRule="auto" w:before="117"/>
        <w:ind w:right="0" w:firstLine="360"/>
        <w:jc w:val="left"/>
      </w:pPr>
      <w:r>
        <w:rPr>
          <w:spacing w:val="-2"/>
        </w:rPr>
        <w:t>（</w:t>
      </w:r>
      <w:r>
        <w:rPr>
          <w:rFonts w:ascii="Times New Roman" w:hAnsi="Times New Roman" w:cs="Times New Roman" w:eastAsia="Times New Roman" w:hint="default"/>
          <w:spacing w:val="-2"/>
        </w:rPr>
        <w:t>2</w:t>
      </w:r>
      <w:r>
        <w:rPr>
          <w:spacing w:val="-2"/>
        </w:rPr>
        <w:t>）融资租出资产：公司在租赁开始日，将应收融资租赁款，未担保余值之和与其现值的差额确认为未实现融资收益，</w:t>
      </w:r>
      <w:r>
        <w:rPr/>
        <w:t> </w:t>
      </w:r>
      <w:r>
        <w:rPr>
          <w:spacing w:val="-2"/>
        </w:rPr>
        <w:t>在将来收到租金的各期间内确认为租赁收入，公司发生的与出租交易相关的初始直接费用，计入应收融资租赁款的初始计量</w:t>
      </w:r>
      <w:r>
        <w:rPr>
          <w:spacing w:val="-63"/>
        </w:rPr>
        <w:t> </w:t>
      </w:r>
      <w:r>
        <w:rPr>
          <w:spacing w:val="-63"/>
        </w:rPr>
      </w:r>
      <w:r>
        <w:rPr/>
        <w:t>中，并减少租赁期内确认的收益金额。</w:t>
      </w:r>
    </w:p>
    <w:p>
      <w:pPr>
        <w:spacing w:line="240" w:lineRule="auto" w:before="3"/>
        <w:rPr>
          <w:rFonts w:ascii="宋体" w:hAnsi="宋体" w:cs="宋体" w:eastAsia="宋体" w:hint="default"/>
          <w:sz w:val="23"/>
          <w:szCs w:val="23"/>
        </w:rPr>
      </w:pPr>
    </w:p>
    <w:p>
      <w:pPr>
        <w:pStyle w:val="Heading3"/>
        <w:spacing w:line="240" w:lineRule="auto"/>
        <w:ind w:right="1133"/>
        <w:jc w:val="left"/>
        <w:rPr>
          <w:b w:val="0"/>
          <w:bCs w:val="0"/>
        </w:rPr>
      </w:pPr>
      <w:bookmarkStart w:name="31、 终止经营" w:id="210"/>
      <w:bookmarkEnd w:id="210"/>
      <w:r>
        <w:rPr>
          <w:b w:val="0"/>
          <w:bCs w:val="0"/>
        </w:rPr>
      </w:r>
      <w:r>
        <w:rPr>
          <w:rFonts w:ascii="Times New Roman" w:hAnsi="Times New Roman" w:cs="Times New Roman" w:eastAsia="Times New Roman" w:hint="default"/>
        </w:rPr>
        <w:t>31</w:t>
      </w:r>
      <w:r>
        <w:rPr/>
        <w:t>、 终止经营</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29" w:firstLine="360"/>
        <w:jc w:val="left"/>
      </w:pPr>
      <w:r>
        <w:rPr>
          <w:spacing w:val="-2"/>
        </w:rPr>
        <w:t>本公司将满足下列条件之一的，且该组成部分已经处置或划归为持有待售类别的、能够单独区分的组成部分确认为终止</w:t>
      </w:r>
      <w:r>
        <w:rPr/>
        <w:t> 经营组成部分：</w:t>
      </w:r>
    </w:p>
    <w:p>
      <w:pPr>
        <w:pStyle w:val="BodyText"/>
        <w:spacing w:line="240" w:lineRule="auto" w:before="59"/>
        <w:ind w:left="513" w:right="1133"/>
        <w:jc w:val="left"/>
      </w:pPr>
      <w:r>
        <w:rPr/>
        <w:t>（</w:t>
      </w:r>
      <w:r>
        <w:rPr>
          <w:rFonts w:ascii="Times New Roman" w:hAnsi="Times New Roman" w:cs="Times New Roman" w:eastAsia="Times New Roman" w:hint="default"/>
        </w:rPr>
        <w:t>1</w:t>
      </w:r>
      <w:r>
        <w:rPr/>
        <w:t>）该组成部分代表一项独立的主要业务或一个单独的主要经营地区。</w:t>
      </w:r>
    </w:p>
    <w:p>
      <w:pPr>
        <w:pStyle w:val="BodyText"/>
        <w:spacing w:line="240" w:lineRule="auto" w:before="101"/>
        <w:ind w:left="513" w:right="1133"/>
        <w:jc w:val="left"/>
      </w:pPr>
      <w:r>
        <w:rPr/>
        <w:t>（</w:t>
      </w:r>
      <w:r>
        <w:rPr>
          <w:rFonts w:ascii="Times New Roman" w:hAnsi="Times New Roman" w:cs="Times New Roman" w:eastAsia="Times New Roman" w:hint="default"/>
        </w:rPr>
        <w:t>2</w:t>
      </w:r>
      <w:r>
        <w:rPr/>
        <w:t>）该组成部分是拟对一项独立的主要业务或一个单独的主要经营地区进行处置的一项相关联计划的一部分。</w:t>
      </w:r>
    </w:p>
    <w:p>
      <w:pPr>
        <w:pStyle w:val="BodyText"/>
        <w:spacing w:line="340" w:lineRule="auto" w:before="103"/>
        <w:ind w:left="513" w:right="3193"/>
        <w:jc w:val="left"/>
      </w:pPr>
      <w:r>
        <w:rPr/>
        <w:t>（</w:t>
      </w:r>
      <w:r>
        <w:rPr>
          <w:rFonts w:ascii="Times New Roman" w:hAnsi="Times New Roman" w:cs="Times New Roman" w:eastAsia="Times New Roman" w:hint="default"/>
        </w:rPr>
        <w:t>3</w:t>
      </w:r>
      <w:r>
        <w:rPr/>
        <w:t>）该组成部分是专为转售而取得的子公司。 终止经营的减值损失和转回金额等经营损益及处置损益作为终止经营损益在利润表中列示。</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bookmarkStart w:name="32、 财务报表列报项目变更说明" w:id="211"/>
      <w:bookmarkEnd w:id="211"/>
      <w:r>
        <w:rPr>
          <w:b w:val="0"/>
          <w:bCs w:val="0"/>
        </w:rPr>
      </w:r>
      <w:r>
        <w:rPr>
          <w:rFonts w:ascii="Times New Roman" w:hAnsi="Times New Roman" w:cs="Times New Roman" w:eastAsia="Times New Roman" w:hint="default"/>
        </w:rPr>
        <w:t>32</w:t>
      </w:r>
      <w:r>
        <w:rPr/>
        <w:t>、 财务报表列报项目变更说明</w:t>
      </w:r>
      <w:r>
        <w:rPr>
          <w:b w:val="0"/>
          <w:bCs w:val="0"/>
        </w:rPr>
      </w:r>
    </w:p>
    <w:p>
      <w:pPr>
        <w:spacing w:line="240" w:lineRule="auto" w:before="5"/>
        <w:rPr>
          <w:rFonts w:ascii="宋体" w:hAnsi="宋体" w:cs="宋体" w:eastAsia="宋体" w:hint="default"/>
          <w:b/>
          <w:bCs/>
          <w:sz w:val="26"/>
          <w:szCs w:val="26"/>
        </w:rPr>
      </w:pPr>
    </w:p>
    <w:p>
      <w:pPr>
        <w:pStyle w:val="BodyText"/>
        <w:spacing w:line="307" w:lineRule="auto"/>
        <w:ind w:right="1034" w:firstLine="360"/>
        <w:jc w:val="left"/>
      </w:pPr>
      <w:r>
        <w:rPr/>
        <w:t>财政部于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日发布了《关于修订印发</w:t>
      </w:r>
      <w:r>
        <w:rPr>
          <w:rFonts w:ascii="Times New Roman" w:hAnsi="Times New Roman" w:cs="Times New Roman" w:eastAsia="Times New Roman" w:hint="default"/>
        </w:rPr>
        <w:t>2019</w:t>
      </w:r>
      <w:r>
        <w:rPr/>
        <w:t>年度一般企业财务报表格式的通知》（财会</w:t>
      </w:r>
      <w:r>
        <w:rPr>
          <w:spacing w:val="15"/>
        </w:rPr>
        <w:t> </w:t>
      </w:r>
      <w:r>
        <w:rPr>
          <w:rFonts w:ascii="Times New Roman" w:hAnsi="Times New Roman" w:cs="Times New Roman" w:eastAsia="Times New Roman" w:hint="default"/>
        </w:rPr>
        <w:t>[2019]6</w:t>
      </w:r>
      <w:r>
        <w:rPr/>
        <w:t>号），对一般 </w:t>
      </w:r>
      <w:r>
        <w:rPr>
          <w:spacing w:val="-2"/>
        </w:rPr>
        <w:t>企业财务报表格式进行了修订，拆分部分资产负债表项目调整利润表项目等。本公司已经根据新的企业财务报表格式的要求</w:t>
      </w:r>
      <w:r>
        <w:rPr>
          <w:spacing w:val="-64"/>
        </w:rPr>
        <w:t> </w:t>
      </w:r>
      <w:r>
        <w:rPr>
          <w:spacing w:val="-64"/>
        </w:rPr>
      </w:r>
      <w:r>
        <w:rPr/>
        <w:t>编制财务报表，财务报表的列报项目因此发生变更的，已经按照《企业会计准则第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财务报表列报》等的相关规定， 对可比期间的比较数据进行调整。</w:t>
      </w:r>
    </w:p>
    <w:p>
      <w:pPr>
        <w:pStyle w:val="BodyText"/>
        <w:spacing w:line="240" w:lineRule="auto" w:before="67"/>
        <w:ind w:left="513" w:right="1133"/>
        <w:jc w:val="left"/>
      </w:pPr>
      <w:r>
        <w:rPr/>
        <w:t>对可比期间的财务报表列报项目及金额的影响如下：</w:t>
      </w:r>
    </w:p>
    <w:p>
      <w:pPr>
        <w:spacing w:line="240" w:lineRule="auto" w:before="4"/>
        <w:rPr>
          <w:rFonts w:ascii="宋体" w:hAnsi="宋体" w:cs="宋体" w:eastAsia="宋体" w:hint="default"/>
          <w:sz w:val="8"/>
          <w:szCs w:val="8"/>
        </w:rPr>
      </w:pPr>
    </w:p>
    <w:tbl>
      <w:tblPr>
        <w:tblW w:w="0" w:type="auto"/>
        <w:jc w:val="left"/>
        <w:tblInd w:w="150" w:type="dxa"/>
        <w:tblLayout w:type="fixed"/>
        <w:tblCellMar>
          <w:top w:w="0" w:type="dxa"/>
          <w:left w:w="0" w:type="dxa"/>
          <w:bottom w:w="0" w:type="dxa"/>
          <w:right w:w="0" w:type="dxa"/>
        </w:tblCellMar>
        <w:tblLook w:val="01E0"/>
      </w:tblPr>
      <w:tblGrid>
        <w:gridCol w:w="2480"/>
        <w:gridCol w:w="1973"/>
        <w:gridCol w:w="2331"/>
        <w:gridCol w:w="2151"/>
        <w:gridCol w:w="787"/>
      </w:tblGrid>
      <w:tr>
        <w:trPr>
          <w:trHeight w:val="346" w:hRule="exact"/>
        </w:trPr>
        <w:tc>
          <w:tcPr>
            <w:tcW w:w="24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348" w:right="0"/>
              <w:jc w:val="left"/>
              <w:rPr>
                <w:rFonts w:ascii="宋体" w:hAnsi="宋体" w:cs="宋体" w:eastAsia="宋体" w:hint="default"/>
                <w:sz w:val="18"/>
                <w:szCs w:val="18"/>
              </w:rPr>
            </w:pPr>
            <w:r>
              <w:rPr>
                <w:rFonts w:ascii="宋体" w:hAnsi="宋体" w:cs="宋体" w:eastAsia="宋体" w:hint="default"/>
                <w:sz w:val="18"/>
                <w:szCs w:val="18"/>
              </w:rPr>
              <w:t>列报变更前金额</w:t>
            </w:r>
          </w:p>
        </w:tc>
        <w:tc>
          <w:tcPr>
            <w:tcW w:w="23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影响金额</w:t>
            </w:r>
          </w:p>
        </w:tc>
        <w:tc>
          <w:tcPr>
            <w:tcW w:w="21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39" w:right="0"/>
              <w:jc w:val="left"/>
              <w:rPr>
                <w:rFonts w:ascii="宋体" w:hAnsi="宋体" w:cs="宋体" w:eastAsia="宋体" w:hint="default"/>
                <w:sz w:val="18"/>
                <w:szCs w:val="18"/>
              </w:rPr>
            </w:pPr>
            <w:r>
              <w:rPr>
                <w:rFonts w:ascii="宋体" w:hAnsi="宋体" w:cs="宋体" w:eastAsia="宋体" w:hint="default"/>
                <w:sz w:val="18"/>
                <w:szCs w:val="18"/>
              </w:rPr>
              <w:t>列报变更后金额</w:t>
            </w:r>
          </w:p>
        </w:tc>
        <w:tc>
          <w:tcPr>
            <w:tcW w:w="7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08"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48" w:hRule="exact"/>
        </w:trPr>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40,987,297.99</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40,987,297.99</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w:t>
            </w:r>
          </w:p>
        </w:tc>
      </w:tr>
      <w:tr>
        <w:trPr>
          <w:trHeight w:val="346" w:hRule="exact"/>
        </w:trPr>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275,781,157.45</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275,781,157.45</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w:t>
            </w:r>
          </w:p>
        </w:tc>
      </w:tr>
      <w:tr>
        <w:trPr>
          <w:trHeight w:val="348" w:hRule="exact"/>
        </w:trPr>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316,768,455.44</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-316,768,455.44</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w:t>
            </w:r>
          </w:p>
        </w:tc>
      </w:tr>
      <w:tr>
        <w:trPr>
          <w:trHeight w:val="349" w:hRule="exact"/>
        </w:trPr>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35,341,384.20</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35,341,384.20</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w:t>
            </w:r>
          </w:p>
        </w:tc>
      </w:tr>
      <w:tr>
        <w:trPr>
          <w:trHeight w:val="346" w:hRule="exact"/>
        </w:trPr>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102,678,836.39</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102,678,836.39</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w:t>
            </w:r>
          </w:p>
        </w:tc>
      </w:tr>
      <w:tr>
        <w:trPr>
          <w:trHeight w:val="348" w:hRule="exact"/>
        </w:trPr>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138,020,220.59</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-138,020,220.59</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6"/>
        <w:ind w:right="1133"/>
        <w:jc w:val="left"/>
        <w:rPr>
          <w:b w:val="0"/>
          <w:bCs w:val="0"/>
        </w:rPr>
      </w:pPr>
      <w:bookmarkStart w:name="33、重要会计政策和会计估计变更" w:id="212"/>
      <w:bookmarkEnd w:id="212"/>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重要会计政策变更" w:id="213"/>
      <w:bookmarkEnd w:id="213"/>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245"/>
        <w:gridCol w:w="3687"/>
        <w:gridCol w:w="638"/>
      </w:tblGrid>
      <w:tr>
        <w:trPr>
          <w:trHeight w:val="401"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38"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4"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1339"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本公司自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日起执行财政部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年修订的《企业会计</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w:t>
            </w:r>
            <w:r>
              <w:rPr>
                <w:rFonts w:ascii="宋体" w:hAnsi="宋体" w:cs="宋体" w:eastAsia="宋体" w:hint="default"/>
                <w:spacing w:val="-3"/>
                <w:sz w:val="18"/>
                <w:szCs w:val="18"/>
              </w:rPr>
              <w:t>和</w:t>
            </w:r>
            <w:r>
              <w:rPr>
                <w:rFonts w:ascii="宋体" w:hAnsi="宋体" w:cs="宋体" w:eastAsia="宋体" w:hint="default"/>
                <w:sz w:val="18"/>
                <w:szCs w:val="18"/>
              </w:rPr>
              <w:t>计量</w:t>
            </w:r>
            <w:r>
              <w:rPr>
                <w:rFonts w:ascii="宋体" w:hAnsi="宋体" w:cs="宋体" w:eastAsia="宋体" w:hint="default"/>
                <w:spacing w:val="-92"/>
                <w:sz w:val="18"/>
                <w:szCs w:val="18"/>
              </w:rPr>
              <w:t>》、</w:t>
            </w: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资产转移》和《企业会计准则第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套期会计</w:t>
            </w:r>
            <w:r>
              <w:rPr>
                <w:rFonts w:ascii="宋体" w:hAnsi="宋体" w:cs="宋体" w:eastAsia="宋体" w:hint="default"/>
                <w:spacing w:val="-92"/>
                <w:sz w:val="18"/>
                <w:szCs w:val="18"/>
              </w:rPr>
              <w:t>》、</w:t>
            </w:r>
            <w:r>
              <w:rPr>
                <w:rFonts w:ascii="宋体" w:hAnsi="宋体" w:cs="宋体" w:eastAsia="宋体" w:hint="default"/>
                <w:sz w:val="18"/>
                <w:szCs w:val="18"/>
              </w:rPr>
              <w:t>《企业会计准则</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w:t>
            </w:r>
            <w:r>
              <w:rPr>
                <w:rFonts w:ascii="宋体" w:hAnsi="宋体" w:cs="宋体" w:eastAsia="宋体" w:hint="default"/>
                <w:spacing w:val="-92"/>
                <w:sz w:val="18"/>
                <w:szCs w:val="18"/>
              </w:rPr>
              <w:t>》</w:t>
            </w:r>
            <w:r>
              <w:rPr>
                <w:rFonts w:ascii="宋体" w:hAnsi="宋体" w:cs="宋体" w:eastAsia="宋体" w:hint="default"/>
                <w:sz w:val="18"/>
                <w:szCs w:val="18"/>
              </w:rPr>
              <w:t>（以上四项统称</w:t>
            </w:r>
            <w:r>
              <w:rPr>
                <w:rFonts w:ascii="Times New Roman" w:hAnsi="Times New Roman" w:cs="Times New Roman" w:eastAsia="Times New Roman" w:hint="default"/>
                <w:spacing w:val="-1"/>
                <w:sz w:val="18"/>
                <w:szCs w:val="18"/>
              </w:rPr>
              <w:t>&lt;</w:t>
            </w:r>
            <w:r>
              <w:rPr>
                <w:rFonts w:ascii="宋体" w:hAnsi="宋体" w:cs="宋体" w:eastAsia="宋体" w:hint="default"/>
                <w:sz w:val="18"/>
                <w:szCs w:val="18"/>
              </w:rPr>
              <w:t>新金融工具准则</w:t>
            </w:r>
            <w:r>
              <w:rPr>
                <w:rFonts w:ascii="Times New Roman" w:hAnsi="Times New Roman" w:cs="Times New Roman" w:eastAsia="Times New Roman" w:hint="default"/>
                <w:sz w:val="18"/>
                <w:szCs w:val="18"/>
              </w:rPr>
              <w:t>&gt;</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50"/>
              <w:jc w:val="left"/>
              <w:rPr>
                <w:rFonts w:ascii="宋体" w:hAnsi="宋体" w:cs="宋体" w:eastAsia="宋体" w:hint="default"/>
                <w:sz w:val="18"/>
                <w:szCs w:val="18"/>
              </w:rPr>
            </w:pPr>
            <w:r>
              <w:rPr>
                <w:rFonts w:ascii="宋体" w:hAnsi="宋体" w:cs="宋体" w:eastAsia="宋体" w:hint="default"/>
                <w:sz w:val="18"/>
                <w:szCs w:val="18"/>
              </w:rPr>
              <w:t>本次会计政策变更已经公司第三届董事会第十 次会议审议通过，根据法律法规的有关规定， 本次会计政策变更无需提交公司股东大会审 议。</w:t>
            </w: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5245" w:type="dxa"/>
            <w:tcBorders>
              <w:top w:val="single" w:sz="4" w:space="0" w:color="000000"/>
              <w:left w:val="single" w:sz="4" w:space="0" w:color="000000"/>
              <w:bottom w:val="single" w:sz="4" w:space="0" w:color="000000"/>
              <w:right w:val="single" w:sz="14" w:space="0" w:color="FFFFF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本公司自</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  </w:t>
            </w:r>
            <w:r>
              <w:rPr>
                <w:rFonts w:ascii="宋体" w:hAnsi="宋体" w:cs="宋体" w:eastAsia="宋体" w:hint="default"/>
                <w:spacing w:val="-3"/>
                <w:sz w:val="18"/>
                <w:szCs w:val="18"/>
              </w:rPr>
              <w:t>日</w:t>
            </w:r>
            <w:r>
              <w:rPr>
                <w:rFonts w:ascii="宋体" w:hAnsi="宋体" w:cs="宋体" w:eastAsia="宋体" w:hint="default"/>
                <w:sz w:val="18"/>
                <w:szCs w:val="18"/>
              </w:rPr>
              <w:t>起执行财政部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年修订</w:t>
            </w:r>
            <w:r>
              <w:rPr>
                <w:rFonts w:ascii="宋体" w:hAnsi="宋体" w:cs="宋体" w:eastAsia="宋体" w:hint="default"/>
                <w:spacing w:val="-77"/>
                <w:sz w:val="18"/>
                <w:szCs w:val="18"/>
              </w:rPr>
              <w:t>的</w:t>
            </w:r>
            <w:r>
              <w:rPr>
                <w:rFonts w:ascii="宋体" w:hAnsi="宋体" w:cs="宋体" w:eastAsia="宋体" w:hint="default"/>
                <w:spacing w:val="-3"/>
                <w:sz w:val="18"/>
                <w:szCs w:val="18"/>
              </w:rPr>
              <w:t>《</w:t>
            </w:r>
            <w:r>
              <w:rPr>
                <w:rFonts w:ascii="宋体" w:hAnsi="宋体" w:cs="宋体" w:eastAsia="宋体" w:hint="default"/>
                <w:sz w:val="18"/>
                <w:szCs w:val="18"/>
              </w:rPr>
              <w:t>企业会</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计准则第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非货币性</w:t>
            </w:r>
            <w:r>
              <w:rPr>
                <w:rFonts w:ascii="宋体" w:hAnsi="宋体" w:cs="宋体" w:eastAsia="宋体" w:hint="default"/>
                <w:spacing w:val="-3"/>
                <w:sz w:val="18"/>
                <w:szCs w:val="18"/>
              </w:rPr>
              <w:t>资</w:t>
            </w:r>
            <w:r>
              <w:rPr>
                <w:rFonts w:ascii="宋体" w:hAnsi="宋体" w:cs="宋体" w:eastAsia="宋体" w:hint="default"/>
                <w:sz w:val="18"/>
                <w:szCs w:val="18"/>
              </w:rPr>
              <w:t>产交换</w:t>
            </w:r>
            <w:r>
              <w:rPr>
                <w:rFonts w:ascii="宋体" w:hAnsi="宋体" w:cs="宋体" w:eastAsia="宋体" w:hint="default"/>
                <w:spacing w:val="-92"/>
                <w:sz w:val="18"/>
                <w:szCs w:val="18"/>
              </w:rPr>
              <w:t>》</w:t>
            </w:r>
            <w:r>
              <w:rPr>
                <w:rFonts w:ascii="宋体" w:hAnsi="宋体" w:cs="宋体" w:eastAsia="宋体" w:hint="default"/>
                <w:sz w:val="18"/>
                <w:szCs w:val="18"/>
              </w:rPr>
              <w:t>，自</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  </w:t>
            </w:r>
            <w:r>
              <w:rPr>
                <w:rFonts w:ascii="宋体" w:hAnsi="宋体" w:cs="宋体" w:eastAsia="宋体" w:hint="default"/>
                <w:sz w:val="18"/>
                <w:szCs w:val="18"/>
              </w:rPr>
              <w:t>日起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执行财政部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年修订</w:t>
            </w:r>
            <w:r>
              <w:rPr>
                <w:rFonts w:ascii="宋体" w:hAnsi="宋体" w:cs="宋体" w:eastAsia="宋体" w:hint="default"/>
                <w:spacing w:val="-77"/>
                <w:sz w:val="18"/>
                <w:szCs w:val="18"/>
              </w:rPr>
              <w:t>的</w:t>
            </w:r>
            <w:r>
              <w:rPr>
                <w:rFonts w:ascii="宋体" w:hAnsi="宋体" w:cs="宋体" w:eastAsia="宋体" w:hint="default"/>
                <w:sz w:val="18"/>
                <w:szCs w:val="18"/>
              </w:rPr>
              <w:t>《</w:t>
            </w:r>
            <w:r>
              <w:rPr>
                <w:rFonts w:ascii="宋体" w:hAnsi="宋体" w:cs="宋体" w:eastAsia="宋体" w:hint="default"/>
                <w:spacing w:val="-3"/>
                <w:sz w:val="18"/>
                <w:szCs w:val="18"/>
              </w:rPr>
              <w:t>企</w:t>
            </w:r>
            <w:r>
              <w:rPr>
                <w:rFonts w:ascii="宋体" w:hAnsi="宋体" w:cs="宋体" w:eastAsia="宋体" w:hint="default"/>
                <w:sz w:val="18"/>
                <w:szCs w:val="18"/>
              </w:rPr>
              <w:t>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债</w:t>
            </w:r>
            <w:r>
              <w:rPr>
                <w:rFonts w:ascii="宋体" w:hAnsi="宋体" w:cs="宋体" w:eastAsia="宋体" w:hint="default"/>
                <w:spacing w:val="-3"/>
                <w:sz w:val="18"/>
                <w:szCs w:val="18"/>
              </w:rPr>
              <w:t>务</w:t>
            </w:r>
            <w:r>
              <w:rPr>
                <w:rFonts w:ascii="宋体" w:hAnsi="宋体" w:cs="宋体" w:eastAsia="宋体" w:hint="default"/>
                <w:sz w:val="18"/>
                <w:szCs w:val="18"/>
              </w:rPr>
              <w:t>重组</w:t>
            </w:r>
            <w:r>
              <w:rPr>
                <w:rFonts w:ascii="宋体" w:hAnsi="宋体" w:cs="宋体" w:eastAsia="宋体" w:hint="default"/>
                <w:spacing w:val="-92"/>
                <w:sz w:val="18"/>
                <w:szCs w:val="18"/>
              </w:rPr>
              <w:t>》</w:t>
            </w:r>
            <w:r>
              <w:rPr>
                <w:rFonts w:ascii="宋体" w:hAnsi="宋体" w:cs="宋体" w:eastAsia="宋体" w:hint="default"/>
                <w:sz w:val="18"/>
                <w:szCs w:val="18"/>
              </w:rPr>
            </w:r>
          </w:p>
        </w:tc>
        <w:tc>
          <w:tcPr>
            <w:tcW w:w="3687" w:type="dxa"/>
            <w:tcBorders>
              <w:top w:val="single" w:sz="4" w:space="0" w:color="000000"/>
              <w:left w:val="single" w:sz="14" w:space="0" w:color="FFFFFF"/>
              <w:bottom w:val="single" w:sz="4" w:space="0" w:color="000000"/>
              <w:right w:val="single" w:sz="13" w:space="0" w:color="FFFFFF"/>
            </w:tcBorders>
          </w:tcPr>
          <w:p>
            <w:pPr>
              <w:pStyle w:val="TableParagraph"/>
              <w:spacing w:line="312" w:lineRule="exact" w:before="9"/>
              <w:ind w:left="13" w:right="53"/>
              <w:jc w:val="left"/>
              <w:rPr>
                <w:rFonts w:ascii="宋体" w:hAnsi="宋体" w:cs="宋体" w:eastAsia="宋体" w:hint="default"/>
                <w:sz w:val="18"/>
                <w:szCs w:val="18"/>
              </w:rPr>
            </w:pPr>
            <w:r>
              <w:rPr>
                <w:rFonts w:ascii="宋体" w:hAnsi="宋体" w:cs="宋体" w:eastAsia="宋体" w:hint="default"/>
                <w:sz w:val="18"/>
                <w:szCs w:val="18"/>
              </w:rPr>
              <w:t>本次会计政策变更已经公司第三届董事会第十 </w:t>
            </w:r>
            <w:r>
              <w:rPr>
                <w:rFonts w:ascii="宋体" w:hAnsi="宋体" w:cs="宋体" w:eastAsia="宋体" w:hint="default"/>
                <w:spacing w:val="-3"/>
                <w:sz w:val="18"/>
                <w:szCs w:val="18"/>
              </w:rPr>
              <w:t>五次会议审议通过，根据法律法规的有关规定</w:t>
            </w:r>
            <w:r>
              <w:rPr>
                <w:rFonts w:ascii="宋体" w:hAnsi="宋体" w:cs="宋体" w:eastAsia="宋体" w:hint="default"/>
                <w:sz w:val="18"/>
                <w:szCs w:val="18"/>
              </w:rPr>
              <w:t> 本次会计政策变更无需提交公司股东大会审</w:t>
            </w:r>
          </w:p>
          <w:p>
            <w:pPr>
              <w:pStyle w:val="TableParagraph"/>
              <w:spacing w:line="79" w:lineRule="exact"/>
              <w:ind w:left="-13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3" w:right="0"/>
              <w:jc w:val="left"/>
              <w:rPr>
                <w:rFonts w:ascii="宋体" w:hAnsi="宋体" w:cs="宋体" w:eastAsia="宋体" w:hint="default"/>
                <w:sz w:val="18"/>
                <w:szCs w:val="18"/>
              </w:rPr>
            </w:pPr>
            <w:r>
              <w:rPr>
                <w:rFonts w:ascii="宋体" w:hAnsi="宋体" w:cs="宋体" w:eastAsia="宋体" w:hint="default"/>
                <w:sz w:val="18"/>
                <w:szCs w:val="18"/>
              </w:rPr>
              <w:t>议。</w:t>
            </w:r>
          </w:p>
        </w:tc>
        <w:tc>
          <w:tcPr>
            <w:tcW w:w="63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3" w:right="0"/>
              <w:jc w:val="left"/>
              <w:rPr>
                <w:rFonts w:ascii="宋体" w:hAnsi="宋体" w:cs="宋体" w:eastAsia="宋体" w:hint="default"/>
                <w:sz w:val="18"/>
                <w:szCs w:val="18"/>
              </w:rPr>
            </w:pPr>
            <w:r>
              <w:rPr>
                <w:rFonts w:ascii="宋体" w:hAnsi="宋体" w:cs="宋体" w:eastAsia="宋体" w:hint="default"/>
                <w:sz w:val="18"/>
                <w:szCs w:val="18"/>
              </w:rPr>
              <w:t>，</w:t>
            </w:r>
          </w:p>
        </w:tc>
      </w:tr>
    </w:tbl>
    <w:p>
      <w:pPr>
        <w:pStyle w:val="BodyText"/>
        <w:spacing w:line="240" w:lineRule="auto" w:before="49"/>
        <w:ind w:left="513" w:right="1133"/>
        <w:jc w:val="left"/>
      </w:pPr>
      <w:r>
        <w:rPr/>
        <w:pict>
          <v:group style="position:absolute;margin-left:320.470001pt;margin-top:-66.958282pt;width:214.5pt;height:66.4pt;mso-position-horizontal-relative:page;mso-position-vertical-relative:paragraph;z-index:-1220656" coordorigin="6409,-1339" coordsize="4290,1328">
            <v:group style="position:absolute;left:6409;top:-674;width:3630;height:312" coordorigin="6409,-674" coordsize="3630,312">
              <v:shape style="position:absolute;left:6409;top:-674;width:3630;height:312" coordorigin="6409,-674" coordsize="3630,312" path="m6409,-362l10039,-362,10039,-674,6409,-674,6409,-362xe" filled="true" fillcolor="#ffffff" stroked="false">
                <v:path arrowok="t"/>
                <v:fill type="solid"/>
              </v:shape>
            </v:group>
            <v:group style="position:absolute;left:6409;top:-362;width:3630;height:351" coordorigin="6409,-362" coordsize="3630,351">
              <v:shape style="position:absolute;left:6409;top:-362;width:3630;height:351" coordorigin="6409,-362" coordsize="3630,351" path="m6409,-12l10039,-12,10039,-362,6409,-362,6409,-12xe" filled="true" fillcolor="#ffffff" stroked="false">
                <v:path arrowok="t"/>
                <v:fill type="solid"/>
              </v:shape>
            </v:group>
            <v:group style="position:absolute;left:10072;top:-1339;width:627;height:468" coordorigin="10072,-1339" coordsize="627,468">
              <v:shape style="position:absolute;left:10072;top:-1339;width:627;height:468" coordorigin="10072,-1339" coordsize="627,468" path="m10072,-871l10699,-871,10699,-1339,10072,-1339,10072,-871xe" filled="true" fillcolor="#ffffff" stroked="false">
                <v:path arrowok="t"/>
                <v:fill type="solid"/>
              </v:shape>
            </v:group>
            <v:group style="position:absolute;left:10094;top:-871;width:584;height:392" coordorigin="10094,-871" coordsize="584,392">
              <v:shape style="position:absolute;left:10094;top:-871;width:584;height:392" coordorigin="10094,-871" coordsize="584,392" path="m10094,-480l10677,-480,10677,-871,10094,-871,10094,-480xe" filled="true" fillcolor="#ffffff" stroked="false">
                <v:path arrowok="t"/>
                <v:fill type="solid"/>
              </v:shape>
            </v:group>
            <w10:wrap type="none"/>
          </v:group>
        </w:pict>
      </w:r>
      <w:r>
        <w:rPr/>
        <w:t>（</w:t>
      </w:r>
      <w:r>
        <w:rPr>
          <w:rFonts w:ascii="Times New Roman" w:hAnsi="Times New Roman" w:cs="Times New Roman" w:eastAsia="Times New Roman" w:hint="default"/>
        </w:rPr>
        <w:t>1</w:t>
      </w:r>
      <w:r>
        <w:rPr/>
        <w:t>）执行新金融工具准则对本公司的影响</w:t>
      </w:r>
    </w:p>
    <w:p>
      <w:pPr>
        <w:pStyle w:val="BodyText"/>
        <w:spacing w:line="300" w:lineRule="auto" w:before="101"/>
        <w:ind w:right="1128" w:firstLine="360"/>
        <w:jc w:val="both"/>
      </w:pPr>
      <w:r>
        <w:rPr/>
        <w:t>本公司自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日起执行财政部</w:t>
      </w:r>
      <w:r>
        <w:rPr>
          <w:rFonts w:ascii="Times New Roman" w:hAnsi="Times New Roman" w:cs="Times New Roman" w:eastAsia="Times New Roman" w:hint="default"/>
        </w:rPr>
        <w:t>2017</w:t>
      </w:r>
      <w:r>
        <w:rPr/>
        <w:t>年修订的《企业会计准则第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金融工具确认和计量》、《企业会计准则第 </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金融资产转移》和《企业会计准则第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套期会计》、《企业会计准则第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金融工具列报》（以上四项统称</w:t>
      </w:r>
      <w:r>
        <w:rPr>
          <w:rFonts w:ascii="Times New Roman" w:hAnsi="Times New Roman" w:cs="Times New Roman" w:eastAsia="Times New Roman" w:hint="default"/>
        </w:rPr>
        <w:t>&lt;</w:t>
      </w:r>
      <w:r>
        <w:rPr/>
        <w:t>新金 融工具准则</w:t>
      </w:r>
      <w:r>
        <w:rPr>
          <w:rFonts w:ascii="Times New Roman" w:hAnsi="Times New Roman" w:cs="Times New Roman" w:eastAsia="Times New Roman" w:hint="default"/>
        </w:rPr>
        <w:t>&gt;</w:t>
      </w:r>
      <w:r>
        <w:rPr/>
        <w:t>），变更后的会计政策详见附注四。</w:t>
      </w:r>
    </w:p>
    <w:p>
      <w:pPr>
        <w:pStyle w:val="BodyText"/>
        <w:spacing w:line="309" w:lineRule="auto" w:before="53"/>
        <w:ind w:right="1130" w:firstLine="360"/>
        <w:jc w:val="both"/>
      </w:pPr>
      <w:r>
        <w:rPr>
          <w:spacing w:val="-2"/>
        </w:rPr>
        <w:t>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日之前的金融工具确认和计量与新金融工具准则要求不一致的，本公司按照新金融工具准则的要求进行衔</w:t>
      </w:r>
      <w:r>
        <w:rPr/>
        <w:t> </w:t>
      </w:r>
      <w:r>
        <w:rPr>
          <w:spacing w:val="-2"/>
        </w:rPr>
        <w:t>接调整。涉及前期比较财务报表数据与新金融工具准则要求不一致的，本公司未调整可比期间信息。金融工具原账面价值和</w:t>
      </w:r>
      <w:r>
        <w:rPr>
          <w:spacing w:val="-63"/>
        </w:rPr>
        <w:t> </w:t>
      </w:r>
      <w:r>
        <w:rPr>
          <w:spacing w:val="-63"/>
        </w:rPr>
      </w:r>
      <w:r>
        <w:rPr/>
        <w:t>新金融工具准则施行日的新账面价值之间的差额，计入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日留存收益或其他综合收益。</w:t>
      </w:r>
    </w:p>
    <w:p>
      <w:pPr>
        <w:pStyle w:val="BodyText"/>
        <w:spacing w:line="240" w:lineRule="auto" w:before="43"/>
        <w:ind w:left="513" w:right="1133"/>
        <w:jc w:val="left"/>
      </w:pPr>
      <w:r>
        <w:rPr/>
        <w:t>执行新金融工具准则对本期期初资产负债表相关项目的影响列示如下：</w:t>
      </w:r>
    </w:p>
    <w:p>
      <w:pPr>
        <w:spacing w:line="240" w:lineRule="auto" w:before="4"/>
        <w:rPr>
          <w:rFonts w:ascii="宋体" w:hAnsi="宋体" w:cs="宋体" w:eastAsia="宋体" w:hint="default"/>
          <w:sz w:val="8"/>
          <w:szCs w:val="8"/>
        </w:rPr>
      </w:pPr>
    </w:p>
    <w:tbl>
      <w:tblPr>
        <w:tblW w:w="0" w:type="auto"/>
        <w:jc w:val="left"/>
        <w:tblInd w:w="150" w:type="dxa"/>
        <w:tblLayout w:type="fixed"/>
        <w:tblCellMar>
          <w:top w:w="0" w:type="dxa"/>
          <w:left w:w="0" w:type="dxa"/>
          <w:bottom w:w="0" w:type="dxa"/>
          <w:right w:w="0" w:type="dxa"/>
        </w:tblCellMar>
        <w:tblLook w:val="01E0"/>
      </w:tblPr>
      <w:tblGrid>
        <w:gridCol w:w="4107"/>
        <w:gridCol w:w="1277"/>
        <w:gridCol w:w="1133"/>
        <w:gridCol w:w="710"/>
        <w:gridCol w:w="1133"/>
        <w:gridCol w:w="1241"/>
      </w:tblGrid>
      <w:tr>
        <w:trPr>
          <w:trHeight w:val="348" w:hRule="exact"/>
        </w:trPr>
        <w:tc>
          <w:tcPr>
            <w:tcW w:w="4107"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2977"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940" w:right="0"/>
              <w:jc w:val="left"/>
              <w:rPr>
                <w:rFonts w:ascii="宋体" w:hAnsi="宋体" w:cs="宋体" w:eastAsia="宋体" w:hint="default"/>
                <w:sz w:val="18"/>
                <w:szCs w:val="18"/>
              </w:rPr>
            </w:pPr>
            <w:r>
              <w:rPr>
                <w:rFonts w:ascii="宋体" w:hAnsi="宋体" w:cs="宋体" w:eastAsia="宋体" w:hint="default"/>
                <w:sz w:val="18"/>
                <w:szCs w:val="18"/>
              </w:rPr>
              <w:t>累积影响金额</w:t>
            </w:r>
          </w:p>
        </w:tc>
        <w:tc>
          <w:tcPr>
            <w:tcW w:w="1241"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970" w:hRule="exact"/>
        </w:trPr>
        <w:tc>
          <w:tcPr>
            <w:tcW w:w="4107" w:type="dxa"/>
            <w:vMerge/>
            <w:tcBorders>
              <w:left w:val="single" w:sz="6" w:space="0" w:color="000000"/>
              <w:bottom w:val="single" w:sz="6" w:space="0" w:color="000000"/>
              <w:right w:val="single" w:sz="6" w:space="0" w:color="000000"/>
            </w:tcBorders>
            <w:shd w:val="clear" w:color="auto" w:fill="D9D9D9"/>
          </w:tcPr>
          <w:p>
            <w:pPr/>
          </w:p>
        </w:tc>
        <w:tc>
          <w:tcPr>
            <w:tcW w:w="1277" w:type="dxa"/>
            <w:vMerge/>
            <w:tcBorders>
              <w:left w:val="single" w:sz="6" w:space="0" w:color="000000"/>
              <w:bottom w:val="single" w:sz="6" w:space="0" w:color="000000"/>
              <w:right w:val="single" w:sz="6" w:space="0" w:color="000000"/>
            </w:tcBorders>
            <w:shd w:val="clear" w:color="auto" w:fill="D9D9D9"/>
          </w:tcPr>
          <w:p>
            <w:pPr/>
          </w:p>
        </w:tc>
        <w:tc>
          <w:tcPr>
            <w:tcW w:w="11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199" w:right="197" w:firstLine="88"/>
              <w:jc w:val="left"/>
              <w:rPr>
                <w:rFonts w:ascii="宋体" w:hAnsi="宋体" w:cs="宋体" w:eastAsia="宋体" w:hint="default"/>
                <w:sz w:val="18"/>
                <w:szCs w:val="18"/>
              </w:rPr>
            </w:pPr>
            <w:r>
              <w:rPr>
                <w:rFonts w:ascii="宋体" w:hAnsi="宋体" w:cs="宋体" w:eastAsia="宋体" w:hint="default"/>
                <w:sz w:val="18"/>
                <w:szCs w:val="18"/>
              </w:rPr>
              <w:t>分类和 计量影响</w:t>
            </w:r>
          </w:p>
        </w:tc>
        <w:tc>
          <w:tcPr>
            <w:tcW w:w="7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7"/>
              <w:ind w:left="79" w:right="74"/>
              <w:jc w:val="both"/>
              <w:rPr>
                <w:rFonts w:ascii="宋体" w:hAnsi="宋体" w:cs="宋体" w:eastAsia="宋体" w:hint="default"/>
                <w:sz w:val="18"/>
                <w:szCs w:val="18"/>
              </w:rPr>
            </w:pPr>
            <w:r>
              <w:rPr>
                <w:rFonts w:ascii="宋体" w:hAnsi="宋体" w:cs="宋体" w:eastAsia="宋体" w:hint="default"/>
                <w:sz w:val="18"/>
                <w:szCs w:val="18"/>
              </w:rPr>
              <w:t>金融资 产减值 影响</w:t>
            </w:r>
          </w:p>
        </w:tc>
        <w:tc>
          <w:tcPr>
            <w:tcW w:w="11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41" w:type="dxa"/>
            <w:vMerge/>
            <w:tcBorders>
              <w:left w:val="single" w:sz="6" w:space="0" w:color="000000"/>
              <w:bottom w:val="single" w:sz="6" w:space="0" w:color="000000"/>
              <w:right w:val="single" w:sz="6" w:space="0" w:color="000000"/>
            </w:tcBorders>
            <w:shd w:val="clear" w:color="auto" w:fill="D9D9D9"/>
          </w:tcPr>
          <w:p>
            <w:pPr/>
          </w:p>
        </w:tc>
      </w:tr>
      <w:tr>
        <w:trPr>
          <w:trHeight w:val="348" w:hRule="exact"/>
        </w:trPr>
        <w:tc>
          <w:tcPr>
            <w:tcW w:w="4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384,387,337.42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418,002.87</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418,002.87</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384,805,340.29</w:t>
            </w:r>
          </w:p>
        </w:tc>
      </w:tr>
      <w:tr>
        <w:trPr>
          <w:trHeight w:val="346" w:hRule="exact"/>
        </w:trPr>
        <w:tc>
          <w:tcPr>
            <w:tcW w:w="4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4,192,586.30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-418,002.87</w:t>
            </w:r>
          </w:p>
        </w:tc>
        <w:tc>
          <w:tcPr>
            <w:tcW w:w="71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-418,002.87</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3,774,583.43</w:t>
            </w:r>
          </w:p>
        </w:tc>
      </w:tr>
      <w:tr>
        <w:trPr>
          <w:trHeight w:val="348" w:hRule="exact"/>
        </w:trPr>
        <w:tc>
          <w:tcPr>
            <w:tcW w:w="4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3,293,217.16</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3,293,217.16</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3,293,217.16</w:t>
            </w:r>
          </w:p>
        </w:tc>
      </w:tr>
      <w:tr>
        <w:trPr>
          <w:trHeight w:val="346" w:hRule="exact"/>
        </w:trPr>
        <w:tc>
          <w:tcPr>
            <w:tcW w:w="4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40,987,297.99</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-6,486,094.72</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-6,486,094.72</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34,501,203.27</w:t>
            </w:r>
          </w:p>
        </w:tc>
      </w:tr>
      <w:tr>
        <w:trPr>
          <w:trHeight w:val="348" w:hRule="exact"/>
        </w:trPr>
        <w:tc>
          <w:tcPr>
            <w:tcW w:w="4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275,781,157.45</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-1,012,842.50)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-1,012,842.50</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274,768,314.95</w:t>
            </w:r>
          </w:p>
        </w:tc>
      </w:tr>
      <w:tr>
        <w:trPr>
          <w:trHeight w:val="348" w:hRule="exact"/>
        </w:trPr>
        <w:tc>
          <w:tcPr>
            <w:tcW w:w="4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7,498,937.22</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7,498,937.22</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7,498,937.22</w:t>
            </w:r>
          </w:p>
        </w:tc>
      </w:tr>
      <w:tr>
        <w:trPr>
          <w:trHeight w:val="346" w:hRule="exact"/>
        </w:trPr>
        <w:tc>
          <w:tcPr>
            <w:tcW w:w="4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3,293,217.16</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-3,293,217.16</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-3,293,217.16</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513" w:right="1133"/>
        <w:jc w:val="left"/>
      </w:pPr>
      <w:r>
        <w:rPr/>
        <w:t>注：上表仅呈列受影响的财务报表项目，不受影响的财务报表项目不包括在内。</w:t>
      </w:r>
    </w:p>
    <w:p>
      <w:pPr>
        <w:pStyle w:val="BodyText"/>
        <w:spacing w:line="240" w:lineRule="auto" w:before="117"/>
        <w:ind w:left="513" w:right="1133"/>
        <w:jc w:val="left"/>
      </w:pPr>
      <w:r>
        <w:rPr>
          <w:rFonts w:ascii="Times New Roman" w:hAnsi="Times New Roman" w:cs="Times New Roman" w:eastAsia="Times New Roman" w:hint="default"/>
        </w:rPr>
        <w:t>(2)</w:t>
      </w:r>
      <w:r>
        <w:rPr/>
        <w:t>执行新债务重组及非货币性资产交换准则对本公司的影响</w:t>
      </w:r>
    </w:p>
    <w:p>
      <w:pPr>
        <w:pStyle w:val="BodyText"/>
        <w:spacing w:line="300" w:lineRule="auto" w:before="101"/>
        <w:ind w:right="1126" w:firstLine="360"/>
        <w:jc w:val="both"/>
      </w:pPr>
      <w:r>
        <w:rPr/>
        <w:t>本公司自</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10 </w:t>
      </w:r>
      <w:r>
        <w:rPr/>
        <w:t>日起执行财政部</w:t>
      </w:r>
      <w:r>
        <w:rPr>
          <w:rFonts w:ascii="Times New Roman" w:hAnsi="Times New Roman" w:cs="Times New Roman" w:eastAsia="Times New Roman" w:hint="default"/>
        </w:rPr>
        <w:t>2019</w:t>
      </w:r>
      <w:r>
        <w:rPr/>
        <w:t>年修订的《企业会计准则第</w:t>
      </w:r>
      <w:r>
        <w:rPr>
          <w:rFonts w:ascii="Times New Roman" w:hAnsi="Times New Roman" w:cs="Times New Roman" w:eastAsia="Times New Roman" w:hint="default"/>
        </w:rPr>
        <w:t>7 </w:t>
      </w:r>
      <w:r>
        <w:rPr>
          <w:spacing w:val="-3"/>
        </w:rPr>
        <w:t>号</w:t>
      </w:r>
      <w:r>
        <w:rPr>
          <w:rFonts w:ascii="Times New Roman" w:hAnsi="Times New Roman" w:cs="Times New Roman" w:eastAsia="Times New Roman" w:hint="default"/>
          <w:spacing w:val="-3"/>
        </w:rPr>
        <w:t>——</w:t>
      </w:r>
      <w:r>
        <w:rPr>
          <w:spacing w:val="-3"/>
        </w:rPr>
        <w:t>非货币性资产交换》，自</w:t>
      </w:r>
      <w:r>
        <w:rPr>
          <w:rFonts w:ascii="Times New Roman" w:hAnsi="Times New Roman" w:cs="Times New Roman" w:eastAsia="Times New Roman" w:hint="default"/>
          <w:spacing w:val="-3"/>
        </w:rPr>
        <w:t>2019 </w:t>
      </w:r>
      <w:r>
        <w:rPr/>
        <w:t>年</w:t>
      </w:r>
      <w:r>
        <w:rPr>
          <w:rFonts w:ascii="Times New Roman" w:hAnsi="Times New Roman" w:cs="Times New Roman" w:eastAsia="Times New Roman" w:hint="default"/>
        </w:rPr>
        <w:t>6</w:t>
      </w:r>
      <w:r>
        <w:rPr>
          <w:rFonts w:ascii="Times New Roman" w:hAnsi="Times New Roman" w:cs="Times New Roman" w:eastAsia="Times New Roman" w:hint="default"/>
          <w:spacing w:val="19"/>
        </w:rPr>
        <w:t> </w:t>
      </w:r>
      <w:r>
        <w:rPr/>
        <w:t>月 </w:t>
      </w:r>
      <w:r>
        <w:rPr>
          <w:rFonts w:ascii="Times New Roman" w:hAnsi="Times New Roman" w:cs="Times New Roman" w:eastAsia="Times New Roman" w:hint="default"/>
        </w:rPr>
        <w:t>17 </w:t>
      </w:r>
      <w:r>
        <w:rPr/>
        <w:t>日起执行财政部</w:t>
      </w:r>
      <w:r>
        <w:rPr>
          <w:rFonts w:ascii="Times New Roman" w:hAnsi="Times New Roman" w:cs="Times New Roman" w:eastAsia="Times New Roman" w:hint="default"/>
        </w:rPr>
        <w:t>2019</w:t>
      </w:r>
      <w:r>
        <w:rPr/>
        <w:t>年修订的《企业会计准则第</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债务重组》。该项会计政策变更采用未来适用法处理，并根据 准则的规定对于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日至准则实施日之间发生的非货币性资产交换和债务重组进行调整。</w:t>
      </w:r>
    </w:p>
    <w:p>
      <w:pPr>
        <w:pStyle w:val="BodyText"/>
        <w:spacing w:line="240" w:lineRule="auto" w:before="53"/>
        <w:ind w:left="513" w:right="1133"/>
        <w:jc w:val="left"/>
      </w:pPr>
      <w:r>
        <w:rPr/>
        <w:t>本公司执行新债务重组及非货币性资产交换准则对本报告期内财务报表无影响。</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重要会计估计变更" w:id="214"/>
      <w:bookmarkEnd w:id="214"/>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3）2019年起执行新金融工具准则、新收入准则或新租赁准则调整执行当年年初财务" w:id="215"/>
      <w:bookmarkEnd w:id="215"/>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38"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34" w:space="7387"/>
            <w:col w:w="2009"/>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384,387,337.42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384,805,340.29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418,002.87</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3,293,217.16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3,293,217.16</w:t>
            </w: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3,293,217.16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-3,293,217.16</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40,987,297.99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34,501,203.27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-6,486,094.72</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275,781,157.45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274,768,314.95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-1,012,842.50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7,498,937.22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7,498,937.22</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22,996,241.51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22,996,241.51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4,192,586.30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3,774,583.43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-418,002.87</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260,275,770.92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260,275,770.92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3,579,050.26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3,579,050.26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995,492,659.01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995,492,659.01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52,168,989.26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52,168,989.26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37,261,854.92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37,261,854.92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4,110,324.12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4,110,324.12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84,663,192.09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84,663,192.09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8,172,329.42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8,172,329.42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10,071,856.61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10,071,856.61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817,416.01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817,416.01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197,265,962.43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197,265,962.43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1,192,758,621.44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1,192,758,621.44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206,100,347.70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206,100,347.70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35,341,384.20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35,341,384.20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102,678,836.39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102,678,836.39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16,357,405.97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16,357,405.97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20,022,686.75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20,022,686.75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9,694,683.28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9,694,683.28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51,146,481.51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51,146,481.51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276,018.89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276,018.89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441,341,825.80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441,341,825.80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5,857,051.89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5,857,051.89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43,106.64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43,106.64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5,900,158.53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5,900,158.53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447,241,984.33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447,241,984.33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5"/>
        <w:gridCol w:w="2453"/>
        <w:gridCol w:w="2456"/>
        <w:gridCol w:w="245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27,436,695.79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27,436,695.79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-92,579.10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-92,579.10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19,176,571.97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19,176,571.97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381,974,990.59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381,974,990.59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708,495,679.25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708,495,679.25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37,020,957.86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37,020,957.86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745,516,637.11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745,516,637.11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1,192,758,621.44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1,192,758,621.44</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pStyle w:val="BodyText"/>
        <w:spacing w:line="357" w:lineRule="auto" w:before="49"/>
        <w:ind w:right="-20"/>
        <w:jc w:val="left"/>
      </w:pPr>
      <w:r>
        <w:rPr/>
        <w:t>调整情况说明 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93" w:space="7327"/>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291,521,577.54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291,939,580.41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418,002.87</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3,293,217.16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3,293,217.16</w:t>
            </w: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3,293,217.16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-3,293,217.16</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40,987,297.99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34,501,203.27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-6,486,094.72</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260,618,824.06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259,605,981.56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-1,012,842.50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7,498,937.22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7,498,937.22</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17,666,718.18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17,666,718.18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15,459,364.82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15,041,361.95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-418,002.87</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274,449,965.27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274,449,965.27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1,868,658.23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1,868,658.23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905,865,623.25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905,865,623.25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214,116,807.30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214,116,807.30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33,608,505.67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33,608,505.67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3,815,317.28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3,815,317.28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8,090,318.93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8,090,318.93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7,161,890.18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7,161,890.18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817,416.01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817,416.01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267,610,255.37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267,610,255.37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1,173,475,878.62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1,173,475,878.62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186,100,347.70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186,100,347.70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55,341,384.20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55,341,384.20</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317,918,515.66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317,918,515.66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14,403,490.07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14,403,490.07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15,436,715.87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15,436,715.87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760,741.12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760,741.12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103,359,750.63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103,359,750.63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276,018.89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276,018.89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693,320,945.25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693,320,945.25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5,661,551.89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5,661,551.89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5,661,551.89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5,661,551.89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698,982,497.14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698,982,497.14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27,257,516.71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27,257,516.71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5"/>
        <w:gridCol w:w="2453"/>
        <w:gridCol w:w="2456"/>
        <w:gridCol w:w="245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19,176,571.97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19,176,571.97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148,059,292.80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148,059,292.80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474,493,381.48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474,493,381.48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1,173,475,878.62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1,173,475,878.62</w:t>
            </w:r>
          </w:p>
        </w:tc>
        <w:tc>
          <w:tcPr>
            <w:tcW w:w="24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调整情况说明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4）2019年起执行新金融工具准则或新租赁准则追溯调整前期比较数据说明" w:id="216"/>
      <w:bookmarkEnd w:id="216"/>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13" w:right="733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执行新金融工具准则对本公司的影响：</w:t>
      </w:r>
    </w:p>
    <w:p>
      <w:pPr>
        <w:pStyle w:val="BodyText"/>
        <w:spacing w:line="300" w:lineRule="auto" w:before="41"/>
        <w:ind w:right="1128" w:firstLine="360"/>
        <w:jc w:val="both"/>
      </w:pPr>
      <w:r>
        <w:rPr/>
        <w:t>本公司自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日起执行财政部</w:t>
      </w:r>
      <w:r>
        <w:rPr>
          <w:rFonts w:ascii="Times New Roman" w:hAnsi="Times New Roman" w:cs="Times New Roman" w:eastAsia="Times New Roman" w:hint="default"/>
        </w:rPr>
        <w:t>2017</w:t>
      </w:r>
      <w:r>
        <w:rPr/>
        <w:t>年修订的《企业会计准则第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金融工具确认和计量》、《企业会计准则第 </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金融资产转移》和《企业会计准则第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套期会计》、《企业会计准则第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金融工具列报》（以上四项统称</w:t>
      </w:r>
      <w:r>
        <w:rPr>
          <w:rFonts w:ascii="Times New Roman" w:hAnsi="Times New Roman" w:cs="Times New Roman" w:eastAsia="Times New Roman" w:hint="default"/>
        </w:rPr>
        <w:t>&lt;</w:t>
      </w:r>
      <w:r>
        <w:rPr/>
        <w:t>新金 融工具准则</w:t>
      </w:r>
      <w:r>
        <w:rPr>
          <w:rFonts w:ascii="Times New Roman" w:hAnsi="Times New Roman" w:cs="Times New Roman" w:eastAsia="Times New Roman" w:hint="default"/>
        </w:rPr>
        <w:t>&gt;</w:t>
      </w:r>
      <w:r>
        <w:rPr/>
        <w:t>），变更后的会计政策详见附注四。</w:t>
      </w:r>
    </w:p>
    <w:p>
      <w:pPr>
        <w:pStyle w:val="BodyText"/>
        <w:spacing w:line="309" w:lineRule="auto" w:before="51"/>
        <w:ind w:right="1130" w:firstLine="360"/>
        <w:jc w:val="both"/>
      </w:pPr>
      <w:r>
        <w:rPr>
          <w:spacing w:val="-2"/>
        </w:rPr>
        <w:t>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日之前的金融工具确认和计量与新金融工具准则要求不一致的，本公司按照新金融工具准则的要求进行衔</w:t>
      </w:r>
      <w:r>
        <w:rPr/>
        <w:t> </w:t>
      </w:r>
      <w:r>
        <w:rPr>
          <w:spacing w:val="-2"/>
        </w:rPr>
        <w:t>接调整。涉及前期比较财务报表数据与新金融工具准则要求不一致的，本公司未调整可比期间信息。金融工具原账面价值和</w:t>
      </w:r>
      <w:r>
        <w:rPr>
          <w:spacing w:val="-63"/>
        </w:rPr>
        <w:t> </w:t>
      </w:r>
      <w:r>
        <w:rPr>
          <w:spacing w:val="-63"/>
        </w:rPr>
      </w:r>
      <w:r>
        <w:rPr/>
        <w:t>新金融工具准则施行日的新账面价值之间的差额，计入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日留存收益或其他综合收益。</w:t>
      </w:r>
    </w:p>
    <w:p>
      <w:pPr>
        <w:pStyle w:val="BodyText"/>
        <w:spacing w:line="240" w:lineRule="auto" w:before="46"/>
        <w:ind w:left="513" w:right="1133"/>
        <w:jc w:val="left"/>
      </w:pPr>
      <w:r>
        <w:rPr/>
        <w:t>执行新金融工具准则对本期期初资产负债表相关项目的影响列示如下：</w:t>
      </w:r>
    </w:p>
    <w:p>
      <w:pPr>
        <w:spacing w:line="240" w:lineRule="auto" w:before="4"/>
        <w:rPr>
          <w:rFonts w:ascii="宋体" w:hAnsi="宋体" w:cs="宋体" w:eastAsia="宋体" w:hint="default"/>
          <w:sz w:val="8"/>
          <w:szCs w:val="8"/>
        </w:rPr>
      </w:pPr>
    </w:p>
    <w:tbl>
      <w:tblPr>
        <w:tblW w:w="0" w:type="auto"/>
        <w:jc w:val="left"/>
        <w:tblInd w:w="150" w:type="dxa"/>
        <w:tblLayout w:type="fixed"/>
        <w:tblCellMar>
          <w:top w:w="0" w:type="dxa"/>
          <w:left w:w="0" w:type="dxa"/>
          <w:bottom w:w="0" w:type="dxa"/>
          <w:right w:w="0" w:type="dxa"/>
        </w:tblCellMar>
        <w:tblLook w:val="01E0"/>
      </w:tblPr>
      <w:tblGrid>
        <w:gridCol w:w="4107"/>
        <w:gridCol w:w="1277"/>
        <w:gridCol w:w="1133"/>
        <w:gridCol w:w="710"/>
        <w:gridCol w:w="1133"/>
        <w:gridCol w:w="1241"/>
      </w:tblGrid>
      <w:tr>
        <w:trPr>
          <w:trHeight w:val="346" w:hRule="exact"/>
        </w:trPr>
        <w:tc>
          <w:tcPr>
            <w:tcW w:w="4107"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2977"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940" w:right="0"/>
              <w:jc w:val="left"/>
              <w:rPr>
                <w:rFonts w:ascii="宋体" w:hAnsi="宋体" w:cs="宋体" w:eastAsia="宋体" w:hint="default"/>
                <w:sz w:val="18"/>
                <w:szCs w:val="18"/>
              </w:rPr>
            </w:pPr>
            <w:r>
              <w:rPr>
                <w:rFonts w:ascii="宋体" w:hAnsi="宋体" w:cs="宋体" w:eastAsia="宋体" w:hint="default"/>
                <w:sz w:val="18"/>
                <w:szCs w:val="18"/>
              </w:rPr>
              <w:t>累积影响金额</w:t>
            </w:r>
          </w:p>
        </w:tc>
        <w:tc>
          <w:tcPr>
            <w:tcW w:w="1241"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972" w:hRule="exact"/>
        </w:trPr>
        <w:tc>
          <w:tcPr>
            <w:tcW w:w="4107" w:type="dxa"/>
            <w:vMerge/>
            <w:tcBorders>
              <w:left w:val="single" w:sz="6" w:space="0" w:color="000000"/>
              <w:bottom w:val="single" w:sz="6" w:space="0" w:color="000000"/>
              <w:right w:val="single" w:sz="6" w:space="0" w:color="000000"/>
            </w:tcBorders>
            <w:shd w:val="clear" w:color="auto" w:fill="D9D9D9"/>
          </w:tcPr>
          <w:p>
            <w:pPr/>
          </w:p>
        </w:tc>
        <w:tc>
          <w:tcPr>
            <w:tcW w:w="1277" w:type="dxa"/>
            <w:vMerge/>
            <w:tcBorders>
              <w:left w:val="single" w:sz="6" w:space="0" w:color="000000"/>
              <w:bottom w:val="single" w:sz="6" w:space="0" w:color="000000"/>
              <w:right w:val="single" w:sz="6" w:space="0" w:color="000000"/>
            </w:tcBorders>
            <w:shd w:val="clear" w:color="auto" w:fill="D9D9D9"/>
          </w:tcPr>
          <w:p>
            <w:pPr/>
          </w:p>
        </w:tc>
        <w:tc>
          <w:tcPr>
            <w:tcW w:w="11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319" w:lineRule="auto"/>
              <w:ind w:left="199" w:right="197" w:firstLine="88"/>
              <w:jc w:val="left"/>
              <w:rPr>
                <w:rFonts w:ascii="宋体" w:hAnsi="宋体" w:cs="宋体" w:eastAsia="宋体" w:hint="default"/>
                <w:sz w:val="18"/>
                <w:szCs w:val="18"/>
              </w:rPr>
            </w:pPr>
            <w:r>
              <w:rPr>
                <w:rFonts w:ascii="宋体" w:hAnsi="宋体" w:cs="宋体" w:eastAsia="宋体" w:hint="default"/>
                <w:sz w:val="18"/>
                <w:szCs w:val="18"/>
              </w:rPr>
              <w:t>分类和 计量影响</w:t>
            </w:r>
          </w:p>
        </w:tc>
        <w:tc>
          <w:tcPr>
            <w:tcW w:w="7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9" w:lineRule="auto" w:before="20"/>
              <w:ind w:left="79" w:right="74"/>
              <w:jc w:val="both"/>
              <w:rPr>
                <w:rFonts w:ascii="宋体" w:hAnsi="宋体" w:cs="宋体" w:eastAsia="宋体" w:hint="default"/>
                <w:sz w:val="18"/>
                <w:szCs w:val="18"/>
              </w:rPr>
            </w:pPr>
            <w:r>
              <w:rPr>
                <w:rFonts w:ascii="宋体" w:hAnsi="宋体" w:cs="宋体" w:eastAsia="宋体" w:hint="default"/>
                <w:sz w:val="18"/>
                <w:szCs w:val="18"/>
              </w:rPr>
              <w:t>金融资 产减值 影响</w:t>
            </w:r>
          </w:p>
        </w:tc>
        <w:tc>
          <w:tcPr>
            <w:tcW w:w="11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41" w:type="dxa"/>
            <w:vMerge/>
            <w:tcBorders>
              <w:left w:val="single" w:sz="6" w:space="0" w:color="000000"/>
              <w:bottom w:val="single" w:sz="6" w:space="0" w:color="000000"/>
              <w:right w:val="single" w:sz="6" w:space="0" w:color="000000"/>
            </w:tcBorders>
            <w:shd w:val="clear" w:color="auto" w:fill="D9D9D9"/>
          </w:tcPr>
          <w:p>
            <w:pPr/>
          </w:p>
        </w:tc>
      </w:tr>
      <w:tr>
        <w:trPr>
          <w:trHeight w:val="346" w:hRule="exact"/>
        </w:trPr>
        <w:tc>
          <w:tcPr>
            <w:tcW w:w="4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384,387,337.42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418,002.87</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418,002.87</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384,805,340.29</w:t>
            </w:r>
          </w:p>
        </w:tc>
      </w:tr>
      <w:tr>
        <w:trPr>
          <w:trHeight w:val="348" w:hRule="exact"/>
        </w:trPr>
        <w:tc>
          <w:tcPr>
            <w:tcW w:w="4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4,192,586.30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-418,002.87</w:t>
            </w:r>
          </w:p>
        </w:tc>
        <w:tc>
          <w:tcPr>
            <w:tcW w:w="71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-418,002.87</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3,774,583.43</w:t>
            </w:r>
          </w:p>
        </w:tc>
      </w:tr>
      <w:tr>
        <w:trPr>
          <w:trHeight w:val="348" w:hRule="exact"/>
        </w:trPr>
        <w:tc>
          <w:tcPr>
            <w:tcW w:w="4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3,293,217.16</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3,293,217.16</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3,293,217.16</w:t>
            </w:r>
          </w:p>
        </w:tc>
      </w:tr>
      <w:tr>
        <w:trPr>
          <w:trHeight w:val="346" w:hRule="exact"/>
        </w:trPr>
        <w:tc>
          <w:tcPr>
            <w:tcW w:w="4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40,987,297.99</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-6,486,094.72</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-6,486,094.72</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34,501,203.27</w:t>
            </w:r>
          </w:p>
        </w:tc>
      </w:tr>
      <w:tr>
        <w:trPr>
          <w:trHeight w:val="348" w:hRule="exact"/>
        </w:trPr>
        <w:tc>
          <w:tcPr>
            <w:tcW w:w="4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275,781,157.45</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-1,012,842.50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-1,012,842.50</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274,768,314.95</w:t>
            </w:r>
          </w:p>
        </w:tc>
      </w:tr>
      <w:tr>
        <w:trPr>
          <w:trHeight w:val="346" w:hRule="exact"/>
        </w:trPr>
        <w:tc>
          <w:tcPr>
            <w:tcW w:w="4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7,498,937.22</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7,498,937.22</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7,498,937.22</w:t>
            </w:r>
          </w:p>
        </w:tc>
      </w:tr>
      <w:tr>
        <w:trPr>
          <w:trHeight w:val="348" w:hRule="exact"/>
        </w:trPr>
        <w:tc>
          <w:tcPr>
            <w:tcW w:w="4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3,293,217.16</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-3,293,217.16</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-3,293,217.16</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513" w:right="1133"/>
        <w:jc w:val="left"/>
      </w:pPr>
      <w:r>
        <w:rPr/>
        <w:t>注：上表仅呈列受影响的财务报表项目，不受影响的财务报表项目不包括在内。</w:t>
      </w:r>
    </w:p>
    <w:p>
      <w:pPr>
        <w:spacing w:line="240" w:lineRule="auto" w:before="4"/>
        <w:rPr>
          <w:rFonts w:ascii="宋体" w:hAnsi="宋体" w:cs="宋体" w:eastAsia="宋体" w:hint="default"/>
          <w:sz w:val="25"/>
          <w:szCs w:val="25"/>
        </w:rPr>
      </w:pPr>
    </w:p>
    <w:p>
      <w:pPr>
        <w:pStyle w:val="Heading2"/>
        <w:spacing w:line="240" w:lineRule="auto"/>
        <w:ind w:right="1133"/>
        <w:jc w:val="left"/>
        <w:rPr>
          <w:b w:val="0"/>
          <w:bCs w:val="0"/>
        </w:rPr>
      </w:pPr>
      <w:bookmarkStart w:name="六、税项" w:id="217"/>
      <w:bookmarkEnd w:id="217"/>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1、主要税种及税率" w:id="218"/>
      <w:bookmarkEnd w:id="218"/>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销售货物、应税销售服务收入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7"/>
        <w:rPr>
          <w:rFonts w:ascii="宋体" w:hAnsi="宋体" w:cs="宋体" w:eastAsia="宋体" w:hint="default"/>
          <w:b/>
          <w:bCs/>
          <w:sz w:val="29"/>
          <w:szCs w:val="29"/>
        </w:rPr>
      </w:pPr>
    </w:p>
    <w:p>
      <w:pPr>
        <w:pStyle w:val="BodyText"/>
        <w:spacing w:line="240" w:lineRule="auto" w:before="44"/>
        <w:ind w:left="0" w:right="1136"/>
        <w:jc w:val="right"/>
      </w:pPr>
      <w:r>
        <w:rPr/>
        <w:pict>
          <v:shape style="position:absolute;margin-left:56.400002pt;margin-top:-.728301pt;width:479.3pt;height:76.5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1"/>
                    <w:gridCol w:w="3190"/>
                    <w:gridCol w:w="3190"/>
                  </w:tblGrid>
                  <w:tr>
                    <w:trPr>
                      <w:trHeight w:val="71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19%</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before="44"/>
        <w:ind w:right="1133"/>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深圳正达资讯公司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深圳蓝云达公司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宏锐软件公司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深圳江南正鼎公司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优博讯软件公司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香港优博讯公司</w:t>
            </w:r>
            <w:r>
              <w:rPr>
                <w:rFonts w:ascii="Times New Roman" w:hAnsi="Times New Roman" w:cs="Times New Roman" w:eastAsia="Times New Roman"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马来西亚优博讯公司</w:t>
            </w:r>
            <w:r>
              <w:rPr>
                <w:rFonts w:ascii="Times New Roman" w:hAnsi="Times New Roman" w:cs="Times New Roman" w:eastAsia="Times New Roman"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优金支付公司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武汉优博讯软件公司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免税</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瑞柏泰公司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帕思菲特公司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香港乐乐高公司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云栖公司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佳博科技公司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浩盛标签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智汇网络</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珠海盛源</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佳博网络</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智联软件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兆丰科技有限公司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税收优惠" w:id="219"/>
      <w:bookmarkEnd w:id="219"/>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513" w:right="1133"/>
        <w:jc w:val="left"/>
      </w:pPr>
      <w:r>
        <w:rPr>
          <w:rFonts w:ascii="Times New Roman" w:hAnsi="Times New Roman" w:cs="Times New Roman" w:eastAsia="Times New Roman" w:hint="default"/>
          <w:b/>
          <w:bCs/>
        </w:rPr>
        <w:t>1.</w:t>
      </w:r>
      <w:r>
        <w:rPr>
          <w:rFonts w:ascii="宋体" w:hAnsi="宋体" w:cs="宋体" w:eastAsia="宋体" w:hint="default"/>
          <w:b/>
          <w:bCs/>
        </w:rPr>
        <w:t>增值税</w:t>
      </w:r>
      <w:r>
        <w:rPr>
          <w:rFonts w:ascii="宋体" w:hAnsi="宋体" w:cs="宋体" w:eastAsia="宋体" w:hint="default"/>
          <w:b/>
          <w:bCs/>
          <w:w w:val="99"/>
        </w:rPr>
        <w:t> </w:t>
      </w:r>
      <w:r>
        <w:rPr/>
        <w:t>根据《关于软件产品增值税政策的通知》（财税</w:t>
      </w:r>
      <w:r>
        <w:rPr>
          <w:rFonts w:ascii="Times New Roman" w:hAnsi="Times New Roman" w:cs="Times New Roman" w:eastAsia="Times New Roman" w:hint="default"/>
        </w:rPr>
        <w:t>[2011]100</w:t>
      </w:r>
      <w:r>
        <w:rPr/>
        <w:t>号），本公司、深圳正达资讯公司、深圳蓝云达公司、深圳</w:t>
      </w:r>
    </w:p>
    <w:p>
      <w:pPr>
        <w:pStyle w:val="BodyText"/>
        <w:spacing w:line="217" w:lineRule="exact"/>
        <w:ind w:right="0"/>
        <w:jc w:val="left"/>
      </w:pPr>
      <w:r>
        <w:rPr/>
        <w:t>江南正鼎公司、优博讯软件公司、优金支付公司、帕思菲特公司、武汉市优博讯软件公司销售自行开发生产的软件产品，经</w:t>
      </w:r>
    </w:p>
    <w:p>
      <w:pPr>
        <w:pStyle w:val="BodyText"/>
        <w:spacing w:line="340" w:lineRule="auto" w:before="76"/>
        <w:ind w:left="513" w:right="1133" w:hanging="361"/>
        <w:jc w:val="left"/>
      </w:pPr>
      <w:r>
        <w:rPr/>
        <w:t>主管税务部门审核后，实际税负超过</w:t>
      </w:r>
      <w:r>
        <w:rPr>
          <w:rFonts w:ascii="Times New Roman" w:hAnsi="Times New Roman" w:cs="Times New Roman" w:eastAsia="Times New Roman" w:hint="default"/>
        </w:rPr>
        <w:t>3%</w:t>
      </w:r>
      <w:r>
        <w:rPr/>
        <w:t>的部分实行即征即退。 深圳正达资讯公司满足财政部税务总局海关总署公告</w:t>
      </w:r>
      <w:r>
        <w:rPr>
          <w:rFonts w:ascii="Times New Roman" w:hAnsi="Times New Roman" w:cs="Times New Roman" w:eastAsia="Times New Roman" w:hint="default"/>
        </w:rPr>
        <w:t>2019</w:t>
      </w:r>
      <w:r>
        <w:rPr/>
        <w:t>年第</w:t>
      </w:r>
      <w:r>
        <w:rPr>
          <w:rFonts w:ascii="Times New Roman" w:hAnsi="Times New Roman" w:cs="Times New Roman" w:eastAsia="Times New Roman" w:hint="default"/>
        </w:rPr>
        <w:t>39</w:t>
      </w:r>
      <w:r>
        <w:rPr/>
        <w:t>号进项税加计抵减政策要求，对进项税额实施加计抵</w:t>
      </w:r>
    </w:p>
    <w:p>
      <w:pPr>
        <w:pStyle w:val="BodyText"/>
        <w:spacing w:line="215" w:lineRule="exact"/>
        <w:ind w:right="1133"/>
        <w:jc w:val="left"/>
      </w:pPr>
      <w:r>
        <w:rPr/>
        <w:t>减。</w:t>
      </w:r>
    </w:p>
    <w:p>
      <w:pPr>
        <w:pStyle w:val="Heading4"/>
        <w:spacing w:line="240" w:lineRule="auto" w:before="117"/>
        <w:ind w:right="1133"/>
        <w:jc w:val="left"/>
        <w:rPr>
          <w:b w:val="0"/>
          <w:bCs w:val="0"/>
        </w:rPr>
      </w:pPr>
      <w:r>
        <w:rPr>
          <w:rFonts w:ascii="Times New Roman" w:hAnsi="Times New Roman" w:cs="Times New Roman" w:eastAsia="Times New Roman" w:hint="default"/>
        </w:rPr>
        <w:t>2.</w:t>
      </w:r>
      <w:r>
        <w:rPr/>
        <w:t>企业所得税</w:t>
      </w:r>
      <w:r>
        <w:rPr>
          <w:b w:val="0"/>
          <w:bCs w:val="0"/>
        </w:rPr>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b/>
          <w:bCs/>
          <w:sz w:val="25"/>
          <w:szCs w:val="25"/>
        </w:rPr>
      </w:pPr>
    </w:p>
    <w:p>
      <w:pPr>
        <w:pStyle w:val="BodyText"/>
        <w:spacing w:line="300" w:lineRule="auto" w:before="44"/>
        <w:ind w:right="1131" w:firstLine="360"/>
        <w:jc w:val="both"/>
      </w:pPr>
      <w:r>
        <w:rPr>
          <w:spacing w:val="-2"/>
        </w:rPr>
        <w:t>本公司于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17</w:t>
      </w:r>
      <w:r>
        <w:rPr>
          <w:spacing w:val="-2"/>
        </w:rPr>
        <w:t>日重新申请高新技术企业认定，取得编号为</w:t>
      </w:r>
      <w:r>
        <w:rPr>
          <w:rFonts w:ascii="Times New Roman" w:hAnsi="Times New Roman" w:cs="Times New Roman" w:eastAsia="Times New Roman" w:hint="default"/>
          <w:spacing w:val="-2"/>
        </w:rPr>
        <w:t>GR201744200554</w:t>
      </w:r>
      <w:r>
        <w:rPr>
          <w:spacing w:val="-2"/>
        </w:rPr>
        <w:t>的高新企业证书，同时根据深圳市国</w:t>
      </w:r>
      <w:r>
        <w:rPr/>
        <w:t> </w:t>
      </w:r>
      <w:r>
        <w:rPr>
          <w:spacing w:val="-1"/>
        </w:rPr>
        <w:t>家税务局</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w:t>
      </w:r>
      <w:r>
        <w:rPr>
          <w:spacing w:val="-1"/>
        </w:rPr>
        <w:t>日企业所得税优惠事项备案表，同意本公司按规定享受高新技术企业税收优惠（</w:t>
      </w:r>
      <w:r>
        <w:rPr>
          <w:rFonts w:ascii="Times New Roman" w:hAnsi="Times New Roman" w:cs="Times New Roman" w:eastAsia="Times New Roman" w:hint="default"/>
          <w:spacing w:val="-1"/>
        </w:rPr>
        <w:t>15%</w:t>
      </w:r>
      <w:r>
        <w:rPr>
          <w:spacing w:val="-1"/>
        </w:rPr>
        <w:t>税率），有效期限</w:t>
      </w:r>
      <w:r>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pStyle w:val="BodyText"/>
        <w:spacing w:line="300" w:lineRule="auto" w:before="53"/>
        <w:ind w:right="1129" w:firstLine="360"/>
        <w:jc w:val="both"/>
      </w:pPr>
      <w:r>
        <w:rPr>
          <w:spacing w:val="-2"/>
        </w:rPr>
        <w:t>深圳市正达资讯技术有限公司</w:t>
      </w:r>
      <w:r>
        <w:rPr>
          <w:rFonts w:ascii="Times New Roman" w:hAnsi="Times New Roman" w:cs="Times New Roman" w:eastAsia="Times New Roman" w:hint="default"/>
          <w:spacing w:val="-2"/>
        </w:rPr>
        <w:t>2019</w:t>
      </w:r>
      <w:r>
        <w:rPr>
          <w:spacing w:val="-2"/>
        </w:rPr>
        <w:t>年符合小型微利企业的认定标准，根据财税〔</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13</w:t>
      </w:r>
      <w:r>
        <w:rPr>
          <w:spacing w:val="-2"/>
        </w:rPr>
        <w:t>号的规定：对小型微利企业年</w:t>
      </w:r>
      <w:r>
        <w:rPr/>
        <w:t> 应纳税所得额不超过</w:t>
      </w:r>
      <w:r>
        <w:rPr>
          <w:rFonts w:ascii="Times New Roman" w:hAnsi="Times New Roman" w:cs="Times New Roman" w:eastAsia="Times New Roman" w:hint="default"/>
        </w:rPr>
        <w:t>100</w:t>
      </w:r>
      <w:r>
        <w:rPr/>
        <w:t>万元的部分，减按</w:t>
      </w:r>
      <w:r>
        <w:rPr>
          <w:rFonts w:ascii="Times New Roman" w:hAnsi="Times New Roman" w:cs="Times New Roman" w:eastAsia="Times New Roman" w:hint="default"/>
        </w:rPr>
        <w:t>25%</w:t>
      </w:r>
      <w:r>
        <w:rPr/>
        <w:t>计入应纳税所得额，按</w:t>
      </w:r>
      <w:r>
        <w:rPr>
          <w:rFonts w:ascii="Times New Roman" w:hAnsi="Times New Roman" w:cs="Times New Roman" w:eastAsia="Times New Roman" w:hint="default"/>
        </w:rPr>
        <w:t>20%</w:t>
      </w:r>
      <w:r>
        <w:rPr/>
        <w:t>的税率缴纳企业所得税；对年应纳税所得额超过</w:t>
      </w:r>
      <w:r>
        <w:rPr>
          <w:spacing w:val="-35"/>
        </w:rPr>
        <w:t> </w:t>
      </w:r>
      <w:r>
        <w:rPr>
          <w:spacing w:val="-35"/>
        </w:rPr>
      </w:r>
      <w:r>
        <w:rPr>
          <w:rFonts w:ascii="Times New Roman" w:hAnsi="Times New Roman" w:cs="Times New Roman" w:eastAsia="Times New Roman" w:hint="default"/>
          <w:spacing w:val="-1"/>
        </w:rPr>
        <w:t>100</w:t>
      </w:r>
      <w:r>
        <w:rPr>
          <w:spacing w:val="-1"/>
        </w:rPr>
        <w:t>万元但不超过</w:t>
      </w:r>
      <w:r>
        <w:rPr>
          <w:rFonts w:ascii="Times New Roman" w:hAnsi="Times New Roman" w:cs="Times New Roman" w:eastAsia="Times New Roman" w:hint="default"/>
          <w:spacing w:val="-1"/>
        </w:rPr>
        <w:t>300</w:t>
      </w:r>
      <w:r>
        <w:rPr>
          <w:spacing w:val="-1"/>
        </w:rPr>
        <w:t>万元的部分，减按</w:t>
      </w:r>
      <w:r>
        <w:rPr>
          <w:rFonts w:ascii="Times New Roman" w:hAnsi="Times New Roman" w:cs="Times New Roman" w:eastAsia="Times New Roman" w:hint="default"/>
          <w:spacing w:val="-1"/>
        </w:rPr>
        <w:t>50%</w:t>
      </w:r>
      <w:r>
        <w:rPr>
          <w:spacing w:val="-1"/>
        </w:rPr>
        <w:t>计入应纳税所得额，按</w:t>
      </w:r>
      <w:r>
        <w:rPr>
          <w:rFonts w:ascii="Times New Roman" w:hAnsi="Times New Roman" w:cs="Times New Roman" w:eastAsia="Times New Roman" w:hint="default"/>
          <w:spacing w:val="-1"/>
        </w:rPr>
        <w:t>20%</w:t>
      </w:r>
      <w:r>
        <w:rPr>
          <w:spacing w:val="-1"/>
        </w:rPr>
        <w:t>的税率缴纳企业所得税；深圳市正达资讯技术有限公</w:t>
      </w:r>
      <w:r>
        <w:rPr>
          <w:spacing w:val="-58"/>
        </w:rPr>
        <w:t> </w:t>
      </w:r>
      <w:r>
        <w:rPr>
          <w:spacing w:val="-58"/>
        </w:rPr>
      </w:r>
      <w:r>
        <w:rPr/>
        <w:t>司</w:t>
      </w:r>
      <w:r>
        <w:rPr>
          <w:rFonts w:ascii="Times New Roman" w:hAnsi="Times New Roman" w:cs="Times New Roman" w:eastAsia="Times New Roman" w:hint="default"/>
        </w:rPr>
        <w:t>2019</w:t>
      </w:r>
      <w:r>
        <w:rPr/>
        <w:t>年度应纳税所得额不超过</w:t>
      </w:r>
      <w:r>
        <w:rPr>
          <w:rFonts w:ascii="Times New Roman" w:hAnsi="Times New Roman" w:cs="Times New Roman" w:eastAsia="Times New Roman" w:hint="default"/>
        </w:rPr>
        <w:t>100</w:t>
      </w:r>
      <w:r>
        <w:rPr/>
        <w:t>万元的部分，减按</w:t>
      </w:r>
      <w:r>
        <w:rPr>
          <w:rFonts w:ascii="Times New Roman" w:hAnsi="Times New Roman" w:cs="Times New Roman" w:eastAsia="Times New Roman" w:hint="default"/>
        </w:rPr>
        <w:t>25%</w:t>
      </w:r>
      <w:r>
        <w:rPr/>
        <w:t>计入应纳税所得额，按</w:t>
      </w:r>
      <w:r>
        <w:rPr>
          <w:rFonts w:ascii="Times New Roman" w:hAnsi="Times New Roman" w:cs="Times New Roman" w:eastAsia="Times New Roman" w:hint="default"/>
        </w:rPr>
        <w:t>20%</w:t>
      </w:r>
      <w:r>
        <w:rPr/>
        <w:t>的税率缴纳企业所得税；应纳税所得</w:t>
      </w:r>
      <w:r>
        <w:rPr>
          <w:spacing w:val="-33"/>
        </w:rPr>
        <w:t> </w:t>
      </w:r>
      <w:r>
        <w:rPr>
          <w:spacing w:val="-33"/>
        </w:rPr>
      </w:r>
      <w:r>
        <w:rPr/>
        <w:t>额超过</w:t>
      </w:r>
      <w:r>
        <w:rPr>
          <w:rFonts w:ascii="Times New Roman" w:hAnsi="Times New Roman" w:cs="Times New Roman" w:eastAsia="Times New Roman" w:hint="default"/>
        </w:rPr>
        <w:t>100</w:t>
      </w:r>
      <w:r>
        <w:rPr/>
        <w:t>万元但不超过</w:t>
      </w:r>
      <w:r>
        <w:rPr>
          <w:rFonts w:ascii="Times New Roman" w:hAnsi="Times New Roman" w:cs="Times New Roman" w:eastAsia="Times New Roman" w:hint="default"/>
        </w:rPr>
        <w:t>300</w:t>
      </w:r>
      <w:r>
        <w:rPr/>
        <w:t>万元的部分，减按</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的税率缴纳企业所得税。</w:t>
      </w:r>
    </w:p>
    <w:p>
      <w:pPr>
        <w:pStyle w:val="BodyText"/>
        <w:spacing w:line="304" w:lineRule="auto" w:before="51"/>
        <w:ind w:right="1054" w:firstLine="360"/>
        <w:jc w:val="left"/>
      </w:pPr>
      <w:r>
        <w:rPr/>
        <w:t>深圳市优金支付科技有限公司于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日申请高新技术企业认定，取得编号为</w:t>
      </w:r>
      <w:r>
        <w:rPr>
          <w:rFonts w:ascii="Times New Roman" w:hAnsi="Times New Roman" w:cs="Times New Roman" w:eastAsia="Times New Roman" w:hint="default"/>
        </w:rPr>
        <w:t>GR201844203905</w:t>
      </w:r>
      <w:r>
        <w:rPr/>
        <w:t>的高新企业证书， 有效期为三年。根据财税</w:t>
      </w:r>
      <w:r>
        <w:rPr>
          <w:rFonts w:ascii="Times New Roman" w:hAnsi="Times New Roman" w:cs="Times New Roman" w:eastAsia="Times New Roman" w:hint="default"/>
        </w:rPr>
        <w:t>[2012]27</w:t>
      </w:r>
      <w:r>
        <w:rPr/>
        <w:t>号《财政部、国家税务总局关于进一步鼓励软件产业和集成电路产业发展企业所得税政策 </w:t>
      </w:r>
      <w:r>
        <w:rPr>
          <w:spacing w:val="-2"/>
        </w:rPr>
        <w:t>的通知》，深圳市优金支付科技有限公司从获利年度起，两年免征企业所得税，三年减半征收企业所得税。国家规划布局内</w:t>
      </w:r>
      <w:r>
        <w:rPr>
          <w:spacing w:val="-67"/>
        </w:rPr>
        <w:t> </w:t>
      </w:r>
      <w:r>
        <w:rPr>
          <w:spacing w:val="-67"/>
        </w:rPr>
      </w:r>
      <w:r>
        <w:rPr>
          <w:spacing w:val="-1"/>
        </w:rPr>
        <w:t>的重点软件企业和集成电路设计企业如当年未享受免税优惠的，可减按</w:t>
      </w:r>
      <w:r>
        <w:rPr>
          <w:rFonts w:ascii="Times New Roman" w:hAnsi="Times New Roman" w:cs="Times New Roman" w:eastAsia="Times New Roman" w:hint="default"/>
          <w:spacing w:val="-1"/>
        </w:rPr>
        <w:t>10%</w:t>
      </w:r>
      <w:r>
        <w:rPr>
          <w:spacing w:val="-1"/>
        </w:rPr>
        <w:t>的税率征收企业所得税。深圳市优金支付科技有</w:t>
      </w:r>
      <w:r>
        <w:rPr>
          <w:spacing w:val="-88"/>
        </w:rPr>
        <w:t> </w:t>
      </w:r>
      <w:r>
        <w:rPr>
          <w:spacing w:val="-88"/>
        </w:rPr>
      </w:r>
      <w:r>
        <w:rPr/>
        <w:t>限公司</w:t>
      </w:r>
      <w:r>
        <w:rPr>
          <w:rFonts w:ascii="Times New Roman" w:hAnsi="Times New Roman" w:cs="Times New Roman" w:eastAsia="Times New Roman" w:hint="default"/>
        </w:rPr>
        <w:t>2019</w:t>
      </w:r>
      <w:r>
        <w:rPr/>
        <w:t>年度为开始获利的第四个年度，减按</w:t>
      </w:r>
      <w:r>
        <w:rPr>
          <w:rFonts w:ascii="Times New Roman" w:hAnsi="Times New Roman" w:cs="Times New Roman" w:eastAsia="Times New Roman" w:hint="default"/>
        </w:rPr>
        <w:t>10%</w:t>
      </w:r>
      <w:r>
        <w:rPr/>
        <w:t>征收企业所得税。</w:t>
      </w:r>
    </w:p>
    <w:p>
      <w:pPr>
        <w:pStyle w:val="BodyText"/>
        <w:spacing w:line="309" w:lineRule="auto" w:before="50"/>
        <w:ind w:right="1111" w:firstLine="360"/>
        <w:jc w:val="both"/>
      </w:pPr>
      <w:r>
        <w:rPr/>
        <w:t>根据财税</w:t>
      </w:r>
      <w:r>
        <w:rPr>
          <w:rFonts w:ascii="Times New Roman" w:hAnsi="Times New Roman" w:cs="Times New Roman" w:eastAsia="Times New Roman" w:hint="default"/>
        </w:rPr>
        <w:t>[2012]27</w:t>
      </w:r>
      <w:r>
        <w:rPr/>
        <w:t>号《财政部、国家税务总局关于进一步鼓励软件产业和集成电路产业发展企业所得税政策的通知》， </w:t>
      </w:r>
      <w:r>
        <w:rPr>
          <w:spacing w:val="-2"/>
        </w:rPr>
        <w:t>武汉市优博讯软件科技有限公司从获利年度起，两年免征企业所得税，三年减半征收企业所得税。武汉市优博讯软件科技有</w:t>
      </w:r>
      <w:r>
        <w:rPr>
          <w:spacing w:val="-63"/>
        </w:rPr>
        <w:t> </w:t>
      </w:r>
      <w:r>
        <w:rPr>
          <w:spacing w:val="-63"/>
        </w:rPr>
      </w:r>
      <w:r>
        <w:rPr/>
        <w:t>限公司</w:t>
      </w:r>
      <w:r>
        <w:rPr>
          <w:rFonts w:ascii="Times New Roman" w:hAnsi="Times New Roman" w:cs="Times New Roman" w:eastAsia="Times New Roman" w:hint="default"/>
        </w:rPr>
        <w:t>2019</w:t>
      </w:r>
      <w:r>
        <w:rPr/>
        <w:t>年度可享受免征企业所得税的优惠政策。</w:t>
      </w:r>
    </w:p>
    <w:p>
      <w:pPr>
        <w:pStyle w:val="BodyText"/>
        <w:spacing w:line="300" w:lineRule="auto" w:before="46"/>
        <w:ind w:right="1131" w:firstLine="360"/>
        <w:jc w:val="both"/>
      </w:pPr>
      <w:r>
        <w:rPr/>
        <w:t>深圳市瑞柏泰电子有限公司于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日取得编号为</w:t>
      </w:r>
      <w:r>
        <w:rPr>
          <w:rFonts w:ascii="Times New Roman" w:hAnsi="Times New Roman" w:cs="Times New Roman" w:eastAsia="Times New Roman" w:hint="default"/>
        </w:rPr>
        <w:t>GR201744204882</w:t>
      </w:r>
      <w:r>
        <w:rPr/>
        <w:t>的高新技术企业证书，有效期为三年。根据 </w:t>
      </w:r>
      <w:r>
        <w:rPr>
          <w:spacing w:val="-1"/>
        </w:rPr>
        <w:t>国家对高新技术企业的相关优惠政策，认定合格的高新技术企业自认定当年起三年内，减按</w:t>
      </w:r>
      <w:r>
        <w:rPr>
          <w:rFonts w:ascii="Times New Roman" w:hAnsi="Times New Roman" w:cs="Times New Roman" w:eastAsia="Times New Roman" w:hint="default"/>
          <w:spacing w:val="-1"/>
        </w:rPr>
        <w:t>15%</w:t>
      </w:r>
      <w:r>
        <w:rPr>
          <w:spacing w:val="-1"/>
        </w:rPr>
        <w:t>的所得税税率缴纳企业所得</w:t>
      </w:r>
      <w:r>
        <w:rPr>
          <w:spacing w:val="-88"/>
        </w:rPr>
        <w:t> </w:t>
      </w:r>
      <w:r>
        <w:rPr/>
        <w:t>税，深圳市瑞柏泰电子有限公司</w:t>
      </w:r>
      <w:r>
        <w:rPr>
          <w:rFonts w:ascii="Times New Roman" w:hAnsi="Times New Roman" w:cs="Times New Roman" w:eastAsia="Times New Roman" w:hint="default"/>
        </w:rPr>
        <w:t>2017-2019</w:t>
      </w:r>
      <w:r>
        <w:rPr/>
        <w:t>年度享受该优惠政策。</w:t>
      </w:r>
    </w:p>
    <w:p>
      <w:pPr>
        <w:pStyle w:val="BodyText"/>
        <w:spacing w:line="300" w:lineRule="auto" w:before="51"/>
        <w:ind w:right="1128" w:firstLine="360"/>
        <w:jc w:val="both"/>
      </w:pPr>
      <w:r>
        <w:rPr/>
        <w:t>深圳市帕思菲特科技有限公司于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日取得编号为</w:t>
      </w:r>
      <w:r>
        <w:rPr>
          <w:rFonts w:ascii="Times New Roman" w:hAnsi="Times New Roman" w:cs="Times New Roman" w:eastAsia="Times New Roman" w:hint="default"/>
        </w:rPr>
        <w:t>GR201744204102</w:t>
      </w:r>
      <w:r>
        <w:rPr/>
        <w:t>的高新技术企业证书，有效期为三年。根 </w:t>
      </w:r>
      <w:r>
        <w:rPr>
          <w:spacing w:val="-1"/>
        </w:rPr>
        <w:t>据国家对高新技术企业的相关优惠政策，认定合格的高新技术企业自认定当年起三年内，减按</w:t>
      </w:r>
      <w:r>
        <w:rPr>
          <w:rFonts w:ascii="Times New Roman" w:hAnsi="Times New Roman" w:cs="Times New Roman" w:eastAsia="Times New Roman" w:hint="default"/>
          <w:spacing w:val="-1"/>
        </w:rPr>
        <w:t>15%</w:t>
      </w:r>
      <w:r>
        <w:rPr>
          <w:spacing w:val="-1"/>
        </w:rPr>
        <w:t>的所得税税率缴纳企业所</w:t>
      </w:r>
      <w:r>
        <w:rPr>
          <w:spacing w:val="-88"/>
        </w:rPr>
        <w:t> </w:t>
      </w:r>
      <w:r>
        <w:rPr/>
        <w:t>得税，深圳市帕思菲特科技有限公司</w:t>
      </w:r>
      <w:r>
        <w:rPr>
          <w:rFonts w:ascii="Times New Roman" w:hAnsi="Times New Roman" w:cs="Times New Roman" w:eastAsia="Times New Roman" w:hint="default"/>
        </w:rPr>
        <w:t>2017-2018</w:t>
      </w:r>
      <w:r>
        <w:rPr/>
        <w:t>年度享受该优惠政策。深圳市帕思菲特科技有限公司</w:t>
      </w:r>
      <w:r>
        <w:rPr>
          <w:rFonts w:ascii="Times New Roman" w:hAnsi="Times New Roman" w:cs="Times New Roman" w:eastAsia="Times New Roman" w:hint="default"/>
        </w:rPr>
        <w:t>2019</w:t>
      </w:r>
      <w:r>
        <w:rPr/>
        <w:t>年符合小型微利企</w:t>
      </w:r>
      <w:r>
        <w:rPr>
          <w:spacing w:val="-60"/>
        </w:rPr>
        <w:t> </w:t>
      </w:r>
      <w:r>
        <w:rPr>
          <w:spacing w:val="-60"/>
        </w:rPr>
      </w:r>
      <w:r>
        <w:rPr/>
        <w:t>业的认定标准，根据财税〔</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13</w:t>
      </w:r>
      <w:r>
        <w:rPr/>
        <w:t>号的规定：对小型微利企业年应纳税所得额不超过</w:t>
      </w:r>
      <w:r>
        <w:rPr>
          <w:rFonts w:ascii="Times New Roman" w:hAnsi="Times New Roman" w:cs="Times New Roman" w:eastAsia="Times New Roman" w:hint="default"/>
        </w:rPr>
        <w:t>100</w:t>
      </w:r>
      <w:r>
        <w:rPr/>
        <w:t>万元的部分，减按</w:t>
      </w:r>
      <w:r>
        <w:rPr>
          <w:rFonts w:ascii="Times New Roman" w:hAnsi="Times New Roman" w:cs="Times New Roman" w:eastAsia="Times New Roman" w:hint="default"/>
        </w:rPr>
        <w:t>25%</w:t>
      </w:r>
      <w:r>
        <w:rPr/>
        <w:t>计入应纳</w:t>
      </w:r>
      <w:r>
        <w:rPr>
          <w:spacing w:val="-61"/>
        </w:rPr>
        <w:t> </w:t>
      </w:r>
      <w:r>
        <w:rPr>
          <w:spacing w:val="-61"/>
        </w:rPr>
      </w:r>
      <w:r>
        <w:rPr>
          <w:spacing w:val="-1"/>
        </w:rPr>
        <w:t>税所得额，按</w:t>
      </w:r>
      <w:r>
        <w:rPr>
          <w:rFonts w:ascii="Times New Roman" w:hAnsi="Times New Roman" w:cs="Times New Roman" w:eastAsia="Times New Roman" w:hint="default"/>
          <w:spacing w:val="-1"/>
        </w:rPr>
        <w:t>20%</w:t>
      </w:r>
      <w:r>
        <w:rPr>
          <w:spacing w:val="-1"/>
        </w:rPr>
        <w:t>的税率缴纳企业所得税；对年应纳税所得额超过</w:t>
      </w:r>
      <w:r>
        <w:rPr>
          <w:rFonts w:ascii="Times New Roman" w:hAnsi="Times New Roman" w:cs="Times New Roman" w:eastAsia="Times New Roman" w:hint="default"/>
          <w:spacing w:val="-1"/>
        </w:rPr>
        <w:t>100</w:t>
      </w:r>
      <w:r>
        <w:rPr>
          <w:spacing w:val="-1"/>
        </w:rPr>
        <w:t>万元但不超过</w:t>
      </w:r>
      <w:r>
        <w:rPr>
          <w:rFonts w:ascii="Times New Roman" w:hAnsi="Times New Roman" w:cs="Times New Roman" w:eastAsia="Times New Roman" w:hint="default"/>
          <w:spacing w:val="-1"/>
        </w:rPr>
        <w:t>300</w:t>
      </w:r>
      <w:r>
        <w:rPr>
          <w:spacing w:val="-1"/>
        </w:rPr>
        <w:t>万元的部分，减按</w:t>
      </w:r>
      <w:r>
        <w:rPr>
          <w:rFonts w:ascii="Times New Roman" w:hAnsi="Times New Roman" w:cs="Times New Roman" w:eastAsia="Times New Roman" w:hint="default"/>
          <w:spacing w:val="-1"/>
        </w:rPr>
        <w:t>50%</w:t>
      </w:r>
      <w:r>
        <w:rPr>
          <w:spacing w:val="-1"/>
        </w:rPr>
        <w:t>计入应纳税所</w:t>
      </w:r>
      <w:r>
        <w:rPr>
          <w:spacing w:val="-57"/>
        </w:rPr>
        <w:t> </w:t>
      </w:r>
      <w:r>
        <w:rPr>
          <w:spacing w:val="-2"/>
        </w:rPr>
        <w:t>得额，按</w:t>
      </w:r>
      <w:r>
        <w:rPr>
          <w:rFonts w:ascii="Times New Roman" w:hAnsi="Times New Roman" w:cs="Times New Roman" w:eastAsia="Times New Roman" w:hint="default"/>
          <w:spacing w:val="-2"/>
        </w:rPr>
        <w:t>20%</w:t>
      </w:r>
      <w:r>
        <w:rPr>
          <w:spacing w:val="-2"/>
        </w:rPr>
        <w:t>的税率缴纳企业所得税；深圳市帕思菲特科技有限公司</w:t>
      </w:r>
      <w:r>
        <w:rPr>
          <w:rFonts w:ascii="Times New Roman" w:hAnsi="Times New Roman" w:cs="Times New Roman" w:eastAsia="Times New Roman" w:hint="default"/>
          <w:spacing w:val="-2"/>
        </w:rPr>
        <w:t>2019</w:t>
      </w:r>
      <w:r>
        <w:rPr>
          <w:spacing w:val="-2"/>
        </w:rPr>
        <w:t>年度应纳税所得额不超过</w:t>
      </w:r>
      <w:r>
        <w:rPr>
          <w:rFonts w:ascii="Times New Roman" w:hAnsi="Times New Roman" w:cs="Times New Roman" w:eastAsia="Times New Roman" w:hint="default"/>
          <w:spacing w:val="-2"/>
        </w:rPr>
        <w:t>100</w:t>
      </w:r>
      <w:r>
        <w:rPr>
          <w:spacing w:val="-2"/>
        </w:rPr>
        <w:t>万元的部分，减按</w:t>
      </w:r>
      <w:r>
        <w:rPr>
          <w:rFonts w:ascii="Times New Roman" w:hAnsi="Times New Roman" w:cs="Times New Roman" w:eastAsia="Times New Roman" w:hint="default"/>
          <w:spacing w:val="-2"/>
        </w:rPr>
        <w:t>25% </w:t>
      </w:r>
      <w:r>
        <w:rPr>
          <w:spacing w:val="-1"/>
        </w:rPr>
        <w:t>计入应纳税所得额，按</w:t>
      </w:r>
      <w:r>
        <w:rPr>
          <w:rFonts w:ascii="Times New Roman" w:hAnsi="Times New Roman" w:cs="Times New Roman" w:eastAsia="Times New Roman" w:hint="default"/>
          <w:spacing w:val="-1"/>
        </w:rPr>
        <w:t>20%</w:t>
      </w:r>
      <w:r>
        <w:rPr>
          <w:spacing w:val="-1"/>
        </w:rPr>
        <w:t>的税率缴纳企业所得税；应纳税所得额超过</w:t>
      </w:r>
      <w:r>
        <w:rPr>
          <w:rFonts w:ascii="Times New Roman" w:hAnsi="Times New Roman" w:cs="Times New Roman" w:eastAsia="Times New Roman" w:hint="default"/>
          <w:spacing w:val="-1"/>
        </w:rPr>
        <w:t>100</w:t>
      </w:r>
      <w:r>
        <w:rPr>
          <w:spacing w:val="-1"/>
        </w:rPr>
        <w:t>万元但不超过</w:t>
      </w:r>
      <w:r>
        <w:rPr>
          <w:rFonts w:ascii="Times New Roman" w:hAnsi="Times New Roman" w:cs="Times New Roman" w:eastAsia="Times New Roman" w:hint="default"/>
          <w:spacing w:val="-1"/>
        </w:rPr>
        <w:t>300</w:t>
      </w:r>
      <w:r>
        <w:rPr>
          <w:spacing w:val="-1"/>
        </w:rPr>
        <w:t>万元的部分，减按</w:t>
      </w:r>
      <w:r>
        <w:rPr>
          <w:rFonts w:ascii="Times New Roman" w:hAnsi="Times New Roman" w:cs="Times New Roman" w:eastAsia="Times New Roman" w:hint="default"/>
          <w:spacing w:val="-1"/>
        </w:rPr>
        <w:t>50%</w:t>
      </w:r>
      <w:r>
        <w:rPr>
          <w:spacing w:val="-1"/>
        </w:rPr>
        <w:t>计入应纳</w:t>
      </w:r>
      <w:r>
        <w:rPr>
          <w:spacing w:val="-57"/>
        </w:rPr>
        <w:t> </w:t>
      </w:r>
      <w:r>
        <w:rPr>
          <w:spacing w:val="-57"/>
        </w:rPr>
      </w:r>
      <w:r>
        <w:rPr/>
        <w:t>税所得额，按</w:t>
      </w:r>
      <w:r>
        <w:rPr>
          <w:rFonts w:ascii="Times New Roman" w:hAnsi="Times New Roman" w:cs="Times New Roman" w:eastAsia="Times New Roman" w:hint="default"/>
        </w:rPr>
        <w:t>20%</w:t>
      </w:r>
      <w:r>
        <w:rPr/>
        <w:t>的税率缴纳企业所得税。</w:t>
      </w:r>
    </w:p>
    <w:p>
      <w:pPr>
        <w:pStyle w:val="BodyText"/>
        <w:spacing w:line="300" w:lineRule="auto" w:before="53"/>
        <w:ind w:right="1131" w:firstLine="360"/>
        <w:jc w:val="both"/>
      </w:pPr>
      <w:r>
        <w:rPr/>
        <w:t>珠海浩盛标签打印机有限公司于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日取得编号为</w:t>
      </w:r>
      <w:r>
        <w:rPr>
          <w:rFonts w:ascii="Times New Roman" w:hAnsi="Times New Roman" w:cs="Times New Roman" w:eastAsia="Times New Roman" w:hint="default"/>
        </w:rPr>
        <w:t>GR201744005607</w:t>
      </w:r>
      <w:r>
        <w:rPr/>
        <w:t>的高新技术企业证书，有效期三年。根据 </w:t>
      </w:r>
      <w:r>
        <w:rPr>
          <w:spacing w:val="-1"/>
        </w:rPr>
        <w:t>国家对高新技术企业的相关优惠政策，认定合格的高新技术企业自认定当年起三年内，减按</w:t>
      </w:r>
      <w:r>
        <w:rPr>
          <w:rFonts w:ascii="Times New Roman" w:hAnsi="Times New Roman" w:cs="Times New Roman" w:eastAsia="Times New Roman" w:hint="default"/>
          <w:spacing w:val="-1"/>
        </w:rPr>
        <w:t>15%</w:t>
      </w:r>
      <w:r>
        <w:rPr>
          <w:spacing w:val="-1"/>
        </w:rPr>
        <w:t>的所得税税率缴纳企业所得</w:t>
      </w:r>
      <w:r>
        <w:rPr>
          <w:spacing w:val="-88"/>
        </w:rPr>
        <w:t> </w:t>
      </w:r>
      <w:r>
        <w:rPr/>
        <w:t>税，珠海浩盛标签打印机有限公司</w:t>
      </w:r>
      <w:r>
        <w:rPr>
          <w:rFonts w:ascii="Times New Roman" w:hAnsi="Times New Roman" w:cs="Times New Roman" w:eastAsia="Times New Roman" w:hint="default"/>
        </w:rPr>
        <w:t>2017-2019</w:t>
      </w:r>
      <w:r>
        <w:rPr/>
        <w:t>年度享受该项优惠政策。</w:t>
      </w:r>
    </w:p>
    <w:p>
      <w:pPr>
        <w:pStyle w:val="BodyText"/>
        <w:spacing w:line="300" w:lineRule="auto" w:before="53"/>
        <w:ind w:right="1040" w:firstLine="360"/>
        <w:jc w:val="left"/>
      </w:pPr>
      <w:r>
        <w:rPr/>
        <w:t>珠海智汇网络设备有限公司于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日取得编号为</w:t>
      </w:r>
      <w:r>
        <w:rPr>
          <w:rFonts w:ascii="Times New Roman" w:hAnsi="Times New Roman" w:cs="Times New Roman" w:eastAsia="Times New Roman" w:hint="default"/>
        </w:rPr>
        <w:t>GR201744007685</w:t>
      </w:r>
      <w:r>
        <w:rPr/>
        <w:t>的高新技术企业证书，有效期三年。根据国 </w:t>
      </w:r>
      <w:r>
        <w:rPr>
          <w:spacing w:val="-3"/>
        </w:rPr>
        <w:t>家对高新技术企业的相关优惠政策，认定合格的高新技术企业自认定当年起三年内，减按</w:t>
      </w:r>
      <w:r>
        <w:rPr>
          <w:rFonts w:ascii="Times New Roman" w:hAnsi="Times New Roman" w:cs="Times New Roman" w:eastAsia="Times New Roman" w:hint="default"/>
          <w:spacing w:val="-3"/>
        </w:rPr>
        <w:t>15%</w:t>
      </w:r>
      <w:r>
        <w:rPr>
          <w:spacing w:val="-3"/>
        </w:rPr>
        <w:t>的所得税税率缴纳企业所得税，</w:t>
      </w:r>
      <w:r>
        <w:rPr>
          <w:spacing w:val="-63"/>
        </w:rPr>
        <w:t> </w:t>
      </w:r>
      <w:r>
        <w:rPr/>
        <w:t>珠海智汇网络设备有限公司</w:t>
      </w:r>
      <w:r>
        <w:rPr>
          <w:rFonts w:ascii="Times New Roman" w:hAnsi="Times New Roman" w:cs="Times New Roman" w:eastAsia="Times New Roman" w:hint="default"/>
        </w:rPr>
        <w:t>2017-2019</w:t>
      </w:r>
      <w:r>
        <w:rPr/>
        <w:t>年度享受该项优惠政策。</w:t>
      </w:r>
    </w:p>
    <w:p>
      <w:pPr>
        <w:pStyle w:val="BodyText"/>
        <w:spacing w:line="300" w:lineRule="auto" w:before="51"/>
        <w:ind w:right="1040" w:firstLine="360"/>
        <w:jc w:val="left"/>
      </w:pPr>
      <w:r>
        <w:rPr/>
        <w:t>珠海盛源信息科技有限公司于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日取得编号为</w:t>
      </w:r>
      <w:r>
        <w:rPr>
          <w:rFonts w:ascii="Times New Roman" w:hAnsi="Times New Roman" w:cs="Times New Roman" w:eastAsia="Times New Roman" w:hint="default"/>
        </w:rPr>
        <w:t>GR201844011352</w:t>
      </w:r>
      <w:r>
        <w:rPr/>
        <w:t>的高新技术企业证书，有效期三年。根据国 </w:t>
      </w:r>
      <w:r>
        <w:rPr>
          <w:spacing w:val="-3"/>
        </w:rPr>
        <w:t>家对高新技术企业的相关优惠政策，认定合格的高新技术企业自认定当年起三年内，减按</w:t>
      </w:r>
      <w:r>
        <w:rPr>
          <w:rFonts w:ascii="Times New Roman" w:hAnsi="Times New Roman" w:cs="Times New Roman" w:eastAsia="Times New Roman" w:hint="default"/>
          <w:spacing w:val="-3"/>
        </w:rPr>
        <w:t>15%</w:t>
      </w:r>
      <w:r>
        <w:rPr>
          <w:spacing w:val="-3"/>
        </w:rPr>
        <w:t>的所得税税率缴纳企业所得税，</w:t>
      </w:r>
      <w:r>
        <w:rPr>
          <w:spacing w:val="-63"/>
        </w:rPr>
        <w:t> </w:t>
      </w:r>
      <w:r>
        <w:rPr/>
        <w:t>珠海盛源信息科技有限公司</w:t>
      </w:r>
      <w:r>
        <w:rPr>
          <w:rFonts w:ascii="Times New Roman" w:hAnsi="Times New Roman" w:cs="Times New Roman" w:eastAsia="Times New Roman" w:hint="default"/>
        </w:rPr>
        <w:t>2018-2020</w:t>
      </w:r>
      <w:r>
        <w:rPr/>
        <w:t>年度享受该项优惠政策。</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bookmarkStart w:name="3、其他" w:id="220"/>
      <w:bookmarkEnd w:id="220"/>
      <w:r>
        <w:rPr>
          <w:b w:val="0"/>
          <w:bCs w:val="0"/>
        </w:rPr>
      </w: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042" w:firstLine="360"/>
        <w:jc w:val="both"/>
      </w:pPr>
      <w:r>
        <w:rPr/>
        <w:t>根据财政部、税务总局、海关总署《关于深化增值税改革有关政策的公告》（财政部、税务总局、海关总署公告</w:t>
      </w:r>
      <w:r>
        <w:rPr>
          <w:rFonts w:ascii="Times New Roman" w:hAnsi="Times New Roman" w:cs="Times New Roman" w:eastAsia="Times New Roman" w:hint="default"/>
        </w:rPr>
        <w:t>2019 </w:t>
      </w:r>
      <w:r>
        <w:rPr>
          <w:spacing w:val="-2"/>
        </w:rPr>
        <w:t>年第</w:t>
      </w:r>
      <w:r>
        <w:rPr>
          <w:rFonts w:ascii="Times New Roman" w:hAnsi="Times New Roman" w:cs="Times New Roman" w:eastAsia="Times New Roman" w:hint="default"/>
          <w:spacing w:val="-2"/>
        </w:rPr>
        <w:t>39</w:t>
      </w:r>
      <w:r>
        <w:rPr>
          <w:spacing w:val="-2"/>
        </w:rPr>
        <w:t>号）的规定，本公司自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w:t>
      </w:r>
      <w:r>
        <w:rPr>
          <w:spacing w:val="-2"/>
        </w:rPr>
        <w:t>日起发生增值税应税销售行为或者进口货物，原适用</w:t>
      </w:r>
      <w:r>
        <w:rPr>
          <w:rFonts w:ascii="Times New Roman" w:hAnsi="Times New Roman" w:cs="Times New Roman" w:eastAsia="Times New Roman" w:hint="default"/>
          <w:spacing w:val="-2"/>
        </w:rPr>
        <w:t>16%</w:t>
      </w:r>
      <w:r>
        <w:rPr>
          <w:spacing w:val="-2"/>
        </w:rPr>
        <w:t>税率的，税率调整为</w:t>
      </w:r>
      <w:r>
        <w:rPr>
          <w:rFonts w:ascii="Times New Roman" w:hAnsi="Times New Roman" w:cs="Times New Roman" w:eastAsia="Times New Roman" w:hint="default"/>
          <w:spacing w:val="-2"/>
        </w:rPr>
        <w:t>13%</w:t>
      </w:r>
      <w:r>
        <w:rPr>
          <w:spacing w:val="-2"/>
        </w:rPr>
        <w:t>。</w:t>
      </w:r>
    </w:p>
    <w:p>
      <w:pPr>
        <w:spacing w:after="0" w:line="300" w:lineRule="auto"/>
        <w:jc w:val="both"/>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七、合并财务报表项目注释" w:id="221"/>
      <w:bookmarkEnd w:id="221"/>
      <w:r>
        <w:rPr>
          <w:b w:val="0"/>
          <w:bCs w:val="0"/>
        </w:rPr>
      </w: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 货币资金" w:id="222"/>
      <w:bookmarkEnd w:id="222"/>
      <w:r>
        <w:rPr>
          <w:b w:val="0"/>
          <w:bCs w:val="0"/>
        </w:rPr>
      </w:r>
      <w:r>
        <w:rPr>
          <w:rFonts w:ascii="Times New Roman" w:hAnsi="Times New Roman" w:cs="Times New Roman" w:eastAsia="Times New Roman" w:hint="default"/>
        </w:rPr>
        <w:t>1</w:t>
      </w:r>
      <w:r>
        <w:rPr/>
        <w:t>、</w:t>
      </w:r>
      <w:r>
        <w:rPr>
          <w:spacing w:val="2"/>
        </w:rPr>
        <w:t> </w:t>
      </w:r>
      <w:r>
        <w:rPr/>
        <w:t>货币资金</w:t>
      </w:r>
      <w:r>
        <w:rPr>
          <w:b w:val="0"/>
          <w:bCs w:val="0"/>
        </w:rPr>
      </w:r>
    </w:p>
    <w:p>
      <w:pPr>
        <w:spacing w:line="240" w:lineRule="auto" w:before="6"/>
        <w:rPr>
          <w:rFonts w:ascii="宋体" w:hAnsi="宋体" w:cs="宋体" w:eastAsia="宋体" w:hint="default"/>
          <w:b/>
          <w:bCs/>
          <w:sz w:val="26"/>
          <w:szCs w:val="26"/>
        </w:rPr>
      </w:pPr>
    </w:p>
    <w:tbl>
      <w:tblPr>
        <w:tblW w:w="0" w:type="auto"/>
        <w:jc w:val="left"/>
        <w:tblInd w:w="150" w:type="dxa"/>
        <w:tblLayout w:type="fixed"/>
        <w:tblCellMar>
          <w:top w:w="0" w:type="dxa"/>
          <w:left w:w="0" w:type="dxa"/>
          <w:bottom w:w="0" w:type="dxa"/>
          <w:right w:w="0" w:type="dxa"/>
        </w:tblCellMar>
        <w:tblLook w:val="01E0"/>
      </w:tblPr>
      <w:tblGrid>
        <w:gridCol w:w="3024"/>
        <w:gridCol w:w="2065"/>
        <w:gridCol w:w="2259"/>
        <w:gridCol w:w="2259"/>
      </w:tblGrid>
      <w:tr>
        <w:trPr>
          <w:trHeight w:val="335" w:hRule="exact"/>
        </w:trPr>
        <w:tc>
          <w:tcPr>
            <w:tcW w:w="30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6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2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2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583" w:right="0"/>
              <w:jc w:val="left"/>
              <w:rPr>
                <w:rFonts w:ascii="宋体" w:hAnsi="宋体" w:cs="宋体" w:eastAsia="宋体" w:hint="default"/>
                <w:sz w:val="18"/>
                <w:szCs w:val="18"/>
              </w:rPr>
            </w:pPr>
            <w:r>
              <w:rPr>
                <w:rFonts w:ascii="宋体" w:hAnsi="宋体" w:cs="宋体" w:eastAsia="宋体" w:hint="default"/>
                <w:sz w:val="18"/>
                <w:szCs w:val="18"/>
              </w:rPr>
              <w:t>上期期末余额</w:t>
            </w:r>
          </w:p>
        </w:tc>
      </w:tr>
      <w:tr>
        <w:trPr>
          <w:trHeight w:val="347" w:hRule="exact"/>
        </w:trPr>
        <w:tc>
          <w:tcPr>
            <w:tcW w:w="30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1,138,601.59</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61,287.18</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61,287.18</w:t>
            </w:r>
          </w:p>
        </w:tc>
      </w:tr>
      <w:tr>
        <w:trPr>
          <w:trHeight w:val="348" w:hRule="exact"/>
        </w:trPr>
        <w:tc>
          <w:tcPr>
            <w:tcW w:w="30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549,655,138.28</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361,325,996.03</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361,325,996.03</w:t>
            </w:r>
          </w:p>
        </w:tc>
      </w:tr>
      <w:tr>
        <w:trPr>
          <w:trHeight w:val="346" w:hRule="exact"/>
        </w:trPr>
        <w:tc>
          <w:tcPr>
            <w:tcW w:w="30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33,330,771.06</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23,000,054.21</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23,000,054.21</w:t>
            </w:r>
          </w:p>
        </w:tc>
      </w:tr>
      <w:tr>
        <w:trPr>
          <w:trHeight w:val="348" w:hRule="exact"/>
        </w:trPr>
        <w:tc>
          <w:tcPr>
            <w:tcW w:w="30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未到期应收利息</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2,606,290.88</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418,002.87</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8" w:hRule="exact"/>
        </w:trPr>
        <w:tc>
          <w:tcPr>
            <w:tcW w:w="30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586,730,801.81</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384,805,340.29</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384,387,337.42</w:t>
            </w:r>
          </w:p>
        </w:tc>
      </w:tr>
      <w:tr>
        <w:trPr>
          <w:trHeight w:val="346" w:hRule="exact"/>
        </w:trPr>
        <w:tc>
          <w:tcPr>
            <w:tcW w:w="30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334"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31,190,842.58</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3,736,424.47</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3,736,424.47</w:t>
            </w:r>
          </w:p>
        </w:tc>
      </w:tr>
    </w:tbl>
    <w:p>
      <w:pPr>
        <w:spacing w:line="240" w:lineRule="auto" w:before="8"/>
        <w:rPr>
          <w:rFonts w:ascii="宋体" w:hAnsi="宋体" w:cs="宋体" w:eastAsia="宋体" w:hint="default"/>
          <w:b/>
          <w:bCs/>
          <w:sz w:val="15"/>
          <w:szCs w:val="15"/>
        </w:rPr>
      </w:pPr>
    </w:p>
    <w:p>
      <w:pPr>
        <w:pStyle w:val="BodyText"/>
        <w:spacing w:line="240" w:lineRule="auto" w:before="44"/>
        <w:ind w:left="513" w:right="1133"/>
        <w:jc w:val="left"/>
      </w:pPr>
      <w:r>
        <w:rPr/>
        <w:t>其中受限制的货币资金明细如下：</w:t>
      </w:r>
    </w:p>
    <w:p>
      <w:pPr>
        <w:spacing w:line="240" w:lineRule="auto" w:before="9"/>
        <w:rPr>
          <w:rFonts w:ascii="宋体" w:hAnsi="宋体" w:cs="宋体" w:eastAsia="宋体" w:hint="default"/>
          <w:sz w:val="5"/>
          <w:szCs w:val="5"/>
        </w:rPr>
      </w:pPr>
    </w:p>
    <w:tbl>
      <w:tblPr>
        <w:tblW w:w="0" w:type="auto"/>
        <w:jc w:val="left"/>
        <w:tblInd w:w="150" w:type="dxa"/>
        <w:tblLayout w:type="fixed"/>
        <w:tblCellMar>
          <w:top w:w="0" w:type="dxa"/>
          <w:left w:w="0" w:type="dxa"/>
          <w:bottom w:w="0" w:type="dxa"/>
          <w:right w:w="0" w:type="dxa"/>
        </w:tblCellMar>
        <w:tblLook w:val="01E0"/>
      </w:tblPr>
      <w:tblGrid>
        <w:gridCol w:w="3254"/>
        <w:gridCol w:w="3383"/>
        <w:gridCol w:w="3001"/>
      </w:tblGrid>
      <w:tr>
        <w:trPr>
          <w:trHeight w:val="342" w:hRule="exact"/>
        </w:trPr>
        <w:tc>
          <w:tcPr>
            <w:tcW w:w="32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right="1437"/>
              <w:jc w:val="right"/>
              <w:rPr>
                <w:rFonts w:ascii="宋体" w:hAnsi="宋体" w:cs="宋体" w:eastAsia="宋体" w:hint="default"/>
                <w:sz w:val="18"/>
                <w:szCs w:val="18"/>
              </w:rPr>
            </w:pPr>
            <w:r>
              <w:rPr>
                <w:rFonts w:ascii="宋体" w:hAnsi="宋体" w:cs="宋体" w:eastAsia="宋体" w:hint="default"/>
                <w:sz w:val="18"/>
                <w:szCs w:val="18"/>
              </w:rPr>
              <w:t>项目</w:t>
            </w:r>
          </w:p>
        </w:tc>
        <w:tc>
          <w:tcPr>
            <w:tcW w:w="33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8" w:hRule="exact"/>
        </w:trPr>
        <w:tc>
          <w:tcPr>
            <w:tcW w:w="32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38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15,548,601.68</w:t>
            </w:r>
          </w:p>
        </w:tc>
        <w:tc>
          <w:tcPr>
            <w:tcW w:w="300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291,219.77</w:t>
            </w:r>
          </w:p>
        </w:tc>
      </w:tr>
      <w:tr>
        <w:trPr>
          <w:trHeight w:val="346" w:hRule="exact"/>
        </w:trPr>
        <w:tc>
          <w:tcPr>
            <w:tcW w:w="32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17,190,001.61</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17,708,834.44</w:t>
            </w:r>
          </w:p>
        </w:tc>
      </w:tr>
      <w:tr>
        <w:trPr>
          <w:trHeight w:val="348" w:hRule="exact"/>
        </w:trPr>
        <w:tc>
          <w:tcPr>
            <w:tcW w:w="32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共管账户保证金</w:t>
            </w:r>
          </w:p>
        </w:tc>
        <w:tc>
          <w:tcPr>
            <w:tcW w:w="3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34,071.77</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346" w:hRule="exact"/>
        </w:trPr>
        <w:tc>
          <w:tcPr>
            <w:tcW w:w="32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货币掉期业务保证金</w:t>
            </w:r>
          </w:p>
        </w:tc>
        <w:tc>
          <w:tcPr>
            <w:tcW w:w="3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558,096.00</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w:t>
            </w:r>
          </w:p>
        </w:tc>
      </w:tr>
      <w:tr>
        <w:trPr>
          <w:trHeight w:val="348" w:hRule="exact"/>
        </w:trPr>
        <w:tc>
          <w:tcPr>
            <w:tcW w:w="32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437"/>
              <w:jc w:val="right"/>
              <w:rPr>
                <w:rFonts w:ascii="宋体" w:hAnsi="宋体" w:cs="宋体" w:eastAsia="宋体" w:hint="default"/>
                <w:sz w:val="18"/>
                <w:szCs w:val="18"/>
              </w:rPr>
            </w:pPr>
            <w:r>
              <w:rPr>
                <w:rFonts w:ascii="宋体" w:hAnsi="宋体" w:cs="宋体" w:eastAsia="宋体" w:hint="default"/>
                <w:sz w:val="18"/>
                <w:szCs w:val="18"/>
              </w:rPr>
              <w:t>合计</w:t>
            </w:r>
          </w:p>
        </w:tc>
        <w:tc>
          <w:tcPr>
            <w:tcW w:w="3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33,330,771.06</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23,000,054.21</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133"/>
        <w:jc w:val="left"/>
        <w:rPr>
          <w:b w:val="0"/>
          <w:bCs w:val="0"/>
        </w:rPr>
      </w:pPr>
      <w:bookmarkStart w:name="2、 以公允价值计量且其变动计入当期损益的金融资产" w:id="223"/>
      <w:bookmarkEnd w:id="223"/>
      <w:r>
        <w:rPr>
          <w:b w:val="0"/>
          <w:bCs w:val="0"/>
        </w:rPr>
      </w:r>
      <w:r>
        <w:rPr>
          <w:rFonts w:ascii="Times New Roman" w:hAnsi="Times New Roman" w:cs="Times New Roman" w:eastAsia="Times New Roman" w:hint="default"/>
        </w:rPr>
        <w:t>2</w:t>
      </w:r>
      <w:r>
        <w:rPr/>
        <w:t>、</w:t>
      </w:r>
      <w:r>
        <w:rPr>
          <w:spacing w:val="-3"/>
        </w:rPr>
        <w:t> </w:t>
      </w:r>
      <w:r>
        <w:rPr/>
        <w:t>以公允价值计量且其变动计入当期损益的金融资产</w:t>
      </w:r>
      <w:r>
        <w:rPr>
          <w:b w:val="0"/>
          <w:bCs w:val="0"/>
        </w:rPr>
      </w:r>
    </w:p>
    <w:p>
      <w:pPr>
        <w:spacing w:line="240" w:lineRule="auto" w:before="9"/>
        <w:rPr>
          <w:rFonts w:ascii="宋体" w:hAnsi="宋体" w:cs="宋体" w:eastAsia="宋体" w:hint="default"/>
          <w:b/>
          <w:bCs/>
          <w:sz w:val="25"/>
          <w:szCs w:val="25"/>
        </w:rPr>
      </w:pPr>
    </w:p>
    <w:tbl>
      <w:tblPr>
        <w:tblW w:w="0" w:type="auto"/>
        <w:jc w:val="left"/>
        <w:tblInd w:w="150" w:type="dxa"/>
        <w:tblLayout w:type="fixed"/>
        <w:tblCellMar>
          <w:top w:w="0" w:type="dxa"/>
          <w:left w:w="0" w:type="dxa"/>
          <w:bottom w:w="0" w:type="dxa"/>
          <w:right w:w="0" w:type="dxa"/>
        </w:tblCellMar>
        <w:tblLook w:val="01E0"/>
      </w:tblPr>
      <w:tblGrid>
        <w:gridCol w:w="3167"/>
        <w:gridCol w:w="2194"/>
        <w:gridCol w:w="2146"/>
        <w:gridCol w:w="2067"/>
      </w:tblGrid>
      <w:tr>
        <w:trPr>
          <w:trHeight w:val="346" w:hRule="exact"/>
        </w:trPr>
        <w:tc>
          <w:tcPr>
            <w:tcW w:w="31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1394"/>
              <w:jc w:val="right"/>
              <w:rPr>
                <w:rFonts w:ascii="宋体" w:hAnsi="宋体" w:cs="宋体" w:eastAsia="宋体" w:hint="default"/>
                <w:sz w:val="18"/>
                <w:szCs w:val="18"/>
              </w:rPr>
            </w:pPr>
            <w:r>
              <w:rPr>
                <w:rFonts w:ascii="宋体" w:hAnsi="宋体" w:cs="宋体" w:eastAsia="宋体" w:hint="default"/>
                <w:sz w:val="18"/>
                <w:szCs w:val="18"/>
              </w:rPr>
              <w:t>项目</w:t>
            </w:r>
          </w:p>
        </w:tc>
        <w:tc>
          <w:tcPr>
            <w:tcW w:w="21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7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0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85" w:right="0"/>
              <w:jc w:val="left"/>
              <w:rPr>
                <w:rFonts w:ascii="宋体" w:hAnsi="宋体" w:cs="宋体" w:eastAsia="宋体" w:hint="default"/>
                <w:sz w:val="18"/>
                <w:szCs w:val="18"/>
              </w:rPr>
            </w:pPr>
            <w:r>
              <w:rPr>
                <w:rFonts w:ascii="宋体" w:hAnsi="宋体" w:cs="宋体" w:eastAsia="宋体" w:hint="default"/>
                <w:sz w:val="18"/>
                <w:szCs w:val="18"/>
              </w:rPr>
              <w:t>上期期末余额</w:t>
            </w:r>
          </w:p>
        </w:tc>
      </w:tr>
      <w:tr>
        <w:trPr>
          <w:trHeight w:val="348" w:hRule="exact"/>
        </w:trPr>
        <w:tc>
          <w:tcPr>
            <w:tcW w:w="3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货币掉期公允价值变动</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1,628,397.10</w:t>
            </w:r>
          </w:p>
        </w:tc>
      </w:tr>
      <w:tr>
        <w:trPr>
          <w:trHeight w:val="346" w:hRule="exact"/>
        </w:trPr>
        <w:tc>
          <w:tcPr>
            <w:tcW w:w="3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应收业绩补偿款</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1,664,820.06</w:t>
            </w:r>
          </w:p>
        </w:tc>
      </w:tr>
      <w:tr>
        <w:trPr>
          <w:trHeight w:val="348" w:hRule="exact"/>
        </w:trPr>
        <w:tc>
          <w:tcPr>
            <w:tcW w:w="3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394"/>
              <w:jc w:val="right"/>
              <w:rPr>
                <w:rFonts w:ascii="宋体" w:hAnsi="宋体" w:cs="宋体" w:eastAsia="宋体" w:hint="default"/>
                <w:sz w:val="18"/>
                <w:szCs w:val="18"/>
              </w:rPr>
            </w:pPr>
            <w:r>
              <w:rPr>
                <w:rFonts w:ascii="宋体" w:hAnsi="宋体" w:cs="宋体" w:eastAsia="宋体" w:hint="default"/>
                <w:sz w:val="18"/>
                <w:szCs w:val="18"/>
              </w:rPr>
              <w:t>合计</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3,293,217.16</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1133"/>
        <w:jc w:val="left"/>
        <w:rPr>
          <w:b w:val="0"/>
          <w:bCs w:val="0"/>
        </w:rPr>
      </w:pPr>
      <w:bookmarkStart w:name="3、 交易性金融资产" w:id="224"/>
      <w:bookmarkEnd w:id="224"/>
      <w:r>
        <w:rPr>
          <w:b w:val="0"/>
          <w:bCs w:val="0"/>
        </w:rPr>
      </w:r>
      <w:r>
        <w:rPr>
          <w:rFonts w:ascii="Times New Roman" w:hAnsi="Times New Roman" w:cs="Times New Roman" w:eastAsia="Times New Roman" w:hint="default"/>
        </w:rPr>
        <w:t>3</w:t>
      </w:r>
      <w:r>
        <w:rPr/>
        <w:t>、 交易性金融资产</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5245"/>
        <w:gridCol w:w="1418"/>
        <w:gridCol w:w="1277"/>
        <w:gridCol w:w="1548"/>
      </w:tblGrid>
      <w:tr>
        <w:trPr>
          <w:trHeight w:val="334" w:hRule="exact"/>
        </w:trPr>
        <w:tc>
          <w:tcPr>
            <w:tcW w:w="52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7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27" w:right="0"/>
              <w:jc w:val="left"/>
              <w:rPr>
                <w:rFonts w:ascii="宋体" w:hAnsi="宋体" w:cs="宋体" w:eastAsia="宋体" w:hint="default"/>
                <w:sz w:val="18"/>
                <w:szCs w:val="18"/>
              </w:rPr>
            </w:pPr>
            <w:r>
              <w:rPr>
                <w:rFonts w:ascii="宋体" w:hAnsi="宋体" w:cs="宋体" w:eastAsia="宋体" w:hint="default"/>
                <w:sz w:val="18"/>
                <w:szCs w:val="18"/>
              </w:rPr>
              <w:t>上期期末余额</w:t>
            </w:r>
          </w:p>
        </w:tc>
      </w:tr>
      <w:tr>
        <w:trPr>
          <w:trHeight w:val="360" w:hRule="exact"/>
        </w:trPr>
        <w:tc>
          <w:tcPr>
            <w:tcW w:w="5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4" w:right="0"/>
              <w:jc w:val="left"/>
              <w:rPr>
                <w:rFonts w:ascii="宋体" w:hAnsi="宋体" w:cs="宋体" w:eastAsia="宋体" w:hint="default"/>
                <w:sz w:val="18"/>
                <w:szCs w:val="18"/>
              </w:rPr>
            </w:pPr>
            <w:r>
              <w:rPr>
                <w:rFonts w:ascii="宋体" w:hAnsi="宋体" w:cs="宋体" w:eastAsia="宋体" w:hint="default"/>
                <w:sz w:val="18"/>
                <w:szCs w:val="18"/>
              </w:rPr>
              <w:t>指定为以公允价值计量且变动计入当期损益的金融资产</w:t>
            </w: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349" w:hRule="exact"/>
        </w:trPr>
        <w:tc>
          <w:tcPr>
            <w:tcW w:w="5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货币掉期公允价值变动</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14" w:right="0"/>
              <w:jc w:val="left"/>
              <w:rPr>
                <w:rFonts w:ascii="Times New Roman" w:hAnsi="Times New Roman" w:cs="Times New Roman" w:eastAsia="Times New Roman" w:hint="default"/>
                <w:sz w:val="18"/>
                <w:szCs w:val="18"/>
              </w:rPr>
            </w:pPr>
            <w:r>
              <w:rPr>
                <w:rFonts w:ascii="Times New Roman"/>
                <w:sz w:val="18"/>
              </w:rPr>
              <w:t>1,628,397.10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6" w:hRule="exact"/>
        </w:trPr>
        <w:tc>
          <w:tcPr>
            <w:tcW w:w="5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应收业绩补偿款</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20,415,088.31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14" w:right="0"/>
              <w:jc w:val="left"/>
              <w:rPr>
                <w:rFonts w:ascii="Times New Roman" w:hAnsi="Times New Roman" w:cs="Times New Roman" w:eastAsia="Times New Roman" w:hint="default"/>
                <w:sz w:val="18"/>
                <w:szCs w:val="18"/>
              </w:rPr>
            </w:pPr>
            <w:r>
              <w:rPr>
                <w:rFonts w:ascii="Times New Roman"/>
                <w:sz w:val="18"/>
              </w:rPr>
              <w:t>1,664,820.06</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8" w:hRule="exact"/>
        </w:trPr>
        <w:tc>
          <w:tcPr>
            <w:tcW w:w="5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20,415,088.31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14" w:right="0"/>
              <w:jc w:val="left"/>
              <w:rPr>
                <w:rFonts w:ascii="Times New Roman" w:hAnsi="Times New Roman" w:cs="Times New Roman" w:eastAsia="Times New Roman" w:hint="default"/>
                <w:sz w:val="18"/>
                <w:szCs w:val="18"/>
              </w:rPr>
            </w:pPr>
            <w:r>
              <w:rPr>
                <w:rFonts w:ascii="Times New Roman"/>
                <w:sz w:val="18"/>
              </w:rPr>
              <w:t>3,293,217.16</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bookmarkStart w:name="4、应收票据" w:id="225"/>
      <w:bookmarkEnd w:id="225"/>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应收票据分类列示" w:id="226"/>
      <w:bookmarkEnd w:id="226"/>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16,031,000.00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34,231,953.28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258,300.00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269,249.99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16,289,300.00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34,501,203.27</w:t>
            </w:r>
          </w:p>
        </w:tc>
      </w:tr>
    </w:tbl>
    <w:p>
      <w:pPr>
        <w:pStyle w:val="BodyText"/>
        <w:spacing w:line="240" w:lineRule="auto" w:before="49"/>
        <w:ind w:right="1133"/>
        <w:jc w:val="left"/>
      </w:pPr>
      <w:r>
        <w:rPr/>
        <w:t>如是按照预期信用损失一般模型计提应收票据坏账准备，请参照其他应收款的披露方式披露坏账准备的相关信息：</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期末公司已质押的应收票据" w:id="227"/>
      <w:bookmarkEnd w:id="227"/>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14,365,000.00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14,365,000.00</w:t>
            </w:r>
          </w:p>
        </w:tc>
      </w:tr>
    </w:tbl>
    <w:p>
      <w:pPr>
        <w:spacing w:line="240" w:lineRule="auto" w:before="3"/>
        <w:rPr>
          <w:rFonts w:ascii="宋体" w:hAnsi="宋体" w:cs="宋体" w:eastAsia="宋体" w:hint="default"/>
          <w:sz w:val="19"/>
          <w:szCs w:val="19"/>
        </w:rPr>
      </w:pPr>
    </w:p>
    <w:p>
      <w:pPr>
        <w:pStyle w:val="Heading3"/>
        <w:spacing w:line="259" w:lineRule="auto" w:before="36"/>
        <w:ind w:right="1131"/>
        <w:jc w:val="both"/>
        <w:rPr>
          <w:b w:val="0"/>
          <w:bCs w:val="0"/>
        </w:rPr>
      </w:pPr>
      <w:bookmarkStart w:name="（3） 应收票据期末余额较期初减少18,211,903.27元，减少比例52.7" w:id="228"/>
      <w:bookmarkEnd w:id="228"/>
      <w:r>
        <w:rPr>
          <w:b w:val="0"/>
          <w:bCs w:val="0"/>
        </w:rPr>
      </w:r>
      <w:r>
        <w:rPr/>
        <w:t>（</w:t>
      </w:r>
      <w:r>
        <w:rPr>
          <w:rFonts w:ascii="Times New Roman" w:hAnsi="Times New Roman" w:cs="Times New Roman" w:eastAsia="Times New Roman" w:hint="default"/>
        </w:rPr>
        <w:t>3</w:t>
      </w:r>
      <w:r>
        <w:rPr/>
        <w:t>）</w:t>
      </w:r>
      <w:r>
        <w:rPr>
          <w:spacing w:val="-4"/>
        </w:rPr>
        <w:t> </w:t>
      </w:r>
      <w:r>
        <w:rPr/>
        <w:t>应收票据期末余额较期初减少</w:t>
      </w:r>
      <w:r>
        <w:rPr>
          <w:spacing w:val="-54"/>
        </w:rPr>
        <w:t> </w:t>
      </w:r>
      <w:r>
        <w:rPr>
          <w:rFonts w:ascii="Times New Roman" w:hAnsi="Times New Roman" w:cs="Times New Roman" w:eastAsia="Times New Roman" w:hint="default"/>
        </w:rPr>
        <w:t>18,211,903.27</w:t>
      </w:r>
      <w:r>
        <w:rPr>
          <w:rFonts w:ascii="Times New Roman" w:hAnsi="Times New Roman" w:cs="Times New Roman" w:eastAsia="Times New Roman" w:hint="default"/>
          <w:spacing w:val="-4"/>
        </w:rPr>
        <w:t> </w:t>
      </w:r>
      <w:r>
        <w:rPr/>
        <w:t>元，减少比例</w:t>
      </w:r>
      <w:r>
        <w:rPr>
          <w:spacing w:val="-54"/>
        </w:rPr>
        <w:t> </w:t>
      </w:r>
      <w:r>
        <w:rPr>
          <w:rFonts w:ascii="Times New Roman" w:hAnsi="Times New Roman" w:cs="Times New Roman" w:eastAsia="Times New Roman" w:hint="default"/>
        </w:rPr>
        <w:t>52.79%</w:t>
      </w:r>
      <w:r>
        <w:rPr/>
        <w:t>，原因系票据到期承兑、背书所</w:t>
      </w:r>
      <w:r>
        <w:rPr>
          <w:w w:val="100"/>
        </w:rPr>
        <w:t> </w:t>
      </w:r>
      <w:r>
        <w:rPr/>
        <w:t>致。</w:t>
      </w:r>
      <w:r>
        <w:rPr>
          <w:b w:val="0"/>
          <w:bCs w:val="0"/>
        </w:rPr>
      </w:r>
    </w:p>
    <w:p>
      <w:pPr>
        <w:spacing w:line="240" w:lineRule="auto" w:before="1"/>
        <w:rPr>
          <w:rFonts w:ascii="宋体" w:hAnsi="宋体" w:cs="宋体" w:eastAsia="宋体" w:hint="default"/>
          <w:b/>
          <w:bCs/>
          <w:sz w:val="26"/>
          <w:szCs w:val="26"/>
        </w:rPr>
      </w:pPr>
    </w:p>
    <w:p>
      <w:pPr>
        <w:pStyle w:val="BodyText"/>
        <w:spacing w:line="300" w:lineRule="auto"/>
        <w:ind w:right="1129"/>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日，本公司与宁波银行有限公司深圳分行签署了编号为</w:t>
      </w:r>
      <w:r>
        <w:rPr>
          <w:rFonts w:ascii="Times New Roman" w:hAnsi="Times New Roman" w:cs="Times New Roman" w:eastAsia="Times New Roman" w:hint="default"/>
        </w:rPr>
        <w:t>07301PC20188031</w:t>
      </w:r>
      <w:r>
        <w:rPr/>
        <w:t>号的《票据池业务合作及票据质押协 </w:t>
      </w:r>
      <w:r>
        <w:rPr>
          <w:spacing w:val="-2"/>
        </w:rPr>
        <w:t>议》，约定公司自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w:t>
      </w:r>
      <w:r>
        <w:rPr>
          <w:spacing w:val="-2"/>
        </w:rPr>
        <w:t>日签订之日起</w:t>
      </w:r>
      <w:r>
        <w:rPr>
          <w:rFonts w:ascii="Times New Roman" w:hAnsi="Times New Roman" w:cs="Times New Roman" w:eastAsia="Times New Roman" w:hint="default"/>
          <w:spacing w:val="-2"/>
        </w:rPr>
        <w:t>1</w:t>
      </w:r>
      <w:r>
        <w:rPr>
          <w:spacing w:val="-2"/>
        </w:rPr>
        <w:t>年内向宁波银行有限公司深圳分行提交质押票据进行质押申请，质押池融资额</w:t>
      </w:r>
      <w:r>
        <w:rPr>
          <w:spacing w:val="-74"/>
        </w:rPr>
        <w:t> </w:t>
      </w:r>
      <w:r>
        <w:rPr/>
        <w:t>度根据资产池内质押资产和资产池保证金账户余额的变化而变化，最高额度不超过人民币</w:t>
      </w:r>
      <w:r>
        <w:rPr>
          <w:rFonts w:ascii="Times New Roman" w:hAnsi="Times New Roman" w:cs="Times New Roman" w:eastAsia="Times New Roman" w:hint="default"/>
        </w:rPr>
        <w:t>2</w:t>
      </w:r>
      <w:r>
        <w:rPr/>
        <w:t>亿元。并于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日与宁波 </w:t>
      </w:r>
      <w:r>
        <w:rPr>
          <w:spacing w:val="-1"/>
        </w:rPr>
        <w:t>银行有限公司深圳分行签署了编号为</w:t>
      </w:r>
      <w:r>
        <w:rPr>
          <w:rFonts w:ascii="Times New Roman" w:hAnsi="Times New Roman" w:cs="Times New Roman" w:eastAsia="Times New Roman" w:hint="default"/>
          <w:spacing w:val="-1"/>
        </w:rPr>
        <w:t>07301PC20188031</w:t>
      </w:r>
      <w:r>
        <w:rPr>
          <w:spacing w:val="-1"/>
        </w:rPr>
        <w:t>（补）号的补充协议，约定将原票据池升级为资金池，资金池编号为</w:t>
      </w:r>
      <w:r>
        <w:rPr>
          <w:spacing w:val="-65"/>
        </w:rPr>
        <w:t> </w:t>
      </w:r>
      <w:r>
        <w:rPr>
          <w:spacing w:val="-65"/>
        </w:rPr>
      </w:r>
      <w:r>
        <w:rPr>
          <w:rFonts w:ascii="Times New Roman" w:hAnsi="Times New Roman" w:cs="Times New Roman" w:eastAsia="Times New Roman" w:hint="default"/>
        </w:rPr>
        <w:t>0731100001418</w:t>
      </w:r>
      <w:r>
        <w:rPr/>
        <w:t>，并约定自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日至</w:t>
      </w:r>
      <w:r>
        <w:rPr>
          <w:rFonts w:ascii="Times New Roman" w:hAnsi="Times New Roman" w:cs="Times New Roman" w:eastAsia="Times New Roman" w:hint="default"/>
        </w:rPr>
        <w:t>2029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日内向宁波银行有限公司深圳分行提交质押票据进行质押申请和入池 业务，质押池融资额度根据资产池内质押资产和资产池保证金账户余额的变化而变化，最高额度不超过人民币</w:t>
      </w:r>
      <w:r>
        <w:rPr>
          <w:rFonts w:ascii="Times New Roman" w:hAnsi="Times New Roman" w:cs="Times New Roman" w:eastAsia="Times New Roman" w:hint="default"/>
        </w:rPr>
        <w:t>2</w:t>
      </w:r>
      <w:r>
        <w:rPr/>
        <w:t>亿元。</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bookmarkStart w:name="5、应收账款" w:id="229"/>
      <w:bookmarkEnd w:id="229"/>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应收账款分类披露" w:id="230"/>
      <w:bookmarkEnd w:id="23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4"/>
        <w:gridCol w:w="761"/>
        <w:gridCol w:w="763"/>
        <w:gridCol w:w="790"/>
        <w:gridCol w:w="775"/>
        <w:gridCol w:w="797"/>
        <w:gridCol w:w="800"/>
        <w:gridCol w:w="790"/>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7,397,41</w:t>
            </w:r>
          </w:p>
          <w:p>
            <w:pPr>
              <w:pStyle w:val="TableParagraph"/>
              <w:spacing w:line="240" w:lineRule="auto" w:before="105"/>
              <w:ind w:left="421" w:right="0"/>
              <w:jc w:val="left"/>
              <w:rPr>
                <w:rFonts w:ascii="Times New Roman" w:hAnsi="Times New Roman" w:cs="Times New Roman" w:eastAsia="Times New Roman" w:hint="default"/>
                <w:sz w:val="18"/>
                <w:szCs w:val="18"/>
              </w:rPr>
            </w:pPr>
            <w:r>
              <w:rPr>
                <w:rFonts w:ascii="Times New Roman"/>
                <w:sz w:val="18"/>
              </w:rPr>
              <w:t>7.28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7,384,67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4.28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99.83%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12,743.00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5,376,499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5,376,499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227,659,</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291.14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96.85%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16,255,6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80.67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211,403,6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10.47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293,257,6</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68.29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98.20%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18,489,35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3.34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274,768,31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4.95</w:t>
            </w:r>
          </w:p>
        </w:tc>
      </w:tr>
      <w:tr>
        <w:trPr>
          <w:trHeight w:val="40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227,659,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291.14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96.85%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16,255,6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80.67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211,403,6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10.47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293,257,6</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68.29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98.20%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18,489,35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3.34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274,768,31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4.95</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235,056,</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708.42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23,640,3</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54.95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211,416,3</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53.47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298,634,1</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67.33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23,865,85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2.38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274,768,31</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4.95</w:t>
            </w:r>
          </w:p>
        </w:tc>
      </w:tr>
    </w:tbl>
    <w:p>
      <w:pPr>
        <w:pStyle w:val="BodyText"/>
        <w:spacing w:line="240" w:lineRule="auto" w:before="49"/>
        <w:ind w:right="1133"/>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349"/>
        <w:gridCol w:w="1133"/>
        <w:gridCol w:w="850"/>
        <w:gridCol w:w="4328"/>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8"/>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4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165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4" w:right="77"/>
              <w:jc w:val="left"/>
              <w:rPr>
                <w:rFonts w:ascii="宋体" w:hAnsi="宋体" w:cs="宋体" w:eastAsia="宋体" w:hint="default"/>
                <w:sz w:val="18"/>
                <w:szCs w:val="18"/>
              </w:rPr>
            </w:pPr>
            <w:r>
              <w:rPr>
                <w:rFonts w:ascii="宋体" w:hAnsi="宋体" w:cs="宋体" w:eastAsia="宋体" w:hint="default"/>
                <w:sz w:val="18"/>
                <w:szCs w:val="18"/>
              </w:rPr>
              <w:t>北京全峰快递有限责任 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2,423,199.04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2,423,199.04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20"/>
              <w:jc w:val="left"/>
              <w:rPr>
                <w:rFonts w:ascii="宋体" w:hAnsi="宋体" w:cs="宋体" w:eastAsia="宋体" w:hint="default"/>
                <w:sz w:val="18"/>
                <w:szCs w:val="18"/>
              </w:rPr>
            </w:pPr>
            <w:r>
              <w:rPr>
                <w:rFonts w:ascii="宋体" w:hAnsi="宋体" w:cs="宋体" w:eastAsia="宋体" w:hint="default"/>
                <w:sz w:val="18"/>
                <w:szCs w:val="18"/>
              </w:rPr>
              <w:t>根据北京市朝阳区人民法院（</w:t>
            </w:r>
            <w:r>
              <w:rPr>
                <w:rFonts w:ascii="Times New Roman" w:hAnsi="Times New Roman" w:cs="Times New Roman" w:eastAsia="Times New Roman" w:hint="default"/>
                <w:sz w:val="18"/>
                <w:szCs w:val="18"/>
              </w:rPr>
              <w:t>2018</w:t>
            </w:r>
            <w:r>
              <w:rPr>
                <w:rFonts w:ascii="宋体" w:hAnsi="宋体" w:cs="宋体" w:eastAsia="宋体" w:hint="default"/>
                <w:sz w:val="18"/>
                <w:szCs w:val="18"/>
              </w:rPr>
              <w:t>）京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13945 </w:t>
            </w:r>
            <w:r>
              <w:rPr>
                <w:rFonts w:ascii="宋体" w:hAnsi="宋体" w:cs="宋体" w:eastAsia="宋体" w:hint="default"/>
                <w:spacing w:val="-3"/>
                <w:sz w:val="18"/>
                <w:szCs w:val="18"/>
              </w:rPr>
              <w:t>号执行裁定书，未发现北京全峰快递有限责任公司有足</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额可供执行的财产，北京市朝阳区人民法院已对北京全</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峰快递有限责任公司采取限制消费措施，同时裁定终结</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执行程序，本公司预计无法收回。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东峡大通（北京）管理 咨询有限公司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2,699,300.00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2,699,300.00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22"/>
              <w:jc w:val="left"/>
              <w:rPr>
                <w:rFonts w:ascii="宋体" w:hAnsi="宋体" w:cs="宋体" w:eastAsia="宋体" w:hint="default"/>
                <w:sz w:val="18"/>
                <w:szCs w:val="18"/>
              </w:rPr>
            </w:pPr>
            <w:r>
              <w:rPr>
                <w:rFonts w:ascii="宋体" w:hAnsi="宋体" w:cs="宋体" w:eastAsia="宋体" w:hint="default"/>
                <w:spacing w:val="-3"/>
                <w:sz w:val="18"/>
                <w:szCs w:val="18"/>
              </w:rPr>
              <w:t>经营状况不善，被多家公司起诉，法院判决赔偿仍无力</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偿还债务，本公司预计无法收回。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广州零质量投资有限公 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43,960.00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43,960.00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22"/>
              <w:jc w:val="left"/>
              <w:rPr>
                <w:rFonts w:ascii="宋体" w:hAnsi="宋体" w:cs="宋体" w:eastAsia="宋体" w:hint="default"/>
                <w:sz w:val="18"/>
                <w:szCs w:val="18"/>
              </w:rPr>
            </w:pPr>
            <w:r>
              <w:rPr>
                <w:rFonts w:ascii="宋体" w:hAnsi="宋体" w:cs="宋体" w:eastAsia="宋体" w:hint="default"/>
                <w:spacing w:val="-3"/>
                <w:sz w:val="18"/>
                <w:szCs w:val="18"/>
              </w:rPr>
              <w:t>财务状况不良，已进入破产清算程序，本公司预计无法</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上海敏哲电子科技有限 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94,927.01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94,927.01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公司多次催缴，未能收回。</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德邦物流股份有限公司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1,178,230.23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1,165,487.23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98.92%</w:t>
            </w:r>
          </w:p>
        </w:tc>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20"/>
              <w:jc w:val="left"/>
              <w:rPr>
                <w:rFonts w:ascii="宋体" w:hAnsi="宋体" w:cs="宋体" w:eastAsia="宋体" w:hint="default"/>
                <w:sz w:val="18"/>
                <w:szCs w:val="18"/>
              </w:rPr>
            </w:pPr>
            <w:r>
              <w:rPr>
                <w:rFonts w:ascii="宋体" w:hAnsi="宋体" w:cs="宋体" w:eastAsia="宋体" w:hint="default"/>
                <w:spacing w:val="-3"/>
                <w:sz w:val="18"/>
                <w:szCs w:val="18"/>
              </w:rPr>
              <w:t>时间较长，涉及其子公司较多，人员更迭，难以核对确</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认。</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广州太乙信息科技有限 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680,301.00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680,301.00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对方公司人员更迭，款项难以追回。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用友网络科技股份有限 公司上海分公司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277,500.00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277,500.00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帮客户做技术开发，后期项目停止，款项难以收回。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7,397,417.28</w:t>
            </w:r>
          </w:p>
        </w:tc>
        <w:tc>
          <w:tcPr>
            <w:tcW w:w="1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7,384,674.28</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按组合计提坏账准备：</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213,852,376.03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10,692,618.80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4,629,578.44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370,366.27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2,728,005.99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545,601.20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3,218,408.22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1,609,204.12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965,160.89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772,128.71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2,265,761.57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2,265,761.57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227,659,291.14</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16,255,680.67</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98" w:lineRule="auto" w:before="44"/>
        <w:ind w:left="513" w:right="8774" w:hanging="361"/>
        <w:jc w:val="left"/>
      </w:pPr>
      <w:r>
        <w:rPr/>
        <w:pict>
          <v:shape style="position:absolute;margin-left:61.919998pt;margin-top:37.091721pt;width:475.7pt;height:156.75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74"/>
                    <w:gridCol w:w="2462"/>
                    <w:gridCol w:w="2259"/>
                    <w:gridCol w:w="2197"/>
                  </w:tblGrid>
                  <w:tr>
                    <w:trPr>
                      <w:trHeight w:val="343" w:hRule="exact"/>
                    </w:trPr>
                    <w:tc>
                      <w:tcPr>
                        <w:tcW w:w="2574"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6918"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8" w:hRule="exact"/>
                    </w:trPr>
                    <w:tc>
                      <w:tcPr>
                        <w:tcW w:w="2574" w:type="dxa"/>
                        <w:vMerge/>
                        <w:tcBorders>
                          <w:left w:val="single" w:sz="6" w:space="0" w:color="000000"/>
                          <w:bottom w:val="single" w:sz="6" w:space="0" w:color="000000"/>
                          <w:right w:val="single" w:sz="6" w:space="0" w:color="000000"/>
                        </w:tcBorders>
                        <w:shd w:val="clear" w:color="auto" w:fill="D9D9D9"/>
                      </w:tcPr>
                      <w:p>
                        <w:pPr/>
                      </w:p>
                    </w:tc>
                    <w:tc>
                      <w:tcPr>
                        <w:tcW w:w="24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2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1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7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6" w:hRule="exact"/>
                    </w:trPr>
                    <w:tc>
                      <w:tcPr>
                        <w:tcW w:w="2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273,224,191.83</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13,661,209.59</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5.00</w:t>
                        </w:r>
                      </w:p>
                    </w:tc>
                  </w:tr>
                  <w:tr>
                    <w:trPr>
                      <w:trHeight w:val="348" w:hRule="exact"/>
                    </w:trPr>
                    <w:tc>
                      <w:tcPr>
                        <w:tcW w:w="2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10,361,308.94</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828,904.72</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8.00</w:t>
                        </w:r>
                      </w:p>
                    </w:tc>
                  </w:tr>
                  <w:tr>
                    <w:trPr>
                      <w:trHeight w:val="346" w:hRule="exact"/>
                    </w:trPr>
                    <w:tc>
                      <w:tcPr>
                        <w:tcW w:w="2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5,542,589.75</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1,108,517.94</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20.00</w:t>
                        </w:r>
                      </w:p>
                    </w:tc>
                  </w:tr>
                  <w:tr>
                    <w:trPr>
                      <w:trHeight w:val="348" w:hRule="exact"/>
                    </w:trPr>
                    <w:tc>
                      <w:tcPr>
                        <w:tcW w:w="2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1,629,206.39</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814,603.20</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50.00</w:t>
                        </w:r>
                      </w:p>
                    </w:tc>
                  </w:tr>
                  <w:tr>
                    <w:trPr>
                      <w:trHeight w:val="348" w:hRule="exact"/>
                    </w:trPr>
                    <w:tc>
                      <w:tcPr>
                        <w:tcW w:w="2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2,121,267.45</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1,697,013.96</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80.00</w:t>
                        </w:r>
                      </w:p>
                    </w:tc>
                  </w:tr>
                  <w:tr>
                    <w:trPr>
                      <w:trHeight w:val="346" w:hRule="exact"/>
                    </w:trPr>
                    <w:tc>
                      <w:tcPr>
                        <w:tcW w:w="2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379,103.93</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379,103.93</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8" w:hRule="exact"/>
                    </w:trPr>
                    <w:tc>
                      <w:tcPr>
                        <w:tcW w:w="2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293,257,668.29</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18,489,353.34</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6.30</w:t>
                        </w:r>
                      </w:p>
                    </w:tc>
                  </w:tr>
                </w:tbl>
                <w:p>
                  <w:pPr/>
                </w:p>
              </w:txbxContent>
            </v:textbox>
            <w10:wrap type="none"/>
          </v:shape>
        </w:pict>
      </w:r>
      <w:r>
        <w:rPr/>
        <w:t>确定该组合依据的说明： 续：</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44"/>
        <w:ind w:right="1133"/>
        <w:jc w:val="left"/>
      </w:pPr>
      <w:r>
        <w:rPr/>
        <w:t>如是按照预期信用损失一般模型计提应收账款坏账准备，请参照其他应收款的披露方式披露坏账准备的相关信息：</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bookmarkStart w:name="（2） 按账龄披露的应收账款" w:id="231"/>
      <w:bookmarkEnd w:id="231"/>
      <w:r>
        <w:rPr>
          <w:b w:val="0"/>
          <w:bCs w:val="0"/>
        </w:rPr>
      </w:r>
      <w:r>
        <w:rPr/>
        <w:t>（</w:t>
      </w:r>
      <w:r>
        <w:rPr>
          <w:rFonts w:ascii="Times New Roman" w:hAnsi="Times New Roman" w:cs="Times New Roman" w:eastAsia="Times New Roman" w:hint="default"/>
        </w:rPr>
        <w:t>2</w:t>
      </w:r>
      <w:r>
        <w:rPr/>
        <w:t>）</w:t>
      </w:r>
      <w:r>
        <w:rPr>
          <w:spacing w:val="-2"/>
        </w:rPr>
        <w:t> </w:t>
      </w:r>
      <w:r>
        <w:rPr/>
        <w:t>按账龄披露的应收账款</w:t>
      </w:r>
      <w:r>
        <w:rPr>
          <w:b w:val="0"/>
          <w:bCs w:val="0"/>
        </w:rPr>
      </w:r>
    </w:p>
    <w:p>
      <w:pPr>
        <w:spacing w:line="240" w:lineRule="auto" w:before="8"/>
        <w:rPr>
          <w:rFonts w:ascii="宋体" w:hAnsi="宋体" w:cs="宋体" w:eastAsia="宋体" w:hint="default"/>
          <w:b/>
          <w:bCs/>
          <w:sz w:val="26"/>
          <w:szCs w:val="26"/>
        </w:rPr>
      </w:pPr>
    </w:p>
    <w:tbl>
      <w:tblPr>
        <w:tblW w:w="0" w:type="auto"/>
        <w:jc w:val="left"/>
        <w:tblInd w:w="258" w:type="dxa"/>
        <w:tblLayout w:type="fixed"/>
        <w:tblCellMar>
          <w:top w:w="0" w:type="dxa"/>
          <w:left w:w="0" w:type="dxa"/>
          <w:bottom w:w="0" w:type="dxa"/>
          <w:right w:w="0" w:type="dxa"/>
        </w:tblCellMar>
        <w:tblLook w:val="01E0"/>
      </w:tblPr>
      <w:tblGrid>
        <w:gridCol w:w="3132"/>
        <w:gridCol w:w="3129"/>
        <w:gridCol w:w="3133"/>
      </w:tblGrid>
      <w:tr>
        <w:trPr>
          <w:trHeight w:val="334" w:hRule="exact"/>
        </w:trPr>
        <w:tc>
          <w:tcPr>
            <w:tcW w:w="31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1377"/>
              <w:jc w:val="right"/>
              <w:rPr>
                <w:rFonts w:ascii="宋体" w:hAnsi="宋体" w:cs="宋体" w:eastAsia="宋体" w:hint="default"/>
                <w:sz w:val="18"/>
                <w:szCs w:val="18"/>
              </w:rPr>
            </w:pPr>
            <w:r>
              <w:rPr>
                <w:rFonts w:ascii="宋体" w:hAnsi="宋体" w:cs="宋体" w:eastAsia="宋体" w:hint="default"/>
                <w:sz w:val="18"/>
                <w:szCs w:val="18"/>
              </w:rPr>
              <w:t>账龄</w:t>
            </w:r>
          </w:p>
        </w:tc>
        <w:tc>
          <w:tcPr>
            <w:tcW w:w="31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8" w:hRule="exact"/>
        </w:trPr>
        <w:tc>
          <w:tcPr>
            <w:tcW w:w="31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3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213,854,624.03</w:t>
            </w:r>
          </w:p>
        </w:tc>
        <w:tc>
          <w:tcPr>
            <w:tcW w:w="3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273,224,191.83</w:t>
            </w:r>
          </w:p>
        </w:tc>
      </w:tr>
      <w:tr>
        <w:trPr>
          <w:trHeight w:val="346" w:hRule="exact"/>
        </w:trPr>
        <w:tc>
          <w:tcPr>
            <w:tcW w:w="31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3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4,735,415.45</w:t>
            </w:r>
          </w:p>
        </w:tc>
        <w:tc>
          <w:tcPr>
            <w:tcW w:w="3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13,175,053.94</w:t>
            </w:r>
          </w:p>
        </w:tc>
      </w:tr>
      <w:tr>
        <w:trPr>
          <w:trHeight w:val="348" w:hRule="exact"/>
        </w:trPr>
        <w:tc>
          <w:tcPr>
            <w:tcW w:w="31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3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5,709,165.99</w:t>
            </w:r>
          </w:p>
        </w:tc>
        <w:tc>
          <w:tcPr>
            <w:tcW w:w="3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6,103,833.79</w:t>
            </w:r>
          </w:p>
        </w:tc>
      </w:tr>
      <w:tr>
        <w:trPr>
          <w:trHeight w:val="346" w:hRule="exact"/>
        </w:trPr>
        <w:tc>
          <w:tcPr>
            <w:tcW w:w="31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3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5,525,070.49</w:t>
            </w:r>
          </w:p>
        </w:tc>
        <w:tc>
          <w:tcPr>
            <w:tcW w:w="3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3,630,716.39</w:t>
            </w:r>
          </w:p>
        </w:tc>
      </w:tr>
      <w:tr>
        <w:trPr>
          <w:trHeight w:val="348" w:hRule="exact"/>
        </w:trPr>
        <w:tc>
          <w:tcPr>
            <w:tcW w:w="31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2,966,670.89</w:t>
            </w:r>
          </w:p>
        </w:tc>
        <w:tc>
          <w:tcPr>
            <w:tcW w:w="3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2,121,267.45</w:t>
            </w:r>
          </w:p>
        </w:tc>
      </w:tr>
      <w:tr>
        <w:trPr>
          <w:trHeight w:val="348" w:hRule="exact"/>
        </w:trPr>
        <w:tc>
          <w:tcPr>
            <w:tcW w:w="31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3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2,265,761.57</w:t>
            </w:r>
          </w:p>
        </w:tc>
        <w:tc>
          <w:tcPr>
            <w:tcW w:w="3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379,103.93</w:t>
            </w:r>
          </w:p>
        </w:tc>
      </w:tr>
      <w:tr>
        <w:trPr>
          <w:trHeight w:val="346" w:hRule="exact"/>
        </w:trPr>
        <w:tc>
          <w:tcPr>
            <w:tcW w:w="31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1377"/>
              <w:jc w:val="right"/>
              <w:rPr>
                <w:rFonts w:ascii="宋体" w:hAnsi="宋体" w:cs="宋体" w:eastAsia="宋体" w:hint="default"/>
                <w:sz w:val="18"/>
                <w:szCs w:val="18"/>
              </w:rPr>
            </w:pPr>
            <w:r>
              <w:rPr>
                <w:rFonts w:ascii="宋体" w:hAnsi="宋体" w:cs="宋体" w:eastAsia="宋体" w:hint="default"/>
                <w:sz w:val="18"/>
                <w:szCs w:val="18"/>
              </w:rPr>
              <w:t>小计</w:t>
            </w:r>
          </w:p>
        </w:tc>
        <w:tc>
          <w:tcPr>
            <w:tcW w:w="3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235,056,708.42</w:t>
            </w:r>
          </w:p>
        </w:tc>
        <w:tc>
          <w:tcPr>
            <w:tcW w:w="3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298,634,167.33</w:t>
            </w:r>
          </w:p>
        </w:tc>
      </w:tr>
      <w:tr>
        <w:trPr>
          <w:trHeight w:val="348" w:hRule="exact"/>
        </w:trPr>
        <w:tc>
          <w:tcPr>
            <w:tcW w:w="31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减：坏账准备</w:t>
            </w:r>
          </w:p>
        </w:tc>
        <w:tc>
          <w:tcPr>
            <w:tcW w:w="3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23,640,354.95</w:t>
            </w:r>
          </w:p>
        </w:tc>
        <w:tc>
          <w:tcPr>
            <w:tcW w:w="3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23,865,852.38</w:t>
            </w:r>
          </w:p>
        </w:tc>
      </w:tr>
      <w:tr>
        <w:trPr>
          <w:trHeight w:val="348" w:hRule="exact"/>
        </w:trPr>
        <w:tc>
          <w:tcPr>
            <w:tcW w:w="31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1377"/>
              <w:jc w:val="right"/>
              <w:rPr>
                <w:rFonts w:ascii="宋体" w:hAnsi="宋体" w:cs="宋体" w:eastAsia="宋体" w:hint="default"/>
                <w:sz w:val="18"/>
                <w:szCs w:val="18"/>
              </w:rPr>
            </w:pPr>
            <w:r>
              <w:rPr>
                <w:rFonts w:ascii="宋体" w:hAnsi="宋体" w:cs="宋体" w:eastAsia="宋体" w:hint="default"/>
                <w:sz w:val="18"/>
                <w:szCs w:val="18"/>
              </w:rPr>
              <w:t>合计</w:t>
            </w:r>
          </w:p>
        </w:tc>
        <w:tc>
          <w:tcPr>
            <w:tcW w:w="3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211,416,353.47</w:t>
            </w:r>
          </w:p>
        </w:tc>
        <w:tc>
          <w:tcPr>
            <w:tcW w:w="3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274,768,314.95</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1133"/>
        <w:jc w:val="left"/>
        <w:rPr>
          <w:b w:val="0"/>
          <w:bCs w:val="0"/>
        </w:rPr>
      </w:pPr>
      <w:bookmarkStart w:name="（3）本期计提、收回或转回的坏账准备情况" w:id="232"/>
      <w:bookmarkEnd w:id="232"/>
      <w:r>
        <w:rPr>
          <w:b w:val="0"/>
          <w:bCs w:val="0"/>
        </w:rPr>
      </w:r>
      <w:r>
        <w:rPr/>
        <w:t>（</w:t>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8"/>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单项计提预期信 用损失的应收账 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5,376,499.04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2,008,175.24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7,384,674.28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按组合计提预期 信用损失的应收 账款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18,489,353.34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3,522,820.84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303,177.00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1,592,325.17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16,255,680.67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23,865,852.38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8" w:right="0"/>
              <w:jc w:val="left"/>
              <w:rPr>
                <w:rFonts w:ascii="Times New Roman" w:hAnsi="Times New Roman" w:cs="Times New Roman" w:eastAsia="Times New Roman" w:hint="default"/>
                <w:sz w:val="18"/>
                <w:szCs w:val="18"/>
              </w:rPr>
            </w:pPr>
            <w:r>
              <w:rPr>
                <w:rFonts w:ascii="Times New Roman"/>
                <w:sz w:val="18"/>
              </w:rPr>
              <w:t>2,008,175.24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3,522,820.84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303,177.00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1,592,325.17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23,640,354.95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本期实际核销的应收账款情况" w:id="233"/>
      <w:bookmarkEnd w:id="233"/>
      <w:r>
        <w:rPr>
          <w:b w:val="0"/>
          <w:bCs w:val="0"/>
        </w:rPr>
      </w:r>
      <w:r>
        <w:rPr/>
        <w:t>（</w:t>
      </w:r>
      <w:r>
        <w:rPr>
          <w:rFonts w:ascii="Times New Roman" w:hAnsi="Times New Roman" w:cs="Times New Roman" w:eastAsia="Times New Roman" w:hint="default"/>
        </w:rPr>
        <w:t>4</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303,177.00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按欠款方归集的期末余额前五名的应收账款情况" w:id="234"/>
      <w:bookmarkEnd w:id="234"/>
      <w:r>
        <w:rPr>
          <w:b w:val="0"/>
          <w:bCs w:val="0"/>
        </w:rPr>
      </w:r>
      <w:r>
        <w:rPr/>
        <w:t>（</w:t>
      </w:r>
      <w:r>
        <w:rPr>
          <w:rFonts w:ascii="Times New Roman" w:hAnsi="Times New Roman" w:cs="Times New Roman" w:eastAsia="Times New Roman" w:hint="default"/>
        </w:rPr>
        <w:t>5</w:t>
      </w:r>
      <w:r>
        <w:rPr/>
        <w:t>）按欠款方归集的期末余额前五名的应收账款情况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8"/>
      </w:tblGrid>
      <w:tr>
        <w:trPr>
          <w:trHeight w:val="71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46,688,912.39</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19.86%</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2,335,398.12</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21,509,736.24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9.15%</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1,075,486.81</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13,467,444.72</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673,372.24</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10,425,800.00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521,290.00</w:t>
            </w:r>
          </w:p>
        </w:tc>
      </w:tr>
      <w:tr>
        <w:trPr>
          <w:trHeight w:val="40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6,144,195.09</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307,209.75</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98,236,088.44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41.79%</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59" w:lineRule="auto" w:before="36"/>
        <w:ind w:right="1121"/>
        <w:jc w:val="left"/>
        <w:rPr>
          <w:b w:val="0"/>
          <w:bCs w:val="0"/>
        </w:rPr>
      </w:pPr>
      <w:bookmarkStart w:name="（6） 期末应收账款中无应收持本公司5%以上（含5%）表决权股份的股东单位的款项" w:id="235"/>
      <w:bookmarkEnd w:id="235"/>
      <w:r>
        <w:rPr>
          <w:b w:val="0"/>
          <w:bCs w:val="0"/>
        </w:rPr>
      </w:r>
      <w:r>
        <w:rPr/>
        <w:t>（</w:t>
      </w:r>
      <w:r>
        <w:rPr>
          <w:rFonts w:ascii="Times New Roman" w:hAnsi="Times New Roman" w:cs="Times New Roman" w:eastAsia="Times New Roman" w:hint="default"/>
        </w:rPr>
        <w:t>6</w:t>
      </w:r>
      <w:r>
        <w:rPr/>
        <w:t>） 期末应收账款中无应收持本公司 </w:t>
      </w:r>
      <w:r>
        <w:rPr>
          <w:rFonts w:ascii="Times New Roman" w:hAnsi="Times New Roman" w:cs="Times New Roman" w:eastAsia="Times New Roman" w:hint="default"/>
        </w:rPr>
        <w:t>5%</w:t>
      </w:r>
      <w:r>
        <w:rPr/>
        <w:t>以上（含</w:t>
      </w:r>
      <w:r>
        <w:rPr>
          <w:spacing w:val="-63"/>
        </w:rPr>
        <w:t> </w:t>
      </w:r>
      <w:r>
        <w:rPr>
          <w:rFonts w:ascii="Times New Roman" w:hAnsi="Times New Roman" w:cs="Times New Roman" w:eastAsia="Times New Roman" w:hint="default"/>
        </w:rPr>
        <w:t>5%</w:t>
      </w:r>
      <w:r>
        <w:rPr/>
        <w:t>）表决权股份的股东单位的款项，应收其他关联</w:t>
      </w:r>
      <w:r>
        <w:rPr>
          <w:w w:val="100"/>
        </w:rPr>
        <w:t> </w:t>
      </w:r>
      <w:r>
        <w:rPr/>
        <w:t>方款项详见本附注十、</w:t>
      </w:r>
      <w:r>
        <w:rPr>
          <w:rFonts w:ascii="Times New Roman" w:hAnsi="Times New Roman" w:cs="Times New Roman" w:eastAsia="Times New Roman" w:hint="default"/>
        </w:rPr>
        <w:t>5</w:t>
      </w:r>
      <w:r>
        <w:rPr/>
        <w:t>。</w:t>
      </w:r>
      <w:r>
        <w:rPr>
          <w:b w:val="0"/>
          <w:bCs w:val="0"/>
        </w:rPr>
      </w:r>
    </w:p>
    <w:p>
      <w:pPr>
        <w:spacing w:line="240" w:lineRule="auto" w:before="2"/>
        <w:rPr>
          <w:rFonts w:ascii="宋体" w:hAnsi="宋体" w:cs="宋体" w:eastAsia="宋体" w:hint="default"/>
          <w:b/>
          <w:bCs/>
          <w:sz w:val="23"/>
          <w:szCs w:val="23"/>
        </w:rPr>
      </w:pPr>
    </w:p>
    <w:p>
      <w:pPr>
        <w:pStyle w:val="Heading3"/>
        <w:spacing w:line="240" w:lineRule="auto"/>
        <w:ind w:right="1133"/>
        <w:jc w:val="left"/>
        <w:rPr>
          <w:b w:val="0"/>
          <w:bCs w:val="0"/>
        </w:rPr>
      </w:pPr>
      <w:bookmarkStart w:name="6、应收款项融资" w:id="236"/>
      <w:bookmarkEnd w:id="236"/>
      <w:r>
        <w:rPr>
          <w:b w:val="0"/>
          <w:bCs w:val="0"/>
        </w:rPr>
      </w:r>
      <w:r>
        <w:rPr>
          <w:rFonts w:ascii="Times New Roman" w:hAnsi="Times New Roman" w:cs="Times New Roman" w:eastAsia="Times New Roman" w:hint="default"/>
        </w:rPr>
        <w:t>6</w:t>
      </w:r>
      <w:r>
        <w:rPr/>
        <w:t>、应收款项融资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980,730.00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6,486,094.72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应收账款保理融资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4,140,113.30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1,012,842.50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5,120,843.30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7,498,937.22</w:t>
            </w:r>
          </w:p>
        </w:tc>
      </w:tr>
    </w:tbl>
    <w:p>
      <w:pPr>
        <w:pStyle w:val="BodyText"/>
        <w:spacing w:line="240" w:lineRule="auto" w:before="49"/>
        <w:ind w:right="1133"/>
        <w:jc w:val="left"/>
      </w:pPr>
      <w:r>
        <w:rPr/>
        <w:t>应收款项融资本期增减变动及公允价值变动情况</w:t>
      </w:r>
    </w:p>
    <w:p>
      <w:pPr>
        <w:pStyle w:val="BodyText"/>
        <w:spacing w:line="340" w:lineRule="auto" w:before="115"/>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如是按照预期信用损失一般模型计提应收款项融资减值准备，请参照其他应收款的披露方式披露减值准备的相关信息：</w:t>
      </w:r>
    </w:p>
    <w:p>
      <w:pPr>
        <w:pStyle w:val="BodyText"/>
        <w:spacing w:line="338" w:lineRule="auto" w:before="41"/>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pStyle w:val="Heading4"/>
        <w:spacing w:line="240" w:lineRule="auto" w:before="43"/>
        <w:ind w:left="152" w:right="1133"/>
        <w:jc w:val="left"/>
        <w:rPr>
          <w:b w:val="0"/>
          <w:bCs w:val="0"/>
        </w:rPr>
      </w:pPr>
      <w:r>
        <w:rPr/>
        <w:t>（一）银行承兑汇票</w:t>
      </w:r>
      <w:r>
        <w:rPr>
          <w:b w:val="0"/>
          <w:bCs w:val="0"/>
        </w:rPr>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272" w:type="dxa"/>
        <w:tblLayout w:type="fixed"/>
        <w:tblCellMar>
          <w:top w:w="0" w:type="dxa"/>
          <w:left w:w="0" w:type="dxa"/>
          <w:bottom w:w="0" w:type="dxa"/>
          <w:right w:w="0" w:type="dxa"/>
        </w:tblCellMar>
        <w:tblLook w:val="01E0"/>
      </w:tblPr>
      <w:tblGrid>
        <w:gridCol w:w="2943"/>
        <w:gridCol w:w="1838"/>
        <w:gridCol w:w="2612"/>
        <w:gridCol w:w="2115"/>
      </w:tblGrid>
      <w:tr>
        <w:trPr>
          <w:trHeight w:val="348" w:hRule="exact"/>
        </w:trPr>
        <w:tc>
          <w:tcPr>
            <w:tcW w:w="29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8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6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1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上期期末余额</w:t>
            </w:r>
          </w:p>
        </w:tc>
      </w:tr>
      <w:tr>
        <w:trPr>
          <w:trHeight w:val="425" w:hRule="exact"/>
        </w:trPr>
        <w:tc>
          <w:tcPr>
            <w:tcW w:w="294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2"/>
              <w:ind w:left="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72"/>
              <w:jc w:val="right"/>
              <w:rPr>
                <w:rFonts w:ascii="Times New Roman" w:hAnsi="Times New Roman" w:cs="Times New Roman" w:eastAsia="Times New Roman" w:hint="default"/>
                <w:sz w:val="18"/>
                <w:szCs w:val="18"/>
              </w:rPr>
            </w:pPr>
            <w:r>
              <w:rPr>
                <w:rFonts w:ascii="Times New Roman"/>
                <w:spacing w:val="-1"/>
                <w:sz w:val="18"/>
              </w:rPr>
              <w:t>980,730.00</w:t>
            </w:r>
          </w:p>
        </w:tc>
        <w:tc>
          <w:tcPr>
            <w:tcW w:w="2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6,486,094.72</w:t>
            </w:r>
          </w:p>
        </w:tc>
        <w:tc>
          <w:tcPr>
            <w:tcW w:w="2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w:t>
            </w:r>
          </w:p>
        </w:tc>
      </w:tr>
      <w:tr>
        <w:trPr>
          <w:trHeight w:val="430" w:hRule="exact"/>
        </w:trPr>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72"/>
              <w:jc w:val="right"/>
              <w:rPr>
                <w:rFonts w:ascii="Times New Roman" w:hAnsi="Times New Roman" w:cs="Times New Roman" w:eastAsia="Times New Roman" w:hint="default"/>
                <w:sz w:val="18"/>
                <w:szCs w:val="18"/>
              </w:rPr>
            </w:pPr>
            <w:r>
              <w:rPr>
                <w:rFonts w:ascii="Times New Roman"/>
                <w:spacing w:val="-1"/>
                <w:sz w:val="18"/>
              </w:rPr>
              <w:t>980,730.00</w:t>
            </w:r>
          </w:p>
        </w:tc>
        <w:tc>
          <w:tcPr>
            <w:tcW w:w="2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6,486,094.72</w:t>
            </w:r>
          </w:p>
        </w:tc>
        <w:tc>
          <w:tcPr>
            <w:tcW w:w="2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b/>
          <w:bCs/>
          <w:sz w:val="21"/>
          <w:szCs w:val="21"/>
        </w:rPr>
      </w:pPr>
    </w:p>
    <w:p>
      <w:pPr>
        <w:pStyle w:val="Heading4"/>
        <w:spacing w:line="240" w:lineRule="auto" w:before="44"/>
        <w:ind w:left="152" w:right="1133"/>
        <w:jc w:val="left"/>
        <w:rPr>
          <w:b w:val="0"/>
          <w:bCs w:val="0"/>
        </w:rPr>
      </w:pPr>
      <w:r>
        <w:rPr>
          <w:rFonts w:ascii="Times New Roman" w:hAnsi="Times New Roman" w:cs="Times New Roman" w:eastAsia="Times New Roman" w:hint="default"/>
        </w:rPr>
        <w:t>1.</w:t>
      </w:r>
      <w:r>
        <w:rPr/>
        <w:t>期末公司已背书或贴现且资产负债表日尚未到期的应收票据</w:t>
      </w:r>
      <w:r>
        <w:rPr>
          <w:b w:val="0"/>
          <w:bCs w:val="0"/>
        </w:rPr>
      </w:r>
    </w:p>
    <w:p>
      <w:pPr>
        <w:spacing w:line="240" w:lineRule="auto" w:before="1"/>
        <w:rPr>
          <w:rFonts w:ascii="宋体" w:hAnsi="宋体" w:cs="宋体" w:eastAsia="宋体" w:hint="default"/>
          <w:b/>
          <w:bCs/>
          <w:sz w:val="5"/>
          <w:szCs w:val="5"/>
        </w:rPr>
      </w:pPr>
    </w:p>
    <w:tbl>
      <w:tblPr>
        <w:tblW w:w="0" w:type="auto"/>
        <w:jc w:val="left"/>
        <w:tblInd w:w="258" w:type="dxa"/>
        <w:tblLayout w:type="fixed"/>
        <w:tblCellMar>
          <w:top w:w="0" w:type="dxa"/>
          <w:left w:w="0" w:type="dxa"/>
          <w:bottom w:w="0" w:type="dxa"/>
          <w:right w:w="0" w:type="dxa"/>
        </w:tblCellMar>
        <w:tblLook w:val="01E0"/>
      </w:tblPr>
      <w:tblGrid>
        <w:gridCol w:w="3107"/>
        <w:gridCol w:w="3231"/>
        <w:gridCol w:w="3166"/>
      </w:tblGrid>
      <w:tr>
        <w:trPr>
          <w:trHeight w:val="334" w:hRule="exact"/>
        </w:trPr>
        <w:tc>
          <w:tcPr>
            <w:tcW w:w="310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887"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765"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348" w:hRule="exact"/>
        </w:trPr>
        <w:tc>
          <w:tcPr>
            <w:tcW w:w="310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11,842,076.00</w:t>
            </w: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r>
      <w:tr>
        <w:trPr>
          <w:trHeight w:val="346" w:hRule="exact"/>
        </w:trPr>
        <w:tc>
          <w:tcPr>
            <w:tcW w:w="3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130,000.00</w:t>
            </w: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r>
      <w:tr>
        <w:trPr>
          <w:trHeight w:val="348" w:hRule="exact"/>
        </w:trPr>
        <w:tc>
          <w:tcPr>
            <w:tcW w:w="3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11,972,076.00</w:t>
            </w: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r>
    </w:tbl>
    <w:p>
      <w:pPr>
        <w:pStyle w:val="Heading4"/>
        <w:spacing w:line="240" w:lineRule="auto" w:before="8"/>
        <w:ind w:left="152" w:right="1133"/>
        <w:jc w:val="left"/>
        <w:rPr>
          <w:b w:val="0"/>
          <w:bCs w:val="0"/>
        </w:rPr>
      </w:pPr>
      <w:r>
        <w:rPr/>
        <w:t>（二）应收账款保理融资</w:t>
      </w:r>
      <w:r>
        <w:rPr>
          <w:b w:val="0"/>
          <w:bCs w:val="0"/>
        </w:rPr>
      </w:r>
    </w:p>
    <w:p>
      <w:pPr>
        <w:pStyle w:val="Heading4"/>
        <w:spacing w:line="240" w:lineRule="auto" w:before="76"/>
        <w:ind w:left="152" w:right="1133"/>
        <w:jc w:val="left"/>
        <w:rPr>
          <w:b w:val="0"/>
          <w:bCs w:val="0"/>
        </w:rPr>
      </w:pPr>
      <w:r>
        <w:rPr>
          <w:rFonts w:ascii="Times New Roman" w:hAnsi="Times New Roman" w:cs="Times New Roman" w:eastAsia="Times New Roman" w:hint="default"/>
        </w:rPr>
        <w:t>1.</w:t>
      </w:r>
      <w:r>
        <w:rPr/>
        <w:t>按账龄披露</w:t>
      </w:r>
      <w:r>
        <w:rPr>
          <w:b w:val="0"/>
          <w:bCs w:val="0"/>
        </w:rPr>
      </w:r>
    </w:p>
    <w:p>
      <w:pPr>
        <w:spacing w:line="240" w:lineRule="auto" w:before="9"/>
        <w:rPr>
          <w:rFonts w:ascii="宋体" w:hAnsi="宋体" w:cs="宋体" w:eastAsia="宋体" w:hint="default"/>
          <w:b/>
          <w:bCs/>
          <w:sz w:val="5"/>
          <w:szCs w:val="5"/>
        </w:rPr>
      </w:pPr>
    </w:p>
    <w:tbl>
      <w:tblPr>
        <w:tblW w:w="0" w:type="auto"/>
        <w:jc w:val="left"/>
        <w:tblInd w:w="258" w:type="dxa"/>
        <w:tblLayout w:type="fixed"/>
        <w:tblCellMar>
          <w:top w:w="0" w:type="dxa"/>
          <w:left w:w="0" w:type="dxa"/>
          <w:bottom w:w="0" w:type="dxa"/>
          <w:right w:w="0" w:type="dxa"/>
        </w:tblCellMar>
        <w:tblLook w:val="01E0"/>
      </w:tblPr>
      <w:tblGrid>
        <w:gridCol w:w="2922"/>
        <w:gridCol w:w="2244"/>
        <w:gridCol w:w="2174"/>
        <w:gridCol w:w="2175"/>
      </w:tblGrid>
      <w:tr>
        <w:trPr>
          <w:trHeight w:val="329" w:hRule="exact"/>
        </w:trPr>
        <w:tc>
          <w:tcPr>
            <w:tcW w:w="29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2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7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542" w:right="0"/>
              <w:jc w:val="left"/>
              <w:rPr>
                <w:rFonts w:ascii="宋体" w:hAnsi="宋体" w:cs="宋体" w:eastAsia="宋体" w:hint="default"/>
                <w:sz w:val="18"/>
                <w:szCs w:val="18"/>
              </w:rPr>
            </w:pPr>
            <w:r>
              <w:rPr>
                <w:rFonts w:ascii="宋体" w:hAnsi="宋体" w:cs="宋体" w:eastAsia="宋体" w:hint="default"/>
                <w:sz w:val="18"/>
                <w:szCs w:val="18"/>
              </w:rPr>
              <w:t>上期期末余额</w:t>
            </w:r>
          </w:p>
        </w:tc>
      </w:tr>
      <w:tr>
        <w:trPr>
          <w:trHeight w:val="346" w:hRule="exact"/>
        </w:trPr>
        <w:tc>
          <w:tcPr>
            <w:tcW w:w="292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4,358,014.00</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1,066,150.00</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8" w:hRule="exact"/>
        </w:trPr>
        <w:tc>
          <w:tcPr>
            <w:tcW w:w="2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4,358,014.00</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1,066,150.00</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8" w:hRule="exact"/>
        </w:trPr>
        <w:tc>
          <w:tcPr>
            <w:tcW w:w="2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减：坏账准备</w:t>
            </w:r>
          </w:p>
        </w:tc>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217,900.70</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53,307.50</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6" w:hRule="exact"/>
        </w:trPr>
        <w:tc>
          <w:tcPr>
            <w:tcW w:w="2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4,140,113.30</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1,012,842.50</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spacing w:line="240" w:lineRule="auto" w:before="1"/>
        <w:rPr>
          <w:rFonts w:ascii="宋体" w:hAnsi="宋体" w:cs="宋体" w:eastAsia="宋体" w:hint="default"/>
          <w:b/>
          <w:bCs/>
          <w:sz w:val="21"/>
          <w:szCs w:val="21"/>
        </w:rPr>
      </w:pPr>
    </w:p>
    <w:p>
      <w:pPr>
        <w:pStyle w:val="Heading4"/>
        <w:spacing w:line="240" w:lineRule="auto" w:before="44"/>
        <w:ind w:left="152" w:right="1133"/>
        <w:jc w:val="left"/>
        <w:rPr>
          <w:b w:val="0"/>
          <w:bCs w:val="0"/>
        </w:rPr>
      </w:pPr>
      <w:r>
        <w:rPr>
          <w:rFonts w:ascii="Times New Roman" w:hAnsi="Times New Roman" w:cs="Times New Roman" w:eastAsia="Times New Roman" w:hint="default"/>
        </w:rPr>
        <w:t>2.</w:t>
      </w:r>
      <w:r>
        <w:rPr/>
        <w:t>按坏账准备计提方法分类披露</w:t>
      </w:r>
      <w:r>
        <w:rPr>
          <w:b w:val="0"/>
          <w:bCs w:val="0"/>
        </w:rPr>
      </w:r>
    </w:p>
    <w:p>
      <w:pPr>
        <w:spacing w:line="240" w:lineRule="auto" w:before="7"/>
        <w:rPr>
          <w:rFonts w:ascii="宋体" w:hAnsi="宋体" w:cs="宋体" w:eastAsia="宋体" w:hint="default"/>
          <w:b/>
          <w:bCs/>
          <w:sz w:val="4"/>
          <w:szCs w:val="4"/>
        </w:rPr>
      </w:pPr>
    </w:p>
    <w:tbl>
      <w:tblPr>
        <w:tblW w:w="0" w:type="auto"/>
        <w:jc w:val="left"/>
        <w:tblInd w:w="287" w:type="dxa"/>
        <w:tblLayout w:type="fixed"/>
        <w:tblCellMar>
          <w:top w:w="0" w:type="dxa"/>
          <w:left w:w="0" w:type="dxa"/>
          <w:bottom w:w="0" w:type="dxa"/>
          <w:right w:w="0" w:type="dxa"/>
        </w:tblCellMar>
        <w:tblLook w:val="01E0"/>
      </w:tblPr>
      <w:tblGrid>
        <w:gridCol w:w="2376"/>
        <w:gridCol w:w="1767"/>
        <w:gridCol w:w="963"/>
        <w:gridCol w:w="1637"/>
        <w:gridCol w:w="1093"/>
        <w:gridCol w:w="1637"/>
      </w:tblGrid>
      <w:tr>
        <w:trPr>
          <w:trHeight w:val="343" w:hRule="exact"/>
        </w:trPr>
        <w:tc>
          <w:tcPr>
            <w:tcW w:w="237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7096" w:type="dxa"/>
            <w:gridSpan w:val="5"/>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8" w:hRule="exact"/>
        </w:trPr>
        <w:tc>
          <w:tcPr>
            <w:tcW w:w="2376" w:type="dxa"/>
            <w:vMerge/>
            <w:tcBorders>
              <w:left w:val="single" w:sz="6" w:space="0" w:color="000000"/>
              <w:right w:val="single" w:sz="6" w:space="0" w:color="000000"/>
            </w:tcBorders>
            <w:shd w:val="clear" w:color="auto" w:fill="D9D9D9"/>
          </w:tcPr>
          <w:p>
            <w:pPr/>
          </w:p>
        </w:tc>
        <w:tc>
          <w:tcPr>
            <w:tcW w:w="2730"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29"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637"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7"/>
              <w:ind w:left="453" w:right="0"/>
              <w:jc w:val="left"/>
              <w:rPr>
                <w:rFonts w:ascii="宋体" w:hAnsi="宋体" w:cs="宋体" w:eastAsia="宋体" w:hint="default"/>
                <w:sz w:val="18"/>
                <w:szCs w:val="18"/>
              </w:rPr>
            </w:pPr>
            <w:r>
              <w:rPr>
                <w:rFonts w:ascii="宋体" w:hAnsi="宋体" w:cs="宋体" w:eastAsia="宋体" w:hint="default"/>
                <w:sz w:val="18"/>
                <w:szCs w:val="18"/>
              </w:rPr>
              <w:t>账面价值</w:t>
            </w:r>
          </w:p>
          <w:p>
            <w:pPr>
              <w:pStyle w:val="TableParagraph"/>
              <w:spacing w:line="240" w:lineRule="auto" w:before="112"/>
              <w:ind w:left="-109"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46" w:hRule="exact"/>
        </w:trPr>
        <w:tc>
          <w:tcPr>
            <w:tcW w:w="2376" w:type="dxa"/>
            <w:vMerge/>
            <w:tcBorders>
              <w:left w:val="single" w:sz="6" w:space="0" w:color="000000"/>
              <w:bottom w:val="single" w:sz="6" w:space="0" w:color="000000"/>
              <w:right w:val="single" w:sz="6" w:space="0" w:color="000000"/>
            </w:tcBorders>
            <w:shd w:val="clear" w:color="auto" w:fill="D9D9D9"/>
          </w:tcPr>
          <w:p>
            <w:pPr/>
          </w:p>
        </w:tc>
        <w:tc>
          <w:tcPr>
            <w:tcW w:w="17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39"/>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6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计提比例（</w:t>
            </w:r>
            <w:r>
              <w:rPr>
                <w:rFonts w:ascii="Times New Roman" w:hAnsi="Times New Roman" w:cs="Times New Roman" w:eastAsia="Times New Roman" w:hint="default"/>
                <w:spacing w:val="-12"/>
                <w:sz w:val="18"/>
                <w:szCs w:val="18"/>
              </w:rPr>
              <w:t>%</w:t>
            </w:r>
          </w:p>
        </w:tc>
        <w:tc>
          <w:tcPr>
            <w:tcW w:w="1637" w:type="dxa"/>
            <w:vMerge/>
            <w:tcBorders>
              <w:left w:val="single" w:sz="6" w:space="0" w:color="000000"/>
              <w:bottom w:val="single" w:sz="6" w:space="0" w:color="000000"/>
              <w:right w:val="single" w:sz="6" w:space="0" w:color="000000"/>
            </w:tcBorders>
            <w:shd w:val="clear" w:color="auto" w:fill="D9D9D9"/>
          </w:tcPr>
          <w:p>
            <w:pPr/>
          </w:p>
        </w:tc>
      </w:tr>
      <w:tr>
        <w:trPr>
          <w:trHeight w:val="660"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z w:val="18"/>
                <w:szCs w:val="18"/>
              </w:rPr>
              <w:t>单项计提预期信用损失的其他</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应收款</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65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z w:val="18"/>
                <w:szCs w:val="18"/>
              </w:rPr>
              <w:t>按组合计提预期信用损失的其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他应收款</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4,358,014.00</w:t>
            </w:r>
          </w:p>
        </w:tc>
        <w:tc>
          <w:tcPr>
            <w:tcW w:w="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217,900.70</w:t>
            </w: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5.00</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4,140,113.30</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其中：账龄组合</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4,358,014.00</w:t>
            </w:r>
          </w:p>
        </w:tc>
        <w:tc>
          <w:tcPr>
            <w:tcW w:w="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217,900.70</w:t>
            </w: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5.00</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4,140,113.30</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4,358,014.00</w:t>
            </w:r>
          </w:p>
        </w:tc>
        <w:tc>
          <w:tcPr>
            <w:tcW w:w="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217,900.70</w:t>
            </w: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5.00</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4,140,113.30</w:t>
            </w:r>
          </w:p>
        </w:tc>
      </w:tr>
    </w:tbl>
    <w:p>
      <w:pPr>
        <w:pStyle w:val="BodyText"/>
        <w:spacing w:line="240" w:lineRule="auto" w:before="8"/>
        <w:ind w:right="1133"/>
        <w:jc w:val="left"/>
      </w:pPr>
      <w:r>
        <w:rPr/>
        <w:t>续：</w:t>
      </w:r>
    </w:p>
    <w:p>
      <w:pPr>
        <w:spacing w:line="240" w:lineRule="auto" w:before="3"/>
        <w:rPr>
          <w:rFonts w:ascii="宋体" w:hAnsi="宋体" w:cs="宋体" w:eastAsia="宋体" w:hint="default"/>
          <w:sz w:val="5"/>
          <w:szCs w:val="5"/>
        </w:rPr>
      </w:pPr>
    </w:p>
    <w:tbl>
      <w:tblPr>
        <w:tblW w:w="0" w:type="auto"/>
        <w:jc w:val="left"/>
        <w:tblInd w:w="292" w:type="dxa"/>
        <w:tblLayout w:type="fixed"/>
        <w:tblCellMar>
          <w:top w:w="0" w:type="dxa"/>
          <w:left w:w="0" w:type="dxa"/>
          <w:bottom w:w="0" w:type="dxa"/>
          <w:right w:w="0" w:type="dxa"/>
        </w:tblCellMar>
        <w:tblLook w:val="01E0"/>
      </w:tblPr>
      <w:tblGrid>
        <w:gridCol w:w="2366"/>
        <w:gridCol w:w="1762"/>
        <w:gridCol w:w="963"/>
        <w:gridCol w:w="1634"/>
        <w:gridCol w:w="1090"/>
        <w:gridCol w:w="1666"/>
      </w:tblGrid>
      <w:tr>
        <w:trPr>
          <w:trHeight w:val="346" w:hRule="exact"/>
        </w:trPr>
        <w:tc>
          <w:tcPr>
            <w:tcW w:w="236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7115" w:type="dxa"/>
            <w:gridSpan w:val="5"/>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8" w:hRule="exact"/>
        </w:trPr>
        <w:tc>
          <w:tcPr>
            <w:tcW w:w="2366" w:type="dxa"/>
            <w:vMerge/>
            <w:tcBorders>
              <w:left w:val="single" w:sz="6" w:space="0" w:color="000000"/>
              <w:right w:val="single" w:sz="6" w:space="0" w:color="000000"/>
            </w:tcBorders>
            <w:shd w:val="clear" w:color="auto" w:fill="D9D9D9"/>
          </w:tcPr>
          <w:p>
            <w:pPr/>
          </w:p>
        </w:tc>
        <w:tc>
          <w:tcPr>
            <w:tcW w:w="2725"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25"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66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账面价值</w:t>
            </w:r>
          </w:p>
          <w:p>
            <w:pPr>
              <w:pStyle w:val="TableParagraph"/>
              <w:spacing w:line="240" w:lineRule="auto" w:before="110"/>
              <w:ind w:left="-109"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46" w:hRule="exact"/>
        </w:trPr>
        <w:tc>
          <w:tcPr>
            <w:tcW w:w="2366" w:type="dxa"/>
            <w:vMerge/>
            <w:tcBorders>
              <w:left w:val="single" w:sz="6" w:space="0" w:color="000000"/>
              <w:bottom w:val="single" w:sz="6" w:space="0" w:color="000000"/>
              <w:right w:val="single" w:sz="6" w:space="0" w:color="000000"/>
            </w:tcBorders>
            <w:shd w:val="clear" w:color="auto" w:fill="D9D9D9"/>
          </w:tcPr>
          <w:p>
            <w:pPr/>
          </w:p>
        </w:tc>
        <w:tc>
          <w:tcPr>
            <w:tcW w:w="17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39"/>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6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计提比例（</w:t>
            </w:r>
            <w:r>
              <w:rPr>
                <w:rFonts w:ascii="Times New Roman" w:hAnsi="Times New Roman" w:cs="Times New Roman" w:eastAsia="Times New Roman" w:hint="default"/>
                <w:spacing w:val="-12"/>
                <w:sz w:val="18"/>
                <w:szCs w:val="18"/>
              </w:rPr>
              <w:t>%</w:t>
            </w:r>
          </w:p>
        </w:tc>
        <w:tc>
          <w:tcPr>
            <w:tcW w:w="1666" w:type="dxa"/>
            <w:vMerge/>
            <w:tcBorders>
              <w:left w:val="single" w:sz="6" w:space="0" w:color="000000"/>
              <w:bottom w:val="single" w:sz="6" w:space="0" w:color="000000"/>
              <w:right w:val="single" w:sz="6" w:space="0" w:color="000000"/>
            </w:tcBorders>
            <w:shd w:val="clear" w:color="auto" w:fill="D9D9D9"/>
          </w:tcPr>
          <w:p>
            <w:pPr/>
          </w:p>
        </w:tc>
      </w:tr>
      <w:tr>
        <w:trPr>
          <w:trHeight w:val="661" w:hRule="exact"/>
        </w:trPr>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单项计提预期信用损失的其他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应收款</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660" w:hRule="exact"/>
        </w:trPr>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按组合计提预期信用损失的其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他应收款</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1,066,150.00</w:t>
            </w:r>
          </w:p>
        </w:tc>
        <w:tc>
          <w:tcPr>
            <w:tcW w:w="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53,307.50</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5.00</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1,012,842.50</w:t>
            </w:r>
          </w:p>
        </w:tc>
      </w:tr>
      <w:tr>
        <w:trPr>
          <w:trHeight w:val="346" w:hRule="exact"/>
        </w:trPr>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其中：账龄组合</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1,066,150.00</w:t>
            </w:r>
          </w:p>
        </w:tc>
        <w:tc>
          <w:tcPr>
            <w:tcW w:w="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53,307.50</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5.00</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1,012,842.50</w:t>
            </w:r>
          </w:p>
        </w:tc>
      </w:tr>
      <w:tr>
        <w:trPr>
          <w:trHeight w:val="348" w:hRule="exact"/>
        </w:trPr>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1,066,150.00</w:t>
            </w:r>
          </w:p>
        </w:tc>
        <w:tc>
          <w:tcPr>
            <w:tcW w:w="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53,307.50</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5.00</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1,012,842.50</w:t>
            </w:r>
          </w:p>
        </w:tc>
      </w:tr>
    </w:tbl>
    <w:p>
      <w:pPr>
        <w:spacing w:line="240" w:lineRule="auto" w:before="1"/>
        <w:rPr>
          <w:rFonts w:ascii="宋体" w:hAnsi="宋体" w:cs="宋体" w:eastAsia="宋体" w:hint="default"/>
          <w:sz w:val="21"/>
          <w:szCs w:val="21"/>
        </w:rPr>
      </w:pPr>
    </w:p>
    <w:p>
      <w:pPr>
        <w:pStyle w:val="Heading4"/>
        <w:spacing w:line="240" w:lineRule="auto" w:before="44"/>
        <w:ind w:left="152" w:right="1133"/>
        <w:jc w:val="left"/>
        <w:rPr>
          <w:b w:val="0"/>
          <w:bCs w:val="0"/>
        </w:rPr>
      </w:pPr>
      <w:r>
        <w:rPr>
          <w:rFonts w:ascii="Times New Roman" w:hAnsi="Times New Roman" w:cs="Times New Roman" w:eastAsia="Times New Roman" w:hint="default"/>
        </w:rPr>
        <w:t>3.</w:t>
      </w:r>
      <w:r>
        <w:rPr/>
        <w:t>按组合计提预期信用损失的应收账款保理融资</w:t>
      </w:r>
      <w:r>
        <w:rPr>
          <w:b w:val="0"/>
          <w:bCs w:val="0"/>
        </w:rPr>
      </w:r>
    </w:p>
    <w:p>
      <w:pPr>
        <w:spacing w:line="240" w:lineRule="auto" w:before="2"/>
        <w:rPr>
          <w:rFonts w:ascii="宋体" w:hAnsi="宋体" w:cs="宋体" w:eastAsia="宋体" w:hint="default"/>
          <w:b/>
          <w:bCs/>
          <w:sz w:val="4"/>
          <w:szCs w:val="4"/>
        </w:rPr>
      </w:pPr>
    </w:p>
    <w:tbl>
      <w:tblPr>
        <w:tblW w:w="0" w:type="auto"/>
        <w:jc w:val="left"/>
        <w:tblInd w:w="287" w:type="dxa"/>
        <w:tblLayout w:type="fixed"/>
        <w:tblCellMar>
          <w:top w:w="0" w:type="dxa"/>
          <w:left w:w="0" w:type="dxa"/>
          <w:bottom w:w="0" w:type="dxa"/>
          <w:right w:w="0" w:type="dxa"/>
        </w:tblCellMar>
        <w:tblLook w:val="01E0"/>
      </w:tblPr>
      <w:tblGrid>
        <w:gridCol w:w="2729"/>
        <w:gridCol w:w="6740"/>
      </w:tblGrid>
      <w:tr>
        <w:trPr>
          <w:trHeight w:val="342" w:hRule="exact"/>
        </w:trPr>
        <w:tc>
          <w:tcPr>
            <w:tcW w:w="27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67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287" w:type="dxa"/>
        <w:tblLayout w:type="fixed"/>
        <w:tblCellMar>
          <w:top w:w="0" w:type="dxa"/>
          <w:left w:w="0" w:type="dxa"/>
          <w:bottom w:w="0" w:type="dxa"/>
          <w:right w:w="0" w:type="dxa"/>
        </w:tblCellMar>
        <w:tblLook w:val="01E0"/>
      </w:tblPr>
      <w:tblGrid>
        <w:gridCol w:w="2729"/>
        <w:gridCol w:w="2246"/>
        <w:gridCol w:w="2247"/>
        <w:gridCol w:w="2247"/>
      </w:tblGrid>
      <w:tr>
        <w:trPr>
          <w:trHeight w:val="348" w:hRule="exact"/>
        </w:trPr>
        <w:tc>
          <w:tcPr>
            <w:tcW w:w="2729"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22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4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24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99"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6" w:hRule="exact"/>
        </w:trPr>
        <w:tc>
          <w:tcPr>
            <w:tcW w:w="2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4,358,014.00</w:t>
            </w:r>
          </w:p>
        </w:tc>
        <w:tc>
          <w:tcPr>
            <w:tcW w:w="2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217,900.70</w:t>
            </w:r>
          </w:p>
        </w:tc>
        <w:tc>
          <w:tcPr>
            <w:tcW w:w="2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5.00</w:t>
            </w:r>
          </w:p>
        </w:tc>
      </w:tr>
      <w:tr>
        <w:trPr>
          <w:trHeight w:val="348" w:hRule="exact"/>
        </w:trPr>
        <w:tc>
          <w:tcPr>
            <w:tcW w:w="2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4,358,014.00</w:t>
            </w:r>
          </w:p>
        </w:tc>
        <w:tc>
          <w:tcPr>
            <w:tcW w:w="2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217,900.70</w:t>
            </w:r>
          </w:p>
        </w:tc>
        <w:tc>
          <w:tcPr>
            <w:tcW w:w="2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5.00</w:t>
            </w:r>
          </w:p>
        </w:tc>
      </w:tr>
    </w:tbl>
    <w:p>
      <w:pPr>
        <w:spacing w:line="240" w:lineRule="auto" w:before="1"/>
        <w:rPr>
          <w:rFonts w:ascii="宋体" w:hAnsi="宋体" w:cs="宋体" w:eastAsia="宋体" w:hint="default"/>
          <w:b/>
          <w:bCs/>
          <w:sz w:val="21"/>
          <w:szCs w:val="21"/>
        </w:rPr>
      </w:pPr>
    </w:p>
    <w:p>
      <w:pPr>
        <w:pStyle w:val="Heading4"/>
        <w:spacing w:line="240" w:lineRule="auto" w:before="44"/>
        <w:ind w:left="152" w:right="1133"/>
        <w:jc w:val="left"/>
        <w:rPr>
          <w:b w:val="0"/>
          <w:bCs w:val="0"/>
        </w:rPr>
      </w:pPr>
      <w:r>
        <w:rPr>
          <w:rFonts w:ascii="Times New Roman" w:hAnsi="Times New Roman" w:cs="Times New Roman" w:eastAsia="Times New Roman" w:hint="default"/>
        </w:rPr>
        <w:t>4.</w:t>
      </w:r>
      <w:r>
        <w:rPr/>
        <w:t>应收账款保理融资坏账准备计提情况</w:t>
      </w:r>
      <w:r>
        <w:rPr>
          <w:b w:val="0"/>
          <w:bCs w:val="0"/>
        </w:rPr>
      </w:r>
    </w:p>
    <w:p>
      <w:pPr>
        <w:spacing w:line="240" w:lineRule="auto" w:before="2"/>
        <w:rPr>
          <w:rFonts w:ascii="宋体" w:hAnsi="宋体" w:cs="宋体" w:eastAsia="宋体" w:hint="default"/>
          <w:b/>
          <w:bCs/>
          <w:sz w:val="4"/>
          <w:szCs w:val="4"/>
        </w:rPr>
      </w:pPr>
    </w:p>
    <w:tbl>
      <w:tblPr>
        <w:tblW w:w="0" w:type="auto"/>
        <w:jc w:val="left"/>
        <w:tblInd w:w="287" w:type="dxa"/>
        <w:tblLayout w:type="fixed"/>
        <w:tblCellMar>
          <w:top w:w="0" w:type="dxa"/>
          <w:left w:w="0" w:type="dxa"/>
          <w:bottom w:w="0" w:type="dxa"/>
          <w:right w:w="0" w:type="dxa"/>
        </w:tblCellMar>
        <w:tblLook w:val="01E0"/>
      </w:tblPr>
      <w:tblGrid>
        <w:gridCol w:w="1579"/>
        <w:gridCol w:w="1606"/>
        <w:gridCol w:w="2249"/>
        <w:gridCol w:w="2410"/>
        <w:gridCol w:w="1610"/>
      </w:tblGrid>
      <w:tr>
        <w:trPr>
          <w:trHeight w:val="348" w:hRule="exact"/>
        </w:trPr>
        <w:tc>
          <w:tcPr>
            <w:tcW w:w="1579"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7"/>
              <w:ind w:left="4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34"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2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4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61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658" w:hRule="exact"/>
        </w:trPr>
        <w:tc>
          <w:tcPr>
            <w:tcW w:w="1579" w:type="dxa"/>
            <w:vMerge/>
            <w:tcBorders>
              <w:left w:val="single" w:sz="6" w:space="0" w:color="000000"/>
              <w:bottom w:val="single" w:sz="6" w:space="0" w:color="000000"/>
              <w:right w:val="single" w:sz="6" w:space="0" w:color="000000"/>
            </w:tcBorders>
            <w:shd w:val="clear" w:color="auto" w:fill="D9D9D9"/>
          </w:tcPr>
          <w:p>
            <w:pPr/>
          </w:p>
        </w:tc>
        <w:tc>
          <w:tcPr>
            <w:tcW w:w="16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0" w:lineRule="auto" w:before="17"/>
              <w:ind w:left="525" w:right="74" w:hanging="452"/>
              <w:jc w:val="left"/>
              <w:rPr>
                <w:rFonts w:ascii="宋体" w:hAnsi="宋体" w:cs="宋体" w:eastAsia="宋体" w:hint="default"/>
                <w:sz w:val="18"/>
                <w:szCs w:val="18"/>
              </w:rPr>
            </w:pPr>
            <w:r>
              <w:rPr>
                <w:rFonts w:ascii="宋体" w:hAnsi="宋体" w:cs="宋体" w:eastAsia="宋体" w:hint="default"/>
                <w:sz w:val="18"/>
                <w:szCs w:val="18"/>
              </w:rPr>
              <w:t>未来</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个月预期信 用损失</w:t>
            </w:r>
          </w:p>
        </w:tc>
        <w:tc>
          <w:tcPr>
            <w:tcW w:w="22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0" w:lineRule="auto" w:before="17"/>
              <w:ind w:left="549" w:right="2"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整个存续期预期信用损失</w:t>
            </w:r>
            <w:r>
              <w:rPr>
                <w:rFonts w:ascii="Times New Roman" w:hAnsi="Times New Roman" w:cs="Times New Roman" w:eastAsia="Times New Roman" w:hint="default"/>
                <w:sz w:val="18"/>
                <w:szCs w:val="18"/>
              </w:rPr>
              <w:t>(</w:t>
            </w:r>
            <w:r>
              <w:rPr>
                <w:rFonts w:ascii="宋体" w:hAnsi="宋体" w:cs="宋体" w:eastAsia="宋体" w:hint="default"/>
                <w:sz w:val="18"/>
                <w:szCs w:val="18"/>
              </w:rPr>
              <w:t>未 发生信用减值</w:t>
            </w:r>
            <w:r>
              <w:rPr>
                <w:rFonts w:ascii="Times New Roman" w:hAnsi="Times New Roman" w:cs="Times New Roman" w:eastAsia="Times New Roman" w:hint="default"/>
                <w:sz w:val="18"/>
                <w:szCs w:val="18"/>
              </w:rPr>
              <w:t>)</w:t>
            </w:r>
          </w:p>
        </w:tc>
        <w:tc>
          <w:tcPr>
            <w:tcW w:w="24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0" w:lineRule="auto" w:before="17"/>
              <w:ind w:left="628" w:right="84"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整个存续期预期信用损失</w:t>
            </w:r>
            <w:r>
              <w:rPr>
                <w:rFonts w:ascii="Times New Roman" w:hAnsi="Times New Roman" w:cs="Times New Roman" w:eastAsia="Times New Roman" w:hint="default"/>
                <w:sz w:val="18"/>
                <w:szCs w:val="18"/>
              </w:rPr>
              <w:t>(</w:t>
            </w:r>
            <w:r>
              <w:rPr>
                <w:rFonts w:ascii="宋体" w:hAnsi="宋体" w:cs="宋体" w:eastAsia="宋体" w:hint="default"/>
                <w:sz w:val="18"/>
                <w:szCs w:val="18"/>
              </w:rPr>
              <w:t>已 发生信用减值</w:t>
            </w:r>
            <w:r>
              <w:rPr>
                <w:rFonts w:ascii="Times New Roman" w:hAnsi="Times New Roman" w:cs="Times New Roman" w:eastAsia="Times New Roman" w:hint="default"/>
                <w:sz w:val="18"/>
                <w:szCs w:val="18"/>
              </w:rPr>
              <w:t>)</w:t>
            </w:r>
          </w:p>
        </w:tc>
        <w:tc>
          <w:tcPr>
            <w:tcW w:w="1610" w:type="dxa"/>
            <w:vMerge/>
            <w:tcBorders>
              <w:left w:val="single" w:sz="6" w:space="0" w:color="000000"/>
              <w:bottom w:val="single" w:sz="6" w:space="0" w:color="000000"/>
              <w:right w:val="single" w:sz="6" w:space="0" w:color="000000"/>
            </w:tcBorders>
            <w:shd w:val="clear" w:color="auto" w:fill="D9D9D9"/>
          </w:tcPr>
          <w:p>
            <w:pPr/>
          </w:p>
        </w:tc>
      </w:tr>
      <w:tr>
        <w:trPr>
          <w:trHeight w:val="348" w:hRule="exact"/>
        </w:trPr>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53,307.50</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53,307.50</w:t>
            </w:r>
          </w:p>
        </w:tc>
      </w:tr>
      <w:tr>
        <w:trPr>
          <w:trHeight w:val="346" w:hRule="exact"/>
        </w:trPr>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164,593.20</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164,593.20</w:t>
            </w:r>
          </w:p>
        </w:tc>
      </w:tr>
      <w:tr>
        <w:trPr>
          <w:trHeight w:val="348" w:hRule="exact"/>
        </w:trPr>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9" w:hRule="exact"/>
        </w:trPr>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217,900.70</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217,900.70</w:t>
            </w:r>
          </w:p>
        </w:tc>
      </w:tr>
    </w:tbl>
    <w:p>
      <w:pPr>
        <w:spacing w:line="240" w:lineRule="auto" w:before="1"/>
        <w:rPr>
          <w:rFonts w:ascii="宋体" w:hAnsi="宋体" w:cs="宋体" w:eastAsia="宋体" w:hint="default"/>
          <w:b/>
          <w:bCs/>
          <w:sz w:val="21"/>
          <w:szCs w:val="21"/>
        </w:rPr>
      </w:pPr>
    </w:p>
    <w:p>
      <w:pPr>
        <w:pStyle w:val="Heading4"/>
        <w:spacing w:line="240" w:lineRule="auto" w:before="44"/>
        <w:ind w:left="152" w:right="1133"/>
        <w:jc w:val="left"/>
        <w:rPr>
          <w:b w:val="0"/>
          <w:bCs w:val="0"/>
        </w:rPr>
      </w:pPr>
      <w:r>
        <w:rPr>
          <w:rFonts w:ascii="Times New Roman" w:hAnsi="Times New Roman" w:cs="Times New Roman" w:eastAsia="Times New Roman" w:hint="default"/>
        </w:rPr>
        <w:t>5.</w:t>
      </w:r>
      <w:r>
        <w:rPr/>
        <w:t>因金融资产转移而终止确认的应收款项</w:t>
      </w:r>
      <w:r>
        <w:rPr>
          <w:b w:val="0"/>
          <w:bCs w:val="0"/>
        </w:rPr>
      </w:r>
    </w:p>
    <w:p>
      <w:pPr>
        <w:spacing w:line="240" w:lineRule="auto" w:before="2"/>
        <w:rPr>
          <w:rFonts w:ascii="宋体" w:hAnsi="宋体" w:cs="宋体" w:eastAsia="宋体" w:hint="default"/>
          <w:b/>
          <w:bCs/>
          <w:sz w:val="4"/>
          <w:szCs w:val="4"/>
        </w:rPr>
      </w:pPr>
    </w:p>
    <w:tbl>
      <w:tblPr>
        <w:tblW w:w="0" w:type="auto"/>
        <w:jc w:val="left"/>
        <w:tblInd w:w="258" w:type="dxa"/>
        <w:tblLayout w:type="fixed"/>
        <w:tblCellMar>
          <w:top w:w="0" w:type="dxa"/>
          <w:left w:w="0" w:type="dxa"/>
          <w:bottom w:w="0" w:type="dxa"/>
          <w:right w:w="0" w:type="dxa"/>
        </w:tblCellMar>
        <w:tblLook w:val="01E0"/>
      </w:tblPr>
      <w:tblGrid>
        <w:gridCol w:w="1599"/>
        <w:gridCol w:w="2715"/>
        <w:gridCol w:w="2076"/>
        <w:gridCol w:w="3037"/>
      </w:tblGrid>
      <w:tr>
        <w:trPr>
          <w:trHeight w:val="329" w:hRule="exact"/>
        </w:trPr>
        <w:tc>
          <w:tcPr>
            <w:tcW w:w="15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1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538"/>
              <w:jc w:val="right"/>
              <w:rPr>
                <w:rFonts w:ascii="宋体" w:hAnsi="宋体" w:cs="宋体" w:eastAsia="宋体" w:hint="default"/>
                <w:sz w:val="18"/>
                <w:szCs w:val="18"/>
              </w:rPr>
            </w:pPr>
            <w:r>
              <w:rPr>
                <w:rFonts w:ascii="宋体" w:hAnsi="宋体" w:cs="宋体" w:eastAsia="宋体" w:hint="default"/>
                <w:sz w:val="18"/>
                <w:szCs w:val="18"/>
              </w:rPr>
              <w:t>金融资产转移的方式</w:t>
            </w:r>
          </w:p>
        </w:tc>
        <w:tc>
          <w:tcPr>
            <w:tcW w:w="20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23" w:right="0"/>
              <w:jc w:val="left"/>
              <w:rPr>
                <w:rFonts w:ascii="宋体" w:hAnsi="宋体" w:cs="宋体" w:eastAsia="宋体" w:hint="default"/>
                <w:sz w:val="18"/>
                <w:szCs w:val="18"/>
              </w:rPr>
            </w:pPr>
            <w:r>
              <w:rPr>
                <w:rFonts w:ascii="宋体" w:hAnsi="宋体" w:cs="宋体" w:eastAsia="宋体" w:hint="default"/>
                <w:sz w:val="18"/>
                <w:szCs w:val="18"/>
              </w:rPr>
              <w:t>本年度终止确认金额</w:t>
            </w:r>
          </w:p>
        </w:tc>
        <w:tc>
          <w:tcPr>
            <w:tcW w:w="30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343"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r>
        <w:trPr>
          <w:trHeight w:val="365" w:hRule="exact"/>
        </w:trPr>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536"/>
              <w:jc w:val="right"/>
              <w:rPr>
                <w:rFonts w:ascii="宋体" w:hAnsi="宋体" w:cs="宋体" w:eastAsia="宋体" w:hint="default"/>
                <w:sz w:val="18"/>
                <w:szCs w:val="18"/>
              </w:rPr>
            </w:pPr>
            <w:r>
              <w:rPr>
                <w:rFonts w:ascii="宋体" w:hAnsi="宋体" w:cs="宋体" w:eastAsia="宋体" w:hint="default"/>
                <w:sz w:val="18"/>
                <w:szCs w:val="18"/>
              </w:rPr>
              <w:t>不附追索权的应收账款保理</w:t>
            </w: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right"/>
              <w:rPr>
                <w:rFonts w:ascii="Times New Roman" w:hAnsi="Times New Roman" w:cs="Times New Roman" w:eastAsia="Times New Roman" w:hint="default"/>
                <w:sz w:val="18"/>
                <w:szCs w:val="18"/>
              </w:rPr>
            </w:pPr>
            <w:r>
              <w:rPr>
                <w:rFonts w:ascii="Times New Roman"/>
                <w:spacing w:val="-1"/>
                <w:sz w:val="18"/>
              </w:rPr>
              <w:t>175,607,251.29</w:t>
            </w:r>
          </w:p>
        </w:tc>
        <w:tc>
          <w:tcPr>
            <w:tcW w:w="3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right"/>
              <w:rPr>
                <w:rFonts w:ascii="Times New Roman" w:hAnsi="Times New Roman" w:cs="Times New Roman" w:eastAsia="Times New Roman" w:hint="default"/>
                <w:sz w:val="18"/>
                <w:szCs w:val="18"/>
              </w:rPr>
            </w:pPr>
            <w:r>
              <w:rPr>
                <w:rFonts w:ascii="Times New Roman"/>
                <w:spacing w:val="-1"/>
                <w:sz w:val="18"/>
              </w:rPr>
              <w:t>-5,266,833.50</w:t>
            </w:r>
          </w:p>
        </w:tc>
      </w:tr>
      <w:tr>
        <w:trPr>
          <w:trHeight w:val="348" w:hRule="exact"/>
        </w:trPr>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15"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175,607,251.29</w:t>
            </w:r>
          </w:p>
        </w:tc>
        <w:tc>
          <w:tcPr>
            <w:tcW w:w="3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-5,266,833.50</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bookmarkStart w:name="7、预付款项" w:id="237"/>
      <w:bookmarkEnd w:id="237"/>
      <w:r>
        <w:rPr>
          <w:b w:val="0"/>
          <w:bCs w:val="0"/>
        </w:rPr>
      </w:r>
      <w:r>
        <w:rPr>
          <w:rFonts w:ascii="Times New Roman" w:hAnsi="Times New Roman" w:cs="Times New Roman" w:eastAsia="Times New Roman" w:hint="default"/>
        </w:rPr>
        <w:t>7</w:t>
      </w:r>
      <w:r>
        <w:rPr/>
        <w:t>、预付款项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预付款项按账龄列示" w:id="238"/>
      <w:bookmarkEnd w:id="238"/>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4"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46,579,658.75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97.90%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21,904,467.19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95.25%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123,698.36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232,279.27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52,952.98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443,280.48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1.93%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825,414.66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416,214.57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47,581,724.75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22,996,241.51</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0"/>
        <w:rPr>
          <w:rFonts w:ascii="宋体" w:hAnsi="宋体" w:cs="宋体" w:eastAsia="宋体" w:hint="default"/>
          <w:sz w:val="26"/>
          <w:szCs w:val="26"/>
        </w:rPr>
      </w:pPr>
    </w:p>
    <w:p>
      <w:pPr>
        <w:pStyle w:val="Heading3"/>
        <w:spacing w:line="240" w:lineRule="auto"/>
        <w:ind w:right="1133"/>
        <w:jc w:val="left"/>
        <w:rPr>
          <w:b w:val="0"/>
          <w:bCs w:val="0"/>
        </w:rPr>
      </w:pPr>
      <w:bookmarkStart w:name="（2）按预付对象归集的期末余额前五名的预付款情况" w:id="239"/>
      <w:bookmarkEnd w:id="239"/>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50" w:type="dxa"/>
        <w:tblLayout w:type="fixed"/>
        <w:tblCellMar>
          <w:top w:w="0" w:type="dxa"/>
          <w:left w:w="0" w:type="dxa"/>
          <w:bottom w:w="0" w:type="dxa"/>
          <w:right w:w="0" w:type="dxa"/>
        </w:tblCellMar>
        <w:tblLook w:val="01E0"/>
      </w:tblPr>
      <w:tblGrid>
        <w:gridCol w:w="2060"/>
        <w:gridCol w:w="1481"/>
        <w:gridCol w:w="2556"/>
        <w:gridCol w:w="1774"/>
        <w:gridCol w:w="1774"/>
      </w:tblGrid>
      <w:tr>
        <w:trPr>
          <w:trHeight w:val="348" w:hRule="exact"/>
        </w:trPr>
        <w:tc>
          <w:tcPr>
            <w:tcW w:w="20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66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37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5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占预付款项余额的比例</w:t>
            </w:r>
            <w:r>
              <w:rPr>
                <w:rFonts w:ascii="Times New Roman" w:hAnsi="Times New Roman" w:cs="Times New Roman" w:eastAsia="Times New Roman" w:hint="default"/>
                <w:sz w:val="18"/>
                <w:szCs w:val="18"/>
              </w:rPr>
              <w:t>(%)</w:t>
            </w:r>
          </w:p>
        </w:tc>
        <w:tc>
          <w:tcPr>
            <w:tcW w:w="17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预付款时间</w:t>
            </w:r>
          </w:p>
        </w:tc>
        <w:tc>
          <w:tcPr>
            <w:tcW w:w="17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29"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48" w:hRule="exact"/>
        </w:trPr>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21,021,844.66</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44.18</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29" w:right="0"/>
              <w:jc w:val="left"/>
              <w:rPr>
                <w:rFonts w:ascii="宋体" w:hAnsi="宋体" w:cs="宋体" w:eastAsia="宋体" w:hint="default"/>
                <w:sz w:val="18"/>
                <w:szCs w:val="18"/>
              </w:rPr>
            </w:pPr>
            <w:r>
              <w:rPr>
                <w:rFonts w:ascii="宋体" w:hAnsi="宋体" w:cs="宋体" w:eastAsia="宋体" w:hint="default"/>
                <w:sz w:val="18"/>
                <w:szCs w:val="18"/>
              </w:rPr>
              <w:t>合同未完成</w:t>
            </w:r>
          </w:p>
        </w:tc>
      </w:tr>
      <w:tr>
        <w:trPr>
          <w:trHeight w:val="346" w:hRule="exact"/>
        </w:trPr>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11,934,328.87</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25.08</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29" w:right="0"/>
              <w:jc w:val="left"/>
              <w:rPr>
                <w:rFonts w:ascii="宋体" w:hAnsi="宋体" w:cs="宋体" w:eastAsia="宋体" w:hint="default"/>
                <w:sz w:val="18"/>
                <w:szCs w:val="18"/>
              </w:rPr>
            </w:pPr>
            <w:r>
              <w:rPr>
                <w:rFonts w:ascii="宋体" w:hAnsi="宋体" w:cs="宋体" w:eastAsia="宋体" w:hint="default"/>
                <w:sz w:val="18"/>
                <w:szCs w:val="18"/>
              </w:rPr>
              <w:t>合同未完成</w:t>
            </w:r>
          </w:p>
        </w:tc>
      </w:tr>
      <w:tr>
        <w:trPr>
          <w:trHeight w:val="348" w:hRule="exact"/>
        </w:trPr>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1,780,727.26</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3.74</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9" w:right="0"/>
              <w:jc w:val="left"/>
              <w:rPr>
                <w:rFonts w:ascii="宋体" w:hAnsi="宋体" w:cs="宋体" w:eastAsia="宋体" w:hint="default"/>
                <w:sz w:val="18"/>
                <w:szCs w:val="18"/>
              </w:rPr>
            </w:pPr>
            <w:r>
              <w:rPr>
                <w:rFonts w:ascii="宋体" w:hAnsi="宋体" w:cs="宋体" w:eastAsia="宋体" w:hint="default"/>
                <w:sz w:val="18"/>
                <w:szCs w:val="18"/>
              </w:rPr>
              <w:t>合同未完成</w:t>
            </w:r>
          </w:p>
        </w:tc>
      </w:tr>
      <w:tr>
        <w:trPr>
          <w:trHeight w:val="346" w:hRule="exact"/>
        </w:trPr>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1,552,296.33</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3.26</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29" w:right="0"/>
              <w:jc w:val="left"/>
              <w:rPr>
                <w:rFonts w:ascii="宋体" w:hAnsi="宋体" w:cs="宋体" w:eastAsia="宋体" w:hint="default"/>
                <w:sz w:val="18"/>
                <w:szCs w:val="18"/>
              </w:rPr>
            </w:pPr>
            <w:r>
              <w:rPr>
                <w:rFonts w:ascii="宋体" w:hAnsi="宋体" w:cs="宋体" w:eastAsia="宋体" w:hint="default"/>
                <w:sz w:val="18"/>
                <w:szCs w:val="18"/>
              </w:rPr>
              <w:t>合同未完成</w:t>
            </w:r>
          </w:p>
        </w:tc>
      </w:tr>
      <w:tr>
        <w:trPr>
          <w:trHeight w:val="348" w:hRule="exact"/>
        </w:trPr>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1,408,652.35</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2.96</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9" w:right="0"/>
              <w:jc w:val="left"/>
              <w:rPr>
                <w:rFonts w:ascii="宋体" w:hAnsi="宋体" w:cs="宋体" w:eastAsia="宋体" w:hint="default"/>
                <w:sz w:val="18"/>
                <w:szCs w:val="18"/>
              </w:rPr>
            </w:pPr>
            <w:r>
              <w:rPr>
                <w:rFonts w:ascii="宋体" w:hAnsi="宋体" w:cs="宋体" w:eastAsia="宋体" w:hint="default"/>
                <w:sz w:val="18"/>
                <w:szCs w:val="18"/>
              </w:rPr>
              <w:t>合同未完成</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50" w:type="dxa"/>
        <w:tblLayout w:type="fixed"/>
        <w:tblCellMar>
          <w:top w:w="0" w:type="dxa"/>
          <w:left w:w="0" w:type="dxa"/>
          <w:bottom w:w="0" w:type="dxa"/>
          <w:right w:w="0" w:type="dxa"/>
        </w:tblCellMar>
        <w:tblLook w:val="01E0"/>
      </w:tblPr>
      <w:tblGrid>
        <w:gridCol w:w="2060"/>
        <w:gridCol w:w="1481"/>
        <w:gridCol w:w="2556"/>
        <w:gridCol w:w="1774"/>
        <w:gridCol w:w="1774"/>
      </w:tblGrid>
      <w:tr>
        <w:trPr>
          <w:trHeight w:val="348" w:hRule="exact"/>
        </w:trPr>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29" w:right="0"/>
              <w:jc w:val="left"/>
              <w:rPr>
                <w:rFonts w:ascii="Times New Roman" w:hAnsi="Times New Roman" w:cs="Times New Roman" w:eastAsia="Times New Roman" w:hint="default"/>
                <w:sz w:val="18"/>
                <w:szCs w:val="18"/>
              </w:rPr>
            </w:pPr>
            <w:r>
              <w:rPr>
                <w:rFonts w:ascii="Times New Roman"/>
                <w:sz w:val="18"/>
              </w:rPr>
              <w:t>37,697,849.47</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79.22</w:t>
            </w:r>
          </w:p>
        </w:tc>
        <w:tc>
          <w:tcPr>
            <w:tcW w:w="1774" w:type="dxa"/>
            <w:tcBorders>
              <w:top w:val="single" w:sz="6" w:space="0" w:color="000000"/>
              <w:left w:val="single" w:sz="6" w:space="0" w:color="000000"/>
              <w:bottom w:val="single" w:sz="6" w:space="0" w:color="000000"/>
              <w:right w:val="single" w:sz="6" w:space="0" w:color="000000"/>
            </w:tcBorders>
          </w:tcPr>
          <w:p>
            <w:pPr/>
          </w:p>
        </w:tc>
        <w:tc>
          <w:tcPr>
            <w:tcW w:w="1774" w:type="dxa"/>
            <w:tcBorders>
              <w:top w:val="single" w:sz="6" w:space="0" w:color="000000"/>
              <w:left w:val="single" w:sz="6" w:space="0" w:color="000000"/>
              <w:bottom w:val="single" w:sz="6" w:space="0" w:color="000000"/>
              <w:right w:val="single" w:sz="6" w:space="0" w:color="000000"/>
            </w:tcBorders>
          </w:tcPr>
          <w:p>
            <w:pPr/>
          </w:p>
        </w:tc>
      </w:tr>
    </w:tbl>
    <w:p>
      <w:pPr>
        <w:pStyle w:val="Heading4"/>
        <w:spacing w:line="240" w:lineRule="auto" w:before="49"/>
        <w:ind w:left="152" w:right="1133"/>
        <w:jc w:val="left"/>
        <w:rPr>
          <w:b w:val="0"/>
          <w:bCs w:val="0"/>
        </w:rPr>
      </w:pPr>
      <w:r>
        <w:rPr/>
        <w:t>（</w:t>
      </w:r>
      <w:r>
        <w:rPr>
          <w:rFonts w:ascii="Times New Roman" w:hAnsi="Times New Roman" w:cs="Times New Roman" w:eastAsia="Times New Roman" w:hint="default"/>
        </w:rPr>
        <w:t>3</w:t>
      </w:r>
      <w:r>
        <w:rPr/>
        <w:t>）期末预付款项中无预付持本公司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）表决权股份的股东单位及其他关联方的款项。</w:t>
      </w:r>
      <w:r>
        <w:rPr>
          <w:b w:val="0"/>
          <w:bCs w:val="0"/>
        </w:rPr>
      </w:r>
    </w:p>
    <w:p>
      <w:pPr>
        <w:pStyle w:val="Heading4"/>
        <w:spacing w:line="240" w:lineRule="auto" w:before="101"/>
        <w:ind w:left="152" w:right="1133"/>
        <w:jc w:val="left"/>
        <w:rPr>
          <w:b w:val="0"/>
          <w:bCs w:val="0"/>
        </w:rPr>
      </w:pPr>
      <w:r>
        <w:rPr/>
        <w:t>（</w:t>
      </w:r>
      <w:r>
        <w:rPr>
          <w:rFonts w:ascii="Times New Roman" w:hAnsi="Times New Roman" w:cs="Times New Roman" w:eastAsia="Times New Roman" w:hint="default"/>
        </w:rPr>
        <w:t>4</w:t>
      </w:r>
      <w:r>
        <w:rPr/>
        <w:t>）预付账款期末余额较期初增加</w:t>
      </w:r>
      <w:r>
        <w:rPr>
          <w:rFonts w:ascii="Times New Roman" w:hAnsi="Times New Roman" w:cs="Times New Roman" w:eastAsia="Times New Roman" w:hint="default"/>
        </w:rPr>
        <w:t>24,585,483.24</w:t>
      </w:r>
      <w:r>
        <w:rPr/>
        <w:t>元，增加比例</w:t>
      </w:r>
      <w:r>
        <w:rPr>
          <w:rFonts w:ascii="Times New Roman" w:hAnsi="Times New Roman" w:cs="Times New Roman" w:eastAsia="Times New Roman" w:hint="default"/>
        </w:rPr>
        <w:t>106.91%</w:t>
      </w:r>
      <w:r>
        <w:rPr/>
        <w:t>，主要原因系预付材料款增加所致。</w:t>
      </w:r>
      <w:r>
        <w:rPr>
          <w:b w:val="0"/>
          <w:bCs w:val="0"/>
        </w:rPr>
      </w:r>
    </w:p>
    <w:p>
      <w:pPr>
        <w:spacing w:line="240" w:lineRule="auto" w:before="2"/>
        <w:rPr>
          <w:rFonts w:ascii="宋体" w:hAnsi="宋体" w:cs="宋体" w:eastAsia="宋体" w:hint="default"/>
          <w:b/>
          <w:bCs/>
          <w:sz w:val="26"/>
          <w:szCs w:val="26"/>
        </w:rPr>
      </w:pPr>
    </w:p>
    <w:p>
      <w:pPr>
        <w:pStyle w:val="Heading3"/>
        <w:spacing w:line="240" w:lineRule="auto"/>
        <w:ind w:right="1133"/>
        <w:jc w:val="left"/>
        <w:rPr>
          <w:b w:val="0"/>
          <w:bCs w:val="0"/>
        </w:rPr>
      </w:pPr>
      <w:bookmarkStart w:name="8、 其他应收款" w:id="240"/>
      <w:bookmarkEnd w:id="240"/>
      <w:r>
        <w:rPr>
          <w:b w:val="0"/>
          <w:bCs w:val="0"/>
        </w:rPr>
      </w:r>
      <w:r>
        <w:rPr>
          <w:rFonts w:ascii="Times New Roman" w:hAnsi="Times New Roman" w:cs="Times New Roman" w:eastAsia="Times New Roman" w:hint="default"/>
        </w:rPr>
        <w:t>8</w:t>
      </w:r>
      <w:r>
        <w:rPr/>
        <w:t>、</w:t>
      </w:r>
      <w:r>
        <w:rPr>
          <w:spacing w:val="2"/>
        </w:rPr>
        <w:t> </w:t>
      </w:r>
      <w:r>
        <w:rPr/>
        <w:t>其他应收款</w:t>
      </w:r>
      <w:r>
        <w:rPr>
          <w:b w:val="0"/>
          <w:bCs w:val="0"/>
        </w:rPr>
      </w:r>
    </w:p>
    <w:p>
      <w:pPr>
        <w:spacing w:line="240" w:lineRule="auto" w:before="9"/>
        <w:rPr>
          <w:rFonts w:ascii="宋体" w:hAnsi="宋体" w:cs="宋体" w:eastAsia="宋体" w:hint="default"/>
          <w:b/>
          <w:bCs/>
          <w:sz w:val="25"/>
          <w:szCs w:val="25"/>
        </w:rPr>
      </w:pPr>
    </w:p>
    <w:tbl>
      <w:tblPr>
        <w:tblW w:w="0" w:type="auto"/>
        <w:jc w:val="left"/>
        <w:tblInd w:w="258" w:type="dxa"/>
        <w:tblLayout w:type="fixed"/>
        <w:tblCellMar>
          <w:top w:w="0" w:type="dxa"/>
          <w:left w:w="0" w:type="dxa"/>
          <w:bottom w:w="0" w:type="dxa"/>
          <w:right w:w="0" w:type="dxa"/>
        </w:tblCellMar>
        <w:tblLook w:val="01E0"/>
      </w:tblPr>
      <w:tblGrid>
        <w:gridCol w:w="2862"/>
        <w:gridCol w:w="1891"/>
        <w:gridCol w:w="2376"/>
        <w:gridCol w:w="2377"/>
      </w:tblGrid>
      <w:tr>
        <w:trPr>
          <w:trHeight w:val="329" w:hRule="exact"/>
        </w:trPr>
        <w:tc>
          <w:tcPr>
            <w:tcW w:w="28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1241"/>
              <w:jc w:val="right"/>
              <w:rPr>
                <w:rFonts w:ascii="宋体" w:hAnsi="宋体" w:cs="宋体" w:eastAsia="宋体" w:hint="default"/>
                <w:sz w:val="18"/>
                <w:szCs w:val="18"/>
              </w:rPr>
            </w:pPr>
            <w:r>
              <w:rPr>
                <w:rFonts w:ascii="宋体" w:hAnsi="宋体" w:cs="宋体" w:eastAsia="宋体" w:hint="default"/>
                <w:sz w:val="18"/>
                <w:szCs w:val="18"/>
              </w:rPr>
              <w:t>项目</w:t>
            </w:r>
          </w:p>
        </w:tc>
        <w:tc>
          <w:tcPr>
            <w:tcW w:w="18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7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3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643" w:right="0"/>
              <w:jc w:val="left"/>
              <w:rPr>
                <w:rFonts w:ascii="宋体" w:hAnsi="宋体" w:cs="宋体" w:eastAsia="宋体" w:hint="default"/>
                <w:sz w:val="18"/>
                <w:szCs w:val="18"/>
              </w:rPr>
            </w:pPr>
            <w:r>
              <w:rPr>
                <w:rFonts w:ascii="宋体" w:hAnsi="宋体" w:cs="宋体" w:eastAsia="宋体" w:hint="default"/>
                <w:sz w:val="18"/>
                <w:szCs w:val="18"/>
              </w:rPr>
              <w:t>上期期末余额</w:t>
            </w:r>
          </w:p>
        </w:tc>
      </w:tr>
      <w:tr>
        <w:trPr>
          <w:trHeight w:val="365" w:hRule="exact"/>
        </w:trPr>
        <w:tc>
          <w:tcPr>
            <w:tcW w:w="286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2"/>
              <w:ind w:left="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9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4"/>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37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4"/>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37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4"/>
              <w:ind w:right="-1"/>
              <w:jc w:val="right"/>
              <w:rPr>
                <w:rFonts w:ascii="Times New Roman" w:hAnsi="Times New Roman" w:cs="Times New Roman" w:eastAsia="Times New Roman" w:hint="default"/>
                <w:sz w:val="18"/>
                <w:szCs w:val="18"/>
              </w:rPr>
            </w:pPr>
            <w:r>
              <w:rPr>
                <w:rFonts w:ascii="Times New Roman"/>
                <w:spacing w:val="-1"/>
                <w:sz w:val="18"/>
              </w:rPr>
              <w:t>418,002.87</w:t>
            </w:r>
          </w:p>
        </w:tc>
      </w:tr>
      <w:tr>
        <w:trPr>
          <w:trHeight w:val="346" w:hRule="exact"/>
        </w:trPr>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8" w:hRule="exact"/>
        </w:trPr>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15,651,690.06</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3,774,583.43</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3,774,583.43</w:t>
            </w:r>
          </w:p>
        </w:tc>
      </w:tr>
      <w:tr>
        <w:trPr>
          <w:trHeight w:val="348" w:hRule="exact"/>
        </w:trPr>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241"/>
              <w:jc w:val="right"/>
              <w:rPr>
                <w:rFonts w:ascii="宋体" w:hAnsi="宋体" w:cs="宋体" w:eastAsia="宋体" w:hint="default"/>
                <w:sz w:val="18"/>
                <w:szCs w:val="18"/>
              </w:rPr>
            </w:pPr>
            <w:r>
              <w:rPr>
                <w:rFonts w:ascii="宋体" w:hAnsi="宋体" w:cs="宋体" w:eastAsia="宋体" w:hint="default"/>
                <w:sz w:val="18"/>
                <w:szCs w:val="18"/>
              </w:rPr>
              <w:t>合计</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15,651,690.06</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3,774,583.43</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4,192,586.30</w:t>
            </w:r>
          </w:p>
        </w:tc>
      </w:tr>
    </w:tbl>
    <w:p>
      <w:pPr>
        <w:pStyle w:val="BodyText"/>
        <w:spacing w:line="240" w:lineRule="auto" w:before="8"/>
        <w:ind w:left="513" w:right="1133"/>
        <w:jc w:val="left"/>
      </w:pPr>
      <w:r>
        <w:rPr/>
        <w:t>（一）应收利息</w:t>
      </w:r>
    </w:p>
    <w:p>
      <w:pPr>
        <w:spacing w:line="240" w:lineRule="auto" w:before="7"/>
        <w:rPr>
          <w:rFonts w:ascii="宋体" w:hAnsi="宋体" w:cs="宋体" w:eastAsia="宋体" w:hint="default"/>
          <w:sz w:val="6"/>
          <w:szCs w:val="6"/>
        </w:rPr>
      </w:pPr>
    </w:p>
    <w:tbl>
      <w:tblPr>
        <w:tblW w:w="0" w:type="auto"/>
        <w:jc w:val="left"/>
        <w:tblInd w:w="272" w:type="dxa"/>
        <w:tblLayout w:type="fixed"/>
        <w:tblCellMar>
          <w:top w:w="0" w:type="dxa"/>
          <w:left w:w="0" w:type="dxa"/>
          <w:bottom w:w="0" w:type="dxa"/>
          <w:right w:w="0" w:type="dxa"/>
        </w:tblCellMar>
        <w:tblLook w:val="01E0"/>
      </w:tblPr>
      <w:tblGrid>
        <w:gridCol w:w="2938"/>
        <w:gridCol w:w="1951"/>
        <w:gridCol w:w="2300"/>
        <w:gridCol w:w="2300"/>
      </w:tblGrid>
      <w:tr>
        <w:trPr>
          <w:trHeight w:val="312" w:hRule="exact"/>
        </w:trPr>
        <w:tc>
          <w:tcPr>
            <w:tcW w:w="29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1280"/>
              <w:jc w:val="right"/>
              <w:rPr>
                <w:rFonts w:ascii="宋体" w:hAnsi="宋体" w:cs="宋体" w:eastAsia="宋体" w:hint="default"/>
                <w:sz w:val="18"/>
                <w:szCs w:val="18"/>
              </w:rPr>
            </w:pPr>
            <w:r>
              <w:rPr>
                <w:rFonts w:ascii="宋体" w:hAnsi="宋体" w:cs="宋体" w:eastAsia="宋体" w:hint="default"/>
                <w:sz w:val="18"/>
                <w:szCs w:val="18"/>
              </w:rPr>
              <w:t>项目</w:t>
            </w:r>
          </w:p>
        </w:tc>
        <w:tc>
          <w:tcPr>
            <w:tcW w:w="19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60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3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605" w:right="0"/>
              <w:jc w:val="left"/>
              <w:rPr>
                <w:rFonts w:ascii="宋体" w:hAnsi="宋体" w:cs="宋体" w:eastAsia="宋体" w:hint="default"/>
                <w:sz w:val="18"/>
                <w:szCs w:val="18"/>
              </w:rPr>
            </w:pPr>
            <w:r>
              <w:rPr>
                <w:rFonts w:ascii="宋体" w:hAnsi="宋体" w:cs="宋体" w:eastAsia="宋体" w:hint="default"/>
                <w:sz w:val="18"/>
                <w:szCs w:val="18"/>
              </w:rPr>
              <w:t>上期期末余额</w:t>
            </w:r>
          </w:p>
        </w:tc>
      </w:tr>
      <w:tr>
        <w:trPr>
          <w:trHeight w:val="365" w:hRule="exact"/>
        </w:trPr>
        <w:tc>
          <w:tcPr>
            <w:tcW w:w="293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2"/>
              <w:ind w:left="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195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4"/>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30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4"/>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30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4"/>
              <w:ind w:right="-1"/>
              <w:jc w:val="right"/>
              <w:rPr>
                <w:rFonts w:ascii="Times New Roman" w:hAnsi="Times New Roman" w:cs="Times New Roman" w:eastAsia="Times New Roman" w:hint="default"/>
                <w:sz w:val="18"/>
                <w:szCs w:val="18"/>
              </w:rPr>
            </w:pPr>
            <w:r>
              <w:rPr>
                <w:rFonts w:ascii="Times New Roman"/>
                <w:spacing w:val="-1"/>
                <w:sz w:val="18"/>
              </w:rPr>
              <w:t>418,002.87</w:t>
            </w:r>
          </w:p>
        </w:tc>
      </w:tr>
      <w:tr>
        <w:trPr>
          <w:trHeight w:val="348"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280"/>
              <w:jc w:val="right"/>
              <w:rPr>
                <w:rFonts w:ascii="宋体" w:hAnsi="宋体" w:cs="宋体" w:eastAsia="宋体" w:hint="default"/>
                <w:sz w:val="18"/>
                <w:szCs w:val="18"/>
              </w:rPr>
            </w:pPr>
            <w:r>
              <w:rPr>
                <w:rFonts w:ascii="宋体" w:hAnsi="宋体" w:cs="宋体" w:eastAsia="宋体" w:hint="default"/>
                <w:sz w:val="18"/>
                <w:szCs w:val="18"/>
              </w:rPr>
              <w:t>合计</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418,002.87</w:t>
            </w:r>
          </w:p>
        </w:tc>
      </w:tr>
    </w:tbl>
    <w:p>
      <w:pPr>
        <w:pStyle w:val="BodyText"/>
        <w:spacing w:line="240" w:lineRule="auto" w:before="8"/>
        <w:ind w:left="513" w:right="1133"/>
        <w:jc w:val="left"/>
      </w:pPr>
      <w:r>
        <w:rPr/>
        <w:t>（二）其他应收款</w:t>
      </w:r>
    </w:p>
    <w:p>
      <w:pPr>
        <w:pStyle w:val="BodyText"/>
        <w:spacing w:line="240" w:lineRule="auto" w:before="76"/>
        <w:ind w:left="513" w:right="1133"/>
        <w:jc w:val="left"/>
      </w:pPr>
      <w:r>
        <w:rPr>
          <w:rFonts w:ascii="Times New Roman" w:hAnsi="Times New Roman" w:cs="Times New Roman" w:eastAsia="Times New Roman" w:hint="default"/>
        </w:rPr>
        <w:t>1.</w:t>
      </w:r>
      <w:r>
        <w:rPr/>
        <w:t>按账龄披露</w:t>
      </w:r>
    </w:p>
    <w:p>
      <w:pPr>
        <w:spacing w:line="240" w:lineRule="auto" w:before="2"/>
        <w:rPr>
          <w:rFonts w:ascii="宋体" w:hAnsi="宋体" w:cs="宋体" w:eastAsia="宋体" w:hint="default"/>
          <w:sz w:val="4"/>
          <w:szCs w:val="4"/>
        </w:rPr>
      </w:pPr>
    </w:p>
    <w:tbl>
      <w:tblPr>
        <w:tblW w:w="0" w:type="auto"/>
        <w:jc w:val="left"/>
        <w:tblInd w:w="258" w:type="dxa"/>
        <w:tblLayout w:type="fixed"/>
        <w:tblCellMar>
          <w:top w:w="0" w:type="dxa"/>
          <w:left w:w="0" w:type="dxa"/>
          <w:bottom w:w="0" w:type="dxa"/>
          <w:right w:w="0" w:type="dxa"/>
        </w:tblCellMar>
        <w:tblLook w:val="01E0"/>
      </w:tblPr>
      <w:tblGrid>
        <w:gridCol w:w="3111"/>
        <w:gridCol w:w="3317"/>
        <w:gridCol w:w="3080"/>
      </w:tblGrid>
      <w:tr>
        <w:trPr>
          <w:trHeight w:val="329" w:hRule="exact"/>
        </w:trPr>
        <w:tc>
          <w:tcPr>
            <w:tcW w:w="31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1366"/>
              <w:jc w:val="right"/>
              <w:rPr>
                <w:rFonts w:ascii="宋体" w:hAnsi="宋体" w:cs="宋体" w:eastAsia="宋体" w:hint="default"/>
                <w:sz w:val="18"/>
                <w:szCs w:val="18"/>
              </w:rPr>
            </w:pPr>
            <w:r>
              <w:rPr>
                <w:rFonts w:ascii="宋体" w:hAnsi="宋体" w:cs="宋体" w:eastAsia="宋体" w:hint="default"/>
                <w:sz w:val="18"/>
                <w:szCs w:val="18"/>
              </w:rPr>
              <w:t>账龄</w:t>
            </w:r>
          </w:p>
        </w:tc>
        <w:tc>
          <w:tcPr>
            <w:tcW w:w="33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65" w:hRule="exact"/>
        </w:trPr>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right"/>
              <w:rPr>
                <w:rFonts w:ascii="Times New Roman" w:hAnsi="Times New Roman" w:cs="Times New Roman" w:eastAsia="Times New Roman" w:hint="default"/>
                <w:sz w:val="18"/>
                <w:szCs w:val="18"/>
              </w:rPr>
            </w:pPr>
            <w:r>
              <w:rPr>
                <w:rFonts w:ascii="Times New Roman"/>
                <w:spacing w:val="-1"/>
                <w:sz w:val="18"/>
              </w:rPr>
              <w:t>13,496,186.48</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2"/>
              <w:jc w:val="right"/>
              <w:rPr>
                <w:rFonts w:ascii="Times New Roman" w:hAnsi="Times New Roman" w:cs="Times New Roman" w:eastAsia="Times New Roman" w:hint="default"/>
                <w:sz w:val="18"/>
                <w:szCs w:val="18"/>
              </w:rPr>
            </w:pPr>
            <w:r>
              <w:rPr>
                <w:rFonts w:ascii="Times New Roman"/>
                <w:spacing w:val="-1"/>
                <w:sz w:val="18"/>
              </w:rPr>
              <w:t>1,948,861.92</w:t>
            </w:r>
          </w:p>
        </w:tc>
      </w:tr>
      <w:tr>
        <w:trPr>
          <w:trHeight w:val="348" w:hRule="exact"/>
        </w:trPr>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1,721,478.34</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1,443,831.10</w:t>
            </w:r>
          </w:p>
        </w:tc>
      </w:tr>
      <w:tr>
        <w:trPr>
          <w:trHeight w:val="346" w:hRule="exact"/>
        </w:trPr>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1,184,564.00</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531,444.55</w:t>
            </w:r>
          </w:p>
        </w:tc>
      </w:tr>
      <w:tr>
        <w:trPr>
          <w:trHeight w:val="348" w:hRule="exact"/>
        </w:trPr>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517,591.18</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300,526.30</w:t>
            </w:r>
          </w:p>
        </w:tc>
      </w:tr>
      <w:tr>
        <w:trPr>
          <w:trHeight w:val="346" w:hRule="exact"/>
        </w:trPr>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200,530.20</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97,106.00</w:t>
            </w:r>
          </w:p>
        </w:tc>
      </w:tr>
      <w:tr>
        <w:trPr>
          <w:trHeight w:val="348" w:hRule="exact"/>
        </w:trPr>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149,663.28</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67,130.90</w:t>
            </w:r>
          </w:p>
        </w:tc>
      </w:tr>
      <w:tr>
        <w:trPr>
          <w:trHeight w:val="348" w:hRule="exact"/>
        </w:trPr>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366"/>
              <w:jc w:val="right"/>
              <w:rPr>
                <w:rFonts w:ascii="宋体" w:hAnsi="宋体" w:cs="宋体" w:eastAsia="宋体" w:hint="default"/>
                <w:sz w:val="18"/>
                <w:szCs w:val="18"/>
              </w:rPr>
            </w:pPr>
            <w:r>
              <w:rPr>
                <w:rFonts w:ascii="宋体" w:hAnsi="宋体" w:cs="宋体" w:eastAsia="宋体" w:hint="default"/>
                <w:sz w:val="18"/>
                <w:szCs w:val="18"/>
              </w:rPr>
              <w:t>小计</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17,270,013.48</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4,388,900.77</w:t>
            </w:r>
          </w:p>
        </w:tc>
      </w:tr>
      <w:tr>
        <w:trPr>
          <w:trHeight w:val="346" w:hRule="exact"/>
        </w:trPr>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减：坏账准备</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1,618,323.42</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614,317.34</w:t>
            </w:r>
          </w:p>
        </w:tc>
      </w:tr>
      <w:tr>
        <w:trPr>
          <w:trHeight w:val="348" w:hRule="exact"/>
        </w:trPr>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366"/>
              <w:jc w:val="right"/>
              <w:rPr>
                <w:rFonts w:ascii="宋体" w:hAnsi="宋体" w:cs="宋体" w:eastAsia="宋体" w:hint="default"/>
                <w:sz w:val="18"/>
                <w:szCs w:val="18"/>
              </w:rPr>
            </w:pPr>
            <w:r>
              <w:rPr>
                <w:rFonts w:ascii="宋体" w:hAnsi="宋体" w:cs="宋体" w:eastAsia="宋体" w:hint="default"/>
                <w:sz w:val="18"/>
                <w:szCs w:val="18"/>
              </w:rPr>
              <w:t>合计</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15,651,690.06</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3,774,583.43</w:t>
            </w:r>
          </w:p>
        </w:tc>
      </w:tr>
    </w:tbl>
    <w:p>
      <w:pPr>
        <w:spacing w:line="240" w:lineRule="auto" w:before="1"/>
        <w:rPr>
          <w:rFonts w:ascii="宋体" w:hAnsi="宋体" w:cs="宋体" w:eastAsia="宋体" w:hint="default"/>
          <w:sz w:val="21"/>
          <w:szCs w:val="21"/>
        </w:rPr>
      </w:pPr>
    </w:p>
    <w:p>
      <w:pPr>
        <w:pStyle w:val="BodyText"/>
        <w:spacing w:line="240" w:lineRule="auto" w:before="44"/>
        <w:ind w:left="513" w:right="1133"/>
        <w:jc w:val="left"/>
      </w:pPr>
      <w:r>
        <w:rPr>
          <w:rFonts w:ascii="Times New Roman" w:hAnsi="Times New Roman" w:cs="Times New Roman" w:eastAsia="Times New Roman" w:hint="default"/>
        </w:rPr>
        <w:t>2.</w:t>
      </w:r>
      <w:r>
        <w:rPr/>
        <w:t>其他应收款按款项性质分类情况</w:t>
      </w:r>
    </w:p>
    <w:p>
      <w:pPr>
        <w:spacing w:line="240" w:lineRule="auto" w:before="2"/>
        <w:rPr>
          <w:rFonts w:ascii="宋体" w:hAnsi="宋体" w:cs="宋体" w:eastAsia="宋体" w:hint="default"/>
          <w:sz w:val="4"/>
          <w:szCs w:val="4"/>
        </w:rPr>
      </w:pPr>
    </w:p>
    <w:tbl>
      <w:tblPr>
        <w:tblW w:w="0" w:type="auto"/>
        <w:jc w:val="left"/>
        <w:tblInd w:w="258" w:type="dxa"/>
        <w:tblLayout w:type="fixed"/>
        <w:tblCellMar>
          <w:top w:w="0" w:type="dxa"/>
          <w:left w:w="0" w:type="dxa"/>
          <w:bottom w:w="0" w:type="dxa"/>
          <w:right w:w="0" w:type="dxa"/>
        </w:tblCellMar>
        <w:tblLook w:val="01E0"/>
      </w:tblPr>
      <w:tblGrid>
        <w:gridCol w:w="3123"/>
        <w:gridCol w:w="3351"/>
        <w:gridCol w:w="3077"/>
      </w:tblGrid>
      <w:tr>
        <w:trPr>
          <w:trHeight w:val="342" w:hRule="exact"/>
        </w:trPr>
        <w:tc>
          <w:tcPr>
            <w:tcW w:w="312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3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2" w:hRule="exact"/>
        </w:trPr>
        <w:tc>
          <w:tcPr>
            <w:tcW w:w="3123"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代扣代缴款</w:t>
            </w:r>
          </w:p>
        </w:tc>
        <w:tc>
          <w:tcPr>
            <w:tcW w:w="3351"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512,837.95</w:t>
            </w:r>
          </w:p>
        </w:tc>
        <w:tc>
          <w:tcPr>
            <w:tcW w:w="3077"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280,756.23</w:t>
            </w:r>
          </w:p>
        </w:tc>
      </w:tr>
      <w:tr>
        <w:trPr>
          <w:trHeight w:val="348" w:hRule="exact"/>
        </w:trPr>
        <w:tc>
          <w:tcPr>
            <w:tcW w:w="3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3,026,586.59</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1,894,360.00</w:t>
            </w:r>
          </w:p>
        </w:tc>
      </w:tr>
      <w:tr>
        <w:trPr>
          <w:trHeight w:val="346" w:hRule="exact"/>
        </w:trPr>
        <w:tc>
          <w:tcPr>
            <w:tcW w:w="3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1,939,204.49</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1,567,409.82</w:t>
            </w:r>
          </w:p>
        </w:tc>
      </w:tr>
      <w:tr>
        <w:trPr>
          <w:trHeight w:val="348" w:hRule="exact"/>
        </w:trPr>
        <w:tc>
          <w:tcPr>
            <w:tcW w:w="3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1,023,186.35</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430,299.73</w:t>
            </w:r>
          </w:p>
        </w:tc>
      </w:tr>
      <w:tr>
        <w:trPr>
          <w:trHeight w:val="346" w:hRule="exact"/>
        </w:trPr>
        <w:tc>
          <w:tcPr>
            <w:tcW w:w="3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9,498,530.16</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r>
      <w:tr>
        <w:trPr>
          <w:trHeight w:val="348" w:hRule="exact"/>
        </w:trPr>
        <w:tc>
          <w:tcPr>
            <w:tcW w:w="3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1,269,667.94</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216,074.99</w:t>
            </w:r>
          </w:p>
        </w:tc>
      </w:tr>
      <w:tr>
        <w:trPr>
          <w:trHeight w:val="348" w:hRule="exact"/>
        </w:trPr>
        <w:tc>
          <w:tcPr>
            <w:tcW w:w="3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17,270,013.48</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4,388,900.77</w:t>
            </w:r>
          </w:p>
        </w:tc>
      </w:tr>
    </w:tbl>
    <w:p>
      <w:pPr>
        <w:spacing w:line="240" w:lineRule="auto" w:before="1"/>
        <w:rPr>
          <w:rFonts w:ascii="宋体" w:hAnsi="宋体" w:cs="宋体" w:eastAsia="宋体" w:hint="default"/>
          <w:sz w:val="21"/>
          <w:szCs w:val="21"/>
        </w:rPr>
      </w:pPr>
    </w:p>
    <w:p>
      <w:pPr>
        <w:pStyle w:val="BodyText"/>
        <w:spacing w:line="240" w:lineRule="auto" w:before="44"/>
        <w:ind w:left="513" w:right="1133"/>
        <w:jc w:val="left"/>
      </w:pPr>
      <w:r>
        <w:rPr>
          <w:rFonts w:ascii="Times New Roman" w:hAnsi="Times New Roman" w:cs="Times New Roman" w:eastAsia="Times New Roman" w:hint="default"/>
        </w:rPr>
        <w:t>3.</w:t>
      </w:r>
      <w:r>
        <w:rPr/>
        <w:t>按坏账准备计提方法分类披露</w:t>
      </w:r>
    </w:p>
    <w:p>
      <w:pPr>
        <w:spacing w:line="240" w:lineRule="auto" w:before="2"/>
        <w:rPr>
          <w:rFonts w:ascii="宋体" w:hAnsi="宋体" w:cs="宋体" w:eastAsia="宋体" w:hint="default"/>
          <w:sz w:val="4"/>
          <w:szCs w:val="4"/>
        </w:rPr>
      </w:pPr>
    </w:p>
    <w:tbl>
      <w:tblPr>
        <w:tblW w:w="0" w:type="auto"/>
        <w:jc w:val="left"/>
        <w:tblInd w:w="293" w:type="dxa"/>
        <w:tblLayout w:type="fixed"/>
        <w:tblCellMar>
          <w:top w:w="0" w:type="dxa"/>
          <w:left w:w="0" w:type="dxa"/>
          <w:bottom w:w="0" w:type="dxa"/>
          <w:right w:w="0" w:type="dxa"/>
        </w:tblCellMar>
        <w:tblLook w:val="01E0"/>
      </w:tblPr>
      <w:tblGrid>
        <w:gridCol w:w="2360"/>
        <w:gridCol w:w="2720"/>
        <w:gridCol w:w="2720"/>
        <w:gridCol w:w="1669"/>
      </w:tblGrid>
      <w:tr>
        <w:trPr>
          <w:trHeight w:val="346" w:hRule="exact"/>
        </w:trPr>
        <w:tc>
          <w:tcPr>
            <w:tcW w:w="236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7109"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8" w:hRule="exact"/>
        </w:trPr>
        <w:tc>
          <w:tcPr>
            <w:tcW w:w="2360" w:type="dxa"/>
            <w:vMerge/>
            <w:tcBorders>
              <w:left w:val="single" w:sz="6" w:space="0" w:color="000000"/>
              <w:bottom w:val="single" w:sz="6" w:space="0" w:color="000000"/>
              <w:right w:val="single" w:sz="6" w:space="0" w:color="000000"/>
            </w:tcBorders>
            <w:shd w:val="clear" w:color="auto" w:fill="D9D9D9"/>
          </w:tcPr>
          <w:p>
            <w:pPr/>
          </w:p>
        </w:tc>
        <w:tc>
          <w:tcPr>
            <w:tcW w:w="27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6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292" w:type="dxa"/>
        <w:tblLayout w:type="fixed"/>
        <w:tblCellMar>
          <w:top w:w="0" w:type="dxa"/>
          <w:left w:w="0" w:type="dxa"/>
          <w:bottom w:w="0" w:type="dxa"/>
          <w:right w:w="0" w:type="dxa"/>
        </w:tblCellMar>
        <w:tblLook w:val="01E0"/>
      </w:tblPr>
      <w:tblGrid>
        <w:gridCol w:w="2362"/>
        <w:gridCol w:w="1760"/>
        <w:gridCol w:w="960"/>
        <w:gridCol w:w="1522"/>
        <w:gridCol w:w="1198"/>
        <w:gridCol w:w="1666"/>
      </w:tblGrid>
      <w:tr>
        <w:trPr>
          <w:trHeight w:val="348" w:hRule="exact"/>
        </w:trPr>
        <w:tc>
          <w:tcPr>
            <w:tcW w:w="2362"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7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39"/>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5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49"/>
              <w:jc w:val="right"/>
              <w:rPr>
                <w:rFonts w:ascii="宋体" w:hAnsi="宋体" w:cs="宋体" w:eastAsia="宋体" w:hint="default"/>
                <w:sz w:val="18"/>
                <w:szCs w:val="18"/>
              </w:rPr>
            </w:pPr>
            <w:r>
              <w:rPr>
                <w:rFonts w:ascii="宋体" w:hAnsi="宋体" w:cs="宋体" w:eastAsia="宋体" w:hint="default"/>
                <w:spacing w:val="-1"/>
                <w:sz w:val="18"/>
                <w:szCs w:val="18"/>
              </w:rPr>
              <w:t>计提比例（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666" w:type="dxa"/>
            <w:tcBorders>
              <w:top w:val="single" w:sz="6" w:space="0" w:color="000000"/>
              <w:left w:val="single" w:sz="6" w:space="0" w:color="000000"/>
              <w:bottom w:val="single" w:sz="6" w:space="0" w:color="000000"/>
              <w:right w:val="single" w:sz="6" w:space="0" w:color="000000"/>
            </w:tcBorders>
            <w:shd w:val="clear" w:color="auto" w:fill="D9D9D9"/>
          </w:tcPr>
          <w:p>
            <w:pPr/>
          </w:p>
        </w:tc>
      </w:tr>
      <w:tr>
        <w:trPr>
          <w:trHeight w:val="658" w:hRule="exact"/>
        </w:trPr>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单项计提预期信用损失的其他 应收款</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660" w:hRule="exact"/>
        </w:trPr>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按组合计提预期信用损失的其 他应收款</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17,270,013.48</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1,618,323.42</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9.37</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15,651,690.06</w:t>
            </w:r>
          </w:p>
        </w:tc>
      </w:tr>
      <w:tr>
        <w:trPr>
          <w:trHeight w:val="346" w:hRule="exact"/>
        </w:trPr>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其中：账龄组合</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17,270,013.48</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1,618,323.42</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9.37</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15,651,690.06</w:t>
            </w:r>
          </w:p>
        </w:tc>
      </w:tr>
      <w:tr>
        <w:trPr>
          <w:trHeight w:val="348" w:hRule="exact"/>
        </w:trPr>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17,270,013.48</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1,618,323.42</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9.37</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15,651,690.06</w:t>
            </w:r>
          </w:p>
        </w:tc>
      </w:tr>
    </w:tbl>
    <w:p>
      <w:pPr>
        <w:spacing w:line="262" w:lineRule="exact" w:before="0"/>
        <w:ind w:left="152" w:right="1133" w:firstLine="0"/>
        <w:jc w:val="left"/>
        <w:rPr>
          <w:rFonts w:ascii="宋体" w:hAnsi="宋体" w:cs="宋体" w:eastAsia="宋体" w:hint="default"/>
          <w:sz w:val="21"/>
          <w:szCs w:val="21"/>
        </w:rPr>
      </w:pPr>
      <w:r>
        <w:rPr>
          <w:rFonts w:ascii="宋体" w:hAnsi="宋体" w:cs="宋体" w:eastAsia="宋体" w:hint="default"/>
          <w:sz w:val="21"/>
          <w:szCs w:val="21"/>
        </w:rPr>
        <w:t>续：</w:t>
      </w:r>
    </w:p>
    <w:p>
      <w:pPr>
        <w:spacing w:line="240" w:lineRule="auto" w:before="10"/>
        <w:rPr>
          <w:rFonts w:ascii="宋体" w:hAnsi="宋体" w:cs="宋体" w:eastAsia="宋体" w:hint="default"/>
          <w:sz w:val="3"/>
          <w:szCs w:val="3"/>
        </w:rPr>
      </w:pPr>
    </w:p>
    <w:tbl>
      <w:tblPr>
        <w:tblW w:w="0" w:type="auto"/>
        <w:jc w:val="left"/>
        <w:tblInd w:w="292" w:type="dxa"/>
        <w:tblLayout w:type="fixed"/>
        <w:tblCellMar>
          <w:top w:w="0" w:type="dxa"/>
          <w:left w:w="0" w:type="dxa"/>
          <w:bottom w:w="0" w:type="dxa"/>
          <w:right w:w="0" w:type="dxa"/>
        </w:tblCellMar>
        <w:tblLook w:val="01E0"/>
      </w:tblPr>
      <w:tblGrid>
        <w:gridCol w:w="2374"/>
        <w:gridCol w:w="1767"/>
        <w:gridCol w:w="965"/>
        <w:gridCol w:w="1639"/>
        <w:gridCol w:w="1093"/>
        <w:gridCol w:w="1673"/>
      </w:tblGrid>
      <w:tr>
        <w:trPr>
          <w:trHeight w:val="348" w:hRule="exact"/>
        </w:trPr>
        <w:tc>
          <w:tcPr>
            <w:tcW w:w="2374"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7137" w:type="dxa"/>
            <w:gridSpan w:val="5"/>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6" w:hRule="exact"/>
        </w:trPr>
        <w:tc>
          <w:tcPr>
            <w:tcW w:w="2374" w:type="dxa"/>
            <w:vMerge/>
            <w:tcBorders>
              <w:left w:val="single" w:sz="6" w:space="0" w:color="000000"/>
              <w:right w:val="single" w:sz="6" w:space="0" w:color="000000"/>
            </w:tcBorders>
            <w:shd w:val="clear" w:color="auto" w:fill="D9D9D9"/>
          </w:tcPr>
          <w:p>
            <w:pPr/>
          </w:p>
        </w:tc>
        <w:tc>
          <w:tcPr>
            <w:tcW w:w="2732"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32"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673"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7"/>
              <w:ind w:left="470" w:right="0"/>
              <w:jc w:val="left"/>
              <w:rPr>
                <w:rFonts w:ascii="宋体" w:hAnsi="宋体" w:cs="宋体" w:eastAsia="宋体" w:hint="default"/>
                <w:sz w:val="18"/>
                <w:szCs w:val="18"/>
              </w:rPr>
            </w:pPr>
            <w:r>
              <w:rPr>
                <w:rFonts w:ascii="宋体" w:hAnsi="宋体" w:cs="宋体" w:eastAsia="宋体" w:hint="default"/>
                <w:sz w:val="18"/>
                <w:szCs w:val="18"/>
              </w:rPr>
              <w:t>账面价值</w:t>
            </w:r>
          </w:p>
          <w:p>
            <w:pPr>
              <w:pStyle w:val="TableParagraph"/>
              <w:spacing w:line="240" w:lineRule="auto" w:before="112"/>
              <w:ind w:left="-106"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48" w:hRule="exact"/>
        </w:trPr>
        <w:tc>
          <w:tcPr>
            <w:tcW w:w="2374" w:type="dxa"/>
            <w:vMerge/>
            <w:tcBorders>
              <w:left w:val="single" w:sz="6" w:space="0" w:color="000000"/>
              <w:bottom w:val="single" w:sz="6" w:space="0" w:color="000000"/>
              <w:right w:val="single" w:sz="6" w:space="0" w:color="000000"/>
            </w:tcBorders>
            <w:shd w:val="clear" w:color="auto" w:fill="D9D9D9"/>
          </w:tcPr>
          <w:p>
            <w:pPr/>
          </w:p>
        </w:tc>
        <w:tc>
          <w:tcPr>
            <w:tcW w:w="17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39"/>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6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计提比例（</w:t>
            </w:r>
            <w:r>
              <w:rPr>
                <w:rFonts w:ascii="Times New Roman" w:hAnsi="Times New Roman" w:cs="Times New Roman" w:eastAsia="Times New Roman" w:hint="default"/>
                <w:spacing w:val="-12"/>
                <w:sz w:val="18"/>
                <w:szCs w:val="18"/>
              </w:rPr>
              <w:t>%</w:t>
            </w:r>
          </w:p>
        </w:tc>
        <w:tc>
          <w:tcPr>
            <w:tcW w:w="1673" w:type="dxa"/>
            <w:vMerge/>
            <w:tcBorders>
              <w:left w:val="single" w:sz="6" w:space="0" w:color="000000"/>
              <w:bottom w:val="single" w:sz="6" w:space="0" w:color="000000"/>
              <w:right w:val="single" w:sz="6" w:space="0" w:color="000000"/>
            </w:tcBorders>
            <w:shd w:val="clear" w:color="auto" w:fill="D9D9D9"/>
          </w:tcPr>
          <w:p>
            <w:pPr/>
          </w:p>
        </w:tc>
      </w:tr>
      <w:tr>
        <w:trPr>
          <w:trHeight w:val="65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4" w:right="3"/>
              <w:jc w:val="left"/>
              <w:rPr>
                <w:rFonts w:ascii="宋体" w:hAnsi="宋体" w:cs="宋体" w:eastAsia="宋体" w:hint="default"/>
                <w:sz w:val="18"/>
                <w:szCs w:val="18"/>
              </w:rPr>
            </w:pPr>
            <w:r>
              <w:rPr>
                <w:rFonts w:ascii="宋体" w:hAnsi="宋体" w:cs="宋体" w:eastAsia="宋体" w:hint="default"/>
                <w:sz w:val="18"/>
                <w:szCs w:val="18"/>
              </w:rPr>
              <w:t>单项计提预期信用损失的其他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应收款</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660"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3"/>
              <w:jc w:val="left"/>
              <w:rPr>
                <w:rFonts w:ascii="宋体" w:hAnsi="宋体" w:cs="宋体" w:eastAsia="宋体" w:hint="default"/>
                <w:sz w:val="18"/>
                <w:szCs w:val="18"/>
              </w:rPr>
            </w:pPr>
            <w:r>
              <w:rPr>
                <w:rFonts w:ascii="宋体" w:hAnsi="宋体" w:cs="宋体" w:eastAsia="宋体" w:hint="default"/>
                <w:sz w:val="18"/>
                <w:szCs w:val="18"/>
              </w:rPr>
              <w:t>按组合计提预期信用损失的其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他应收款</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4,388,900.77</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614,317.34</w:t>
            </w: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14.00</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3,774,583.43</w:t>
            </w:r>
          </w:p>
        </w:tc>
      </w:tr>
      <w:tr>
        <w:trPr>
          <w:trHeight w:val="34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其中：账龄组合</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4,388,900.77</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614,317.34</w:t>
            </w: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14.00</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3,774,583.43</w:t>
            </w:r>
          </w:p>
        </w:tc>
      </w:tr>
      <w:tr>
        <w:trPr>
          <w:trHeight w:val="346"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4,388,900.77</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614,317.34</w:t>
            </w: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14.00</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3,774,583.43</w:t>
            </w:r>
          </w:p>
        </w:tc>
      </w:tr>
    </w:tbl>
    <w:p>
      <w:pPr>
        <w:spacing w:line="240" w:lineRule="auto" w:before="1"/>
        <w:rPr>
          <w:rFonts w:ascii="宋体" w:hAnsi="宋体" w:cs="宋体" w:eastAsia="宋体" w:hint="default"/>
          <w:sz w:val="21"/>
          <w:szCs w:val="21"/>
        </w:rPr>
      </w:pPr>
    </w:p>
    <w:p>
      <w:pPr>
        <w:pStyle w:val="BodyText"/>
        <w:spacing w:line="240" w:lineRule="auto" w:before="44"/>
        <w:ind w:left="513" w:right="1133"/>
        <w:jc w:val="left"/>
      </w:pPr>
      <w:r>
        <w:rPr>
          <w:rFonts w:ascii="Times New Roman" w:hAnsi="Times New Roman" w:cs="Times New Roman" w:eastAsia="Times New Roman" w:hint="default"/>
        </w:rPr>
        <w:t>4.</w:t>
      </w:r>
      <w:r>
        <w:rPr/>
        <w:t>按组合计提预期信用损失的其他应收款</w:t>
      </w:r>
    </w:p>
    <w:p>
      <w:pPr>
        <w:spacing w:line="240" w:lineRule="auto" w:before="2"/>
        <w:rPr>
          <w:rFonts w:ascii="宋体" w:hAnsi="宋体" w:cs="宋体" w:eastAsia="宋体" w:hint="default"/>
          <w:sz w:val="4"/>
          <w:szCs w:val="4"/>
        </w:rPr>
      </w:pPr>
    </w:p>
    <w:tbl>
      <w:tblPr>
        <w:tblW w:w="0" w:type="auto"/>
        <w:jc w:val="left"/>
        <w:tblInd w:w="287" w:type="dxa"/>
        <w:tblLayout w:type="fixed"/>
        <w:tblCellMar>
          <w:top w:w="0" w:type="dxa"/>
          <w:left w:w="0" w:type="dxa"/>
          <w:bottom w:w="0" w:type="dxa"/>
          <w:right w:w="0" w:type="dxa"/>
        </w:tblCellMar>
        <w:tblLook w:val="01E0"/>
      </w:tblPr>
      <w:tblGrid>
        <w:gridCol w:w="2746"/>
        <w:gridCol w:w="2258"/>
        <w:gridCol w:w="2261"/>
        <w:gridCol w:w="2264"/>
      </w:tblGrid>
      <w:tr>
        <w:trPr>
          <w:trHeight w:val="348" w:hRule="exact"/>
        </w:trPr>
        <w:tc>
          <w:tcPr>
            <w:tcW w:w="274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6783"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8" w:hRule="exact"/>
        </w:trPr>
        <w:tc>
          <w:tcPr>
            <w:tcW w:w="2746" w:type="dxa"/>
            <w:vMerge/>
            <w:tcBorders>
              <w:left w:val="single" w:sz="6" w:space="0" w:color="000000"/>
              <w:bottom w:val="single" w:sz="6" w:space="0" w:color="000000"/>
              <w:right w:val="single" w:sz="6" w:space="0" w:color="000000"/>
            </w:tcBorders>
            <w:shd w:val="clear" w:color="auto" w:fill="D9D9D9"/>
          </w:tcPr>
          <w:p>
            <w:pPr/>
          </w:p>
        </w:tc>
        <w:tc>
          <w:tcPr>
            <w:tcW w:w="22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2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11"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6" w:hRule="exact"/>
        </w:trPr>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13,496,186.48</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674,809.32</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5.00</w:t>
            </w:r>
          </w:p>
        </w:tc>
      </w:tr>
      <w:tr>
        <w:trPr>
          <w:trHeight w:val="348" w:hRule="exact"/>
        </w:trPr>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1,721,478.34</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137,718.27</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8.00</w:t>
            </w:r>
          </w:p>
        </w:tc>
      </w:tr>
      <w:tr>
        <w:trPr>
          <w:trHeight w:val="346" w:hRule="exact"/>
        </w:trPr>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1,184,564.00</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236,912.80</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20.00</w:t>
            </w:r>
          </w:p>
        </w:tc>
      </w:tr>
      <w:tr>
        <w:trPr>
          <w:trHeight w:val="348" w:hRule="exact"/>
        </w:trPr>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517,591.18</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258,795.59</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50.00</w:t>
            </w:r>
          </w:p>
        </w:tc>
      </w:tr>
      <w:tr>
        <w:trPr>
          <w:trHeight w:val="348" w:hRule="exact"/>
        </w:trPr>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200,530.20</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160,424.16</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80.00</w:t>
            </w:r>
          </w:p>
        </w:tc>
      </w:tr>
      <w:tr>
        <w:trPr>
          <w:trHeight w:val="346" w:hRule="exact"/>
        </w:trPr>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149,663.28</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149,663.28</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8" w:hRule="exact"/>
        </w:trPr>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17,270,013.48</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1,618,323.42</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9.37</w:t>
            </w:r>
          </w:p>
        </w:tc>
      </w:tr>
    </w:tbl>
    <w:p>
      <w:pPr>
        <w:spacing w:line="240" w:lineRule="auto" w:before="1"/>
        <w:rPr>
          <w:rFonts w:ascii="宋体" w:hAnsi="宋体" w:cs="宋体" w:eastAsia="宋体" w:hint="default"/>
          <w:sz w:val="21"/>
          <w:szCs w:val="21"/>
        </w:rPr>
      </w:pPr>
    </w:p>
    <w:p>
      <w:pPr>
        <w:pStyle w:val="BodyText"/>
        <w:spacing w:line="240" w:lineRule="auto" w:before="44"/>
        <w:ind w:left="513" w:right="1133"/>
        <w:jc w:val="left"/>
      </w:pPr>
      <w:r>
        <w:rPr>
          <w:rFonts w:ascii="Times New Roman" w:hAnsi="Times New Roman" w:cs="Times New Roman" w:eastAsia="Times New Roman" w:hint="default"/>
        </w:rPr>
        <w:t>5.</w:t>
      </w:r>
      <w:r>
        <w:rPr/>
        <w:t>其他应收款坏账准备计提情况</w:t>
      </w:r>
    </w:p>
    <w:p>
      <w:pPr>
        <w:spacing w:line="240" w:lineRule="auto" w:before="2"/>
        <w:rPr>
          <w:rFonts w:ascii="宋体" w:hAnsi="宋体" w:cs="宋体" w:eastAsia="宋体" w:hint="default"/>
          <w:sz w:val="4"/>
          <w:szCs w:val="4"/>
        </w:rPr>
      </w:pPr>
    </w:p>
    <w:tbl>
      <w:tblPr>
        <w:tblW w:w="0" w:type="auto"/>
        <w:jc w:val="left"/>
        <w:tblInd w:w="150" w:type="dxa"/>
        <w:tblLayout w:type="fixed"/>
        <w:tblCellMar>
          <w:top w:w="0" w:type="dxa"/>
          <w:left w:w="0" w:type="dxa"/>
          <w:bottom w:w="0" w:type="dxa"/>
          <w:right w:w="0" w:type="dxa"/>
        </w:tblCellMar>
        <w:tblLook w:val="01E0"/>
      </w:tblPr>
      <w:tblGrid>
        <w:gridCol w:w="1740"/>
        <w:gridCol w:w="1616"/>
        <w:gridCol w:w="2324"/>
        <w:gridCol w:w="2365"/>
        <w:gridCol w:w="1618"/>
      </w:tblGrid>
      <w:tr>
        <w:trPr>
          <w:trHeight w:val="348" w:hRule="exact"/>
        </w:trPr>
        <w:tc>
          <w:tcPr>
            <w:tcW w:w="174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7"/>
              <w:ind w:left="50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4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3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3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61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658" w:hRule="exact"/>
        </w:trPr>
        <w:tc>
          <w:tcPr>
            <w:tcW w:w="1740" w:type="dxa"/>
            <w:vMerge/>
            <w:tcBorders>
              <w:left w:val="single" w:sz="6" w:space="0" w:color="000000"/>
              <w:bottom w:val="single" w:sz="6" w:space="0" w:color="000000"/>
              <w:right w:val="single" w:sz="6" w:space="0" w:color="000000"/>
            </w:tcBorders>
            <w:shd w:val="clear" w:color="auto" w:fill="D9D9D9"/>
          </w:tcPr>
          <w:p>
            <w:pPr/>
          </w:p>
        </w:tc>
        <w:tc>
          <w:tcPr>
            <w:tcW w:w="16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0" w:lineRule="auto" w:before="17"/>
              <w:ind w:left="532" w:right="74" w:hanging="452"/>
              <w:jc w:val="left"/>
              <w:rPr>
                <w:rFonts w:ascii="宋体" w:hAnsi="宋体" w:cs="宋体" w:eastAsia="宋体" w:hint="default"/>
                <w:sz w:val="18"/>
                <w:szCs w:val="18"/>
              </w:rPr>
            </w:pPr>
            <w:r>
              <w:rPr>
                <w:rFonts w:ascii="宋体" w:hAnsi="宋体" w:cs="宋体" w:eastAsia="宋体" w:hint="default"/>
                <w:sz w:val="18"/>
                <w:szCs w:val="18"/>
              </w:rPr>
              <w:t>未来</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个月预期信 用损失</w:t>
            </w:r>
          </w:p>
        </w:tc>
        <w:tc>
          <w:tcPr>
            <w:tcW w:w="23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0" w:lineRule="auto" w:before="17"/>
              <w:ind w:left="585" w:right="41"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整个存续期预期信用损失</w:t>
            </w:r>
            <w:r>
              <w:rPr>
                <w:rFonts w:ascii="Times New Roman" w:hAnsi="Times New Roman" w:cs="Times New Roman" w:eastAsia="Times New Roman" w:hint="default"/>
                <w:sz w:val="18"/>
                <w:szCs w:val="18"/>
              </w:rPr>
              <w:t>(</w:t>
            </w:r>
            <w:r>
              <w:rPr>
                <w:rFonts w:ascii="宋体" w:hAnsi="宋体" w:cs="宋体" w:eastAsia="宋体" w:hint="default"/>
                <w:sz w:val="18"/>
                <w:szCs w:val="18"/>
              </w:rPr>
              <w:t>未 发生信用减值</w:t>
            </w:r>
            <w:r>
              <w:rPr>
                <w:rFonts w:ascii="Times New Roman" w:hAnsi="Times New Roman" w:cs="Times New Roman" w:eastAsia="Times New Roman" w:hint="default"/>
                <w:sz w:val="18"/>
                <w:szCs w:val="18"/>
              </w:rPr>
              <w:t>)</w:t>
            </w:r>
          </w:p>
        </w:tc>
        <w:tc>
          <w:tcPr>
            <w:tcW w:w="23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0" w:lineRule="auto" w:before="17"/>
              <w:ind w:left="607" w:right="60"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整个存续期预期信用损失</w:t>
            </w:r>
            <w:r>
              <w:rPr>
                <w:rFonts w:ascii="Times New Roman" w:hAnsi="Times New Roman" w:cs="Times New Roman" w:eastAsia="Times New Roman" w:hint="default"/>
                <w:sz w:val="18"/>
                <w:szCs w:val="18"/>
              </w:rPr>
              <w:t>(</w:t>
            </w:r>
            <w:r>
              <w:rPr>
                <w:rFonts w:ascii="宋体" w:hAnsi="宋体" w:cs="宋体" w:eastAsia="宋体" w:hint="default"/>
                <w:sz w:val="18"/>
                <w:szCs w:val="18"/>
              </w:rPr>
              <w:t>已 发生信用减值</w:t>
            </w:r>
            <w:r>
              <w:rPr>
                <w:rFonts w:ascii="Times New Roman" w:hAnsi="Times New Roman" w:cs="Times New Roman" w:eastAsia="Times New Roman" w:hint="default"/>
                <w:sz w:val="18"/>
                <w:szCs w:val="18"/>
              </w:rPr>
              <w:t>)</w:t>
            </w:r>
          </w:p>
        </w:tc>
        <w:tc>
          <w:tcPr>
            <w:tcW w:w="1618" w:type="dxa"/>
            <w:vMerge/>
            <w:tcBorders>
              <w:left w:val="single" w:sz="6" w:space="0" w:color="000000"/>
              <w:bottom w:val="single" w:sz="6" w:space="0" w:color="000000"/>
              <w:right w:val="single" w:sz="6" w:space="0" w:color="000000"/>
            </w:tcBorders>
            <w:shd w:val="clear" w:color="auto" w:fill="D9D9D9"/>
          </w:tcPr>
          <w:p>
            <w:pPr/>
          </w:p>
        </w:tc>
      </w:tr>
      <w:tr>
        <w:trPr>
          <w:trHeight w:val="348" w:hRule="exact"/>
        </w:trPr>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614,317.34</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614,317.34</w:t>
            </w:r>
          </w:p>
        </w:tc>
      </w:tr>
      <w:tr>
        <w:trPr>
          <w:trHeight w:val="346" w:hRule="exact"/>
        </w:trPr>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1,037,693.28</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1,037,693.28</w:t>
            </w:r>
          </w:p>
        </w:tc>
      </w:tr>
      <w:tr>
        <w:trPr>
          <w:trHeight w:val="348" w:hRule="exact"/>
        </w:trPr>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33,687.20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33,687.20</w:t>
            </w:r>
          </w:p>
        </w:tc>
      </w:tr>
      <w:tr>
        <w:trPr>
          <w:trHeight w:val="348" w:hRule="exact"/>
        </w:trPr>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1,618,323.42</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1,618,323.42</w:t>
            </w:r>
          </w:p>
        </w:tc>
      </w:tr>
    </w:tbl>
    <w:p>
      <w:pPr>
        <w:spacing w:line="240" w:lineRule="auto" w:before="1"/>
        <w:rPr>
          <w:rFonts w:ascii="宋体" w:hAnsi="宋体" w:cs="宋体" w:eastAsia="宋体" w:hint="default"/>
          <w:sz w:val="21"/>
          <w:szCs w:val="21"/>
        </w:rPr>
      </w:pPr>
    </w:p>
    <w:p>
      <w:pPr>
        <w:pStyle w:val="BodyText"/>
        <w:spacing w:line="240" w:lineRule="auto" w:before="44"/>
        <w:ind w:left="513" w:right="1133"/>
        <w:jc w:val="left"/>
      </w:pPr>
      <w:r>
        <w:rPr>
          <w:rFonts w:ascii="Times New Roman" w:hAnsi="Times New Roman" w:cs="Times New Roman" w:eastAsia="Times New Roman" w:hint="default"/>
        </w:rPr>
        <w:t>6.</w:t>
      </w:r>
      <w:r>
        <w:rPr/>
        <w:t>本报告期实际核销的其他应收款</w:t>
      </w:r>
    </w:p>
    <w:p>
      <w:pPr>
        <w:spacing w:line="240" w:lineRule="auto" w:before="2"/>
        <w:rPr>
          <w:rFonts w:ascii="宋体" w:hAnsi="宋体" w:cs="宋体" w:eastAsia="宋体" w:hint="default"/>
          <w:sz w:val="4"/>
          <w:szCs w:val="4"/>
        </w:rPr>
      </w:pPr>
    </w:p>
    <w:tbl>
      <w:tblPr>
        <w:tblW w:w="0" w:type="auto"/>
        <w:jc w:val="left"/>
        <w:tblInd w:w="150" w:type="dxa"/>
        <w:tblLayout w:type="fixed"/>
        <w:tblCellMar>
          <w:top w:w="0" w:type="dxa"/>
          <w:left w:w="0" w:type="dxa"/>
          <w:bottom w:w="0" w:type="dxa"/>
          <w:right w:w="0" w:type="dxa"/>
        </w:tblCellMar>
        <w:tblLook w:val="01E0"/>
      </w:tblPr>
      <w:tblGrid>
        <w:gridCol w:w="4823"/>
        <w:gridCol w:w="4789"/>
      </w:tblGrid>
      <w:tr>
        <w:trPr>
          <w:trHeight w:val="346" w:hRule="exact"/>
        </w:trPr>
        <w:tc>
          <w:tcPr>
            <w:tcW w:w="482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348" w:hRule="exact"/>
        </w:trPr>
        <w:tc>
          <w:tcPr>
            <w:tcW w:w="4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33,687.20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before="44"/>
        <w:ind w:left="513" w:right="1133"/>
        <w:jc w:val="left"/>
      </w:pPr>
      <w:r>
        <w:rPr>
          <w:rFonts w:ascii="Times New Roman" w:hAnsi="Times New Roman" w:cs="Times New Roman" w:eastAsia="Times New Roman" w:hint="default"/>
        </w:rPr>
        <w:t>7.</w:t>
      </w:r>
      <w:r>
        <w:rPr/>
        <w:t>按欠款方归集的期末余额前五名的其他应收款</w:t>
      </w:r>
    </w:p>
    <w:p>
      <w:pPr>
        <w:spacing w:line="240" w:lineRule="auto" w:before="7"/>
        <w:rPr>
          <w:rFonts w:ascii="宋体" w:hAnsi="宋体" w:cs="宋体" w:eastAsia="宋体" w:hint="default"/>
          <w:sz w:val="4"/>
          <w:szCs w:val="4"/>
        </w:rPr>
      </w:pPr>
    </w:p>
    <w:tbl>
      <w:tblPr>
        <w:tblW w:w="0" w:type="auto"/>
        <w:jc w:val="left"/>
        <w:tblInd w:w="150" w:type="dxa"/>
        <w:tblLayout w:type="fixed"/>
        <w:tblCellMar>
          <w:top w:w="0" w:type="dxa"/>
          <w:left w:w="0" w:type="dxa"/>
          <w:bottom w:w="0" w:type="dxa"/>
          <w:right w:w="0" w:type="dxa"/>
        </w:tblCellMar>
        <w:tblLook w:val="01E0"/>
      </w:tblPr>
      <w:tblGrid>
        <w:gridCol w:w="2513"/>
        <w:gridCol w:w="1486"/>
        <w:gridCol w:w="1575"/>
        <w:gridCol w:w="1310"/>
        <w:gridCol w:w="1400"/>
        <w:gridCol w:w="1306"/>
      </w:tblGrid>
      <w:tr>
        <w:trPr>
          <w:trHeight w:val="655" w:hRule="exact"/>
        </w:trPr>
        <w:tc>
          <w:tcPr>
            <w:tcW w:w="25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3"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15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4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4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3"/>
              <w:ind w:left="19" w:right="14" w:firstLine="43"/>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占其他应收款期 末余额的比例</w:t>
            </w:r>
            <w:r>
              <w:rPr>
                <w:rFonts w:ascii="Times New Roman" w:hAnsi="Times New Roman" w:cs="Times New Roman" w:eastAsia="Times New Roman" w:hint="default"/>
                <w:sz w:val="18"/>
                <w:szCs w:val="18"/>
              </w:rPr>
              <w:t>(%)</w:t>
            </w:r>
          </w:p>
        </w:tc>
        <w:tc>
          <w:tcPr>
            <w:tcW w:w="13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3"/>
              <w:ind w:left="287" w:right="281"/>
              <w:jc w:val="left"/>
              <w:rPr>
                <w:rFonts w:ascii="宋体" w:hAnsi="宋体" w:cs="宋体" w:eastAsia="宋体" w:hint="default"/>
                <w:sz w:val="18"/>
                <w:szCs w:val="18"/>
              </w:rPr>
            </w:pPr>
            <w:r>
              <w:rPr>
                <w:rFonts w:ascii="宋体" w:hAnsi="宋体" w:cs="宋体" w:eastAsia="宋体" w:hint="default"/>
                <w:sz w:val="18"/>
                <w:szCs w:val="18"/>
              </w:rPr>
              <w:t>坏账准备 期末余额</w:t>
            </w:r>
          </w:p>
        </w:tc>
      </w:tr>
      <w:tr>
        <w:trPr>
          <w:trHeight w:val="346" w:hRule="exact"/>
        </w:trPr>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深圳市公安局</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807,010.00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righ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4.67</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660" w:hRule="exact"/>
        </w:trPr>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11"/>
                <w:sz w:val="18"/>
                <w:szCs w:val="18"/>
              </w:rPr>
              <w:t>中国石化国际事业有限公司北</w:t>
            </w:r>
            <w:r>
              <w:rPr>
                <w:rFonts w:ascii="宋体" w:hAnsi="宋体" w:cs="宋体" w:eastAsia="宋体" w:hint="default"/>
                <w:sz w:val="18"/>
                <w:szCs w:val="18"/>
              </w:rPr>
              <w:t> 京招标中心</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600,000.00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3.47</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80,493.28</w:t>
            </w:r>
          </w:p>
        </w:tc>
      </w:tr>
      <w:tr>
        <w:trPr>
          <w:trHeight w:val="346" w:hRule="exact"/>
        </w:trPr>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杭州思创汇联科技有限公司</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591,500.00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righ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3.43</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198,902.00</w:t>
            </w:r>
          </w:p>
        </w:tc>
      </w:tr>
      <w:tr>
        <w:trPr>
          <w:trHeight w:val="348" w:hRule="exact"/>
        </w:trPr>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深圳市恒昌荣投资有限公司</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552,934.00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3.20</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194,433.00</w:t>
            </w:r>
          </w:p>
        </w:tc>
      </w:tr>
      <w:tr>
        <w:trPr>
          <w:trHeight w:val="358" w:hRule="exact"/>
        </w:trPr>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深圳市鸿泰创新科技有限公司</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531,808.00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3.08</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74,968.00</w:t>
            </w:r>
          </w:p>
        </w:tc>
      </w:tr>
      <w:tr>
        <w:trPr>
          <w:trHeight w:val="348" w:hRule="exact"/>
        </w:trPr>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86"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3,083,252.00</w:t>
            </w:r>
          </w:p>
        </w:tc>
        <w:tc>
          <w:tcPr>
            <w:tcW w:w="131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17.85</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578,796.28</w:t>
            </w:r>
          </w:p>
        </w:tc>
      </w:tr>
    </w:tbl>
    <w:p>
      <w:pPr>
        <w:spacing w:line="240" w:lineRule="auto" w:before="2"/>
        <w:rPr>
          <w:rFonts w:ascii="宋体" w:hAnsi="宋体" w:cs="宋体" w:eastAsia="宋体" w:hint="default"/>
          <w:sz w:val="21"/>
          <w:szCs w:val="21"/>
        </w:rPr>
      </w:pPr>
    </w:p>
    <w:p>
      <w:pPr>
        <w:pStyle w:val="BodyText"/>
        <w:spacing w:line="240" w:lineRule="auto" w:before="44"/>
        <w:ind w:left="513" w:right="1133"/>
        <w:jc w:val="left"/>
      </w:pPr>
      <w:r>
        <w:rPr>
          <w:rFonts w:ascii="Times New Roman" w:hAnsi="Times New Roman" w:cs="Times New Roman" w:eastAsia="Times New Roman" w:hint="default"/>
        </w:rPr>
        <w:t>8.</w:t>
      </w:r>
      <w:r>
        <w:rPr/>
        <w:t>期末其他应收款中无应收持本公司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）表决权股份的股东单位及其他关联方款项。</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9、存货" w:id="241"/>
      <w:bookmarkEnd w:id="241"/>
      <w:r>
        <w:rPr>
          <w:b w:val="0"/>
          <w:bCs w:val="0"/>
        </w:rPr>
      </w:r>
      <w:r>
        <w:rPr>
          <w:rFonts w:ascii="Times New Roman" w:hAnsi="Times New Roman" w:cs="Times New Roman" w:eastAsia="Times New Roman" w:hint="default"/>
        </w:rPr>
        <w:t>9</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1）存货分类" w:id="242"/>
      <w:bookmarkEnd w:id="242"/>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58"/>
        <w:gridCol w:w="1379"/>
        <w:gridCol w:w="1368"/>
        <w:gridCol w:w="1366"/>
        <w:gridCol w:w="1368"/>
        <w:gridCol w:w="1366"/>
        <w:gridCol w:w="1368"/>
      </w:tblGrid>
      <w:tr>
        <w:trPr>
          <w:trHeight w:val="206" w:hRule="exact"/>
        </w:trPr>
        <w:tc>
          <w:tcPr>
            <w:tcW w:w="135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8"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196,674,254.41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12,579,094.47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184,095,159.94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132,152,577.87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12,378,527.80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119,774,050.07</w:t>
            </w: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9,771,682.81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9,771,682.81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5,565,672.25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5,565,672.25</w:t>
            </w: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60,707,781.92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10,359,233.83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50,348,548.09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48,107,183.78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6,648,124.51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41,459,059.27</w:t>
            </w: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33,204,413.53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177,725.53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33,026,688.00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31,047,917.68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406,175.21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30,641,742.47</w:t>
            </w: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5,098,691.11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5,098,691.11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62,835,246.86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62,835,246.86</w:t>
            </w: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305,456,823.78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23,116,053.83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282,340,769.95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279,708,598.44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19,432,827.52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260,275,770.92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存货跌价准备" w:id="243"/>
      <w:bookmarkEnd w:id="243"/>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12,378,527.80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8,646,141.52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2,282,845.48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10,728,420.33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12,579,094.47</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6,648,124.51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9,642,489.23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342,388.94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6,273,768.85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10,359,233.83</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406,175.21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756,349.59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984,799.27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177,725.53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2" w:right="0"/>
              <w:jc w:val="left"/>
              <w:rPr>
                <w:rFonts w:ascii="Times New Roman" w:hAnsi="Times New Roman" w:cs="Times New Roman" w:eastAsia="Times New Roman" w:hint="default"/>
                <w:sz w:val="18"/>
                <w:szCs w:val="18"/>
              </w:rPr>
            </w:pPr>
            <w:r>
              <w:rPr>
                <w:rFonts w:ascii="Times New Roman"/>
                <w:sz w:val="18"/>
              </w:rPr>
              <w:t>19,432,827.52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19,044,980.34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8" w:right="0"/>
              <w:jc w:val="left"/>
              <w:rPr>
                <w:rFonts w:ascii="Times New Roman" w:hAnsi="Times New Roman" w:cs="Times New Roman" w:eastAsia="Times New Roman" w:hint="default"/>
                <w:sz w:val="18"/>
                <w:szCs w:val="18"/>
              </w:rPr>
            </w:pPr>
            <w:r>
              <w:rPr>
                <w:rFonts w:ascii="Times New Roman"/>
                <w:sz w:val="18"/>
              </w:rPr>
              <w:t>2,625,234.42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17,986,988.45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4" w:right="0"/>
              <w:jc w:val="left"/>
              <w:rPr>
                <w:rFonts w:ascii="Times New Roman" w:hAnsi="Times New Roman" w:cs="Times New Roman" w:eastAsia="Times New Roman" w:hint="default"/>
                <w:sz w:val="18"/>
                <w:szCs w:val="18"/>
              </w:rPr>
            </w:pPr>
            <w:r>
              <w:rPr>
                <w:rFonts w:ascii="Times New Roman"/>
                <w:sz w:val="18"/>
              </w:rPr>
              <w:t>23,116,053.83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0、其他流动资产" w:id="244"/>
      <w:bookmarkEnd w:id="244"/>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增值税留抵扣额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12,539,966.78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1,894,745.17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8,035,551.36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1,684,305.09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待处理流动资产损溢</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28,206.63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20,603,724.77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3,579,050.26</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11、长期股权投资" w:id="245"/>
      <w:bookmarkEnd w:id="245"/>
      <w:r>
        <w:rPr>
          <w:b w:val="0"/>
          <w:bCs w:val="0"/>
        </w:rPr>
      </w:r>
      <w:r>
        <w:rPr>
          <w:rFonts w:ascii="Times New Roman" w:hAnsi="Times New Roman" w:cs="Times New Roman" w:eastAsia="Times New Roman" w:hint="default"/>
        </w:rPr>
        <w:t>11</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2"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上海芝柯 智能科技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19,819,48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7.09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2,713,261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1,375,000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21,157,74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8.43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中世顺科 </w:t>
            </w:r>
            <w:r>
              <w:rPr>
                <w:rFonts w:ascii="宋体" w:hAnsi="宋体" w:cs="宋体" w:eastAsia="宋体" w:hint="default"/>
                <w:spacing w:val="-18"/>
                <w:sz w:val="18"/>
                <w:szCs w:val="18"/>
              </w:rPr>
              <w:t>技（北京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股份有限 公司</w:t>
            </w:r>
          </w:p>
        </w:tc>
        <w:tc>
          <w:tcPr>
            <w:tcW w:w="79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27,983,98</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2.83</w:t>
            </w:r>
          </w:p>
          <w:p>
            <w:pPr>
              <w:pStyle w:val="TableParagraph"/>
              <w:spacing w:line="240" w:lineRule="auto" w:before="11"/>
              <w:ind w:right="0"/>
              <w:jc w:val="left"/>
              <w:rPr>
                <w:rFonts w:ascii="宋体" w:hAnsi="宋体" w:cs="宋体" w:eastAsia="宋体" w:hint="default"/>
                <w:sz w:val="23"/>
                <w:szCs w:val="23"/>
              </w:rPr>
            </w:pPr>
          </w:p>
          <w:p>
            <w:pPr>
              <w:pStyle w:val="TableParagraph"/>
              <w:spacing w:line="352" w:lineRule="exact"/>
              <w:ind w:left="12" w:right="-29"/>
              <w:jc w:val="left"/>
              <w:rPr>
                <w:rFonts w:ascii="宋体" w:hAnsi="宋体" w:cs="宋体" w:eastAsia="宋体" w:hint="default"/>
                <w:sz w:val="20"/>
                <w:szCs w:val="20"/>
              </w:rPr>
            </w:pPr>
            <w:r>
              <w:rPr>
                <w:rFonts w:ascii="宋体" w:hAnsi="宋体" w:cs="宋体" w:eastAsia="宋体" w:hint="default"/>
                <w:position w:val="-6"/>
                <w:sz w:val="20"/>
                <w:szCs w:val="20"/>
              </w:rPr>
              <w:pict>
                <v:group style="width:37.1pt;height:17.650pt;mso-position-horizontal-relative:char;mso-position-vertical-relative:line" coordorigin="0,0" coordsize="742,353">
                  <v:group style="position:absolute;left:0;top:0;width:742;height:353" coordorigin="0,0" coordsize="742,353">
                    <v:shape style="position:absolute;left:0;top:0;width:742;height:353" coordorigin="0,0" coordsize="742,353" path="m0,353l742,353,742,0,0,0,0,353xe" filled="true" fillcolor="#ffffff" stroked="false">
                      <v:path arrowok="t"/>
                      <v:fill type="solid"/>
                    </v:shape>
                  </v:group>
                </v:group>
              </w:pict>
            </w:r>
            <w:r>
              <w:rPr>
                <w:rFonts w:ascii="宋体" w:hAnsi="宋体" w:cs="宋体" w:eastAsia="宋体" w:hint="default"/>
                <w:position w:val="-6"/>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3,011,008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30,994,99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1.28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深圳市天 眼智通科 技有限公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2,047,026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-28,537.9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2,018,488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2,018,488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.10</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湖南爱买 单信息技 术有限公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2,318,493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-130,586.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2,187,906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71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52,168,98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5,565,145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1,375,000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2,018,488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54,340,64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2,018,488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.10</w:t>
            </w: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52,168,98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5,565,145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1,375,000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2,018,488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54,340,64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2,018,488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.10</w:t>
            </w:r>
          </w:p>
        </w:tc>
      </w:tr>
    </w:tbl>
    <w:p>
      <w:pPr>
        <w:pStyle w:val="BodyText"/>
        <w:spacing w:line="240" w:lineRule="auto" w:before="49"/>
        <w:ind w:right="0"/>
        <w:jc w:val="both"/>
      </w:pPr>
      <w:r>
        <w:rPr/>
        <w:t>其他说明</w:t>
      </w:r>
    </w:p>
    <w:p>
      <w:pPr>
        <w:pStyle w:val="BodyText"/>
        <w:spacing w:line="300" w:lineRule="auto" w:before="115"/>
        <w:ind w:right="0"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日，本公司、葛学敏、牛素侠与上海芝柯智能科技有限公司（以下简称</w:t>
      </w:r>
      <w:r>
        <w:rPr>
          <w:rFonts w:ascii="Times New Roman" w:hAnsi="Times New Roman" w:cs="Times New Roman" w:eastAsia="Times New Roman" w:hint="default"/>
        </w:rPr>
        <w:t>“</w:t>
      </w:r>
      <w:r>
        <w:rPr/>
        <w:t>上海芝柯</w:t>
      </w:r>
      <w:r>
        <w:rPr>
          <w:rFonts w:ascii="Times New Roman" w:hAnsi="Times New Roman" w:cs="Times New Roman" w:eastAsia="Times New Roman" w:hint="default"/>
        </w:rPr>
        <w:t>”</w:t>
      </w:r>
      <w:r>
        <w:rPr/>
        <w:t>）股东蒋武靖、岳跃军签 </w:t>
      </w:r>
      <w:r>
        <w:rPr>
          <w:spacing w:val="-2"/>
        </w:rPr>
        <w:t>署了《关于上海芝柯智能科技有限公司之股权转让协议》，本公司以人民币</w:t>
      </w:r>
      <w:r>
        <w:rPr>
          <w:rFonts w:ascii="Times New Roman" w:hAnsi="Times New Roman" w:cs="Times New Roman" w:eastAsia="Times New Roman" w:hint="default"/>
          <w:spacing w:val="-2"/>
        </w:rPr>
        <w:t>1,650.00</w:t>
      </w:r>
      <w:r>
        <w:rPr>
          <w:spacing w:val="-2"/>
        </w:rPr>
        <w:t>万元的价格受让上海芝柯</w:t>
      </w:r>
      <w:r>
        <w:rPr>
          <w:rFonts w:ascii="Times New Roman" w:hAnsi="Times New Roman" w:cs="Times New Roman" w:eastAsia="Times New Roman" w:hint="default"/>
          <w:spacing w:val="-2"/>
        </w:rPr>
        <w:t>27.50%</w:t>
      </w:r>
      <w:r>
        <w:rPr>
          <w:spacing w:val="-2"/>
        </w:rPr>
        <w:t>的股权。</w:t>
      </w:r>
      <w:r>
        <w:rPr>
          <w:spacing w:val="-65"/>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日上海芝柯完成了工商变更。截止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日已支付人民币</w:t>
      </w:r>
      <w:r>
        <w:rPr>
          <w:rFonts w:ascii="Times New Roman" w:hAnsi="Times New Roman" w:cs="Times New Roman" w:eastAsia="Times New Roman" w:hint="default"/>
        </w:rPr>
        <w:t>1,650.00</w:t>
      </w:r>
      <w:r>
        <w:rPr/>
        <w:t>万元。</w:t>
      </w:r>
    </w:p>
    <w:p>
      <w:pPr>
        <w:pStyle w:val="BodyText"/>
        <w:spacing w:line="300" w:lineRule="auto" w:before="13"/>
        <w:ind w:right="1124"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w:t>
      </w:r>
      <w:r>
        <w:rPr>
          <w:spacing w:val="-2"/>
        </w:rPr>
        <w:t>日，本公司与天眼智通（香港）有限公司（以下简称</w:t>
      </w:r>
      <w:r>
        <w:rPr>
          <w:rFonts w:ascii="Times New Roman" w:hAnsi="Times New Roman" w:cs="Times New Roman" w:eastAsia="Times New Roman" w:hint="default"/>
          <w:spacing w:val="-2"/>
        </w:rPr>
        <w:t>“</w:t>
      </w:r>
      <w:r>
        <w:rPr>
          <w:spacing w:val="-2"/>
        </w:rPr>
        <w:t>天眼智通香港</w:t>
      </w:r>
      <w:r>
        <w:rPr>
          <w:rFonts w:ascii="Times New Roman" w:hAnsi="Times New Roman" w:cs="Times New Roman" w:eastAsia="Times New Roman" w:hint="default"/>
          <w:spacing w:val="-2"/>
        </w:rPr>
        <w:t>”</w:t>
      </w:r>
      <w:r>
        <w:rPr>
          <w:spacing w:val="-2"/>
        </w:rPr>
        <w:t>）签署了《关于合资经营深圳市天眼智</w:t>
      </w:r>
      <w:r>
        <w:rPr/>
        <w:t> 通科技有限公司之合资合同》，本公司认缴出资人民币</w:t>
      </w:r>
      <w:r>
        <w:rPr>
          <w:rFonts w:ascii="Times New Roman" w:hAnsi="Times New Roman" w:cs="Times New Roman" w:eastAsia="Times New Roman" w:hint="default"/>
        </w:rPr>
        <w:t>1,000.00</w:t>
      </w:r>
      <w:r>
        <w:rPr/>
        <w:t>万元，占深圳市天眼智通科技有限公司注册资本的</w:t>
      </w:r>
      <w:r>
        <w:rPr>
          <w:rFonts w:ascii="Times New Roman" w:hAnsi="Times New Roman" w:cs="Times New Roman" w:eastAsia="Times New Roman" w:hint="default"/>
        </w:rPr>
        <w:t>40.00%</w:t>
      </w:r>
      <w:r>
        <w:rPr/>
        <w:t>。 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日已支付人民币</w:t>
      </w:r>
      <w:r>
        <w:rPr>
          <w:rFonts w:ascii="Times New Roman" w:hAnsi="Times New Roman" w:cs="Times New Roman" w:eastAsia="Times New Roman" w:hint="default"/>
        </w:rPr>
        <w:t>300.00</w:t>
      </w:r>
      <w:r>
        <w:rPr/>
        <w:t>万元。</w:t>
      </w:r>
    </w:p>
    <w:p>
      <w:pPr>
        <w:pStyle w:val="BodyText"/>
        <w:spacing w:line="300" w:lineRule="auto" w:before="13"/>
        <w:ind w:right="1130"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19</w:t>
      </w:r>
      <w:r>
        <w:rPr>
          <w:spacing w:val="-2"/>
        </w:rPr>
        <w:t>日本公司与中世顺科技（北京）股份有限公司（以下简称</w:t>
      </w:r>
      <w:r>
        <w:rPr>
          <w:rFonts w:ascii="Times New Roman" w:hAnsi="Times New Roman" w:cs="Times New Roman" w:eastAsia="Times New Roman" w:hint="default"/>
          <w:spacing w:val="-2"/>
        </w:rPr>
        <w:t>“</w:t>
      </w:r>
      <w:r>
        <w:rPr>
          <w:spacing w:val="-2"/>
        </w:rPr>
        <w:t>北京中世顺</w:t>
      </w:r>
      <w:r>
        <w:rPr>
          <w:rFonts w:ascii="Times New Roman" w:hAnsi="Times New Roman" w:cs="Times New Roman" w:eastAsia="Times New Roman" w:hint="default"/>
          <w:spacing w:val="-2"/>
        </w:rPr>
        <w:t>”</w:t>
      </w:r>
      <w:r>
        <w:rPr>
          <w:spacing w:val="-2"/>
        </w:rPr>
        <w:t>）股东李远模、高慧、付万明、王</w:t>
      </w:r>
      <w:r>
        <w:rPr/>
        <w:t> 冬签署了《关于中世顺科技（北京）股份有限公司之股份投资协议》，本公司以人民币</w:t>
      </w:r>
      <w:r>
        <w:rPr>
          <w:rFonts w:ascii="Times New Roman" w:hAnsi="Times New Roman" w:cs="Times New Roman" w:eastAsia="Times New Roman" w:hint="default"/>
        </w:rPr>
        <w:t>1,100.00</w:t>
      </w:r>
      <w:r>
        <w:rPr/>
        <w:t>万元受让现有股东</w:t>
      </w:r>
      <w:r>
        <w:rPr>
          <w:rFonts w:ascii="Times New Roman" w:hAnsi="Times New Roman" w:cs="Times New Roman" w:eastAsia="Times New Roman" w:hint="default"/>
        </w:rPr>
        <w:t>1,111,100</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t>股股份，以人民币</w:t>
      </w:r>
      <w:r>
        <w:rPr>
          <w:rFonts w:ascii="Times New Roman" w:hAnsi="Times New Roman" w:cs="Times New Roman" w:eastAsia="Times New Roman" w:hint="default"/>
        </w:rPr>
        <w:t>1,375</w:t>
      </w:r>
      <w:r>
        <w:rPr/>
        <w:t>万元认购北京中世顺新增股本</w:t>
      </w:r>
      <w:r>
        <w:rPr>
          <w:rFonts w:ascii="Times New Roman" w:hAnsi="Times New Roman" w:cs="Times New Roman" w:eastAsia="Times New Roman" w:hint="default"/>
        </w:rPr>
        <w:t>1,388,900</w:t>
      </w:r>
      <w:r>
        <w:rPr/>
        <w:t>股，通过本次受让原股东股份及认购新增股份，本公司持有</w:t>
      </w:r>
      <w:r>
        <w:rPr>
          <w:spacing w:val="-50"/>
        </w:rPr>
        <w:t> </w:t>
      </w:r>
      <w:r>
        <w:rPr>
          <w:spacing w:val="-50"/>
        </w:rPr>
      </w:r>
      <w:r>
        <w:rPr/>
        <w:t>北京中世顺</w:t>
      </w:r>
      <w:r>
        <w:rPr>
          <w:rFonts w:ascii="Times New Roman" w:hAnsi="Times New Roman" w:cs="Times New Roman" w:eastAsia="Times New Roman" w:hint="default"/>
        </w:rPr>
        <w:t>20.00%</w:t>
      </w:r>
      <w:r>
        <w:rPr/>
        <w:t>的股权。截止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日共支付人民币</w:t>
      </w:r>
      <w:r>
        <w:rPr>
          <w:rFonts w:ascii="Times New Roman" w:hAnsi="Times New Roman" w:cs="Times New Roman" w:eastAsia="Times New Roman" w:hint="default"/>
        </w:rPr>
        <w:t>2,475.00</w:t>
      </w:r>
      <w:r>
        <w:rPr/>
        <w:t>万元。</w:t>
      </w:r>
    </w:p>
    <w:p>
      <w:pPr>
        <w:pStyle w:val="BodyText"/>
        <w:spacing w:line="240" w:lineRule="auto" w:before="13"/>
        <w:ind w:left="513"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日，本公司之子公司深圳市瑞柏泰电子有限公司与周瑜、陈贤政、永州亿科互联信息网络有限公司签署了</w:t>
      </w:r>
    </w:p>
    <w:p>
      <w:pPr>
        <w:pStyle w:val="BodyText"/>
        <w:spacing w:line="304" w:lineRule="auto" w:before="63"/>
        <w:ind w:right="1129"/>
        <w:jc w:val="both"/>
      </w:pPr>
      <w:r>
        <w:rPr>
          <w:spacing w:val="-1"/>
        </w:rPr>
        <w:t>《关于湖南爱买单信息技术有限公司之投资协议》，深圳市瑞柏泰电子有限公司以人民币</w:t>
      </w:r>
      <w:r>
        <w:rPr>
          <w:rFonts w:ascii="Times New Roman" w:hAnsi="Times New Roman" w:cs="Times New Roman" w:eastAsia="Times New Roman" w:hint="default"/>
          <w:spacing w:val="-1"/>
        </w:rPr>
        <w:t>250.00</w:t>
      </w:r>
      <w:r>
        <w:rPr>
          <w:spacing w:val="-1"/>
        </w:rPr>
        <w:t>万元的价格认购湖南爱买单</w:t>
      </w:r>
      <w:r>
        <w:rPr>
          <w:spacing w:val="-70"/>
        </w:rPr>
        <w:t> </w:t>
      </w:r>
      <w:r>
        <w:rPr>
          <w:spacing w:val="-70"/>
        </w:rPr>
      </w:r>
      <w:r>
        <w:rPr>
          <w:spacing w:val="-1"/>
        </w:rPr>
        <w:t>信息技术有限公司</w:t>
      </w:r>
      <w:r>
        <w:rPr>
          <w:rFonts w:ascii="Times New Roman" w:hAnsi="Times New Roman" w:cs="Times New Roman" w:eastAsia="Times New Roman" w:hint="default"/>
          <w:spacing w:val="-1"/>
        </w:rPr>
        <w:t>5.56%</w:t>
      </w:r>
      <w:r>
        <w:rPr>
          <w:spacing w:val="-1"/>
        </w:rPr>
        <w:t>的股权，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19</w:t>
      </w:r>
      <w:r>
        <w:rPr>
          <w:spacing w:val="-1"/>
        </w:rPr>
        <w:t>日湖南爱买单信息技术有限公司完成工商变更。</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6</w:t>
      </w:r>
      <w:r>
        <w:rPr>
          <w:spacing w:val="-1"/>
        </w:rPr>
        <w:t>日，湖南爱买单</w:t>
      </w:r>
      <w:r>
        <w:rPr>
          <w:spacing w:val="-42"/>
        </w:rPr>
        <w:t> </w:t>
      </w:r>
      <w:r>
        <w:rPr>
          <w:spacing w:val="-42"/>
        </w:rPr>
      </w:r>
      <w:r>
        <w:rPr/>
        <w:t>信息技术有限公司注册资本由</w:t>
      </w:r>
      <w:r>
        <w:rPr>
          <w:rFonts w:ascii="Times New Roman" w:hAnsi="Times New Roman" w:cs="Times New Roman" w:eastAsia="Times New Roman" w:hint="default"/>
        </w:rPr>
        <w:t>211.7747</w:t>
      </w:r>
      <w:r>
        <w:rPr/>
        <w:t>万元变更为</w:t>
      </w:r>
      <w:r>
        <w:rPr>
          <w:rFonts w:ascii="Times New Roman" w:hAnsi="Times New Roman" w:cs="Times New Roman" w:eastAsia="Times New Roman" w:hint="default"/>
        </w:rPr>
        <w:t>235.3052</w:t>
      </w:r>
      <w:r>
        <w:rPr/>
        <w:t>万元，新增注册资本由新增股东认缴，深圳市瑞柏泰电子有限公</w:t>
      </w:r>
      <w:r>
        <w:rPr>
          <w:spacing w:val="-86"/>
        </w:rPr>
        <w:t> </w:t>
      </w:r>
      <w:r>
        <w:rPr>
          <w:spacing w:val="-86"/>
        </w:rPr>
      </w:r>
      <w:r>
        <w:rPr/>
        <w:t>司投资金额不变，本次变更后深圳市瑞柏泰电子有限公司持有湖南爱买单信息技术有限公司</w:t>
      </w:r>
      <w:r>
        <w:rPr>
          <w:rFonts w:ascii="Times New Roman" w:hAnsi="Times New Roman" w:cs="Times New Roman" w:eastAsia="Times New Roman" w:hint="default"/>
        </w:rPr>
        <w:t>5.004%</w:t>
      </w:r>
      <w:r>
        <w:rPr/>
        <w:t>的股权。由于深圳市瑞</w:t>
      </w:r>
      <w:r>
        <w:rPr>
          <w:spacing w:val="-14"/>
        </w:rPr>
        <w:t> </w:t>
      </w:r>
      <w:r>
        <w:rPr>
          <w:spacing w:val="-14"/>
        </w:rPr>
      </w:r>
      <w:r>
        <w:rPr>
          <w:spacing w:val="-2"/>
        </w:rPr>
        <w:t>柏泰电子有限公司在湖南爱买单信息技术有限公司董事会中派有一名董事并参与对其财务和经营政策的决策，本公司认为控</w:t>
      </w:r>
      <w:r>
        <w:rPr>
          <w:spacing w:val="-64"/>
        </w:rPr>
        <w:t> </w:t>
      </w:r>
      <w:r>
        <w:rPr>
          <w:spacing w:val="-64"/>
        </w:rPr>
      </w:r>
      <w:r>
        <w:rPr/>
        <w:t>股子公司深圳市瑞柏泰电子有限公司能够对湖南爱买单信息技术有限公司施加重大影响，故按权益法进行核算。</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bookmarkStart w:name="12、固定资产" w:id="246"/>
      <w:bookmarkEnd w:id="246"/>
      <w:r>
        <w:rPr>
          <w:b w:val="0"/>
          <w:bCs w:val="0"/>
        </w:rPr>
      </w:r>
      <w:r>
        <w:rPr>
          <w:rFonts w:ascii="Times New Roman" w:hAnsi="Times New Roman" w:cs="Times New Roman" w:eastAsia="Times New Roman" w:hint="default"/>
        </w:rPr>
        <w:t>12</w:t>
      </w:r>
      <w:r>
        <w:rPr/>
        <w:t>、固定资产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96,423,810.18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37,261,854.92</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96,423,810.18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37,261,854.92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固定资产情况" w:id="247"/>
      <w:bookmarkEnd w:id="247"/>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8"/>
              <w:jc w:val="right"/>
              <w:rPr>
                <w:rFonts w:ascii="宋体" w:hAnsi="宋体" w:cs="宋体" w:eastAsia="宋体" w:hint="default"/>
                <w:sz w:val="18"/>
                <w:szCs w:val="18"/>
              </w:rPr>
            </w:pPr>
            <w:r>
              <w:rPr>
                <w:rFonts w:ascii="宋体" w:hAnsi="宋体" w:cs="宋体" w:eastAsia="宋体" w:hint="default"/>
                <w:sz w:val="18"/>
                <w:szCs w:val="18"/>
              </w:rPr>
              <w:t>办公及电子设备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出租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机</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0"/>
              <w:jc w:val="righ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27,346,197.05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4,567,219.09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7,872,756.28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10,720,874.74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1,747,435.94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52,254,483.10</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77"/>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2.</w:t>
            </w:r>
            <w:r>
              <w:rPr>
                <w:rFonts w:ascii="宋体" w:hAnsi="宋体" w:cs="宋体" w:eastAsia="宋体" w:hint="default"/>
                <w:spacing w:val="-1"/>
                <w:sz w:val="16"/>
                <w:szCs w:val="16"/>
              </w:rPr>
              <w:t>本期增加金额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63,340,903.08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2,941,084.32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1,354,336.04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3,430,369.96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71,066,693.40</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1,092,918.97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462,828.65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1,229,720.34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2,785,467.96</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63,340,903.08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1,848,165.35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891,507.39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2,200,649.62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68,281,225.44</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17,812.43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291,371.90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2,524,567.91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1,747,435.94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4,581,188.18</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17,812.43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291,371.90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2,524,567.91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1,747,435.94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4,581,188.18</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90,687,100.13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7,490,490.98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8,935,720.42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11,626,676.79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118,739,988.32</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546,246.71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1,368,075.11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4,396,816.47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7,196,668.58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1,484,821.31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14,992,628.18</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6,076,443.92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1,422,017.49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1,182,565.16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2,818,134.34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27,667.73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11,526,828.64</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819,058.56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911,275.77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821,952.77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1,733,415.23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27,667.73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4,313,370.06</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5,257,385.36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510,741.72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360,612.39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1,084,719.11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7,213,458.58</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14,798.78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278,421.45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2,397,569.41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1,512,489.04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4,203,278.68</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14,798.78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278,421.45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2,397,569.41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1,512,489.04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4,203,278.68</w:t>
            </w: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6,622,690.63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2,775,293.82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5,300,960.18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7,617,233.51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22,316,178.14</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84,064,409.50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4,715,197.16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3,634,760.24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4,009,443.28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96,423,810.18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26,799,950.34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3,199,143.98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3,475,939.81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3,524,206.16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262,614.63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37,261,854.92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2） 期末无未办妥产权证书的固定资产。" w:id="248"/>
      <w:bookmarkEnd w:id="248"/>
      <w:r>
        <w:rPr>
          <w:b w:val="0"/>
          <w:bCs w:val="0"/>
        </w:rPr>
      </w:r>
      <w:r>
        <w:rPr/>
        <w:t>（</w:t>
      </w:r>
      <w:r>
        <w:rPr>
          <w:rFonts w:ascii="Times New Roman" w:hAnsi="Times New Roman" w:cs="Times New Roman" w:eastAsia="Times New Roman" w:hint="default"/>
        </w:rPr>
        <w:t>2</w:t>
      </w:r>
      <w:r>
        <w:rPr/>
        <w:t>） 期末无未办妥产权证书的固定资产。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3） 期末无抵押或担保的固定资产。" w:id="249"/>
      <w:bookmarkEnd w:id="249"/>
      <w:r>
        <w:rPr>
          <w:b w:val="0"/>
          <w:bCs w:val="0"/>
        </w:rPr>
      </w:r>
      <w:r>
        <w:rPr/>
        <w:t>（</w:t>
      </w:r>
      <w:r>
        <w:rPr>
          <w:rFonts w:ascii="Times New Roman" w:hAnsi="Times New Roman" w:cs="Times New Roman" w:eastAsia="Times New Roman" w:hint="default"/>
        </w:rPr>
        <w:t>3</w:t>
      </w:r>
      <w:r>
        <w:rPr/>
        <w:t>）</w:t>
      </w:r>
      <w:r>
        <w:rPr>
          <w:spacing w:val="-1"/>
        </w:rPr>
        <w:t> </w:t>
      </w:r>
      <w:r>
        <w:rPr/>
        <w:t>期末无抵押或担保的固定资产。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4） 期末本公司固定资产不存在可回收金额低于其账面价值的情况，故未计提减值准备" w:id="250"/>
      <w:bookmarkEnd w:id="250"/>
      <w:r>
        <w:rPr>
          <w:b w:val="0"/>
          <w:bCs w:val="0"/>
        </w:rPr>
      </w:r>
      <w:r>
        <w:rPr/>
        <w:t>（</w:t>
      </w:r>
      <w:r>
        <w:rPr>
          <w:rFonts w:ascii="Times New Roman" w:hAnsi="Times New Roman" w:cs="Times New Roman" w:eastAsia="Times New Roman" w:hint="default"/>
        </w:rPr>
        <w:t>4</w:t>
      </w:r>
      <w:r>
        <w:rPr/>
        <w:t>）</w:t>
      </w:r>
      <w:r>
        <w:rPr>
          <w:spacing w:val="-4"/>
        </w:rPr>
        <w:t> </w:t>
      </w:r>
      <w:r>
        <w:rPr/>
        <w:t>期末本公司固定资产不存在可回收金额低于其账面价值的情况，故未计提减值准备。</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3、无形资产" w:id="251"/>
      <w:bookmarkEnd w:id="251"/>
      <w:r>
        <w:rPr>
          <w:b w:val="0"/>
          <w:bCs w:val="0"/>
        </w:rPr>
      </w:r>
      <w:r>
        <w:rPr>
          <w:rFonts w:ascii="Times New Roman" w:hAnsi="Times New Roman" w:cs="Times New Roman" w:eastAsia="Times New Roman" w:hint="default"/>
        </w:rPr>
        <w:t>13</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无形资产情况" w:id="252"/>
      <w:bookmarkEnd w:id="252"/>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41"/>
        <w:gridCol w:w="1074"/>
        <w:gridCol w:w="1064"/>
        <w:gridCol w:w="1063"/>
        <w:gridCol w:w="1064"/>
        <w:gridCol w:w="1063"/>
        <w:gridCol w:w="1061"/>
        <w:gridCol w:w="1064"/>
        <w:gridCol w:w="1063"/>
      </w:tblGrid>
      <w:tr>
        <w:trPr>
          <w:trHeight w:val="403"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6"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高尔夫会费</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商标</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pacing w:val="-12"/>
                <w:sz w:val="18"/>
                <w:szCs w:val="18"/>
              </w:rPr>
              <w:t>一、账面原值</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3,648,074.61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2,485,864.08</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6,133,938.69</w:t>
            </w:r>
          </w:p>
        </w:tc>
      </w:tr>
      <w:tr>
        <w:trPr>
          <w:trHeight w:val="713"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15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0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9,759,710.84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13,108,380.0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819,210.16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1,371,620.00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7,010,000.00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32,068,921.0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435,181.11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435,181.11</w:t>
            </w:r>
          </w:p>
        </w:tc>
      </w:tr>
      <w:tr>
        <w:trPr>
          <w:trHeight w:val="713"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25"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内部研发</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25"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 企业合并增 加</w:t>
            </w:r>
          </w:p>
        </w:tc>
        <w:tc>
          <w:tcPr>
            <w:tcW w:w="10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9,759,710.84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13,108,380.0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384,029.05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1,371,620.00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7,010,000.00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31,633,739.8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401"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59"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9,759,710.84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13,108,380.0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4,467,284.77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2,485,864.08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1,371,620.00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7,010,000.00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38,202,859.6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r>
      <w:tr>
        <w:trPr>
          <w:trHeight w:val="403"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pacing w:val="-12"/>
                <w:sz w:val="18"/>
                <w:szCs w:val="18"/>
              </w:rPr>
              <w:t>二、累计摊销</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1,816,459.24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207,155.33</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2,023,614.57</w:t>
            </w:r>
          </w:p>
        </w:tc>
      </w:tr>
      <w:tr>
        <w:trPr>
          <w:trHeight w:val="715"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5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0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1,108,310.84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904,149.44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248,586.36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2,261,046.64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4"/>
        <w:gridCol w:w="1063"/>
      </w:tblGrid>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779,005.07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248,586.36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1,027,591.43</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1,108,310.84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125,144.37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1,233,455.21</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1,108,310.84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2,720,608.68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455,741.69</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4,284,661.21</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12"/>
                <w:w w:val="95"/>
                <w:sz w:val="18"/>
                <w:szCs w:val="18"/>
              </w:rPr>
              <w:t>三、减值准备</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135,984.55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135,984.55</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9"/>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135,984.55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135,984.55</w:t>
            </w:r>
          </w:p>
        </w:tc>
      </w:tr>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7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135,984.55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135,984.55</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12"/>
                <w:w w:val="95"/>
                <w:sz w:val="18"/>
                <w:szCs w:val="18"/>
              </w:rPr>
              <w:t>四、账面价值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 账面价值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8,651,400.00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13,108,380.0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1,610,691.54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2,030,122.39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1,371,620.00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7,010,000.00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33,782,213.9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2" w:right="17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 账面价值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1,831,615.37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2,278,708.75</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4,110,324.12</w:t>
            </w:r>
          </w:p>
        </w:tc>
      </w:tr>
    </w:tbl>
    <w:p>
      <w:pPr>
        <w:pStyle w:val="BodyText"/>
        <w:spacing w:line="240" w:lineRule="auto" w:before="49"/>
        <w:ind w:right="1133"/>
        <w:jc w:val="left"/>
      </w:pPr>
      <w:r>
        <w:rPr/>
        <w:t>本期末通过公司内部研发形成的无形资产占无形资产余额的比例。</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2） 期末无形资产中软件存在可收回金额低于其账面价值的情况，故计提了无形资产减" w:id="253"/>
      <w:bookmarkEnd w:id="253"/>
      <w:r>
        <w:rPr>
          <w:b w:val="0"/>
          <w:bCs w:val="0"/>
        </w:rPr>
      </w:r>
      <w:r>
        <w:rPr/>
        <w:t>（</w:t>
      </w:r>
      <w:r>
        <w:rPr>
          <w:rFonts w:ascii="Times New Roman" w:hAnsi="Times New Roman" w:cs="Times New Roman" w:eastAsia="Times New Roman" w:hint="default"/>
        </w:rPr>
        <w:t>2</w:t>
      </w:r>
      <w:r>
        <w:rPr/>
        <w:t>）</w:t>
      </w:r>
      <w:r>
        <w:rPr>
          <w:spacing w:val="-6"/>
        </w:rPr>
        <w:t> </w:t>
      </w:r>
      <w:r>
        <w:rPr/>
        <w:t>期末无形资产中软件存在可收回金额低于其账面价值的情况，故计提了无形资产减值准备。</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3） 期末无用于抵押或担保的无形资产。" w:id="254"/>
      <w:bookmarkEnd w:id="254"/>
      <w:r>
        <w:rPr>
          <w:b w:val="0"/>
          <w:bCs w:val="0"/>
        </w:rPr>
      </w:r>
      <w:r>
        <w:rPr/>
        <w:t>（</w:t>
      </w:r>
      <w:r>
        <w:rPr>
          <w:rFonts w:ascii="Times New Roman" w:hAnsi="Times New Roman" w:cs="Times New Roman" w:eastAsia="Times New Roman" w:hint="default"/>
        </w:rPr>
        <w:t>3</w:t>
      </w:r>
      <w:r>
        <w:rPr/>
        <w:t>） 期末无用于抵押或担保的无形资产。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4、商誉" w:id="255"/>
      <w:bookmarkEnd w:id="255"/>
      <w:r>
        <w:rPr>
          <w:b w:val="0"/>
          <w:bCs w:val="0"/>
        </w:rPr>
      </w:r>
      <w:r>
        <w:rPr>
          <w:rFonts w:ascii="Times New Roman" w:hAnsi="Times New Roman" w:cs="Times New Roman" w:eastAsia="Times New Roman" w:hint="default"/>
        </w:rPr>
        <w:t>14</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商誉账面原值" w:id="256"/>
      <w:bookmarkEnd w:id="256"/>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0"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1"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8"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2" w:lineRule="auto" w:before="91"/>
              <w:ind w:left="12" w:right="53"/>
              <w:jc w:val="left"/>
              <w:rPr>
                <w:rFonts w:ascii="Times New Roman" w:hAnsi="Times New Roman" w:cs="Times New Roman" w:eastAsia="Times New Roman" w:hint="default"/>
                <w:sz w:val="18"/>
                <w:szCs w:val="18"/>
              </w:rPr>
            </w:pPr>
            <w:r>
              <w:rPr>
                <w:rFonts w:ascii="Times New Roman"/>
                <w:sz w:val="18"/>
              </w:rPr>
              <w:t>UROVOTECHN</w:t>
            </w:r>
            <w:r>
              <w:rPr>
                <w:rFonts w:ascii="Times New Roman"/>
                <w:w w:val="99"/>
                <w:sz w:val="18"/>
              </w:rPr>
              <w:t> </w:t>
            </w:r>
            <w:r>
              <w:rPr>
                <w:rFonts w:ascii="Times New Roman"/>
                <w:sz w:val="18"/>
              </w:rPr>
              <w:t>OLOGY(M)SDN</w:t>
            </w:r>
          </w:p>
          <w:p>
            <w:pPr>
              <w:pStyle w:val="TableParagraph"/>
              <w:spacing w:line="240" w:lineRule="auto" w:before="3"/>
              <w:ind w:left="12" w:right="0"/>
              <w:jc w:val="left"/>
              <w:rPr>
                <w:rFonts w:ascii="Times New Roman" w:hAnsi="Times New Roman" w:cs="Times New Roman" w:eastAsia="Times New Roman" w:hint="default"/>
                <w:sz w:val="18"/>
                <w:szCs w:val="18"/>
              </w:rPr>
            </w:pPr>
            <w:r>
              <w:rPr>
                <w:rFonts w:ascii="Times New Roman"/>
                <w:sz w:val="18"/>
              </w:rPr>
              <w:t>.BHD</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104.78</w:t>
            </w:r>
          </w:p>
        </w:tc>
        <w:tc>
          <w:tcPr>
            <w:tcW w:w="1368" w:type="dxa"/>
            <w:tcBorders>
              <w:top w:val="single" w:sz="44" w:space="0" w:color="D2D2D2"/>
              <w:left w:val="single" w:sz="4" w:space="0" w:color="000000"/>
              <w:bottom w:val="single" w:sz="4" w:space="0" w:color="000000"/>
              <w:right w:val="single" w:sz="4" w:space="0" w:color="000000"/>
            </w:tcBorders>
          </w:tcPr>
          <w:p>
            <w:pPr/>
          </w:p>
        </w:tc>
        <w:tc>
          <w:tcPr>
            <w:tcW w:w="1366" w:type="dxa"/>
            <w:tcBorders>
              <w:top w:val="single" w:sz="44" w:space="0" w:color="D2D2D2"/>
              <w:left w:val="single" w:sz="4" w:space="0" w:color="000000"/>
              <w:bottom w:val="single" w:sz="4" w:space="0" w:color="000000"/>
              <w:right w:val="single" w:sz="4" w:space="0" w:color="000000"/>
            </w:tcBorders>
          </w:tcPr>
          <w:p>
            <w:pPr/>
          </w:p>
        </w:tc>
        <w:tc>
          <w:tcPr>
            <w:tcW w:w="1368" w:type="dxa"/>
            <w:tcBorders>
              <w:top w:val="single" w:sz="44" w:space="0" w:color="D2D2D2"/>
              <w:left w:val="single" w:sz="4" w:space="0" w:color="000000"/>
              <w:bottom w:val="single" w:sz="4" w:space="0" w:color="000000"/>
              <w:right w:val="single" w:sz="4" w:space="0" w:color="000000"/>
            </w:tcBorders>
          </w:tcPr>
          <w:p>
            <w:pPr/>
          </w:p>
        </w:tc>
        <w:tc>
          <w:tcPr>
            <w:tcW w:w="1369" w:type="dxa"/>
            <w:tcBorders>
              <w:top w:val="single" w:sz="44"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104.78</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深圳市瑞柏泰电 子有限公司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87,063,478.03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87,063,478.03</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佳博科技公司</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483,623,608.57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483,623,608.57</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87,063,582.81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483,623,608.57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570,687,191.38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商誉减值准备" w:id="257"/>
      <w:bookmarkEnd w:id="257"/>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0"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1"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139" w:right="0"/>
              <w:jc w:val="left"/>
              <w:rPr>
                <w:rFonts w:ascii="宋体" w:hAnsi="宋体" w:cs="宋体" w:eastAsia="宋体" w:hint="default"/>
                <w:sz w:val="18"/>
                <w:szCs w:val="18"/>
              </w:rPr>
            </w:pPr>
            <w:r>
              <w:rPr>
                <w:rFonts w:ascii="宋体" w:hAnsi="宋体" w:cs="宋体" w:eastAsia="宋体" w:hint="default"/>
                <w:sz w:val="18"/>
                <w:szCs w:val="18"/>
              </w:rPr>
              <w:t>企业合并形成</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7"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2" w:lineRule="auto" w:before="91"/>
              <w:ind w:left="12" w:right="53"/>
              <w:jc w:val="left"/>
              <w:rPr>
                <w:rFonts w:ascii="Times New Roman" w:hAnsi="Times New Roman" w:cs="Times New Roman" w:eastAsia="Times New Roman" w:hint="default"/>
                <w:sz w:val="18"/>
                <w:szCs w:val="18"/>
              </w:rPr>
            </w:pPr>
            <w:r>
              <w:rPr>
                <w:rFonts w:ascii="Times New Roman"/>
                <w:sz w:val="18"/>
              </w:rPr>
              <w:t>UROVOTECHN</w:t>
            </w:r>
            <w:r>
              <w:rPr>
                <w:rFonts w:ascii="Times New Roman"/>
                <w:w w:val="99"/>
                <w:sz w:val="18"/>
              </w:rPr>
              <w:t> </w:t>
            </w:r>
            <w:r>
              <w:rPr>
                <w:rFonts w:ascii="Times New Roman"/>
                <w:sz w:val="18"/>
              </w:rPr>
              <w:t>OLOGY(M)SDN</w:t>
            </w:r>
          </w:p>
          <w:p>
            <w:pPr>
              <w:pStyle w:val="TableParagraph"/>
              <w:spacing w:line="240" w:lineRule="auto" w:before="3"/>
              <w:ind w:left="12" w:right="0"/>
              <w:jc w:val="left"/>
              <w:rPr>
                <w:rFonts w:ascii="Times New Roman" w:hAnsi="Times New Roman" w:cs="Times New Roman" w:eastAsia="Times New Roman" w:hint="default"/>
                <w:sz w:val="18"/>
                <w:szCs w:val="18"/>
              </w:rPr>
            </w:pPr>
            <w:r>
              <w:rPr>
                <w:rFonts w:ascii="Times New Roman"/>
                <w:sz w:val="18"/>
              </w:rPr>
              <w:t>.BHD</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9"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深圳市瑞柏泰电 子有限公司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2,400,390.72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84,663,087.31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87,063,478.03</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佳博科技公司</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2,400,390.72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84,663,087.31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87,063,478.03</w:t>
            </w:r>
          </w:p>
        </w:tc>
      </w:tr>
    </w:tbl>
    <w:p>
      <w:pPr>
        <w:pStyle w:val="BodyText"/>
        <w:spacing w:line="240" w:lineRule="auto" w:before="49"/>
        <w:ind w:right="0"/>
        <w:jc w:val="both"/>
      </w:pPr>
      <w:r>
        <w:rPr/>
        <w:t>商誉所在资产组或资产组组合的相关信息</w:t>
      </w:r>
    </w:p>
    <w:p>
      <w:pPr>
        <w:pStyle w:val="BodyText"/>
        <w:spacing w:line="300" w:lineRule="auto" w:before="117"/>
        <w:ind w:right="1131"/>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13</w:t>
      </w:r>
      <w:r>
        <w:rPr>
          <w:spacing w:val="-2"/>
        </w:rPr>
        <w:t>日，本公司与深圳市柏士泰科技有限公司签署了《关于深圳市瑞柏泰电子有限公司之股权转让协议》，本</w:t>
      </w:r>
      <w:r>
        <w:rPr>
          <w:spacing w:val="-63"/>
        </w:rPr>
        <w:t> </w:t>
      </w:r>
      <w:r>
        <w:rPr>
          <w:spacing w:val="-63"/>
        </w:rPr>
      </w:r>
      <w:r>
        <w:rPr>
          <w:spacing w:val="-1"/>
        </w:rPr>
        <w:t>公司以人民币</w:t>
      </w:r>
      <w:r>
        <w:rPr>
          <w:rFonts w:ascii="Times New Roman" w:hAnsi="Times New Roman" w:cs="Times New Roman" w:eastAsia="Times New Roman" w:hint="default"/>
          <w:spacing w:val="-1"/>
        </w:rPr>
        <w:t>11,220.00</w:t>
      </w:r>
      <w:r>
        <w:rPr>
          <w:spacing w:val="-1"/>
        </w:rPr>
        <w:t>万元的价格受让深圳市瑞柏泰电子有限公司</w:t>
      </w:r>
      <w:r>
        <w:rPr>
          <w:rFonts w:ascii="Times New Roman" w:hAnsi="Times New Roman" w:cs="Times New Roman" w:eastAsia="Times New Roman" w:hint="default"/>
          <w:spacing w:val="-1"/>
        </w:rPr>
        <w:t>51%</w:t>
      </w:r>
      <w:r>
        <w:rPr>
          <w:spacing w:val="-1"/>
        </w:rPr>
        <w:t>的股权，合并日取得的被投资单位可辨认净资产公允</w:t>
      </w:r>
      <w:r>
        <w:rPr>
          <w:spacing w:val="-87"/>
        </w:rPr>
        <w:t> </w:t>
      </w:r>
      <w:r>
        <w:rPr>
          <w:spacing w:val="-87"/>
        </w:rPr>
      </w:r>
      <w:r>
        <w:rPr/>
        <w:t>价值份额为</w:t>
      </w:r>
      <w:r>
        <w:rPr>
          <w:rFonts w:ascii="Times New Roman" w:hAnsi="Times New Roman" w:cs="Times New Roman" w:eastAsia="Times New Roman" w:hint="default"/>
        </w:rPr>
        <w:t>25,136,521.97</w:t>
      </w:r>
      <w:r>
        <w:rPr/>
        <w:t>元，从而形成商誉</w:t>
      </w:r>
      <w:r>
        <w:rPr>
          <w:rFonts w:ascii="Times New Roman" w:hAnsi="Times New Roman" w:cs="Times New Roman" w:eastAsia="Times New Roman" w:hint="default"/>
        </w:rPr>
        <w:t>87,063,478.03</w:t>
      </w:r>
      <w:r>
        <w:rPr/>
        <w:t>元。</w:t>
      </w:r>
    </w:p>
    <w:p>
      <w:pPr>
        <w:pStyle w:val="BodyText"/>
        <w:spacing w:line="307" w:lineRule="auto" w:before="13"/>
        <w:ind w:right="1128"/>
        <w:jc w:val="both"/>
      </w:pPr>
      <w:r>
        <w:rPr>
          <w:spacing w:val="-5"/>
        </w:rPr>
        <w:t>（</w:t>
      </w:r>
      <w:r>
        <w:rPr>
          <w:rFonts w:ascii="Times New Roman" w:hAnsi="Times New Roman" w:cs="Times New Roman" w:eastAsia="Times New Roman" w:hint="default"/>
          <w:spacing w:val="-5"/>
        </w:rPr>
        <w:t>2</w:t>
      </w:r>
      <w:r>
        <w:rPr>
          <w:spacing w:val="-5"/>
        </w:rPr>
        <w:t>）</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13</w:t>
      </w:r>
      <w:r>
        <w:rPr>
          <w:spacing w:val="-5"/>
        </w:rPr>
        <w:t>日本公司与佳博科技公司原股东签署的《发行股份及支付现金购买资产协议》及</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31</w:t>
      </w:r>
      <w:r>
        <w:rPr>
          <w:spacing w:val="-5"/>
        </w:rPr>
        <w:t>日签订的《发</w:t>
      </w:r>
      <w:r>
        <w:rPr>
          <w:spacing w:val="-46"/>
        </w:rPr>
        <w:t> </w:t>
      </w:r>
      <w:r>
        <w:rPr>
          <w:spacing w:val="-46"/>
        </w:rPr>
      </w:r>
      <w:r>
        <w:rPr>
          <w:spacing w:val="-2"/>
        </w:rPr>
        <w:t>行股份及支付现金购买资产协议之补充协议》，本公司以发行股份及支付现金的方式购买佳博科技公司原股东持有的佳博科</w:t>
      </w:r>
      <w:r>
        <w:rPr>
          <w:spacing w:val="-64"/>
        </w:rPr>
        <w:t> </w:t>
      </w:r>
      <w:r>
        <w:rPr>
          <w:spacing w:val="-64"/>
        </w:rPr>
      </w:r>
      <w:r>
        <w:rPr>
          <w:spacing w:val="3"/>
        </w:rPr>
        <w:t>技公司</w:t>
      </w:r>
      <w:r>
        <w:rPr>
          <w:rFonts w:ascii="Times New Roman" w:hAnsi="Times New Roman" w:cs="Times New Roman" w:eastAsia="Times New Roman" w:hint="default"/>
          <w:spacing w:val="3"/>
        </w:rPr>
        <w:t>100%</w:t>
      </w:r>
      <w:r>
        <w:rPr>
          <w:spacing w:val="3"/>
        </w:rPr>
        <w:t>股权，交易价格为</w:t>
      </w:r>
      <w:r>
        <w:rPr>
          <w:rFonts w:ascii="Times New Roman" w:hAnsi="Times New Roman" w:cs="Times New Roman" w:eastAsia="Times New Roman" w:hint="default"/>
          <w:spacing w:val="3"/>
        </w:rPr>
        <w:t>815,000,000.00</w:t>
      </w:r>
      <w:r>
        <w:rPr>
          <w:spacing w:val="3"/>
        </w:rPr>
        <w:t>元，其中本公司以向陈建辉等</w:t>
      </w:r>
      <w:r>
        <w:rPr>
          <w:rFonts w:ascii="Times New Roman" w:hAnsi="Times New Roman" w:cs="Times New Roman" w:eastAsia="Times New Roman" w:hint="default"/>
          <w:spacing w:val="3"/>
        </w:rPr>
        <w:t>26</w:t>
      </w:r>
      <w:r>
        <w:rPr>
          <w:spacing w:val="3"/>
        </w:rPr>
        <w:t>名股东发行</w:t>
      </w:r>
      <w:r>
        <w:rPr>
          <w:rFonts w:ascii="Times New Roman" w:hAnsi="Times New Roman" w:cs="Times New Roman" w:eastAsia="Times New Roman" w:hint="default"/>
          <w:spacing w:val="3"/>
        </w:rPr>
        <w:t>32,665,317</w:t>
      </w:r>
      <w:r>
        <w:rPr>
          <w:spacing w:val="3"/>
        </w:rPr>
        <w:t>股股份支付股份对价</w:t>
      </w:r>
      <w:r>
        <w:rPr>
          <w:spacing w:val="-54"/>
        </w:rPr>
        <w:t> </w:t>
      </w:r>
      <w:r>
        <w:rPr>
          <w:spacing w:val="-54"/>
        </w:rPr>
      </w:r>
      <w:r>
        <w:rPr>
          <w:rFonts w:ascii="Times New Roman" w:hAnsi="Times New Roman" w:cs="Times New Roman" w:eastAsia="Times New Roman" w:hint="default"/>
          <w:spacing w:val="-1"/>
        </w:rPr>
        <w:t>489,000,000.00</w:t>
      </w:r>
      <w:r>
        <w:rPr>
          <w:spacing w:val="-1"/>
        </w:rPr>
        <w:t>元，占交易总金额的</w:t>
      </w:r>
      <w:r>
        <w:rPr>
          <w:rFonts w:ascii="Times New Roman" w:hAnsi="Times New Roman" w:cs="Times New Roman" w:eastAsia="Times New Roman" w:hint="default"/>
          <w:spacing w:val="-1"/>
        </w:rPr>
        <w:t>60.00%</w:t>
      </w:r>
      <w:r>
        <w:rPr>
          <w:spacing w:val="-1"/>
        </w:rPr>
        <w:t>；以现金支付对价</w:t>
      </w:r>
      <w:r>
        <w:rPr>
          <w:rFonts w:ascii="Times New Roman" w:hAnsi="Times New Roman" w:cs="Times New Roman" w:eastAsia="Times New Roman" w:hint="default"/>
          <w:spacing w:val="-1"/>
        </w:rPr>
        <w:t>326,000,000.00</w:t>
      </w:r>
      <w:r>
        <w:rPr>
          <w:spacing w:val="-1"/>
        </w:rPr>
        <w:t>元，占交易总金额的</w:t>
      </w:r>
      <w:r>
        <w:rPr>
          <w:rFonts w:ascii="Times New Roman" w:hAnsi="Times New Roman" w:cs="Times New Roman" w:eastAsia="Times New Roman" w:hint="default"/>
          <w:spacing w:val="-1"/>
        </w:rPr>
        <w:t>40.00%</w:t>
      </w:r>
      <w:r>
        <w:rPr>
          <w:spacing w:val="-1"/>
        </w:rPr>
        <w:t>，合并日取得被投资</w:t>
      </w:r>
    </w:p>
    <w:p>
      <w:pPr>
        <w:spacing w:after="0" w:line="307"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28" w:lineRule="auto" w:before="44"/>
        <w:ind w:right="1133"/>
        <w:jc w:val="left"/>
      </w:pPr>
      <w:r>
        <w:rPr/>
        <w:t>单位可辨认净资产公允价值份额为</w:t>
      </w:r>
      <w:r>
        <w:rPr>
          <w:rFonts w:ascii="Times New Roman" w:hAnsi="Times New Roman" w:cs="Times New Roman" w:eastAsia="Times New Roman" w:hint="default"/>
        </w:rPr>
        <w:t>331,376,391.43</w:t>
      </w:r>
      <w:r>
        <w:rPr/>
        <w:t>元，从而形成商誉</w:t>
      </w:r>
      <w:r>
        <w:rPr>
          <w:rFonts w:ascii="Times New Roman" w:hAnsi="Times New Roman" w:cs="Times New Roman" w:eastAsia="Times New Roman" w:hint="default"/>
        </w:rPr>
        <w:t>483,623,608.57</w:t>
      </w:r>
      <w:r>
        <w:rPr/>
        <w:t>元。 </w:t>
      </w:r>
      <w:r>
        <w:rPr>
          <w:spacing w:val="-2"/>
        </w:rPr>
        <w:t>说明商誉减值测试过程、关键参数（如预计未来现金流量现值时的预测期增长率、稳定期增长率、利润率、折现率、预测期</w:t>
      </w:r>
      <w:r>
        <w:rPr>
          <w:spacing w:val="-70"/>
        </w:rPr>
        <w:t> </w:t>
      </w:r>
      <w:r>
        <w:rPr>
          <w:spacing w:val="-70"/>
        </w:rPr>
      </w:r>
      <w:r>
        <w:rPr/>
        <w:t>等）及商誉减值损失的确认方法：</w:t>
      </w:r>
    </w:p>
    <w:p>
      <w:pPr>
        <w:pStyle w:val="BodyText"/>
        <w:spacing w:line="360" w:lineRule="auto" w:before="48"/>
        <w:ind w:right="9134"/>
        <w:jc w:val="left"/>
      </w:pPr>
      <w:r>
        <w:rPr/>
        <w:t>商誉减值测试的影响 其他说明</w:t>
      </w:r>
    </w:p>
    <w:p>
      <w:pPr>
        <w:spacing w:line="240" w:lineRule="auto" w:before="4"/>
        <w:rPr>
          <w:rFonts w:ascii="宋体" w:hAnsi="宋体" w:cs="宋体" w:eastAsia="宋体" w:hint="default"/>
          <w:sz w:val="20"/>
          <w:szCs w:val="20"/>
        </w:rPr>
      </w:pPr>
    </w:p>
    <w:p>
      <w:pPr>
        <w:pStyle w:val="Heading3"/>
        <w:spacing w:line="240" w:lineRule="auto"/>
        <w:ind w:right="1133"/>
        <w:jc w:val="left"/>
        <w:rPr>
          <w:b w:val="0"/>
          <w:bCs w:val="0"/>
        </w:rPr>
      </w:pPr>
      <w:bookmarkStart w:name="（3） 商誉减值测试过程、参数及商誉减值损失的确认方法" w:id="258"/>
      <w:bookmarkEnd w:id="258"/>
      <w:r>
        <w:rPr>
          <w:b w:val="0"/>
          <w:bCs w:val="0"/>
        </w:rPr>
      </w:r>
      <w:r>
        <w:rPr/>
        <w:t>（</w:t>
      </w:r>
      <w:r>
        <w:rPr>
          <w:rFonts w:ascii="Times New Roman" w:hAnsi="Times New Roman" w:cs="Times New Roman" w:eastAsia="Times New Roman" w:hint="default"/>
        </w:rPr>
        <w:t>3</w:t>
      </w:r>
      <w:r>
        <w:rPr/>
        <w:t>）</w:t>
      </w:r>
      <w:r>
        <w:rPr>
          <w:spacing w:val="-3"/>
        </w:rPr>
        <w:t> </w:t>
      </w:r>
      <w:r>
        <w:rPr/>
        <w:t>商誉减值测试过程、参数及商誉减值损失的确认方法</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31"/>
        <w:jc w:val="both"/>
      </w:pPr>
      <w:r>
        <w:rPr/>
        <w:t>（</w:t>
      </w:r>
      <w:r>
        <w:rPr>
          <w:rFonts w:ascii="Times New Roman" w:hAnsi="Times New Roman" w:cs="Times New Roman" w:eastAsia="Times New Roman" w:hint="default"/>
        </w:rPr>
        <w:t>1</w:t>
      </w:r>
      <w:r>
        <w:rPr/>
        <w:t>）本公司对企业合并取得的瑞柏泰公司的商誉进行了减值测试，瑞柏泰公司的可回收金额按照预计未来现金流量的现值</w:t>
      </w:r>
      <w:r>
        <w:rPr>
          <w:spacing w:val="-84"/>
        </w:rPr>
        <w:t> </w:t>
      </w:r>
      <w:r>
        <w:rPr>
          <w:spacing w:val="-84"/>
        </w:rPr>
      </w:r>
      <w:r>
        <w:rPr>
          <w:spacing w:val="-2"/>
        </w:rPr>
        <w:t>确定，其预计未来现金流量根据管理层批准的</w:t>
      </w:r>
      <w:r>
        <w:rPr>
          <w:rFonts w:ascii="Times New Roman" w:hAnsi="Times New Roman" w:cs="Times New Roman" w:eastAsia="Times New Roman" w:hint="default"/>
          <w:spacing w:val="-2"/>
        </w:rPr>
        <w:t>5</w:t>
      </w:r>
      <w:r>
        <w:rPr>
          <w:spacing w:val="-2"/>
        </w:rPr>
        <w:t>年期财务预算为基础的现金流量来确定，</w:t>
      </w:r>
      <w:r>
        <w:rPr>
          <w:rFonts w:ascii="Times New Roman" w:hAnsi="Times New Roman" w:cs="Times New Roman" w:eastAsia="Times New Roman" w:hint="default"/>
          <w:spacing w:val="-2"/>
        </w:rPr>
        <w:t>5</w:t>
      </w:r>
      <w:r>
        <w:rPr>
          <w:spacing w:val="-2"/>
        </w:rPr>
        <w:t>年期后的现金流量以增长率为零推</w:t>
      </w:r>
      <w:r>
        <w:rPr>
          <w:spacing w:val="-62"/>
        </w:rPr>
        <w:t> </w:t>
      </w:r>
      <w:r>
        <w:rPr>
          <w:spacing w:val="-62"/>
        </w:rPr>
      </w:r>
      <w:r>
        <w:rPr/>
        <w:t>算。本公司采用未来现金流量折现方法的主要假设：</w:t>
      </w:r>
    </w:p>
    <w:tbl>
      <w:tblPr>
        <w:tblW w:w="0" w:type="auto"/>
        <w:jc w:val="left"/>
        <w:tblInd w:w="151" w:type="dxa"/>
        <w:tblLayout w:type="fixed"/>
        <w:tblCellMar>
          <w:top w:w="0" w:type="dxa"/>
          <w:left w:w="0" w:type="dxa"/>
          <w:bottom w:w="0" w:type="dxa"/>
          <w:right w:w="0" w:type="dxa"/>
        </w:tblCellMar>
        <w:tblLook w:val="01E0"/>
      </w:tblPr>
      <w:tblGrid>
        <w:gridCol w:w="3806"/>
        <w:gridCol w:w="2235"/>
        <w:gridCol w:w="1760"/>
        <w:gridCol w:w="1826"/>
      </w:tblGrid>
      <w:tr>
        <w:trPr>
          <w:trHeight w:val="346" w:hRule="exact"/>
        </w:trPr>
        <w:tc>
          <w:tcPr>
            <w:tcW w:w="380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7"/>
              <w:ind w:left="546"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5821"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349" w:hRule="exact"/>
        </w:trPr>
        <w:tc>
          <w:tcPr>
            <w:tcW w:w="3806" w:type="dxa"/>
            <w:vMerge/>
            <w:tcBorders>
              <w:left w:val="single" w:sz="6" w:space="0" w:color="000000"/>
              <w:bottom w:val="single" w:sz="6" w:space="0" w:color="000000"/>
              <w:right w:val="single" w:sz="6" w:space="0" w:color="000000"/>
            </w:tcBorders>
            <w:shd w:val="clear" w:color="auto" w:fill="D9D9D9"/>
          </w:tcPr>
          <w:p>
            <w:pPr/>
          </w:p>
        </w:tc>
        <w:tc>
          <w:tcPr>
            <w:tcW w:w="22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增长率</w:t>
            </w:r>
            <w:r>
              <w:rPr>
                <w:rFonts w:ascii="Times New Roman" w:hAnsi="Times New Roman" w:cs="Times New Roman" w:eastAsia="Times New Roman" w:hint="default"/>
                <w:sz w:val="18"/>
                <w:szCs w:val="18"/>
              </w:rPr>
              <w:t>(%)</w:t>
            </w:r>
          </w:p>
        </w:tc>
        <w:tc>
          <w:tcPr>
            <w:tcW w:w="17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8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折现率</w:t>
            </w:r>
            <w:r>
              <w:rPr>
                <w:rFonts w:ascii="Times New Roman" w:hAnsi="Times New Roman" w:cs="Times New Roman" w:eastAsia="Times New Roman" w:hint="default"/>
                <w:sz w:val="18"/>
                <w:szCs w:val="18"/>
              </w:rPr>
              <w:t>(%)</w:t>
            </w:r>
          </w:p>
        </w:tc>
      </w:tr>
      <w:tr>
        <w:trPr>
          <w:trHeight w:val="348" w:hRule="exact"/>
        </w:trPr>
        <w:tc>
          <w:tcPr>
            <w:tcW w:w="3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18"/>
                <w:szCs w:val="18"/>
              </w:rPr>
            </w:pPr>
            <w:r>
              <w:rPr>
                <w:rFonts w:ascii="宋体" w:hAnsi="宋体" w:cs="宋体" w:eastAsia="宋体" w:hint="default"/>
                <w:sz w:val="18"/>
                <w:szCs w:val="18"/>
              </w:rPr>
              <w:t>瑞柏泰公司（</w:t>
            </w:r>
            <w:r>
              <w:rPr>
                <w:rFonts w:ascii="Times New Roman" w:hAnsi="Times New Roman" w:cs="Times New Roman" w:eastAsia="Times New Roman" w:hint="default"/>
                <w:sz w:val="18"/>
                <w:szCs w:val="18"/>
              </w:rPr>
              <w:t>2020</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-2024</w:t>
            </w:r>
            <w:r>
              <w:rPr>
                <w:rFonts w:ascii="宋体" w:hAnsi="宋体" w:cs="宋体" w:eastAsia="宋体" w:hint="default"/>
                <w:sz w:val="18"/>
                <w:szCs w:val="18"/>
              </w:rPr>
              <w:t>年度）</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-75</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47</w:t>
            </w:r>
            <w:r>
              <w:rPr>
                <w:rFonts w:ascii="宋体" w:hAnsi="宋体" w:cs="宋体" w:eastAsia="宋体" w:hint="default"/>
                <w:sz w:val="18"/>
                <w:szCs w:val="18"/>
              </w:rPr>
              <w:t>至</w:t>
            </w:r>
            <w:r>
              <w:rPr>
                <w:rFonts w:ascii="Times New Roman" w:hAnsi="Times New Roman" w:cs="Times New Roman" w:eastAsia="Times New Roman" w:hint="default"/>
                <w:sz w:val="18"/>
                <w:szCs w:val="18"/>
              </w:rPr>
              <w:t>48</w:t>
            </w: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16.86</w:t>
            </w:r>
          </w:p>
        </w:tc>
      </w:tr>
    </w:tbl>
    <w:p>
      <w:pPr>
        <w:pStyle w:val="BodyText"/>
        <w:spacing w:line="300" w:lineRule="auto" w:before="31"/>
        <w:ind w:right="1131"/>
        <w:jc w:val="both"/>
      </w:pPr>
      <w:r>
        <w:rPr/>
        <w:t>（</w:t>
      </w:r>
      <w:r>
        <w:rPr>
          <w:rFonts w:ascii="Times New Roman" w:hAnsi="Times New Roman" w:cs="Times New Roman" w:eastAsia="Times New Roman" w:hint="default"/>
        </w:rPr>
        <w:t>2</w:t>
      </w:r>
      <w:r>
        <w:rPr/>
        <w:t>）本公司对企业合并取得的佳博科技公司的商誉进行了减值测试，佳博科技公司的可回收金额按照预计未来现金流量的</w:t>
      </w:r>
      <w:r>
        <w:rPr>
          <w:spacing w:val="-84"/>
        </w:rPr>
        <w:t> </w:t>
      </w:r>
      <w:r>
        <w:rPr>
          <w:spacing w:val="-84"/>
        </w:rPr>
      </w:r>
      <w:r>
        <w:rPr>
          <w:spacing w:val="-2"/>
        </w:rPr>
        <w:t>现值确定，其预计未来现金流量根据管理层批准的</w:t>
      </w:r>
      <w:r>
        <w:rPr>
          <w:rFonts w:ascii="Times New Roman" w:hAnsi="Times New Roman" w:cs="Times New Roman" w:eastAsia="Times New Roman" w:hint="default"/>
          <w:spacing w:val="-2"/>
        </w:rPr>
        <w:t>5</w:t>
      </w:r>
      <w:r>
        <w:rPr>
          <w:spacing w:val="-2"/>
        </w:rPr>
        <w:t>年期财务预算为基础的现金流量来确定，</w:t>
      </w:r>
      <w:r>
        <w:rPr>
          <w:rFonts w:ascii="Times New Roman" w:hAnsi="Times New Roman" w:cs="Times New Roman" w:eastAsia="Times New Roman" w:hint="default"/>
          <w:spacing w:val="-2"/>
        </w:rPr>
        <w:t>5</w:t>
      </w:r>
      <w:r>
        <w:rPr>
          <w:spacing w:val="-2"/>
        </w:rPr>
        <w:t>年期后的现金流量以增长率为</w:t>
      </w:r>
      <w:r>
        <w:rPr>
          <w:spacing w:val="-62"/>
        </w:rPr>
        <w:t> </w:t>
      </w:r>
      <w:r>
        <w:rPr>
          <w:spacing w:val="-62"/>
        </w:rPr>
      </w:r>
      <w:r>
        <w:rPr/>
        <w:t>零推算。本公司采用未来现金流量折现方法的主要假设：</w:t>
      </w:r>
    </w:p>
    <w:tbl>
      <w:tblPr>
        <w:tblW w:w="0" w:type="auto"/>
        <w:jc w:val="left"/>
        <w:tblInd w:w="151" w:type="dxa"/>
        <w:tblLayout w:type="fixed"/>
        <w:tblCellMar>
          <w:top w:w="0" w:type="dxa"/>
          <w:left w:w="0" w:type="dxa"/>
          <w:bottom w:w="0" w:type="dxa"/>
          <w:right w:w="0" w:type="dxa"/>
        </w:tblCellMar>
        <w:tblLook w:val="01E0"/>
      </w:tblPr>
      <w:tblGrid>
        <w:gridCol w:w="3823"/>
        <w:gridCol w:w="2252"/>
        <w:gridCol w:w="1765"/>
        <w:gridCol w:w="1836"/>
      </w:tblGrid>
      <w:tr>
        <w:trPr>
          <w:trHeight w:val="346" w:hRule="exact"/>
        </w:trPr>
        <w:tc>
          <w:tcPr>
            <w:tcW w:w="3823"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7"/>
              <w:ind w:left="556"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5852"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348" w:hRule="exact"/>
        </w:trPr>
        <w:tc>
          <w:tcPr>
            <w:tcW w:w="3823" w:type="dxa"/>
            <w:vMerge/>
            <w:tcBorders>
              <w:left w:val="single" w:sz="6" w:space="0" w:color="000000"/>
              <w:bottom w:val="single" w:sz="6" w:space="0" w:color="000000"/>
              <w:right w:val="single" w:sz="6" w:space="0" w:color="000000"/>
            </w:tcBorders>
            <w:shd w:val="clear" w:color="auto" w:fill="D9D9D9"/>
          </w:tcPr>
          <w:p>
            <w:pPr/>
          </w:p>
        </w:tc>
        <w:tc>
          <w:tcPr>
            <w:tcW w:w="22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增长率</w:t>
            </w:r>
            <w:r>
              <w:rPr>
                <w:rFonts w:ascii="Times New Roman" w:hAnsi="Times New Roman" w:cs="Times New Roman" w:eastAsia="Times New Roman" w:hint="default"/>
                <w:sz w:val="18"/>
                <w:szCs w:val="18"/>
              </w:rPr>
              <w:t>(%)</w:t>
            </w:r>
          </w:p>
        </w:tc>
        <w:tc>
          <w:tcPr>
            <w:tcW w:w="17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8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折现率</w:t>
            </w:r>
            <w:r>
              <w:rPr>
                <w:rFonts w:ascii="Times New Roman" w:hAnsi="Times New Roman" w:cs="Times New Roman" w:eastAsia="Times New Roman" w:hint="default"/>
                <w:sz w:val="18"/>
                <w:szCs w:val="18"/>
              </w:rPr>
              <w:t>(%)</w:t>
            </w:r>
          </w:p>
        </w:tc>
      </w:tr>
      <w:tr>
        <w:trPr>
          <w:trHeight w:val="348" w:hRule="exact"/>
        </w:trPr>
        <w:tc>
          <w:tcPr>
            <w:tcW w:w="3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18"/>
                <w:szCs w:val="18"/>
              </w:rPr>
            </w:pPr>
            <w:r>
              <w:rPr>
                <w:rFonts w:ascii="宋体" w:hAnsi="宋体" w:cs="宋体" w:eastAsia="宋体" w:hint="default"/>
                <w:sz w:val="18"/>
                <w:szCs w:val="18"/>
              </w:rPr>
              <w:t>佳博科技公司（</w:t>
            </w:r>
            <w:r>
              <w:rPr>
                <w:rFonts w:ascii="Times New Roman" w:hAnsi="Times New Roman" w:cs="Times New Roman" w:eastAsia="Times New Roman" w:hint="default"/>
                <w:sz w:val="18"/>
                <w:szCs w:val="18"/>
              </w:rPr>
              <w:t>2020</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-2024</w:t>
            </w:r>
            <w:r>
              <w:rPr>
                <w:rFonts w:ascii="宋体" w:hAnsi="宋体" w:cs="宋体" w:eastAsia="宋体" w:hint="default"/>
                <w:sz w:val="18"/>
                <w:szCs w:val="18"/>
              </w:rPr>
              <w:t>年度）</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5.1</w:t>
            </w:r>
            <w:r>
              <w:rPr>
                <w:rFonts w:ascii="宋体" w:hAnsi="宋体" w:cs="宋体" w:eastAsia="宋体" w:hint="default"/>
                <w:sz w:val="18"/>
                <w:szCs w:val="18"/>
              </w:rPr>
              <w:t>至</w:t>
            </w:r>
            <w:r>
              <w:rPr>
                <w:rFonts w:ascii="Times New Roman" w:hAnsi="Times New Roman" w:cs="Times New Roman" w:eastAsia="Times New Roman" w:hint="default"/>
                <w:sz w:val="18"/>
                <w:szCs w:val="18"/>
              </w:rPr>
              <w:t>4.3</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31.2</w:t>
            </w:r>
            <w:r>
              <w:rPr>
                <w:rFonts w:ascii="宋体" w:hAnsi="宋体" w:cs="宋体" w:eastAsia="宋体" w:hint="default"/>
                <w:sz w:val="18"/>
                <w:szCs w:val="18"/>
              </w:rPr>
              <w:t>至</w:t>
            </w:r>
            <w:r>
              <w:rPr>
                <w:rFonts w:ascii="Times New Roman" w:hAnsi="Times New Roman" w:cs="Times New Roman" w:eastAsia="Times New Roman" w:hint="default"/>
                <w:sz w:val="18"/>
                <w:szCs w:val="18"/>
              </w:rPr>
              <w:t>31.5</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15.72</w:t>
            </w:r>
          </w:p>
        </w:tc>
      </w:tr>
    </w:tbl>
    <w:p>
      <w:pPr>
        <w:pStyle w:val="BodyText"/>
        <w:spacing w:line="312" w:lineRule="auto" w:before="31"/>
        <w:ind w:right="1129"/>
        <w:jc w:val="left"/>
      </w:pPr>
      <w:r>
        <w:rPr>
          <w:spacing w:val="-2"/>
        </w:rPr>
        <w:t>管理层根据历史经验对市场发展的预测确定预测期的收入增长率及毛利率，并采用能够反映相关资产组和资产组组合的特定</w:t>
      </w:r>
      <w:r>
        <w:rPr>
          <w:spacing w:val="-64"/>
        </w:rPr>
        <w:t> </w:t>
      </w:r>
      <w:r>
        <w:rPr>
          <w:spacing w:val="-64"/>
        </w:rPr>
      </w:r>
      <w:r>
        <w:rPr/>
        <w:t>风险的税前利率为折现率。上述假设用以分析资产组组合的可收回金额。 </w:t>
      </w:r>
      <w:r>
        <w:rPr>
          <w:spacing w:val="-1"/>
        </w:rPr>
        <w:t>管理层经过上述商誉减值测试，合并瑞柏泰公司形成的商誉减值金额</w:t>
      </w:r>
      <w:r>
        <w:rPr>
          <w:rFonts w:ascii="Times New Roman" w:hAnsi="Times New Roman" w:cs="Times New Roman" w:eastAsia="Times New Roman" w:hint="default"/>
          <w:spacing w:val="-1"/>
        </w:rPr>
        <w:t>87,063,478.03</w:t>
      </w:r>
      <w:r>
        <w:rPr>
          <w:spacing w:val="-1"/>
        </w:rPr>
        <w:t>元；合并佳博科技公司形成的商誉减值金</w:t>
      </w:r>
      <w:r>
        <w:rPr>
          <w:spacing w:val="-71"/>
        </w:rPr>
        <w:t> </w:t>
      </w:r>
      <w:r>
        <w:rPr>
          <w:spacing w:val="-71"/>
        </w:rPr>
      </w:r>
      <w:r>
        <w:rPr/>
        <w:t>额为</w:t>
      </w:r>
      <w:r>
        <w:rPr>
          <w:rFonts w:ascii="Times New Roman" w:hAnsi="Times New Roman" w:cs="Times New Roman" w:eastAsia="Times New Roman" w:hint="default"/>
        </w:rPr>
        <w:t>0</w:t>
      </w:r>
      <w:r>
        <w:rPr/>
        <w:t>元。</w:t>
      </w:r>
    </w:p>
    <w:p>
      <w:pPr>
        <w:spacing w:line="240" w:lineRule="auto" w:before="8"/>
        <w:rPr>
          <w:rFonts w:ascii="宋体" w:hAnsi="宋体" w:cs="宋体" w:eastAsia="宋体" w:hint="default"/>
          <w:sz w:val="21"/>
          <w:szCs w:val="21"/>
        </w:rPr>
      </w:pPr>
    </w:p>
    <w:p>
      <w:pPr>
        <w:pStyle w:val="Heading3"/>
        <w:spacing w:line="240" w:lineRule="auto"/>
        <w:ind w:right="1133"/>
        <w:jc w:val="left"/>
        <w:rPr>
          <w:b w:val="0"/>
          <w:bCs w:val="0"/>
        </w:rPr>
      </w:pPr>
      <w:bookmarkStart w:name="15、 长期待摊费用" w:id="259"/>
      <w:bookmarkEnd w:id="259"/>
      <w:r>
        <w:rPr>
          <w:b w:val="0"/>
          <w:bCs w:val="0"/>
        </w:rPr>
      </w:r>
      <w:r>
        <w:rPr>
          <w:rFonts w:ascii="Times New Roman" w:hAnsi="Times New Roman" w:cs="Times New Roman" w:eastAsia="Times New Roman" w:hint="default"/>
        </w:rPr>
        <w:t>15</w:t>
      </w:r>
      <w:r>
        <w:rPr/>
        <w:t>、 长期待摊费用</w:t>
      </w:r>
      <w:r>
        <w:rPr>
          <w:b w:val="0"/>
          <w:bCs w:val="0"/>
        </w:rPr>
      </w:r>
    </w:p>
    <w:p>
      <w:pPr>
        <w:spacing w:line="240" w:lineRule="auto" w:before="11"/>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1421"/>
        <w:gridCol w:w="1426"/>
        <w:gridCol w:w="1416"/>
        <w:gridCol w:w="1580"/>
        <w:gridCol w:w="1421"/>
        <w:gridCol w:w="805"/>
        <w:gridCol w:w="1565"/>
      </w:tblGrid>
      <w:tr>
        <w:trPr>
          <w:trHeight w:val="654" w:hRule="exact"/>
        </w:trPr>
        <w:tc>
          <w:tcPr>
            <w:tcW w:w="14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34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251"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5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3"/>
              <w:ind w:left="422" w:right="60" w:hanging="360"/>
              <w:jc w:val="left"/>
              <w:rPr>
                <w:rFonts w:ascii="宋体" w:hAnsi="宋体" w:cs="宋体" w:eastAsia="宋体" w:hint="default"/>
                <w:sz w:val="18"/>
                <w:szCs w:val="18"/>
              </w:rPr>
            </w:pPr>
            <w:r>
              <w:rPr>
                <w:rFonts w:ascii="宋体" w:hAnsi="宋体" w:cs="宋体" w:eastAsia="宋体" w:hint="default"/>
                <w:sz w:val="18"/>
                <w:szCs w:val="18"/>
              </w:rPr>
              <w:t>非同一控制下企业 合并增加</w:t>
            </w:r>
          </w:p>
        </w:tc>
        <w:tc>
          <w:tcPr>
            <w:tcW w:w="14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251"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8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3"/>
              <w:ind w:left="307" w:right="32" w:hanging="272"/>
              <w:jc w:val="left"/>
              <w:rPr>
                <w:rFonts w:ascii="宋体" w:hAnsi="宋体" w:cs="宋体" w:eastAsia="宋体" w:hint="default"/>
                <w:sz w:val="18"/>
                <w:szCs w:val="18"/>
              </w:rPr>
            </w:pPr>
            <w:r>
              <w:rPr>
                <w:rFonts w:ascii="宋体" w:hAnsi="宋体" w:cs="宋体" w:eastAsia="宋体" w:hint="default"/>
                <w:sz w:val="18"/>
                <w:szCs w:val="18"/>
              </w:rPr>
              <w:t>其他减少 额</w:t>
            </w:r>
          </w:p>
        </w:tc>
        <w:tc>
          <w:tcPr>
            <w:tcW w:w="15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7"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1,832,067.04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83,000.00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1,177,185.05</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836,446.26</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2,255,805.83</w:t>
            </w:r>
          </w:p>
        </w:tc>
      </w:tr>
      <w:tr>
        <w:trPr>
          <w:trHeight w:val="348"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3,747,806.33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4,722,093.05</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5,397,187.90</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2,572,596.56</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11,294,490.72</w:t>
            </w:r>
          </w:p>
        </w:tc>
      </w:tr>
      <w:tr>
        <w:trPr>
          <w:trHeight w:val="346"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1,759,057.44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845,755.92</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913,301.52</w:t>
            </w:r>
          </w:p>
        </w:tc>
      </w:tr>
      <w:tr>
        <w:trPr>
          <w:trHeight w:val="348"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会员费及其他</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833,398.61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469,811.30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840,657.24</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462,552.67</w:t>
            </w:r>
          </w:p>
        </w:tc>
      </w:tr>
      <w:tr>
        <w:trPr>
          <w:trHeight w:val="349"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8,172,329.42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5,274,904.35</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6,574,372.95</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5,095,455.98</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14,926,150.74</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1133"/>
        <w:jc w:val="left"/>
        <w:rPr>
          <w:b w:val="0"/>
          <w:bCs w:val="0"/>
        </w:rPr>
      </w:pPr>
      <w:bookmarkStart w:name="16、递延所得税资产/递延所得税负债" w:id="260"/>
      <w:bookmarkEnd w:id="260"/>
      <w:r>
        <w:rPr>
          <w:b w:val="0"/>
          <w:bCs w:val="0"/>
        </w:rPr>
      </w: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未经抵销的递延所得税资产" w:id="261"/>
      <w:bookmarkEnd w:id="261"/>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3831"/>
        <w:gridCol w:w="38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48,472,016.66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7,248,340.41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43,654,676.68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6,653,842.80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18,115,234.65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2,740,276.59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16,847,290.23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2,527,093.53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3,030,006.57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468,945.99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5,857,051.89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890,920.28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69,617,257.88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10,457,562.99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66,359,018.80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10,071,856.61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未经抵销的递延所得税负债" w:id="262"/>
      <w:bookmarkEnd w:id="262"/>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7"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27,056,992.11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4,094,071.02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287,377.62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43,106.64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27,056,992.11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4,094,071.02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287,377.62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43,106.64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未确认递延所得税资产明细" w:id="263"/>
      <w:bookmarkEnd w:id="263"/>
      <w:r>
        <w:rPr>
          <w:b w:val="0"/>
          <w:bCs w:val="0"/>
        </w:rPr>
      </w: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2,275,088.89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311,628.06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3,135,416.53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5,410,505.42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311,628.06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7、其他非流动资产" w:id="264"/>
      <w:bookmarkEnd w:id="264"/>
      <w:r>
        <w:rPr>
          <w:b w:val="0"/>
          <w:bCs w:val="0"/>
        </w:rPr>
      </w:r>
      <w:r>
        <w:rPr>
          <w:rFonts w:ascii="Times New Roman" w:hAnsi="Times New Roman" w:cs="Times New Roman" w:eastAsia="Times New Roman" w:hint="default"/>
        </w:rPr>
        <w:t>17</w:t>
      </w:r>
      <w:r>
        <w:rPr/>
        <w:t>、其他非流动资产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预付设备及工程款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1,018,729.03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817,416.01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1,018,729.03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817,416.01</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18、短期借款" w:id="265"/>
      <w:bookmarkEnd w:id="265"/>
      <w:r>
        <w:rPr>
          <w:b w:val="0"/>
          <w:bCs w:val="0"/>
        </w:rPr>
      </w:r>
      <w:r>
        <w:rPr>
          <w:rFonts w:ascii="Times New Roman" w:hAnsi="Times New Roman" w:cs="Times New Roman" w:eastAsia="Times New Roman" w:hint="default"/>
        </w:rPr>
        <w:t>18</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短期借款分类" w:id="266"/>
      <w:bookmarkEnd w:id="266"/>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55,873,009.50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56,100,347.70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164,365,252.14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220,238,261.64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206,100,347.70</w:t>
            </w:r>
          </w:p>
        </w:tc>
      </w:tr>
    </w:tbl>
    <w:p>
      <w:pPr>
        <w:pStyle w:val="BodyText"/>
        <w:spacing w:line="240" w:lineRule="auto" w:before="49"/>
        <w:ind w:right="0"/>
        <w:jc w:val="both"/>
      </w:pPr>
      <w:r>
        <w:rPr/>
        <w:t>短期借款分类的说明：</w:t>
      </w:r>
    </w:p>
    <w:p>
      <w:pPr>
        <w:pStyle w:val="BodyText"/>
        <w:spacing w:line="300" w:lineRule="auto" w:before="115"/>
        <w:ind w:right="1040"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日，本公司与</w:t>
      </w:r>
      <w:r>
        <w:rPr>
          <w:rFonts w:ascii="Times New Roman" w:hAnsi="Times New Roman" w:cs="Times New Roman" w:eastAsia="Times New Roman" w:hint="default"/>
        </w:rPr>
        <w:t>Oversea-Chinese</w:t>
      </w:r>
      <w:r>
        <w:rPr>
          <w:rFonts w:ascii="Times New Roman" w:hAnsi="Times New Roman" w:cs="Times New Roman" w:eastAsia="Times New Roman" w:hint="default"/>
          <w:spacing w:val="-16"/>
        </w:rPr>
        <w:t> </w:t>
      </w:r>
      <w:r>
        <w:rPr>
          <w:rFonts w:ascii="Times New Roman" w:hAnsi="Times New Roman" w:cs="Times New Roman" w:eastAsia="Times New Roman" w:hint="default"/>
        </w:rPr>
        <w:t>Banking</w:t>
      </w:r>
      <w:r>
        <w:rPr>
          <w:rFonts w:ascii="Times New Roman" w:hAnsi="Times New Roman" w:cs="Times New Roman" w:eastAsia="Times New Roman" w:hint="default"/>
          <w:spacing w:val="-16"/>
        </w:rPr>
        <w:t> </w:t>
      </w:r>
      <w:r>
        <w:rPr>
          <w:rFonts w:ascii="Times New Roman" w:hAnsi="Times New Roman" w:cs="Times New Roman" w:eastAsia="Times New Roman" w:hint="default"/>
        </w:rPr>
        <w:t>Corporation</w:t>
      </w:r>
      <w:r>
        <w:rPr>
          <w:rFonts w:ascii="Times New Roman" w:hAnsi="Times New Roman" w:cs="Times New Roman" w:eastAsia="Times New Roman" w:hint="default"/>
          <w:spacing w:val="-16"/>
        </w:rPr>
        <w:t> </w:t>
      </w:r>
      <w:r>
        <w:rPr>
          <w:rFonts w:ascii="Times New Roman" w:hAnsi="Times New Roman" w:cs="Times New Roman" w:eastAsia="Times New Roman" w:hint="default"/>
        </w:rPr>
        <w:t>Limited</w:t>
      </w:r>
      <w:r>
        <w:rPr/>
        <w:t>签署编号为</w:t>
      </w:r>
      <w:r>
        <w:rPr>
          <w:rFonts w:ascii="Times New Roman" w:hAnsi="Times New Roman" w:cs="Times New Roman" w:eastAsia="Times New Roman" w:hint="default"/>
        </w:rPr>
        <w:t>EB/090/17</w:t>
      </w:r>
      <w:r>
        <w:rPr/>
        <w:t>的银行授信函，授信额度为 </w:t>
      </w:r>
      <w:r>
        <w:rPr>
          <w:spacing w:val="-2"/>
        </w:rPr>
        <w:t>欧元</w:t>
      </w:r>
      <w:r>
        <w:rPr>
          <w:rFonts w:ascii="Times New Roman" w:hAnsi="Times New Roman" w:cs="Times New Roman" w:eastAsia="Times New Roman" w:hint="default"/>
          <w:spacing w:val="-2"/>
        </w:rPr>
        <w:t>9,000,000.00</w:t>
      </w:r>
      <w:r>
        <w:rPr>
          <w:spacing w:val="-2"/>
        </w:rPr>
        <w:t>元。</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w:t>
      </w:r>
      <w:r>
        <w:rPr>
          <w:spacing w:val="-2"/>
        </w:rPr>
        <w:t>日，本公司与宁波银行股份有限公司深圳分行签订编号为</w:t>
      </w:r>
      <w:r>
        <w:rPr>
          <w:rFonts w:ascii="Times New Roman" w:hAnsi="Times New Roman" w:cs="Times New Roman" w:eastAsia="Times New Roman" w:hint="default"/>
          <w:spacing w:val="-2"/>
        </w:rPr>
        <w:t>“07300BH20178137”</w:t>
      </w:r>
      <w:r>
        <w:rPr>
          <w:spacing w:val="-2"/>
        </w:rPr>
        <w:t>的《开立保函</w:t>
      </w:r>
      <w:r>
        <w:rPr>
          <w:spacing w:val="-40"/>
        </w:rPr>
        <w:t> </w:t>
      </w:r>
      <w:r>
        <w:rPr>
          <w:spacing w:val="-40"/>
        </w:rPr>
      </w:r>
      <w:r>
        <w:rPr/>
        <w:t>协议》，并以美元</w:t>
      </w:r>
      <w:r>
        <w:rPr>
          <w:rFonts w:ascii="Times New Roman" w:hAnsi="Times New Roman" w:cs="Times New Roman" w:eastAsia="Times New Roman" w:hint="default"/>
        </w:rPr>
        <w:t>2,000,000.00</w:t>
      </w:r>
      <w:r>
        <w:rPr/>
        <w:t>元保证金质押给宁波银行股份有限公司深圳分行，为前述授信提供保证。在前述银行授信函</w:t>
      </w:r>
      <w:r>
        <w:rPr>
          <w:spacing w:val="-48"/>
        </w:rPr>
        <w:t> </w:t>
      </w:r>
      <w:r>
        <w:rPr>
          <w:spacing w:val="-48"/>
        </w:rPr>
      </w:r>
      <w:r>
        <w:rPr/>
        <w:t>下，本公司于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日向</w:t>
      </w:r>
      <w:r>
        <w:rPr>
          <w:rFonts w:ascii="Times New Roman" w:hAnsi="Times New Roman" w:cs="Times New Roman" w:eastAsia="Times New Roman" w:hint="default"/>
        </w:rPr>
        <w:t>Oversea-ChineseBanking Corporation</w:t>
      </w:r>
      <w:r>
        <w:rPr>
          <w:rFonts w:ascii="Times New Roman" w:hAnsi="Times New Roman" w:cs="Times New Roman" w:eastAsia="Times New Roman" w:hint="default"/>
          <w:spacing w:val="7"/>
        </w:rPr>
        <w:t> </w:t>
      </w:r>
      <w:r>
        <w:rPr>
          <w:rFonts w:ascii="Times New Roman" w:hAnsi="Times New Roman" w:cs="Times New Roman" w:eastAsia="Times New Roman" w:hint="default"/>
        </w:rPr>
        <w:t>Limited</w:t>
      </w:r>
      <w:r>
        <w:rPr/>
        <w:t>取得了欧元</w:t>
      </w:r>
      <w:r>
        <w:rPr>
          <w:rFonts w:ascii="Times New Roman" w:hAnsi="Times New Roman" w:cs="Times New Roman" w:eastAsia="Times New Roman" w:hint="default"/>
        </w:rPr>
        <w:t>7,149,000.00</w:t>
      </w:r>
      <w:r>
        <w:rPr/>
        <w:t>元的借款，该借款于</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日到期。</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日，本公司与</w:t>
      </w:r>
      <w:r>
        <w:rPr>
          <w:rFonts w:ascii="Times New Roman" w:hAnsi="Times New Roman" w:cs="Times New Roman" w:eastAsia="Times New Roman" w:hint="default"/>
        </w:rPr>
        <w:t>Oversea-</w:t>
      </w:r>
      <w:r>
        <w:rPr>
          <w:rFonts w:ascii="Times New Roman" w:hAnsi="Times New Roman" w:cs="Times New Roman" w:eastAsia="Times New Roman" w:hint="default"/>
        </w:rPr>
        <w:t>Chinese</w:t>
      </w:r>
      <w:r>
        <w:rPr>
          <w:rFonts w:ascii="Times New Roman" w:hAnsi="Times New Roman" w:cs="Times New Roman" w:eastAsia="Times New Roman" w:hint="default"/>
          <w:spacing w:val="-14"/>
        </w:rPr>
        <w:t> </w:t>
      </w:r>
      <w:r>
        <w:rPr>
          <w:rFonts w:ascii="Times New Roman" w:hAnsi="Times New Roman" w:cs="Times New Roman" w:eastAsia="Times New Roman" w:hint="default"/>
        </w:rPr>
        <w:t>Banking</w:t>
      </w:r>
      <w:r>
        <w:rPr>
          <w:rFonts w:ascii="Times New Roman" w:hAnsi="Times New Roman" w:cs="Times New Roman" w:eastAsia="Times New Roman" w:hint="default"/>
          <w:spacing w:val="-14"/>
        </w:rPr>
        <w:t> </w:t>
      </w:r>
      <w:r>
        <w:rPr>
          <w:rFonts w:ascii="Times New Roman" w:hAnsi="Times New Roman" w:cs="Times New Roman" w:eastAsia="Times New Roman" w:hint="default"/>
        </w:rPr>
        <w:t>Corporation</w:t>
      </w:r>
      <w:r>
        <w:rPr>
          <w:rFonts w:ascii="Times New Roman" w:hAnsi="Times New Roman" w:cs="Times New Roman" w:eastAsia="Times New Roman" w:hint="default"/>
          <w:spacing w:val="-11"/>
        </w:rPr>
        <w:t> </w:t>
      </w:r>
      <w:r>
        <w:rPr>
          <w:rFonts w:ascii="Times New Roman" w:hAnsi="Times New Roman" w:cs="Times New Roman" w:eastAsia="Times New Roman" w:hint="default"/>
        </w:rPr>
        <w:t>Limited“</w:t>
      </w:r>
      <w:r>
        <w:rPr/>
        <w:t>签署编号为</w:t>
      </w:r>
      <w:r>
        <w:rPr>
          <w:rFonts w:ascii="Times New Roman" w:hAnsi="Times New Roman" w:cs="Times New Roman" w:eastAsia="Times New Roman" w:hint="default"/>
        </w:rPr>
        <w:t>EB/093/18”</w:t>
      </w:r>
      <w:r>
        <w:rPr/>
        <w:t>的银行授信函， </w:t>
      </w:r>
      <w:r>
        <w:rPr>
          <w:spacing w:val="-4"/>
        </w:rPr>
        <w:t>将前述贷款期限延长</w:t>
      </w:r>
      <w:r>
        <w:rPr>
          <w:rFonts w:ascii="Times New Roman" w:hAnsi="Times New Roman" w:cs="Times New Roman" w:eastAsia="Times New Roman" w:hint="default"/>
          <w:spacing w:val="-4"/>
        </w:rPr>
        <w:t>12</w:t>
      </w:r>
      <w:r>
        <w:rPr>
          <w:spacing w:val="-4"/>
        </w:rPr>
        <w:t>个月。并且，本公司于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8</w:t>
      </w:r>
      <w:r>
        <w:rPr>
          <w:spacing w:val="-4"/>
        </w:rPr>
        <w:t>日与宁波银行股份有限公司深圳分行签署《国际保函修改申请书》、</w:t>
      </w:r>
    </w:p>
    <w:p>
      <w:pPr>
        <w:pStyle w:val="BodyText"/>
        <w:spacing w:line="300" w:lineRule="auto" w:before="13"/>
        <w:ind w:right="1131"/>
        <w:jc w:val="both"/>
      </w:pPr>
      <w:r>
        <w:rPr>
          <w:spacing w:val="-5"/>
        </w:rPr>
        <w:t>《开立保函补充协议》，将原保函有效期展期至</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8</w:t>
      </w:r>
      <w:r>
        <w:rPr>
          <w:spacing w:val="-5"/>
        </w:rPr>
        <w:t>月</w:t>
      </w:r>
      <w:r>
        <w:rPr>
          <w:rFonts w:ascii="Times New Roman" w:hAnsi="Times New Roman" w:cs="Times New Roman" w:eastAsia="Times New Roman" w:hint="default"/>
          <w:spacing w:val="-5"/>
        </w:rPr>
        <w:t>15</w:t>
      </w:r>
      <w:r>
        <w:rPr>
          <w:spacing w:val="-5"/>
        </w:rPr>
        <w:t>日。</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7</w:t>
      </w:r>
      <w:r>
        <w:rPr>
          <w:spacing w:val="-5"/>
        </w:rPr>
        <w:t>月</w:t>
      </w:r>
      <w:r>
        <w:rPr>
          <w:rFonts w:ascii="Times New Roman" w:hAnsi="Times New Roman" w:cs="Times New Roman" w:eastAsia="Times New Roman" w:hint="default"/>
          <w:spacing w:val="-5"/>
        </w:rPr>
        <w:t>5</w:t>
      </w:r>
      <w:r>
        <w:rPr>
          <w:spacing w:val="-5"/>
        </w:rPr>
        <w:t>日，本公司与</w:t>
      </w:r>
      <w:r>
        <w:rPr>
          <w:rFonts w:ascii="Times New Roman" w:hAnsi="Times New Roman" w:cs="Times New Roman" w:eastAsia="Times New Roman" w:hint="default"/>
          <w:spacing w:val="-5"/>
        </w:rPr>
        <w:t>Oversea-Chinese </w:t>
      </w:r>
      <w:r>
        <w:rPr>
          <w:rFonts w:ascii="Times New Roman" w:hAnsi="Times New Roman" w:cs="Times New Roman" w:eastAsia="Times New Roman" w:hint="default"/>
        </w:rPr>
        <w:t>Banking Corporation</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rFonts w:ascii="Times New Roman" w:hAnsi="Times New Roman" w:cs="Times New Roman" w:eastAsia="Times New Roman" w:hint="default"/>
        </w:rPr>
        <w:t>Limited“</w:t>
      </w:r>
      <w:r>
        <w:rPr/>
        <w:t>签署编号为</w:t>
      </w:r>
      <w:r>
        <w:rPr>
          <w:rFonts w:ascii="Times New Roman" w:hAnsi="Times New Roman" w:cs="Times New Roman" w:eastAsia="Times New Roman" w:hint="default"/>
        </w:rPr>
        <w:t>EB/061/19”</w:t>
      </w:r>
      <w:r>
        <w:rPr/>
        <w:t>的银行授信函，将前述贷款期限延迟至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t>日，本公司与宁波银行</w:t>
      </w:r>
      <w:r>
        <w:rPr>
          <w:spacing w:val="-74"/>
        </w:rPr>
        <w:t> </w:t>
      </w:r>
      <w:r>
        <w:rPr>
          <w:spacing w:val="-74"/>
        </w:rPr>
      </w:r>
      <w:r>
        <w:rPr/>
        <w:t>股份有限公司深圳分行签署《开立保函补充协议》，将原保函有效期展期至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日。本公司实际控制人郭颂、刘丹</w:t>
      </w:r>
      <w:r>
        <w:rPr>
          <w:spacing w:val="-85"/>
        </w:rPr>
        <w:t> </w:t>
      </w:r>
      <w:r>
        <w:rPr>
          <w:spacing w:val="-85"/>
        </w:rPr>
      </w:r>
      <w:r>
        <w:rPr>
          <w:spacing w:val="-1"/>
        </w:rPr>
        <w:t>与宁波银行股份有限公司深圳分行签订了编号为</w:t>
      </w:r>
      <w:r>
        <w:rPr>
          <w:rFonts w:ascii="Times New Roman" w:hAnsi="Times New Roman" w:cs="Times New Roman" w:eastAsia="Times New Roman" w:hint="default"/>
          <w:spacing w:val="-1"/>
        </w:rPr>
        <w:t>“073300KB199H465A”</w:t>
      </w:r>
      <w:r>
        <w:rPr>
          <w:spacing w:val="-1"/>
        </w:rPr>
        <w:t>的《最高额保证合同》，为本公司提供连带责任保证</w:t>
      </w:r>
      <w:r>
        <w:rPr>
          <w:spacing w:val="-64"/>
        </w:rPr>
        <w:t> </w:t>
      </w:r>
      <w:r>
        <w:rPr>
          <w:spacing w:val="-64"/>
        </w:rPr>
      </w:r>
      <w:r>
        <w:rPr/>
        <w:t>担保。</w:t>
      </w:r>
    </w:p>
    <w:p>
      <w:pPr>
        <w:pStyle w:val="BodyText"/>
        <w:spacing w:line="300" w:lineRule="auto" w:before="72"/>
        <w:ind w:right="0"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4</w:t>
      </w:r>
      <w:r>
        <w:rPr/>
        <w:t>日，本公司与招商银行股份有限公司深圳分行签署了编号为</w:t>
      </w:r>
      <w:r>
        <w:rPr>
          <w:rFonts w:ascii="Times New Roman" w:hAnsi="Times New Roman" w:cs="Times New Roman" w:eastAsia="Times New Roman" w:hint="default"/>
        </w:rPr>
        <w:t>“755XY2019007077”</w:t>
      </w:r>
      <w:r>
        <w:rPr/>
        <w:t>的《授信额度协议》，根据 该协议，该行向本公司提供人民币</w:t>
      </w:r>
      <w:r>
        <w:rPr>
          <w:rFonts w:ascii="Times New Roman" w:hAnsi="Times New Roman" w:cs="Times New Roman" w:eastAsia="Times New Roman" w:hint="default"/>
        </w:rPr>
        <w:t>1</w:t>
      </w:r>
      <w:r>
        <w:rPr/>
        <w:t>亿元的授信额度，授信期限自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日起至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7</w:t>
      </w:r>
      <w:r>
        <w:rPr/>
        <w:t>日止。本公司实际控制人郭 颂、刘丹分别与招商银行股份有限公司深圳分行签订了编号为</w:t>
      </w:r>
      <w:r>
        <w:rPr>
          <w:rFonts w:ascii="Times New Roman" w:hAnsi="Times New Roman" w:cs="Times New Roman" w:eastAsia="Times New Roman" w:hint="default"/>
        </w:rPr>
        <w:t>“755XY201900707701”</w:t>
      </w:r>
      <w:r>
        <w:rPr/>
        <w:t>以及</w:t>
      </w:r>
      <w:r>
        <w:rPr>
          <w:rFonts w:ascii="Times New Roman" w:hAnsi="Times New Roman" w:cs="Times New Roman" w:eastAsia="Times New Roman" w:hint="default"/>
        </w:rPr>
        <w:t>“755XY201900707702” </w:t>
      </w:r>
      <w:r>
        <w:rPr/>
        <w:t>的《最高</w:t>
      </w:r>
      <w:r>
        <w:rPr>
          <w:spacing w:val="-47"/>
        </w:rPr>
        <w:t> </w:t>
      </w:r>
      <w:r>
        <w:rPr>
          <w:spacing w:val="-47"/>
        </w:rPr>
      </w:r>
      <w:r>
        <w:rPr/>
        <w:t>额不可撤销担保书》，对前述授信协议提供连带责任保证担保。在前述授信协议项下，本公司于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日与招商银行</w:t>
      </w:r>
      <w:r>
        <w:rPr>
          <w:spacing w:val="-84"/>
        </w:rPr>
        <w:t> </w:t>
      </w:r>
      <w:r>
        <w:rPr>
          <w:spacing w:val="-84"/>
        </w:rPr>
      </w:r>
      <w:r>
        <w:rPr>
          <w:spacing w:val="-2"/>
        </w:rPr>
        <w:t>股份有限公司深圳分行签署了编号为</w:t>
      </w:r>
      <w:r>
        <w:rPr>
          <w:rFonts w:ascii="Times New Roman" w:hAnsi="Times New Roman" w:cs="Times New Roman" w:eastAsia="Times New Roman" w:hint="default"/>
          <w:spacing w:val="-2"/>
        </w:rPr>
        <w:t>“755HT2019118648”</w:t>
      </w:r>
      <w:r>
        <w:rPr>
          <w:spacing w:val="-2"/>
        </w:rPr>
        <w:t>的《借款合同》，于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19</w:t>
      </w:r>
      <w:r>
        <w:rPr>
          <w:spacing w:val="-2"/>
        </w:rPr>
        <w:t>日取得人民币</w:t>
      </w:r>
      <w:r>
        <w:rPr>
          <w:rFonts w:ascii="Times New Roman" w:hAnsi="Times New Roman" w:cs="Times New Roman" w:eastAsia="Times New Roman" w:hint="default"/>
          <w:spacing w:val="-2"/>
        </w:rPr>
        <w:t>3,000.00</w:t>
      </w:r>
      <w:r>
        <w:rPr>
          <w:spacing w:val="-2"/>
        </w:rPr>
        <w:t>万元的借款，</w:t>
      </w:r>
      <w:r>
        <w:rPr>
          <w:spacing w:val="-80"/>
        </w:rPr>
        <w:t> </w:t>
      </w:r>
      <w:r>
        <w:rPr>
          <w:spacing w:val="-80"/>
        </w:rPr>
      </w:r>
      <w:r>
        <w:rPr/>
        <w:t>借款期限为一年，截止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日尚未到期。</w:t>
      </w:r>
    </w:p>
    <w:p>
      <w:pPr>
        <w:pStyle w:val="BodyText"/>
        <w:spacing w:line="300" w:lineRule="auto" w:before="51"/>
        <w:ind w:right="1131" w:firstLine="36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26</w:t>
      </w:r>
      <w:r>
        <w:rPr>
          <w:spacing w:val="-2"/>
        </w:rPr>
        <w:t>日，本公司与中国银行股份有限公司深圳高新区支行签署了编号为</w:t>
      </w:r>
      <w:r>
        <w:rPr>
          <w:rFonts w:ascii="Times New Roman" w:hAnsi="Times New Roman" w:cs="Times New Roman" w:eastAsia="Times New Roman" w:hint="default"/>
          <w:spacing w:val="-2"/>
        </w:rPr>
        <w:t>“2019</w:t>
      </w:r>
      <w:r>
        <w:rPr>
          <w:spacing w:val="-2"/>
        </w:rPr>
        <w:t>圳中银高额协字第</w:t>
      </w:r>
      <w:r>
        <w:rPr>
          <w:rFonts w:ascii="Times New Roman" w:hAnsi="Times New Roman" w:cs="Times New Roman" w:eastAsia="Times New Roman" w:hint="default"/>
          <w:spacing w:val="-2"/>
        </w:rPr>
        <w:t>160071</w:t>
      </w:r>
      <w:r>
        <w:rPr>
          <w:spacing w:val="-2"/>
        </w:rPr>
        <w:t>号</w:t>
      </w:r>
      <w:r>
        <w:rPr>
          <w:rFonts w:ascii="Times New Roman" w:hAnsi="Times New Roman" w:cs="Times New Roman" w:eastAsia="Times New Roman" w:hint="default"/>
          <w:spacing w:val="-2"/>
        </w:rPr>
        <w:t>”</w:t>
      </w:r>
      <w:r>
        <w:rPr>
          <w:spacing w:val="-2"/>
        </w:rPr>
        <w:t>《授</w:t>
      </w:r>
      <w:r>
        <w:rPr/>
        <w:t> 信额度协议》，根据该协议，该行向本公司提供人民币</w:t>
      </w:r>
      <w:r>
        <w:rPr>
          <w:rFonts w:ascii="Times New Roman" w:hAnsi="Times New Roman" w:cs="Times New Roman" w:eastAsia="Times New Roman" w:hint="default"/>
        </w:rPr>
        <w:t>8,000</w:t>
      </w:r>
      <w:r>
        <w:rPr/>
        <w:t>万元的综合授信额度，授信期限自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日起至</w:t>
      </w:r>
      <w:r>
        <w:rPr>
          <w:rFonts w:ascii="Times New Roman" w:hAnsi="Times New Roman" w:cs="Times New Roman" w:eastAsia="Times New Roman" w:hint="default"/>
        </w:rPr>
        <w:t>2020</w:t>
      </w:r>
      <w:r>
        <w:rPr/>
        <w:t>年</w:t>
      </w:r>
      <w:r>
        <w:rPr>
          <w:spacing w:val="-45"/>
        </w:rPr>
        <w:t>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日止。本公司之子公司优博讯软件公司与中国银行股份有限公司深圳高新区支行签订了编号为</w:t>
      </w:r>
      <w:r>
        <w:rPr>
          <w:rFonts w:ascii="Times New Roman" w:hAnsi="Times New Roman" w:cs="Times New Roman" w:eastAsia="Times New Roman" w:hint="default"/>
        </w:rPr>
        <w:t>“2019</w:t>
      </w:r>
      <w:r>
        <w:rPr/>
        <w:t>圳中银高司保字</w:t>
      </w:r>
      <w:r>
        <w:rPr>
          <w:spacing w:val="-75"/>
        </w:rPr>
        <w:t> </w:t>
      </w:r>
      <w:r>
        <w:rPr/>
        <w:t>第</w:t>
      </w:r>
      <w:r>
        <w:rPr>
          <w:rFonts w:ascii="Times New Roman" w:hAnsi="Times New Roman" w:cs="Times New Roman" w:eastAsia="Times New Roman" w:hint="default"/>
        </w:rPr>
        <w:t>0081</w:t>
      </w:r>
      <w:r>
        <w:rPr/>
        <w:t>号</w:t>
      </w:r>
      <w:r>
        <w:rPr>
          <w:rFonts w:ascii="Times New Roman" w:hAnsi="Times New Roman" w:cs="Times New Roman" w:eastAsia="Times New Roman" w:hint="default"/>
        </w:rPr>
        <w:t>”</w:t>
      </w:r>
      <w:r>
        <w:rPr/>
        <w:t>的《最高额保证合同》，对前述授信协议提供连带责任保证担保。在前述授信协议项下，本公司于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rFonts w:ascii="Times New Roman" w:hAnsi="Times New Roman" w:cs="Times New Roman" w:eastAsia="Times New Roman" w:hint="default"/>
          <w:spacing w:val="-34"/>
        </w:rPr>
        <w:t> </w:t>
      </w:r>
      <w:r>
        <w:rPr/>
        <w:t>日与中国银行股份有限公司深圳高新区支行签署了编号为</w:t>
      </w:r>
      <w:r>
        <w:rPr>
          <w:rFonts w:ascii="Times New Roman" w:hAnsi="Times New Roman" w:cs="Times New Roman" w:eastAsia="Times New Roman" w:hint="default"/>
        </w:rPr>
        <w:t>“2019</w:t>
      </w:r>
      <w:r>
        <w:rPr/>
        <w:t>圳中银高司借字第</w:t>
      </w:r>
      <w:r>
        <w:rPr>
          <w:rFonts w:ascii="Times New Roman" w:hAnsi="Times New Roman" w:cs="Times New Roman" w:eastAsia="Times New Roman" w:hint="default"/>
        </w:rPr>
        <w:t>0130</w:t>
      </w:r>
      <w:r>
        <w:rPr/>
        <w:t>号</w:t>
      </w:r>
      <w:r>
        <w:rPr>
          <w:rFonts w:ascii="Times New Roman" w:hAnsi="Times New Roman" w:cs="Times New Roman" w:eastAsia="Times New Roman" w:hint="default"/>
        </w:rPr>
        <w:t>”</w:t>
      </w:r>
      <w:r>
        <w:rPr/>
        <w:t>《流动资金借款合同》，于</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日取得人民币</w:t>
      </w:r>
      <w:r>
        <w:rPr>
          <w:rFonts w:ascii="Times New Roman" w:hAnsi="Times New Roman" w:cs="Times New Roman" w:eastAsia="Times New Roman" w:hint="default"/>
        </w:rPr>
        <w:t>3,000.00</w:t>
      </w:r>
      <w:r>
        <w:rPr/>
        <w:t>万元的借款，借款期限为一年，截止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日尚未到期。</w:t>
      </w:r>
    </w:p>
    <w:p>
      <w:pPr>
        <w:pStyle w:val="BodyText"/>
        <w:spacing w:line="300" w:lineRule="auto" w:before="53"/>
        <w:ind w:right="1126"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日，本公司与中国民生银行股份有限公司深圳分行签署了编号为</w:t>
      </w:r>
      <w:r>
        <w:rPr>
          <w:rFonts w:ascii="Times New Roman" w:hAnsi="Times New Roman" w:cs="Times New Roman" w:eastAsia="Times New Roman" w:hint="default"/>
        </w:rPr>
        <w:t>“</w:t>
      </w:r>
      <w:r>
        <w:rPr/>
        <w:t>公授信字第宝安</w:t>
      </w:r>
      <w:r>
        <w:rPr>
          <w:rFonts w:ascii="Times New Roman" w:hAnsi="Times New Roman" w:cs="Times New Roman" w:eastAsia="Times New Roman" w:hint="default"/>
        </w:rPr>
        <w:t>19011</w:t>
      </w:r>
      <w:r>
        <w:rPr/>
        <w:t>号</w:t>
      </w:r>
      <w:r>
        <w:rPr>
          <w:rFonts w:ascii="Times New Roman" w:hAnsi="Times New Roman" w:cs="Times New Roman" w:eastAsia="Times New Roman" w:hint="default"/>
        </w:rPr>
        <w:t>”</w:t>
      </w:r>
      <w:r>
        <w:rPr/>
        <w:t>《综合授信合</w:t>
      </w:r>
      <w:r>
        <w:rPr>
          <w:spacing w:val="2"/>
        </w:rPr>
        <w:t> </w:t>
      </w:r>
      <w:r>
        <w:rPr/>
        <w:t>同》，根据该协议，该行向本公司提供人民币</w:t>
      </w:r>
      <w:r>
        <w:rPr>
          <w:rFonts w:ascii="Times New Roman" w:hAnsi="Times New Roman" w:cs="Times New Roman" w:eastAsia="Times New Roman" w:hint="default"/>
        </w:rPr>
        <w:t>1</w:t>
      </w:r>
      <w:r>
        <w:rPr/>
        <w:t>亿元的综合授信额度，授信期限自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日止。本</w:t>
      </w:r>
      <w:r>
        <w:rPr>
          <w:spacing w:val="-87"/>
        </w:rPr>
        <w:t> </w:t>
      </w:r>
      <w:r>
        <w:rPr/>
        <w:t>公司实际控制人郭颂、刘丹与中国民生银行股份有限公司深圳分行签订了编号为</w:t>
      </w:r>
      <w:r>
        <w:rPr>
          <w:rFonts w:ascii="Times New Roman" w:hAnsi="Times New Roman" w:cs="Times New Roman" w:eastAsia="Times New Roman" w:hint="default"/>
        </w:rPr>
        <w:t>“</w:t>
      </w:r>
      <w:r>
        <w:rPr/>
        <w:t>公授信字第宝安</w:t>
      </w:r>
      <w:r>
        <w:rPr>
          <w:rFonts w:ascii="Times New Roman" w:hAnsi="Times New Roman" w:cs="Times New Roman" w:eastAsia="Times New Roman" w:hint="default"/>
        </w:rPr>
        <w:t>19011</w:t>
      </w:r>
      <w:r>
        <w:rPr/>
        <w:t>号</w:t>
      </w:r>
      <w:r>
        <w:rPr>
          <w:rFonts w:ascii="Times New Roman" w:hAnsi="Times New Roman" w:cs="Times New Roman" w:eastAsia="Times New Roman" w:hint="default"/>
        </w:rPr>
        <w:t>”</w:t>
      </w:r>
      <w:r>
        <w:rPr/>
        <w:t>的《最高额担保</w:t>
      </w:r>
      <w:r>
        <w:rPr>
          <w:spacing w:val="-63"/>
        </w:rPr>
        <w:t> </w:t>
      </w:r>
      <w:r>
        <w:rPr>
          <w:spacing w:val="-63"/>
        </w:rPr>
      </w:r>
      <w:r>
        <w:rPr/>
        <w:t>合同》，对前述授信协议提供连带责任保证担保。在前述授信协议项下，本公司于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日与中国民生银行股份有限</w:t>
      </w:r>
      <w:r>
        <w:rPr>
          <w:spacing w:val="-85"/>
        </w:rPr>
        <w:t> </w:t>
      </w:r>
      <w:r>
        <w:rPr/>
        <w:t>公司深圳分行签署了编号为</w:t>
      </w:r>
      <w:r>
        <w:rPr>
          <w:rFonts w:ascii="Times New Roman" w:hAnsi="Times New Roman" w:cs="Times New Roman" w:eastAsia="Times New Roman" w:hint="default"/>
        </w:rPr>
        <w:t>“</w:t>
      </w:r>
      <w:r>
        <w:rPr/>
        <w:t>公借贷字第</w:t>
      </w:r>
      <w:r>
        <w:rPr>
          <w:rFonts w:ascii="Times New Roman" w:hAnsi="Times New Roman" w:cs="Times New Roman" w:eastAsia="Times New Roman" w:hint="default"/>
        </w:rPr>
        <w:t>ZX19000000157230</w:t>
      </w:r>
      <w:r>
        <w:rPr/>
        <w:t>号</w:t>
      </w:r>
      <w:r>
        <w:rPr>
          <w:rFonts w:ascii="Times New Roman" w:hAnsi="Times New Roman" w:cs="Times New Roman" w:eastAsia="Times New Roman" w:hint="default"/>
        </w:rPr>
        <w:t>”</w:t>
      </w:r>
      <w:r>
        <w:rPr/>
        <w:t>《流动资金贷款借款合同》，于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日取得人民币</w:t>
      </w:r>
      <w:r>
        <w:rPr>
          <w:spacing w:val="33"/>
        </w:rPr>
        <w:t> </w:t>
      </w:r>
      <w:r>
        <w:rPr>
          <w:spacing w:val="33"/>
        </w:rPr>
      </w:r>
      <w:r>
        <w:rPr>
          <w:rFonts w:ascii="Times New Roman" w:hAnsi="Times New Roman" w:cs="Times New Roman" w:eastAsia="Times New Roman" w:hint="default"/>
        </w:rPr>
        <w:t>5,000.00</w:t>
      </w:r>
      <w:r>
        <w:rPr/>
        <w:t>万元的借款，借款期限为一年，截止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日尚未到期。</w:t>
      </w:r>
    </w:p>
    <w:p>
      <w:pPr>
        <w:pStyle w:val="BodyText"/>
        <w:spacing w:line="300" w:lineRule="auto" w:before="54"/>
        <w:ind w:right="1128" w:firstLine="360"/>
        <w:jc w:val="both"/>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20</w:t>
      </w:r>
      <w:r>
        <w:rPr>
          <w:spacing w:val="-1"/>
        </w:rPr>
        <w:t>日，本公司与上海浦东发展银行股份有限公司深圳分行签署了编号为</w:t>
      </w:r>
      <w:r>
        <w:rPr>
          <w:rFonts w:ascii="Times New Roman" w:hAnsi="Times New Roman" w:cs="Times New Roman" w:eastAsia="Times New Roman" w:hint="default"/>
          <w:spacing w:val="-1"/>
        </w:rPr>
        <w:t>“BC2019052900000238”</w:t>
      </w:r>
      <w:r>
        <w:rPr>
          <w:spacing w:val="-1"/>
        </w:rPr>
        <w:t>的《融资额度</w:t>
      </w:r>
      <w:r>
        <w:rPr/>
        <w:t> </w:t>
      </w:r>
      <w:r>
        <w:rPr>
          <w:spacing w:val="-2"/>
        </w:rPr>
        <w:t>协议》，根据该协议，该行向本公司提供人民币</w:t>
      </w:r>
      <w:r>
        <w:rPr>
          <w:rFonts w:ascii="Times New Roman" w:hAnsi="Times New Roman" w:cs="Times New Roman" w:eastAsia="Times New Roman" w:hint="default"/>
          <w:spacing w:val="-2"/>
        </w:rPr>
        <w:t>9,000.00</w:t>
      </w:r>
      <w:r>
        <w:rPr>
          <w:spacing w:val="-2"/>
        </w:rPr>
        <w:t>万元的融资额度，额度使用期限自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20</w:t>
      </w:r>
      <w:r>
        <w:rPr>
          <w:spacing w:val="-2"/>
        </w:rPr>
        <w:t>日起至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rFonts w:ascii="Times New Roman" w:hAnsi="Times New Roman" w:cs="Times New Roman" w:eastAsia="Times New Roman" w:hint="default"/>
          <w:spacing w:val="-6"/>
        </w:rPr>
        <w:t> </w:t>
      </w:r>
      <w:r>
        <w:rPr>
          <w:spacing w:val="-2"/>
        </w:rPr>
        <w:t>日止。本公司实际控制人郭颂、刘丹与上海浦东发展银行股份有限公司深圳分行签订了编号为</w:t>
      </w:r>
      <w:r>
        <w:rPr>
          <w:rFonts w:ascii="Times New Roman" w:hAnsi="Times New Roman" w:cs="Times New Roman" w:eastAsia="Times New Roman" w:hint="default"/>
          <w:spacing w:val="-2"/>
        </w:rPr>
        <w:t>“ZB7917201900000056”</w:t>
      </w:r>
      <w:r>
        <w:rPr>
          <w:spacing w:val="-2"/>
        </w:rPr>
        <w:t>的《最</w:t>
      </w:r>
      <w:r>
        <w:rPr>
          <w:spacing w:val="-81"/>
        </w:rPr>
        <w:t> </w:t>
      </w:r>
      <w:r>
        <w:rPr>
          <w:spacing w:val="-81"/>
        </w:rPr>
      </w:r>
      <w:r>
        <w:rPr>
          <w:spacing w:val="-2"/>
        </w:rPr>
        <w:t>高额保证合同》，对前述授信协议提供连带责任保证担保。在前述授信协议项下，本公司于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25</w:t>
      </w:r>
      <w:r>
        <w:rPr>
          <w:spacing w:val="-2"/>
        </w:rPr>
        <w:t>日于上海浦东发展</w:t>
      </w:r>
      <w:r>
        <w:rPr>
          <w:spacing w:val="-59"/>
        </w:rPr>
        <w:t> </w:t>
      </w:r>
      <w:r>
        <w:rPr>
          <w:spacing w:val="-59"/>
        </w:rPr>
      </w:r>
      <w:r>
        <w:rPr>
          <w:spacing w:val="-1"/>
        </w:rPr>
        <w:t>银行股份有限公司深圳分行签署了编号为</w:t>
      </w:r>
      <w:r>
        <w:rPr>
          <w:rFonts w:ascii="Times New Roman" w:hAnsi="Times New Roman" w:cs="Times New Roman" w:eastAsia="Times New Roman" w:hint="default"/>
          <w:spacing w:val="-1"/>
        </w:rPr>
        <w:t>“79172019280734”</w:t>
      </w:r>
      <w:r>
        <w:rPr>
          <w:spacing w:val="-1"/>
        </w:rPr>
        <w:t>的《流动资金借款合同》，于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25</w:t>
      </w:r>
      <w:r>
        <w:rPr>
          <w:spacing w:val="-1"/>
        </w:rPr>
        <w:t>日取得人民币</w:t>
      </w:r>
      <w:r>
        <w:rPr>
          <w:rFonts w:ascii="Times New Roman" w:hAnsi="Times New Roman" w:cs="Times New Roman" w:eastAsia="Times New Roman" w:hint="default"/>
          <w:spacing w:val="-1"/>
        </w:rPr>
        <w:t>990.00</w:t>
      </w:r>
      <w:r>
        <w:rPr>
          <w:rFonts w:ascii="Times New Roman" w:hAnsi="Times New Roman" w:cs="Times New Roman" w:eastAsia="Times New Roman" w:hint="default"/>
        </w:rPr>
        <w:t> </w:t>
      </w:r>
      <w:r>
        <w:rPr>
          <w:rFonts w:ascii="Times New Roman" w:hAnsi="Times New Roman" w:cs="Times New Roman" w:eastAsia="Times New Roman" w:hint="default"/>
        </w:rPr>
      </w:r>
      <w:r>
        <w:rPr/>
        <w:t>万元的借款，借款期限自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日起至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日止，截止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日尚未到期。</w:t>
      </w:r>
    </w:p>
    <w:p>
      <w:pPr>
        <w:pStyle w:val="BodyText"/>
        <w:spacing w:line="300" w:lineRule="auto" w:before="51"/>
        <w:ind w:right="1042"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日，本公司之子公司优博讯软件公司、优金支付公司、武汉市优博讯软件公司分别与中国工商银行股份有 </w:t>
      </w:r>
      <w:r>
        <w:rPr>
          <w:spacing w:val="-2"/>
        </w:rPr>
        <w:t>限公司深圳高新园支行签订了编号为</w:t>
      </w:r>
      <w:r>
        <w:rPr>
          <w:rFonts w:ascii="Times New Roman" w:hAnsi="Times New Roman" w:cs="Times New Roman" w:eastAsia="Times New Roman" w:hint="default"/>
          <w:spacing w:val="-2"/>
        </w:rPr>
        <w:t>“0400000919</w:t>
      </w:r>
      <w:r>
        <w:rPr>
          <w:rFonts w:ascii="Times New Roman" w:hAnsi="Times New Roman" w:cs="Times New Roman" w:eastAsia="Times New Roman" w:hint="default"/>
          <w:spacing w:val="-2"/>
        </w:rPr>
        <w:t>-2019</w:t>
      </w:r>
      <w:r>
        <w:rPr>
          <w:spacing w:val="-2"/>
        </w:rPr>
        <w:t>年高新（保）字</w:t>
      </w:r>
      <w:r>
        <w:rPr>
          <w:rFonts w:ascii="Times New Roman" w:hAnsi="Times New Roman" w:cs="Times New Roman" w:eastAsia="Times New Roman" w:hint="default"/>
          <w:spacing w:val="-2"/>
        </w:rPr>
        <w:t>0054</w:t>
      </w:r>
      <w:r>
        <w:rPr>
          <w:spacing w:val="-2"/>
        </w:rPr>
        <w:t>号</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“0400000919</w:t>
      </w:r>
      <w:r>
        <w:rPr>
          <w:rFonts w:ascii="Times New Roman" w:hAnsi="Times New Roman" w:cs="Times New Roman" w:eastAsia="Times New Roman" w:hint="default"/>
          <w:spacing w:val="-2"/>
        </w:rPr>
        <w:t>-2019</w:t>
      </w:r>
      <w:r>
        <w:rPr>
          <w:spacing w:val="-2"/>
        </w:rPr>
        <w:t>年高新（保）字</w:t>
      </w:r>
      <w:r>
        <w:rPr>
          <w:rFonts w:ascii="Times New Roman" w:hAnsi="Times New Roman" w:cs="Times New Roman" w:eastAsia="Times New Roman" w:hint="default"/>
          <w:spacing w:val="-2"/>
        </w:rPr>
        <w:t>0055</w:t>
      </w:r>
      <w:r>
        <w:rPr>
          <w:spacing w:val="-2"/>
        </w:rPr>
        <w:t>号</w:t>
      </w:r>
      <w:r>
        <w:rPr>
          <w:rFonts w:ascii="Times New Roman" w:hAnsi="Times New Roman" w:cs="Times New Roman" w:eastAsia="Times New Roman" w:hint="default"/>
          <w:spacing w:val="-2"/>
        </w:rPr>
        <w:t>”</w:t>
      </w:r>
      <w:r>
        <w:rPr>
          <w:spacing w:val="-2"/>
        </w:rPr>
        <w:t>、</w:t>
      </w:r>
      <w:r>
        <w:rPr>
          <w:spacing w:val="-27"/>
        </w:rPr>
        <w:t> </w:t>
      </w:r>
      <w:r>
        <w:rPr>
          <w:rFonts w:ascii="Times New Roman" w:hAnsi="Times New Roman" w:cs="Times New Roman" w:eastAsia="Times New Roman" w:hint="default"/>
          <w:spacing w:val="-7"/>
        </w:rPr>
        <w:t>“0400000919</w:t>
      </w:r>
      <w:r>
        <w:rPr>
          <w:rFonts w:ascii="Times New Roman" w:hAnsi="Times New Roman" w:cs="Times New Roman" w:eastAsia="Times New Roman" w:hint="default"/>
          <w:spacing w:val="-7"/>
        </w:rPr>
        <w:t>-2019</w:t>
      </w:r>
      <w:r>
        <w:rPr>
          <w:spacing w:val="-7"/>
        </w:rPr>
        <w:t>年高新（保）字</w:t>
      </w:r>
      <w:r>
        <w:rPr>
          <w:rFonts w:ascii="Times New Roman" w:hAnsi="Times New Roman" w:cs="Times New Roman" w:eastAsia="Times New Roman" w:hint="default"/>
          <w:spacing w:val="-7"/>
        </w:rPr>
        <w:t>0056</w:t>
      </w:r>
      <w:r>
        <w:rPr>
          <w:spacing w:val="-7"/>
        </w:rPr>
        <w:t>号</w:t>
      </w:r>
      <w:r>
        <w:rPr>
          <w:rFonts w:ascii="Times New Roman" w:hAnsi="Times New Roman" w:cs="Times New Roman" w:eastAsia="Times New Roman" w:hint="default"/>
          <w:spacing w:val="-7"/>
        </w:rPr>
        <w:t>”</w:t>
      </w:r>
      <w:r>
        <w:rPr>
          <w:spacing w:val="-7"/>
        </w:rPr>
        <w:t>《最高额保证合同》，为自</w:t>
      </w:r>
      <w:r>
        <w:rPr>
          <w:rFonts w:ascii="Times New Roman" w:hAnsi="Times New Roman" w:cs="Times New Roman" w:eastAsia="Times New Roman" w:hint="default"/>
          <w:spacing w:val="-7"/>
        </w:rPr>
        <w:t>2019</w:t>
      </w:r>
      <w:r>
        <w:rPr>
          <w:spacing w:val="-7"/>
        </w:rPr>
        <w:t>年</w:t>
      </w:r>
      <w:r>
        <w:rPr>
          <w:rFonts w:ascii="Times New Roman" w:hAnsi="Times New Roman" w:cs="Times New Roman" w:eastAsia="Times New Roman" w:hint="default"/>
          <w:spacing w:val="-7"/>
        </w:rPr>
        <w:t>10</w:t>
      </w:r>
      <w:r>
        <w:rPr>
          <w:spacing w:val="-7"/>
        </w:rPr>
        <w:t>月</w:t>
      </w:r>
      <w:r>
        <w:rPr>
          <w:rFonts w:ascii="Times New Roman" w:hAnsi="Times New Roman" w:cs="Times New Roman" w:eastAsia="Times New Roman" w:hint="default"/>
          <w:spacing w:val="-7"/>
        </w:rPr>
        <w:t>22</w:t>
      </w:r>
      <w:r>
        <w:rPr>
          <w:spacing w:val="-7"/>
        </w:rPr>
        <w:t>日起至</w:t>
      </w:r>
      <w:r>
        <w:rPr>
          <w:rFonts w:ascii="Times New Roman" w:hAnsi="Times New Roman" w:cs="Times New Roman" w:eastAsia="Times New Roman" w:hint="default"/>
          <w:spacing w:val="-7"/>
        </w:rPr>
        <w:t>2022</w:t>
      </w:r>
      <w:r>
        <w:rPr>
          <w:spacing w:val="-7"/>
        </w:rPr>
        <w:t>年</w:t>
      </w:r>
      <w:r>
        <w:rPr>
          <w:rFonts w:ascii="Times New Roman" w:hAnsi="Times New Roman" w:cs="Times New Roman" w:eastAsia="Times New Roman" w:hint="default"/>
          <w:spacing w:val="-7"/>
        </w:rPr>
        <w:t>10</w:t>
      </w:r>
      <w:r>
        <w:rPr>
          <w:spacing w:val="-7"/>
        </w:rPr>
        <w:t>月</w:t>
      </w:r>
      <w:r>
        <w:rPr>
          <w:rFonts w:ascii="Times New Roman" w:hAnsi="Times New Roman" w:cs="Times New Roman" w:eastAsia="Times New Roman" w:hint="default"/>
          <w:spacing w:val="-7"/>
        </w:rPr>
        <w:t>22</w:t>
      </w:r>
      <w:r>
        <w:rPr>
          <w:spacing w:val="-7"/>
        </w:rPr>
        <w:t>日止，在人民币</w:t>
      </w:r>
      <w:r>
        <w:rPr>
          <w:rFonts w:ascii="Times New Roman" w:hAnsi="Times New Roman" w:cs="Times New Roman" w:eastAsia="Times New Roman" w:hint="default"/>
          <w:spacing w:val="-7"/>
        </w:rPr>
        <w:t>13,000.00</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t>万元的最高余额内提供连带责任保证担保。本公司于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日与中国工商银行股份有限公司深圳高新园支行签署了编</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039"/>
        <w:jc w:val="left"/>
      </w:pPr>
      <w:r>
        <w:rPr/>
        <w:t>号为</w:t>
      </w:r>
      <w:r>
        <w:rPr>
          <w:rFonts w:ascii="Times New Roman" w:hAnsi="Times New Roman" w:cs="Times New Roman" w:eastAsia="Times New Roman" w:hint="default"/>
        </w:rPr>
        <w:t>“0400000919</w:t>
      </w:r>
      <w:r>
        <w:rPr>
          <w:rFonts w:ascii="Times New Roman" w:hAnsi="Times New Roman" w:cs="Times New Roman" w:eastAsia="Times New Roman" w:hint="default"/>
        </w:rPr>
        <w:t>-2019</w:t>
      </w:r>
      <w:r>
        <w:rPr/>
        <w:t>年（高新）字</w:t>
      </w:r>
      <w:r>
        <w:rPr>
          <w:rFonts w:ascii="Times New Roman" w:hAnsi="Times New Roman" w:cs="Times New Roman" w:eastAsia="Times New Roman" w:hint="default"/>
        </w:rPr>
        <w:t>00243</w:t>
      </w:r>
      <w:r>
        <w:rPr/>
        <w:t>号</w:t>
      </w:r>
      <w:r>
        <w:rPr>
          <w:rFonts w:ascii="Times New Roman" w:hAnsi="Times New Roman" w:cs="Times New Roman" w:eastAsia="Times New Roman" w:hint="default"/>
        </w:rPr>
        <w:t>”</w:t>
      </w:r>
      <w:r>
        <w:rPr/>
        <w:t>的《流动资金借款合同》，于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日取得了人民币</w:t>
      </w:r>
      <w:r>
        <w:rPr>
          <w:rFonts w:ascii="Times New Roman" w:hAnsi="Times New Roman" w:cs="Times New Roman" w:eastAsia="Times New Roman" w:hint="default"/>
        </w:rPr>
        <w:t>8,274,837.80</w:t>
      </w:r>
      <w:r>
        <w:rPr/>
        <w:t>元的借 </w:t>
      </w:r>
      <w:r>
        <w:rPr>
          <w:spacing w:val="-2"/>
        </w:rPr>
        <w:t>款，借款期限自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6</w:t>
      </w:r>
      <w:r>
        <w:rPr>
          <w:spacing w:val="-2"/>
        </w:rPr>
        <w:t>日起至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5</w:t>
      </w:r>
      <w:r>
        <w:rPr>
          <w:spacing w:val="-2"/>
        </w:rPr>
        <w:t>日止，截止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日尚未到期；本公司于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22</w:t>
      </w:r>
      <w:r>
        <w:rPr>
          <w:spacing w:val="-2"/>
        </w:rPr>
        <w:t>与中国工商银</w:t>
      </w:r>
      <w:r>
        <w:rPr>
          <w:spacing w:val="-50"/>
        </w:rPr>
        <w:t> </w:t>
      </w:r>
      <w:r>
        <w:rPr>
          <w:spacing w:val="-50"/>
        </w:rPr>
      </w:r>
      <w:r>
        <w:rPr/>
        <w:t>行股份有限公司深圳高新园支行签署了编号为</w:t>
      </w:r>
      <w:r>
        <w:rPr>
          <w:rFonts w:ascii="Times New Roman" w:hAnsi="Times New Roman" w:cs="Times New Roman" w:eastAsia="Times New Roman" w:hint="default"/>
        </w:rPr>
        <w:t>“0400000919</w:t>
      </w:r>
      <w:r>
        <w:rPr>
          <w:rFonts w:ascii="Times New Roman" w:hAnsi="Times New Roman" w:cs="Times New Roman" w:eastAsia="Times New Roman" w:hint="default"/>
        </w:rPr>
        <w:t>-2019</w:t>
      </w:r>
      <w:r>
        <w:rPr/>
        <w:t>年（高新）字</w:t>
      </w:r>
      <w:r>
        <w:rPr>
          <w:rFonts w:ascii="Times New Roman" w:hAnsi="Times New Roman" w:cs="Times New Roman" w:eastAsia="Times New Roman" w:hint="default"/>
        </w:rPr>
        <w:t>00270</w:t>
      </w:r>
      <w:r>
        <w:rPr/>
        <w:t>号</w:t>
      </w:r>
      <w:r>
        <w:rPr>
          <w:rFonts w:ascii="Times New Roman" w:hAnsi="Times New Roman" w:cs="Times New Roman" w:eastAsia="Times New Roman" w:hint="default"/>
        </w:rPr>
        <w:t>” </w:t>
      </w:r>
      <w:r>
        <w:rPr/>
        <w:t>的《流动资金借款合同》，于</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日取得了人民币</w:t>
      </w:r>
      <w:r>
        <w:rPr>
          <w:rFonts w:ascii="Times New Roman" w:hAnsi="Times New Roman" w:cs="Times New Roman" w:eastAsia="Times New Roman" w:hint="default"/>
        </w:rPr>
        <w:t>4,820,410.00</w:t>
      </w:r>
      <w:r>
        <w:rPr/>
        <w:t>元的借款，借款期限自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日起至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日止，截止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spacing w:val="-48"/>
        </w:rPr>
        <w:t> </w:t>
      </w:r>
      <w:r>
        <w:rPr>
          <w:spacing w:val="-3"/>
        </w:rPr>
        <w:t>尚未到期；本公司于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12</w:t>
      </w:r>
      <w:r>
        <w:rPr>
          <w:spacing w:val="-3"/>
        </w:rPr>
        <w:t>日与中国工商银行股份有限公司深圳高新园支行签署了编号为</w:t>
      </w:r>
      <w:r>
        <w:rPr>
          <w:rFonts w:ascii="Times New Roman" w:hAnsi="Times New Roman" w:cs="Times New Roman" w:eastAsia="Times New Roman" w:hint="default"/>
          <w:spacing w:val="-3"/>
        </w:rPr>
        <w:t>“0400000919</w:t>
      </w:r>
      <w:r>
        <w:rPr>
          <w:rFonts w:ascii="Times New Roman" w:hAnsi="Times New Roman" w:cs="Times New Roman" w:eastAsia="Times New Roman" w:hint="default"/>
          <w:spacing w:val="-3"/>
        </w:rPr>
        <w:t>-2019</w:t>
      </w:r>
      <w:r>
        <w:rPr>
          <w:spacing w:val="-3"/>
        </w:rPr>
        <w:t>年（高新）</w:t>
      </w:r>
      <w:r>
        <w:rPr>
          <w:spacing w:val="-30"/>
        </w:rPr>
        <w:t> </w:t>
      </w:r>
      <w:r>
        <w:rPr>
          <w:spacing w:val="-30"/>
        </w:rPr>
      </w:r>
      <w:r>
        <w:rPr/>
        <w:t>字</w:t>
      </w:r>
      <w:r>
        <w:rPr>
          <w:rFonts w:ascii="Times New Roman" w:hAnsi="Times New Roman" w:cs="Times New Roman" w:eastAsia="Times New Roman" w:hint="default"/>
        </w:rPr>
        <w:t>00288</w:t>
      </w:r>
      <w:r>
        <w:rPr/>
        <w:t>号</w:t>
      </w:r>
      <w:r>
        <w:rPr>
          <w:rFonts w:ascii="Times New Roman" w:hAnsi="Times New Roman" w:cs="Times New Roman" w:eastAsia="Times New Roman" w:hint="default"/>
        </w:rPr>
        <w:t>”</w:t>
      </w:r>
      <w:r>
        <w:rPr/>
        <w:t>的《流动资金借款合同》，于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日取得了人民币</w:t>
      </w:r>
      <w:r>
        <w:rPr>
          <w:rFonts w:ascii="Times New Roman" w:hAnsi="Times New Roman" w:cs="Times New Roman" w:eastAsia="Times New Roman" w:hint="default"/>
        </w:rPr>
        <w:t>11,370,004.34</w:t>
      </w:r>
      <w:r>
        <w:rPr/>
        <w:t>元的借款，借款期限自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 起至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日止，截止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日尚未到期。</w:t>
      </w:r>
    </w:p>
    <w:p>
      <w:pPr>
        <w:pStyle w:val="BodyText"/>
        <w:spacing w:line="300" w:lineRule="auto" w:before="53"/>
        <w:ind w:right="1126"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日，本公司向招商银行深圳高新园支行开立编号为</w:t>
      </w:r>
      <w:r>
        <w:rPr>
          <w:rFonts w:ascii="Times New Roman" w:hAnsi="Times New Roman" w:cs="Times New Roman" w:eastAsia="Times New Roman" w:hint="default"/>
        </w:rPr>
        <w:t>LC7551900055</w:t>
      </w:r>
      <w:r>
        <w:rPr/>
        <w:t>和</w:t>
      </w:r>
      <w:r>
        <w:rPr>
          <w:rFonts w:ascii="Times New Roman" w:hAnsi="Times New Roman" w:cs="Times New Roman" w:eastAsia="Times New Roman" w:hint="default"/>
        </w:rPr>
        <w:t>LC7551900056</w:t>
      </w:r>
      <w:r>
        <w:rPr/>
        <w:t>的国内信用证，信用证</w:t>
      </w:r>
      <w:r>
        <w:rPr>
          <w:spacing w:val="2"/>
        </w:rPr>
        <w:t> </w:t>
      </w:r>
      <w:r>
        <w:rPr/>
        <w:t>金额分别为人民币</w:t>
      </w:r>
      <w:r>
        <w:rPr>
          <w:rFonts w:ascii="Times New Roman" w:hAnsi="Times New Roman" w:cs="Times New Roman" w:eastAsia="Times New Roman" w:hint="default"/>
        </w:rPr>
        <w:t>10,000,000.00</w:t>
      </w:r>
      <w:r>
        <w:rPr/>
        <w:t>元和</w:t>
      </w:r>
      <w:r>
        <w:rPr>
          <w:rFonts w:ascii="Times New Roman" w:hAnsi="Times New Roman" w:cs="Times New Roman" w:eastAsia="Times New Roman" w:hint="default"/>
        </w:rPr>
        <w:t>10,000,000.00</w:t>
      </w:r>
      <w:r>
        <w:rPr/>
        <w:t>元。有效期间为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14</w:t>
      </w:r>
      <w:r>
        <w:rPr/>
        <w:t>日。受益人分别为本公司之 子公司优金支付公司和优博讯软件公司。截止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日，上述信用证已议付。</w:t>
      </w:r>
    </w:p>
    <w:p>
      <w:pPr>
        <w:spacing w:line="240" w:lineRule="auto" w:before="2"/>
        <w:rPr>
          <w:rFonts w:ascii="宋体" w:hAnsi="宋体" w:cs="宋体" w:eastAsia="宋体" w:hint="default"/>
          <w:sz w:val="22"/>
          <w:szCs w:val="22"/>
        </w:rPr>
      </w:pPr>
    </w:p>
    <w:p>
      <w:pPr>
        <w:pStyle w:val="Heading3"/>
        <w:spacing w:line="240" w:lineRule="auto"/>
        <w:ind w:right="1133"/>
        <w:jc w:val="left"/>
        <w:rPr>
          <w:b w:val="0"/>
          <w:bCs w:val="0"/>
        </w:rPr>
      </w:pPr>
      <w:bookmarkStart w:name="19、交易性金融负债" w:id="267"/>
      <w:bookmarkEnd w:id="267"/>
      <w:r>
        <w:rPr>
          <w:b w:val="0"/>
          <w:bCs w:val="0"/>
        </w:rPr>
      </w:r>
      <w:r>
        <w:rPr>
          <w:rFonts w:ascii="Times New Roman" w:hAnsi="Times New Roman" w:cs="Times New Roman" w:eastAsia="Times New Roman" w:hint="default"/>
        </w:rPr>
        <w:t>19</w:t>
      </w:r>
      <w:r>
        <w:rPr/>
        <w:t>、交易性金融负债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1"/>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指定为以公允价值计量且其变动计入当 期损益的金融负债</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255,221.84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货币掉期公允价值变动</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255,221.84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255,221.84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0、应付票据" w:id="268"/>
      <w:bookmarkEnd w:id="268"/>
      <w:r>
        <w:rPr>
          <w:b w:val="0"/>
          <w:bCs w:val="0"/>
        </w:rPr>
      </w:r>
      <w:r>
        <w:rPr>
          <w:rFonts w:ascii="Times New Roman" w:hAnsi="Times New Roman" w:cs="Times New Roman" w:eastAsia="Times New Roman" w:hint="default"/>
        </w:rPr>
        <w:t>20</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34,356,550.57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35,341,384.20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34,356,550.57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35,341,384.20</w:t>
            </w:r>
          </w:p>
        </w:tc>
      </w:tr>
    </w:tbl>
    <w:p>
      <w:pPr>
        <w:pStyle w:val="BodyText"/>
        <w:spacing w:line="240" w:lineRule="auto" w:before="49"/>
        <w:ind w:right="1133"/>
        <w:jc w:val="left"/>
      </w:pPr>
      <w:r>
        <w:rPr/>
        <w:t>本期末已到期未支付的应付票据总额为元。</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1、应付账款" w:id="269"/>
      <w:bookmarkEnd w:id="269"/>
      <w:r>
        <w:rPr>
          <w:b w:val="0"/>
          <w:bCs w:val="0"/>
        </w:rPr>
      </w:r>
      <w:r>
        <w:rPr>
          <w:rFonts w:ascii="Times New Roman" w:hAnsi="Times New Roman" w:cs="Times New Roman" w:eastAsia="Times New Roman" w:hint="default"/>
        </w:rPr>
        <w:t>21</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应付账款列示" w:id="270"/>
      <w:bookmarkEnd w:id="270"/>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应付供应商货款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107,796,140.71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100,738,594.50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应付未付费用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715,801.76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1,940,241.89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108,511,942.47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102,678,836.39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2） 期末余额中无应付持本公司5%（含5%）以上表决权股份的股东单位款项。" w:id="271"/>
      <w:bookmarkEnd w:id="271"/>
      <w:r>
        <w:rPr>
          <w:b w:val="0"/>
          <w:bCs w:val="0"/>
        </w:rPr>
      </w:r>
      <w:r>
        <w:rPr/>
        <w:t>（</w:t>
      </w:r>
      <w:r>
        <w:rPr>
          <w:rFonts w:ascii="Times New Roman" w:hAnsi="Times New Roman" w:cs="Times New Roman" w:eastAsia="Times New Roman" w:hint="default"/>
        </w:rPr>
        <w:t>2</w:t>
      </w:r>
      <w:r>
        <w:rPr/>
        <w:t>）</w:t>
      </w:r>
      <w:r>
        <w:rPr>
          <w:spacing w:val="-5"/>
        </w:rPr>
        <w:t> </w:t>
      </w:r>
      <w:r>
        <w:rPr/>
        <w:t>期末余额中无应付持本公司</w:t>
      </w:r>
      <w:r>
        <w:rPr>
          <w:spacing w:val="-54"/>
        </w:rPr>
        <w:t> </w:t>
      </w:r>
      <w:r>
        <w:rPr>
          <w:rFonts w:ascii="Times New Roman" w:hAnsi="Times New Roman" w:cs="Times New Roman" w:eastAsia="Times New Roman" w:hint="default"/>
        </w:rPr>
        <w:t>5%</w:t>
      </w:r>
      <w:r>
        <w:rPr/>
        <w:t>（含</w:t>
      </w:r>
      <w:r>
        <w:rPr>
          <w:spacing w:val="-55"/>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3） 期末余额中应付其他关联方款项详见本附注十、5。" w:id="272"/>
      <w:bookmarkEnd w:id="272"/>
      <w:r>
        <w:rPr>
          <w:b w:val="0"/>
          <w:bCs w:val="0"/>
        </w:rPr>
      </w:r>
      <w:r>
        <w:rPr/>
        <w:t>（</w:t>
      </w:r>
      <w:r>
        <w:rPr>
          <w:rFonts w:ascii="Times New Roman" w:hAnsi="Times New Roman" w:cs="Times New Roman" w:eastAsia="Times New Roman" w:hint="default"/>
        </w:rPr>
        <w:t>3</w:t>
      </w:r>
      <w:r>
        <w:rPr/>
        <w:t>）</w:t>
      </w:r>
      <w:r>
        <w:rPr>
          <w:spacing w:val="-6"/>
        </w:rPr>
        <w:t> </w:t>
      </w:r>
      <w:r>
        <w:rPr/>
        <w:t>期末余额中应付其他关联方款项详见本附注十、</w:t>
      </w:r>
      <w:r>
        <w:rPr>
          <w:rFonts w:ascii="Times New Roman" w:hAnsi="Times New Roman" w:cs="Times New Roman" w:eastAsia="Times New Roman" w:hint="default"/>
        </w:rPr>
        <w:t>5</w:t>
      </w:r>
      <w:r>
        <w:rPr/>
        <w:t>。</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22、预收款项" w:id="273"/>
      <w:bookmarkEnd w:id="273"/>
      <w:r>
        <w:rPr>
          <w:b w:val="0"/>
          <w:bCs w:val="0"/>
        </w:rPr>
      </w:r>
      <w:r>
        <w:rPr>
          <w:rFonts w:ascii="Times New Roman" w:hAnsi="Times New Roman" w:cs="Times New Roman" w:eastAsia="Times New Roman" w:hint="default"/>
        </w:rPr>
        <w:t>22</w:t>
      </w:r>
      <w:r>
        <w:rPr/>
        <w:t>、预收款项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1）预收款项列示" w:id="274"/>
      <w:bookmarkEnd w:id="274"/>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19,650,179.53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16,357,405.97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19,650,179.53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16,357,405.97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 期末无账龄超过一年的重要预收款项。" w:id="275"/>
      <w:bookmarkEnd w:id="275"/>
      <w:r>
        <w:rPr>
          <w:b w:val="0"/>
          <w:bCs w:val="0"/>
        </w:rPr>
      </w:r>
      <w:r>
        <w:rPr/>
        <w:t>（</w:t>
      </w:r>
      <w:r>
        <w:rPr>
          <w:rFonts w:ascii="Times New Roman" w:hAnsi="Times New Roman" w:cs="Times New Roman" w:eastAsia="Times New Roman" w:hint="default"/>
        </w:rPr>
        <w:t>2</w:t>
      </w:r>
      <w:r>
        <w:rPr/>
        <w:t>） 期末无账龄超过一年的重要预收款项。</w:t>
      </w:r>
      <w:r>
        <w:rPr>
          <w:b w:val="0"/>
          <w:bCs w:val="0"/>
        </w:rPr>
      </w:r>
    </w:p>
    <w:p>
      <w:pPr>
        <w:spacing w:line="240" w:lineRule="auto" w:before="10"/>
        <w:rPr>
          <w:rFonts w:ascii="宋体" w:hAnsi="宋体" w:cs="宋体" w:eastAsia="宋体" w:hint="default"/>
          <w:b/>
          <w:bCs/>
          <w:sz w:val="24"/>
          <w:szCs w:val="24"/>
        </w:rPr>
      </w:pPr>
    </w:p>
    <w:p>
      <w:pPr>
        <w:pStyle w:val="Heading3"/>
        <w:spacing w:line="506" w:lineRule="auto"/>
        <w:ind w:right="1593"/>
        <w:jc w:val="left"/>
        <w:rPr>
          <w:b w:val="0"/>
          <w:bCs w:val="0"/>
        </w:rPr>
      </w:pPr>
      <w:bookmarkStart w:name="（3） 期末余额中无预收持本公司5%（含5%）以上表决权股份的股东单位及其他关联" w:id="276"/>
      <w:bookmarkEnd w:id="276"/>
      <w:r>
        <w:rPr>
          <w:b w:val="0"/>
          <w:bCs w:val="0"/>
        </w:rPr>
      </w:r>
      <w:r>
        <w:rPr/>
        <w:t>（</w:t>
      </w:r>
      <w:r>
        <w:rPr>
          <w:rFonts w:ascii="Times New Roman" w:hAnsi="Times New Roman" w:cs="Times New Roman" w:eastAsia="Times New Roman" w:hint="default"/>
        </w:rPr>
        <w:t>3</w:t>
      </w:r>
      <w:r>
        <w:rPr/>
        <w:t>）</w:t>
      </w:r>
      <w:r>
        <w:rPr>
          <w:spacing w:val="-5"/>
        </w:rPr>
        <w:t> </w:t>
      </w:r>
      <w:r>
        <w:rPr/>
        <w:t>期末余额中无预收持本公司</w:t>
      </w:r>
      <w:r>
        <w:rPr>
          <w:spacing w:val="-54"/>
        </w:rPr>
        <w:t> </w:t>
      </w:r>
      <w:r>
        <w:rPr>
          <w:rFonts w:ascii="Times New Roman" w:hAnsi="Times New Roman" w:cs="Times New Roman" w:eastAsia="Times New Roman" w:hint="default"/>
        </w:rPr>
        <w:t>5%</w:t>
      </w:r>
      <w:r>
        <w:rPr/>
        <w:t>（含</w:t>
      </w:r>
      <w:r>
        <w:rPr>
          <w:spacing w:val="-55"/>
        </w:rPr>
        <w:t> </w:t>
      </w:r>
      <w:r>
        <w:rPr>
          <w:rFonts w:ascii="Times New Roman" w:hAnsi="Times New Roman" w:cs="Times New Roman" w:eastAsia="Times New Roman" w:hint="default"/>
        </w:rPr>
        <w:t>5%</w:t>
      </w:r>
      <w:r>
        <w:rPr/>
        <w:t>）以上表决权股份的股东单位及其他关联方的款项。</w:t>
      </w:r>
      <w:r>
        <w:rPr>
          <w:w w:val="100"/>
        </w:rPr>
        <w:t> </w:t>
      </w:r>
      <w:bookmarkStart w:name="23、应付职工薪酬" w:id="277"/>
      <w:bookmarkEnd w:id="277"/>
      <w:r>
        <w:rPr>
          <w:w w:val="100"/>
        </w:rPr>
      </w:r>
      <w:r>
        <w:rPr>
          <w:rFonts w:ascii="Times New Roman" w:hAnsi="Times New Roman" w:cs="Times New Roman" w:eastAsia="Times New Roman" w:hint="default"/>
        </w:rPr>
        <w:t>23</w:t>
      </w:r>
      <w:r>
        <w:rPr/>
        <w:t>、应付职工薪酬</w:t>
      </w:r>
      <w:r>
        <w:rPr>
          <w:b w:val="0"/>
          <w:bCs w:val="0"/>
        </w:rPr>
      </w:r>
    </w:p>
    <w:p>
      <w:pPr>
        <w:pStyle w:val="Heading3"/>
        <w:spacing w:line="240" w:lineRule="auto" w:before="65"/>
        <w:ind w:right="1133"/>
        <w:jc w:val="left"/>
        <w:rPr>
          <w:b w:val="0"/>
          <w:bCs w:val="0"/>
        </w:rPr>
      </w:pPr>
      <w:bookmarkStart w:name="（1） 应付职工薪酬列示" w:id="278"/>
      <w:bookmarkEnd w:id="278"/>
      <w:r>
        <w:rPr>
          <w:b w:val="0"/>
          <w:bCs w:val="0"/>
        </w:rPr>
      </w:r>
      <w:r>
        <w:rPr/>
        <w:t>（</w:t>
      </w:r>
      <w:r>
        <w:rPr>
          <w:rFonts w:ascii="Times New Roman" w:hAnsi="Times New Roman" w:cs="Times New Roman" w:eastAsia="Times New Roman" w:hint="default"/>
        </w:rPr>
        <w:t>1</w:t>
      </w:r>
      <w:r>
        <w:rPr/>
        <w:t>） 应付职工薪酬列示</w:t>
      </w:r>
      <w:r>
        <w:rPr>
          <w:b w:val="0"/>
          <w:bCs w:val="0"/>
        </w:rPr>
      </w:r>
    </w:p>
    <w:p>
      <w:pPr>
        <w:spacing w:line="240" w:lineRule="auto" w:before="13"/>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2415"/>
        <w:gridCol w:w="1340"/>
        <w:gridCol w:w="1339"/>
        <w:gridCol w:w="1491"/>
        <w:gridCol w:w="1337"/>
        <w:gridCol w:w="1404"/>
      </w:tblGrid>
      <w:tr>
        <w:trPr>
          <w:trHeight w:val="654" w:hRule="exact"/>
        </w:trPr>
        <w:tc>
          <w:tcPr>
            <w:tcW w:w="241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4"/>
              <w:ind w:left="379" w:right="15" w:hanging="361"/>
              <w:jc w:val="left"/>
              <w:rPr>
                <w:rFonts w:ascii="宋体" w:hAnsi="宋体" w:cs="宋体" w:eastAsia="宋体" w:hint="default"/>
                <w:sz w:val="18"/>
                <w:szCs w:val="18"/>
              </w:rPr>
            </w:pPr>
            <w:r>
              <w:rPr>
                <w:rFonts w:ascii="宋体" w:hAnsi="宋体" w:cs="宋体" w:eastAsia="宋体" w:hint="default"/>
                <w:sz w:val="18"/>
                <w:szCs w:val="18"/>
              </w:rPr>
              <w:t>非同一控制下企业 合并增加</w:t>
            </w:r>
          </w:p>
        </w:tc>
        <w:tc>
          <w:tcPr>
            <w:tcW w:w="13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left="3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6" w:hRule="exact"/>
        </w:trPr>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短期薪酬</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20,001,186.75</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94,099,763.07</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7,153,343.68</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94,467,272.80</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26,787,020.70</w:t>
            </w:r>
          </w:p>
        </w:tc>
      </w:tr>
      <w:tr>
        <w:trPr>
          <w:trHeight w:val="348" w:hRule="exact"/>
        </w:trPr>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3,522,326.72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3,522,326.72</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w:t>
            </w:r>
          </w:p>
        </w:tc>
      </w:tr>
      <w:tr>
        <w:trPr>
          <w:trHeight w:val="348" w:hRule="exact"/>
        </w:trPr>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辞退福利</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21,500.00</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100,176.00</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121,676.00</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w:t>
            </w:r>
          </w:p>
        </w:tc>
      </w:tr>
      <w:tr>
        <w:trPr>
          <w:trHeight w:val="346" w:hRule="exact"/>
        </w:trPr>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20,022,686.75</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97,722,265.79</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7,153,343.68</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98,111,275.52</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26,787,020.70</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1133"/>
        <w:jc w:val="left"/>
        <w:rPr>
          <w:b w:val="0"/>
          <w:bCs w:val="0"/>
        </w:rPr>
      </w:pPr>
      <w:bookmarkStart w:name="（2） 短期薪酬列示" w:id="279"/>
      <w:bookmarkEnd w:id="279"/>
      <w:r>
        <w:rPr>
          <w:b w:val="0"/>
          <w:bCs w:val="0"/>
        </w:rPr>
      </w:r>
      <w:r>
        <w:rPr/>
        <w:t>（</w:t>
      </w:r>
      <w:r>
        <w:rPr>
          <w:rFonts w:ascii="Times New Roman" w:hAnsi="Times New Roman" w:cs="Times New Roman" w:eastAsia="Times New Roman" w:hint="default"/>
        </w:rPr>
        <w:t>2</w:t>
      </w:r>
      <w:r>
        <w:rPr/>
        <w:t>）</w:t>
      </w:r>
      <w:r>
        <w:rPr>
          <w:spacing w:val="-1"/>
        </w:rPr>
        <w:t> </w:t>
      </w:r>
      <w:r>
        <w:rPr/>
        <w:t>短期薪酬列示</w:t>
      </w:r>
      <w:r>
        <w:rPr>
          <w:b w:val="0"/>
          <w:bCs w:val="0"/>
        </w:rPr>
      </w:r>
    </w:p>
    <w:p>
      <w:pPr>
        <w:spacing w:line="240" w:lineRule="auto" w:before="1"/>
        <w:rPr>
          <w:rFonts w:ascii="宋体" w:hAnsi="宋体" w:cs="宋体" w:eastAsia="宋体" w:hint="default"/>
          <w:b/>
          <w:bCs/>
          <w:sz w:val="26"/>
          <w:szCs w:val="26"/>
        </w:rPr>
      </w:pPr>
    </w:p>
    <w:tbl>
      <w:tblPr>
        <w:tblW w:w="0" w:type="auto"/>
        <w:jc w:val="left"/>
        <w:tblInd w:w="145" w:type="dxa"/>
        <w:tblLayout w:type="fixed"/>
        <w:tblCellMar>
          <w:top w:w="0" w:type="dxa"/>
          <w:left w:w="0" w:type="dxa"/>
          <w:bottom w:w="0" w:type="dxa"/>
          <w:right w:w="0" w:type="dxa"/>
        </w:tblCellMar>
        <w:tblLook w:val="01E0"/>
      </w:tblPr>
      <w:tblGrid>
        <w:gridCol w:w="2496"/>
        <w:gridCol w:w="1383"/>
        <w:gridCol w:w="1445"/>
        <w:gridCol w:w="1478"/>
        <w:gridCol w:w="1400"/>
        <w:gridCol w:w="1438"/>
      </w:tblGrid>
      <w:tr>
        <w:trPr>
          <w:trHeight w:val="654" w:hRule="exact"/>
        </w:trPr>
        <w:tc>
          <w:tcPr>
            <w:tcW w:w="24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32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35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3"/>
              <w:ind w:left="371" w:right="11" w:hanging="360"/>
              <w:jc w:val="left"/>
              <w:rPr>
                <w:rFonts w:ascii="宋体" w:hAnsi="宋体" w:cs="宋体" w:eastAsia="宋体" w:hint="default"/>
                <w:sz w:val="18"/>
                <w:szCs w:val="18"/>
              </w:rPr>
            </w:pPr>
            <w:r>
              <w:rPr>
                <w:rFonts w:ascii="宋体" w:hAnsi="宋体" w:cs="宋体" w:eastAsia="宋体" w:hint="default"/>
                <w:sz w:val="18"/>
                <w:szCs w:val="18"/>
              </w:rPr>
              <w:t>非同一控制下企业 合并增加</w:t>
            </w:r>
          </w:p>
        </w:tc>
        <w:tc>
          <w:tcPr>
            <w:tcW w:w="14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33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35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7" w:hRule="exact"/>
        </w:trPr>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20,001,186.75</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90,164,628.21</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7,153,343.68</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90,532,137.94</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26,787,020.70</w:t>
            </w:r>
          </w:p>
        </w:tc>
      </w:tr>
      <w:tr>
        <w:trPr>
          <w:trHeight w:val="348" w:hRule="exact"/>
        </w:trPr>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1,399,307.16</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1,399,307.16</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w:t>
            </w:r>
          </w:p>
        </w:tc>
      </w:tr>
      <w:tr>
        <w:trPr>
          <w:trHeight w:val="346" w:hRule="exact"/>
        </w:trPr>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1,325,678.02</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1,325,678.02</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w:t>
            </w:r>
          </w:p>
        </w:tc>
      </w:tr>
      <w:tr>
        <w:trPr>
          <w:trHeight w:val="360" w:hRule="exact"/>
        </w:trPr>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其中：基本医疗保险费</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1,128,397.57</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1,128,397.57</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w:t>
            </w:r>
          </w:p>
        </w:tc>
      </w:tr>
      <w:tr>
        <w:trPr>
          <w:trHeight w:val="348" w:hRule="exact"/>
        </w:trPr>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补充医疗保险</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13,755.81</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13,755.81</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w:t>
            </w:r>
          </w:p>
        </w:tc>
      </w:tr>
      <w:tr>
        <w:trPr>
          <w:trHeight w:val="348" w:hRule="exact"/>
        </w:trPr>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54,763.20</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54,763.20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2496"/>
        <w:gridCol w:w="1383"/>
        <w:gridCol w:w="1445"/>
        <w:gridCol w:w="1478"/>
        <w:gridCol w:w="1400"/>
        <w:gridCol w:w="1438"/>
      </w:tblGrid>
      <w:tr>
        <w:trPr>
          <w:trHeight w:val="348" w:hRule="exact"/>
        </w:trPr>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128,761.44</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128,761.44</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w:t>
            </w:r>
          </w:p>
        </w:tc>
      </w:tr>
      <w:tr>
        <w:trPr>
          <w:trHeight w:val="346" w:hRule="exact"/>
        </w:trPr>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1,166,900.85</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1,166,900.85</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w:t>
            </w:r>
          </w:p>
        </w:tc>
      </w:tr>
      <w:tr>
        <w:trPr>
          <w:trHeight w:val="348" w:hRule="exact"/>
        </w:trPr>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43,248.83</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43,248.83</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w:t>
            </w:r>
          </w:p>
        </w:tc>
      </w:tr>
      <w:tr>
        <w:trPr>
          <w:trHeight w:val="360" w:hRule="exact"/>
        </w:trPr>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20,001,186.75</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94,099,763.07</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7,153,343.68</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94,467,272.80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26,787,020.70</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1133"/>
        <w:jc w:val="left"/>
        <w:rPr>
          <w:b w:val="0"/>
          <w:bCs w:val="0"/>
        </w:rPr>
      </w:pPr>
      <w:bookmarkStart w:name="（3） 设定提存计划列示" w:id="280"/>
      <w:bookmarkEnd w:id="280"/>
      <w:r>
        <w:rPr>
          <w:b w:val="0"/>
          <w:bCs w:val="0"/>
        </w:rPr>
      </w:r>
      <w:r>
        <w:rPr/>
        <w:t>（</w:t>
      </w:r>
      <w:r>
        <w:rPr>
          <w:rFonts w:ascii="Times New Roman" w:hAnsi="Times New Roman" w:cs="Times New Roman" w:eastAsia="Times New Roman" w:hint="default"/>
        </w:rPr>
        <w:t>3</w:t>
      </w:r>
      <w:r>
        <w:rPr/>
        <w:t>） 设定提存计划列示</w:t>
      </w:r>
      <w:r>
        <w:rPr>
          <w:b w:val="0"/>
          <w:bCs w:val="0"/>
        </w:rPr>
      </w:r>
    </w:p>
    <w:p>
      <w:pPr>
        <w:spacing w:line="240" w:lineRule="auto" w:before="1"/>
        <w:rPr>
          <w:rFonts w:ascii="宋体" w:hAnsi="宋体" w:cs="宋体" w:eastAsia="宋体" w:hint="default"/>
          <w:b/>
          <w:bCs/>
          <w:sz w:val="26"/>
          <w:szCs w:val="26"/>
        </w:rPr>
      </w:pPr>
    </w:p>
    <w:tbl>
      <w:tblPr>
        <w:tblW w:w="0" w:type="auto"/>
        <w:jc w:val="left"/>
        <w:tblInd w:w="145" w:type="dxa"/>
        <w:tblLayout w:type="fixed"/>
        <w:tblCellMar>
          <w:top w:w="0" w:type="dxa"/>
          <w:left w:w="0" w:type="dxa"/>
          <w:bottom w:w="0" w:type="dxa"/>
          <w:right w:w="0" w:type="dxa"/>
        </w:tblCellMar>
        <w:tblLook w:val="01E0"/>
      </w:tblPr>
      <w:tblGrid>
        <w:gridCol w:w="1834"/>
        <w:gridCol w:w="1688"/>
        <w:gridCol w:w="1421"/>
        <w:gridCol w:w="1556"/>
        <w:gridCol w:w="1467"/>
        <w:gridCol w:w="1680"/>
      </w:tblGrid>
      <w:tr>
        <w:trPr>
          <w:trHeight w:val="653" w:hRule="exact"/>
        </w:trPr>
        <w:tc>
          <w:tcPr>
            <w:tcW w:w="18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47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34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3"/>
              <w:ind w:left="410" w:right="48" w:hanging="361"/>
              <w:jc w:val="left"/>
              <w:rPr>
                <w:rFonts w:ascii="宋体" w:hAnsi="宋体" w:cs="宋体" w:eastAsia="宋体" w:hint="default"/>
                <w:sz w:val="18"/>
                <w:szCs w:val="18"/>
              </w:rPr>
            </w:pPr>
            <w:r>
              <w:rPr>
                <w:rFonts w:ascii="宋体" w:hAnsi="宋体" w:cs="宋体" w:eastAsia="宋体" w:hint="default"/>
                <w:sz w:val="18"/>
                <w:szCs w:val="18"/>
              </w:rPr>
              <w:t>非同一控制下企业 合并增加</w:t>
            </w:r>
          </w:p>
        </w:tc>
        <w:tc>
          <w:tcPr>
            <w:tcW w:w="14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47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8" w:hRule="exact"/>
        </w:trPr>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基本养老保险</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3,412,323.99</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3,412,323.99</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6" w:hRule="exact"/>
        </w:trPr>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110,002.73</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110,002.73</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8" w:hRule="exact"/>
        </w:trPr>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3,522,326.72</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3,522,326.72</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1133"/>
        <w:jc w:val="left"/>
        <w:rPr>
          <w:b w:val="0"/>
          <w:bCs w:val="0"/>
        </w:rPr>
      </w:pPr>
      <w:bookmarkStart w:name="24、应交税费" w:id="281"/>
      <w:bookmarkEnd w:id="281"/>
      <w:r>
        <w:rPr>
          <w:b w:val="0"/>
          <w:bCs w:val="0"/>
        </w:rPr>
      </w:r>
      <w:r>
        <w:rPr>
          <w:rFonts w:ascii="Times New Roman" w:hAnsi="Times New Roman" w:cs="Times New Roman" w:eastAsia="Times New Roman" w:hint="default"/>
        </w:rPr>
        <w:t>24</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2,495,494.46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2,389,813.00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2,558,446.16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6,090,670.49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639,385.19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285,298.91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220,409.37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364,250.15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156,097.04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259,879.95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1,836.69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103,627.82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38,835.94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201,142.96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6,110,504.85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9,694,683.28</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5、其他应付款" w:id="282"/>
      <w:bookmarkEnd w:id="282"/>
      <w:r>
        <w:rPr>
          <w:b w:val="0"/>
          <w:bCs w:val="0"/>
        </w:rPr>
      </w:r>
      <w:r>
        <w:rPr>
          <w:rFonts w:ascii="Times New Roman" w:hAnsi="Times New Roman" w:cs="Times New Roman" w:eastAsia="Times New Roman" w:hint="default"/>
        </w:rPr>
        <w:t>25</w:t>
      </w:r>
      <w:r>
        <w:rPr/>
        <w:t>、其他应付款</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249,152.26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276,018.89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198,789,257.50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50,870,462.62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199,038,409.76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51,146,481.51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1）应付利息" w:id="283"/>
      <w:bookmarkEnd w:id="283"/>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249,152.26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276,018.89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249,152.26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276,018.89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其他应付款" w:id="284"/>
      <w:bookmarkEnd w:id="284"/>
      <w:r>
        <w:rPr>
          <w:b w:val="0"/>
          <w:bCs w:val="0"/>
        </w:rPr>
      </w:r>
      <w:r>
        <w:rPr/>
        <w:t>（</w:t>
      </w:r>
      <w:r>
        <w:rPr>
          <w:rFonts w:ascii="Times New Roman" w:hAnsi="Times New Roman" w:cs="Times New Roman" w:eastAsia="Times New Roman" w:hint="default"/>
        </w:rPr>
        <w:t>2</w:t>
      </w:r>
      <w:r>
        <w:rPr/>
        <w:t>）其他应付款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按款项性质列示其他应付款" w:id="285"/>
      <w:bookmarkEnd w:id="285"/>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1,130,986.89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1,044,500.76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应付未付费用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16,345,937.61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10,513,806.21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178,199,986.00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共管账户诚意金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3,112,347.00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3,112,155.65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198,789,257.50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50,870,462.62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账龄超过1年的重要其他应付款" w:id="286"/>
      <w:bookmarkEnd w:id="286"/>
      <w:r>
        <w:rPr>
          <w:b w:val="0"/>
          <w:bCs w:val="0"/>
        </w:rPr>
      </w: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深圳市柏士泰科技有限公司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分期支付股权收购款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15,200,000.00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）期末其他应付款中无应付持本公司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）表决权股份的股东单位款项。</w:t>
      </w:r>
      <w:r>
        <w:rPr>
          <w:b w:val="0"/>
          <w:bCs w:val="0"/>
        </w:rPr>
      </w:r>
    </w:p>
    <w:p>
      <w:pPr>
        <w:pStyle w:val="Heading3"/>
        <w:spacing w:line="240" w:lineRule="auto" w:before="177"/>
        <w:ind w:right="1133"/>
        <w:jc w:val="left"/>
        <w:rPr>
          <w:b w:val="0"/>
          <w:bCs w:val="0"/>
        </w:rPr>
      </w:pPr>
      <w:r>
        <w:rPr>
          <w:rFonts w:ascii="Times New Roman" w:hAnsi="Times New Roman" w:cs="Times New Roman" w:eastAsia="Times New Roman" w:hint="default"/>
        </w:rPr>
        <w:t>4</w:t>
      </w:r>
      <w:r>
        <w:rPr/>
        <w:t>）期末其他应付款中应付其他关联方的款项详见本附注十、</w:t>
      </w:r>
      <w:r>
        <w:rPr>
          <w:rFonts w:ascii="Times New Roman" w:hAnsi="Times New Roman" w:cs="Times New Roman" w:eastAsia="Times New Roman" w:hint="default"/>
        </w:rPr>
        <w:t>5</w:t>
      </w:r>
      <w:r>
        <w:rPr/>
        <w:t>。</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bookmarkStart w:name="26、预计负债" w:id="287"/>
      <w:bookmarkEnd w:id="287"/>
      <w:r>
        <w:rPr>
          <w:b w:val="0"/>
          <w:bCs w:val="0"/>
        </w:rPr>
      </w:r>
      <w:r>
        <w:rPr>
          <w:rFonts w:ascii="Times New Roman" w:hAnsi="Times New Roman" w:cs="Times New Roman" w:eastAsia="Times New Roman" w:hint="default"/>
        </w:rPr>
        <w:t>26</w:t>
      </w:r>
      <w:r>
        <w:rPr/>
        <w:t>、预计负债</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407"/>
        <w:gridCol w:w="2393"/>
        <w:gridCol w:w="2393"/>
      </w:tblGrid>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待执行的亏损合同</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1,653,421.67</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1,653,421.67</w:t>
            </w:r>
          </w:p>
        </w:tc>
        <w:tc>
          <w:tcPr>
            <w:tcW w:w="2393" w:type="dxa"/>
            <w:tcBorders>
              <w:top w:val="single" w:sz="4" w:space="0" w:color="000000"/>
              <w:left w:val="single" w:sz="4" w:space="0" w:color="000000"/>
              <w:bottom w:val="single" w:sz="4" w:space="0" w:color="000000"/>
              <w:right w:val="single" w:sz="13" w:space="0" w:color="D2D2D2"/>
            </w:tcBorders>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其他说明，包括重要预计负债的相关重要假设、估计说明：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7、 递延收益" w:id="288"/>
      <w:bookmarkEnd w:id="288"/>
      <w:r>
        <w:rPr>
          <w:b w:val="0"/>
          <w:bCs w:val="0"/>
        </w:rPr>
      </w:r>
      <w:r>
        <w:rPr>
          <w:rFonts w:ascii="Times New Roman" w:hAnsi="Times New Roman" w:cs="Times New Roman" w:eastAsia="Times New Roman" w:hint="default"/>
        </w:rPr>
        <w:t>27</w:t>
      </w:r>
      <w:r>
        <w:rPr/>
        <w:t>、 递延收益</w:t>
      </w:r>
      <w:r>
        <w:rPr>
          <w:b w:val="0"/>
          <w:bCs w:val="0"/>
        </w:rPr>
      </w:r>
    </w:p>
    <w:p>
      <w:pPr>
        <w:spacing w:line="240" w:lineRule="auto" w:before="1"/>
        <w:rPr>
          <w:rFonts w:ascii="宋体" w:hAnsi="宋体" w:cs="宋体" w:eastAsia="宋体" w:hint="default"/>
          <w:b/>
          <w:bCs/>
          <w:sz w:val="26"/>
          <w:szCs w:val="26"/>
        </w:rPr>
      </w:pPr>
    </w:p>
    <w:tbl>
      <w:tblPr>
        <w:tblW w:w="0" w:type="auto"/>
        <w:jc w:val="left"/>
        <w:tblInd w:w="150" w:type="dxa"/>
        <w:tblLayout w:type="fixed"/>
        <w:tblCellMar>
          <w:top w:w="0" w:type="dxa"/>
          <w:left w:w="0" w:type="dxa"/>
          <w:bottom w:w="0" w:type="dxa"/>
          <w:right w:w="0" w:type="dxa"/>
        </w:tblCellMar>
        <w:tblLook w:val="01E0"/>
      </w:tblPr>
      <w:tblGrid>
        <w:gridCol w:w="1764"/>
        <w:gridCol w:w="1417"/>
        <w:gridCol w:w="1349"/>
        <w:gridCol w:w="1347"/>
        <w:gridCol w:w="1385"/>
        <w:gridCol w:w="1383"/>
        <w:gridCol w:w="967"/>
      </w:tblGrid>
      <w:tr>
        <w:trPr>
          <w:trHeight w:val="732" w:hRule="exact"/>
        </w:trPr>
        <w:tc>
          <w:tcPr>
            <w:tcW w:w="17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53"/>
              <w:ind w:left="218" w:right="35" w:hanging="180"/>
              <w:jc w:val="left"/>
              <w:rPr>
                <w:rFonts w:ascii="宋体" w:hAnsi="宋体" w:cs="宋体" w:eastAsia="宋体" w:hint="default"/>
                <w:sz w:val="18"/>
                <w:szCs w:val="18"/>
              </w:rPr>
            </w:pPr>
            <w:r>
              <w:rPr>
                <w:rFonts w:ascii="宋体" w:hAnsi="宋体" w:cs="宋体" w:eastAsia="宋体" w:hint="default"/>
                <w:sz w:val="18"/>
                <w:szCs w:val="18"/>
              </w:rPr>
              <w:t>非同一控制下企 业合并增加</w:t>
            </w:r>
          </w:p>
        </w:tc>
        <w:tc>
          <w:tcPr>
            <w:tcW w:w="134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3"/>
              <w:ind w:left="30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3"/>
              <w:ind w:left="32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739" w:hRule="exact"/>
        </w:trPr>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13"/>
                <w:sz w:val="18"/>
                <w:szCs w:val="18"/>
              </w:rPr>
              <w:t>与资产相关的政府补</w:t>
            </w:r>
            <w:r>
              <w:rPr>
                <w:rFonts w:ascii="宋体" w:hAnsi="宋体" w:cs="宋体" w:eastAsia="宋体" w:hint="default"/>
                <w:sz w:val="18"/>
                <w:szCs w:val="18"/>
              </w:rPr>
              <w:t> 助</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1,593,070.26</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3,135,416.53</w:t>
            </w:r>
          </w:p>
        </w:tc>
        <w:tc>
          <w:tcPr>
            <w:tcW w:w="1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649,114.10</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4,079,372.69</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详见下表</w:t>
            </w:r>
          </w:p>
        </w:tc>
      </w:tr>
      <w:tr>
        <w:trPr>
          <w:trHeight w:val="739" w:hRule="exact"/>
        </w:trPr>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2"/>
              <w:jc w:val="left"/>
              <w:rPr>
                <w:rFonts w:ascii="宋体" w:hAnsi="宋体" w:cs="宋体" w:eastAsia="宋体" w:hint="default"/>
                <w:sz w:val="18"/>
                <w:szCs w:val="18"/>
              </w:rPr>
            </w:pPr>
            <w:r>
              <w:rPr>
                <w:rFonts w:ascii="宋体" w:hAnsi="宋体" w:cs="宋体" w:eastAsia="宋体" w:hint="default"/>
                <w:spacing w:val="13"/>
                <w:sz w:val="18"/>
                <w:szCs w:val="18"/>
              </w:rPr>
              <w:t>与收益相关的政府补</w:t>
            </w:r>
            <w:r>
              <w:rPr>
                <w:rFonts w:ascii="宋体" w:hAnsi="宋体" w:cs="宋体" w:eastAsia="宋体" w:hint="default"/>
                <w:sz w:val="18"/>
                <w:szCs w:val="18"/>
              </w:rPr>
              <w:t> 助</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2,721,945.16</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6,427,993.80</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7,479,963.96</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1,669,975.00</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详见下表</w:t>
            </w:r>
          </w:p>
        </w:tc>
      </w:tr>
      <w:tr>
        <w:trPr>
          <w:trHeight w:val="740" w:hRule="exact"/>
        </w:trPr>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1"/>
              <w:ind w:left="4" w:right="1"/>
              <w:jc w:val="left"/>
              <w:rPr>
                <w:rFonts w:ascii="宋体" w:hAnsi="宋体" w:cs="宋体" w:eastAsia="宋体" w:hint="default"/>
                <w:sz w:val="18"/>
                <w:szCs w:val="18"/>
              </w:rPr>
            </w:pPr>
            <w:r>
              <w:rPr>
                <w:rFonts w:ascii="宋体" w:hAnsi="宋体" w:cs="宋体" w:eastAsia="宋体" w:hint="default"/>
                <w:spacing w:val="7"/>
                <w:sz w:val="18"/>
                <w:szCs w:val="18"/>
              </w:rPr>
              <w:t>与资产</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收益相关的政</w:t>
            </w:r>
            <w:r>
              <w:rPr>
                <w:rFonts w:ascii="宋体" w:hAnsi="宋体" w:cs="宋体" w:eastAsia="宋体" w:hint="default"/>
                <w:sz w:val="18"/>
                <w:szCs w:val="18"/>
              </w:rPr>
              <w:t> 府补助</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1,542,036.47</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1,125,961.06</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416,075.41</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详见下表</w:t>
            </w:r>
          </w:p>
        </w:tc>
      </w:tr>
      <w:tr>
        <w:trPr>
          <w:trHeight w:val="427" w:hRule="exact"/>
        </w:trPr>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5,857,051.89</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3,135,416.53</w:t>
            </w:r>
          </w:p>
        </w:tc>
        <w:tc>
          <w:tcPr>
            <w:tcW w:w="1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6,427,993.80</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9,255,039.12</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6,165,423.10</w:t>
            </w:r>
          </w:p>
        </w:tc>
        <w:tc>
          <w:tcPr>
            <w:tcW w:w="967"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8"/>
        <w:ind w:right="1133"/>
        <w:jc w:val="left"/>
      </w:pPr>
      <w:r>
        <w:rPr/>
        <w:t>与政府补助相关的递延收益</w:t>
      </w:r>
    </w:p>
    <w:p>
      <w:pPr>
        <w:spacing w:line="240" w:lineRule="auto" w:before="9"/>
        <w:rPr>
          <w:rFonts w:ascii="宋体" w:hAnsi="宋体" w:cs="宋体" w:eastAsia="宋体" w:hint="default"/>
          <w:sz w:val="5"/>
          <w:szCs w:val="5"/>
        </w:rPr>
      </w:pPr>
    </w:p>
    <w:tbl>
      <w:tblPr>
        <w:tblW w:w="0" w:type="auto"/>
        <w:jc w:val="left"/>
        <w:tblInd w:w="150" w:type="dxa"/>
        <w:tblLayout w:type="fixed"/>
        <w:tblCellMar>
          <w:top w:w="0" w:type="dxa"/>
          <w:left w:w="0" w:type="dxa"/>
          <w:bottom w:w="0" w:type="dxa"/>
          <w:right w:w="0" w:type="dxa"/>
        </w:tblCellMar>
        <w:tblLook w:val="01E0"/>
      </w:tblPr>
      <w:tblGrid>
        <w:gridCol w:w="1767"/>
        <w:gridCol w:w="1333"/>
        <w:gridCol w:w="1327"/>
        <w:gridCol w:w="1330"/>
        <w:gridCol w:w="1248"/>
        <w:gridCol w:w="523"/>
        <w:gridCol w:w="1033"/>
        <w:gridCol w:w="1078"/>
      </w:tblGrid>
      <w:tr>
        <w:trPr>
          <w:trHeight w:val="654" w:hRule="exact"/>
        </w:trPr>
        <w:tc>
          <w:tcPr>
            <w:tcW w:w="17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left="5"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3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left="29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4"/>
              <w:ind w:left="206" w:right="24" w:hanging="180"/>
              <w:jc w:val="left"/>
              <w:rPr>
                <w:rFonts w:ascii="宋体" w:hAnsi="宋体" w:cs="宋体" w:eastAsia="宋体" w:hint="default"/>
                <w:sz w:val="18"/>
                <w:szCs w:val="18"/>
              </w:rPr>
            </w:pPr>
            <w:r>
              <w:rPr>
                <w:rFonts w:ascii="宋体" w:hAnsi="宋体" w:cs="宋体" w:eastAsia="宋体" w:hint="default"/>
                <w:sz w:val="18"/>
                <w:szCs w:val="18"/>
              </w:rPr>
              <w:t>非同一控制下企 业合并增加</w:t>
            </w:r>
          </w:p>
        </w:tc>
        <w:tc>
          <w:tcPr>
            <w:tcW w:w="13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4"/>
              <w:ind w:left="566" w:right="2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2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4"/>
              <w:ind w:left="256" w:right="74" w:hanging="180"/>
              <w:jc w:val="left"/>
              <w:rPr>
                <w:rFonts w:ascii="宋体" w:hAnsi="宋体" w:cs="宋体" w:eastAsia="宋体" w:hint="default"/>
                <w:sz w:val="18"/>
                <w:szCs w:val="18"/>
              </w:rPr>
            </w:pPr>
            <w:r>
              <w:rPr>
                <w:rFonts w:ascii="宋体" w:hAnsi="宋体" w:cs="宋体" w:eastAsia="宋体" w:hint="default"/>
                <w:sz w:val="18"/>
                <w:szCs w:val="18"/>
              </w:rPr>
              <w:t>本期计入当期 损益金额</w:t>
            </w:r>
          </w:p>
        </w:tc>
        <w:tc>
          <w:tcPr>
            <w:tcW w:w="52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4"/>
              <w:ind w:left="74" w:right="72"/>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0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left="15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0" w:lineRule="auto" w:before="14"/>
              <w:ind w:left="81" w:right="53"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660" w:hRule="exact"/>
        </w:trPr>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13"/>
                <w:sz w:val="18"/>
                <w:szCs w:val="18"/>
              </w:rPr>
              <w:t>深圳市战略性新兴产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业发展专项资金项目</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1,161,987.38</w:t>
            </w:r>
          </w:p>
        </w:tc>
        <w:tc>
          <w:tcPr>
            <w:tcW w:w="1327"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565,650.00</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596,337.38</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82" w:hRule="exact"/>
        </w:trPr>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both"/>
              <w:rPr>
                <w:rFonts w:ascii="宋体" w:hAnsi="宋体" w:cs="宋体" w:eastAsia="宋体" w:hint="default"/>
                <w:sz w:val="18"/>
                <w:szCs w:val="18"/>
              </w:rPr>
            </w:pPr>
            <w:r>
              <w:rPr>
                <w:rFonts w:ascii="宋体" w:hAnsi="宋体" w:cs="宋体" w:eastAsia="宋体" w:hint="default"/>
                <w:spacing w:val="13"/>
                <w:sz w:val="18"/>
                <w:szCs w:val="18"/>
              </w:rPr>
              <w:t>深圳市南山区财政局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南山区智能移动金融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支付终端及应用工程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技术中心项目</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51,016.21</w:t>
            </w:r>
          </w:p>
        </w:tc>
        <w:tc>
          <w:tcPr>
            <w:tcW w:w="1327"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21,864.10</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29,152.11</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72" w:hRule="exact"/>
        </w:trPr>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both"/>
              <w:rPr>
                <w:rFonts w:ascii="宋体" w:hAnsi="宋体" w:cs="宋体" w:eastAsia="宋体" w:hint="default"/>
                <w:sz w:val="18"/>
                <w:szCs w:val="18"/>
              </w:rPr>
            </w:pPr>
            <w:r>
              <w:rPr>
                <w:rFonts w:ascii="宋体" w:hAnsi="宋体" w:cs="宋体" w:eastAsia="宋体" w:hint="default"/>
                <w:spacing w:val="13"/>
                <w:sz w:val="18"/>
                <w:szCs w:val="18"/>
              </w:rPr>
              <w:t>珠海市金湾区平沙镇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人民政府设立专项财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政扶持资金</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4" w:right="0"/>
              <w:jc w:val="left"/>
              <w:rPr>
                <w:rFonts w:ascii="Times New Roman" w:hAnsi="Times New Roman" w:cs="Times New Roman" w:eastAsia="Times New Roman" w:hint="default"/>
                <w:sz w:val="18"/>
                <w:szCs w:val="18"/>
              </w:rPr>
            </w:pPr>
            <w:r>
              <w:rPr>
                <w:rFonts w:ascii="Times New Roman"/>
                <w:sz w:val="18"/>
              </w:rPr>
              <w:t>3,135,416.53</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3,135,416.53</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70" w:hRule="exact"/>
        </w:trPr>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both"/>
              <w:rPr>
                <w:rFonts w:ascii="宋体" w:hAnsi="宋体" w:cs="宋体" w:eastAsia="宋体" w:hint="default"/>
                <w:sz w:val="18"/>
                <w:szCs w:val="18"/>
              </w:rPr>
            </w:pPr>
            <w:r>
              <w:rPr>
                <w:rFonts w:ascii="宋体" w:hAnsi="宋体" w:cs="宋体" w:eastAsia="宋体" w:hint="default"/>
                <w:spacing w:val="13"/>
                <w:sz w:val="18"/>
                <w:szCs w:val="18"/>
              </w:rPr>
              <w:t>基于国产安全芯片的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移动支付终端研发技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术创新专项资金项目</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1,123,008.17</w:t>
            </w:r>
          </w:p>
        </w:tc>
        <w:tc>
          <w:tcPr>
            <w:tcW w:w="1327"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920,961.03</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202,047.14</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22"/>
              <w:jc w:val="left"/>
              <w:rPr>
                <w:rFonts w:ascii="宋体" w:hAnsi="宋体" w:cs="宋体" w:eastAsia="宋体" w:hint="default"/>
                <w:sz w:val="18"/>
                <w:szCs w:val="18"/>
              </w:rPr>
            </w:pPr>
            <w:r>
              <w:rPr>
                <w:rFonts w:ascii="宋体" w:hAnsi="宋体" w:cs="宋体" w:eastAsia="宋体" w:hint="default"/>
                <w:spacing w:val="15"/>
                <w:sz w:val="18"/>
                <w:szCs w:val="18"/>
              </w:rPr>
              <w:t>与资产</w:t>
            </w:r>
            <w:r>
              <w:rPr>
                <w:rFonts w:ascii="Times New Roman" w:hAnsi="Times New Roman" w:cs="Times New Roman" w:eastAsia="Times New Roman" w:hint="default"/>
                <w:spacing w:val="15"/>
                <w:sz w:val="18"/>
                <w:szCs w:val="18"/>
              </w:rPr>
              <w:t>/</w:t>
            </w:r>
            <w:r>
              <w:rPr>
                <w:rFonts w:ascii="Times New Roman" w:hAnsi="Times New Roman" w:cs="Times New Roman" w:eastAsia="Times New Roman" w:hint="default"/>
                <w:spacing w:val="-22"/>
                <w:sz w:val="18"/>
                <w:szCs w:val="18"/>
              </w:rPr>
              <w:t> </w:t>
            </w:r>
            <w:r>
              <w:rPr>
                <w:rFonts w:ascii="宋体" w:hAnsi="宋体" w:cs="宋体" w:eastAsia="宋体" w:hint="default"/>
                <w:spacing w:val="10"/>
                <w:sz w:val="18"/>
                <w:szCs w:val="18"/>
              </w:rPr>
              <w:t>收益</w:t>
            </w:r>
            <w:r>
              <w:rPr>
                <w:rFonts w:ascii="宋体" w:hAnsi="宋体" w:cs="宋体" w:eastAsia="宋体" w:hint="default"/>
                <w:spacing w:val="-88"/>
                <w:sz w:val="18"/>
                <w:szCs w:val="18"/>
              </w:rPr>
              <w:t> </w:t>
            </w:r>
            <w:r>
              <w:rPr>
                <w:rFonts w:ascii="宋体" w:hAnsi="宋体" w:cs="宋体" w:eastAsia="宋体" w:hint="default"/>
                <w:sz w:val="18"/>
                <w:szCs w:val="18"/>
              </w:rPr>
              <w:t>相关</w:t>
            </w:r>
          </w:p>
        </w:tc>
      </w:tr>
      <w:tr>
        <w:trPr>
          <w:trHeight w:val="1284" w:hRule="exact"/>
        </w:trPr>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4" w:right="-2"/>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6"/>
                <w:sz w:val="18"/>
                <w:szCs w:val="18"/>
              </w:rPr>
              <w:t> </w:t>
            </w:r>
            <w:r>
              <w:rPr>
                <w:rFonts w:ascii="宋体" w:hAnsi="宋体" w:cs="宋体" w:eastAsia="宋体" w:hint="default"/>
                <w:spacing w:val="15"/>
                <w:sz w:val="18"/>
                <w:szCs w:val="18"/>
              </w:rPr>
              <w:t>年广东省级信息</w:t>
            </w:r>
            <w:r>
              <w:rPr>
                <w:rFonts w:ascii="宋体" w:hAnsi="宋体" w:cs="宋体" w:eastAsia="宋体" w:hint="default"/>
                <w:sz w:val="18"/>
                <w:szCs w:val="18"/>
              </w:rPr>
              <w:t> </w:t>
            </w:r>
            <w:r>
              <w:rPr>
                <w:rFonts w:ascii="宋体" w:hAnsi="宋体" w:cs="宋体" w:eastAsia="宋体" w:hint="default"/>
                <w:spacing w:val="13"/>
                <w:sz w:val="18"/>
                <w:szCs w:val="18"/>
              </w:rPr>
              <w:t>产业发展专项资金面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向区域配送的智慧物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流云平台项目</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419,028.30</w:t>
            </w:r>
          </w:p>
        </w:tc>
        <w:tc>
          <w:tcPr>
            <w:tcW w:w="1327"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205,000.03</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214,028.27</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22"/>
              <w:jc w:val="left"/>
              <w:rPr>
                <w:rFonts w:ascii="宋体" w:hAnsi="宋体" w:cs="宋体" w:eastAsia="宋体" w:hint="default"/>
                <w:sz w:val="18"/>
                <w:szCs w:val="18"/>
              </w:rPr>
            </w:pPr>
            <w:r>
              <w:rPr>
                <w:rFonts w:ascii="宋体" w:hAnsi="宋体" w:cs="宋体" w:eastAsia="宋体" w:hint="default"/>
                <w:spacing w:val="15"/>
                <w:sz w:val="18"/>
                <w:szCs w:val="18"/>
              </w:rPr>
              <w:t>与资产</w:t>
            </w:r>
            <w:r>
              <w:rPr>
                <w:rFonts w:ascii="Times New Roman" w:hAnsi="Times New Roman" w:cs="Times New Roman" w:eastAsia="Times New Roman" w:hint="default"/>
                <w:spacing w:val="15"/>
                <w:sz w:val="18"/>
                <w:szCs w:val="18"/>
              </w:rPr>
              <w:t>/</w:t>
            </w:r>
            <w:r>
              <w:rPr>
                <w:rFonts w:ascii="Times New Roman" w:hAnsi="Times New Roman" w:cs="Times New Roman" w:eastAsia="Times New Roman" w:hint="default"/>
                <w:spacing w:val="-22"/>
                <w:sz w:val="18"/>
                <w:szCs w:val="18"/>
              </w:rPr>
              <w:t> </w:t>
            </w:r>
            <w:r>
              <w:rPr>
                <w:rFonts w:ascii="宋体" w:hAnsi="宋体" w:cs="宋体" w:eastAsia="宋体" w:hint="default"/>
                <w:spacing w:val="10"/>
                <w:sz w:val="18"/>
                <w:szCs w:val="18"/>
              </w:rPr>
              <w:t>收益</w:t>
            </w:r>
            <w:r>
              <w:rPr>
                <w:rFonts w:ascii="宋体" w:hAnsi="宋体" w:cs="宋体" w:eastAsia="宋体" w:hint="default"/>
                <w:spacing w:val="-88"/>
                <w:sz w:val="18"/>
                <w:szCs w:val="18"/>
              </w:rPr>
              <w:t> </w:t>
            </w:r>
            <w:r>
              <w:rPr>
                <w:rFonts w:ascii="宋体" w:hAnsi="宋体" w:cs="宋体" w:eastAsia="宋体" w:hint="default"/>
                <w:sz w:val="18"/>
                <w:szCs w:val="18"/>
              </w:rPr>
              <w:t>相关</w:t>
            </w:r>
          </w:p>
        </w:tc>
      </w:tr>
      <w:tr>
        <w:trPr>
          <w:trHeight w:val="658" w:hRule="exact"/>
        </w:trPr>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4" w:right="-1"/>
              <w:jc w:val="left"/>
              <w:rPr>
                <w:rFonts w:ascii="宋体" w:hAnsi="宋体" w:cs="宋体" w:eastAsia="宋体" w:hint="default"/>
                <w:sz w:val="18"/>
                <w:szCs w:val="18"/>
              </w:rPr>
            </w:pPr>
            <w:r>
              <w:rPr>
                <w:rFonts w:ascii="宋体" w:hAnsi="宋体" w:cs="宋体" w:eastAsia="宋体" w:hint="default"/>
                <w:spacing w:val="13"/>
                <w:sz w:val="18"/>
                <w:szCs w:val="18"/>
              </w:rPr>
              <w:t>重点企事业单位住房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补租款</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460,000.00</w:t>
            </w:r>
          </w:p>
        </w:tc>
        <w:tc>
          <w:tcPr>
            <w:tcW w:w="1327"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460,000.00</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8" w:hRule="exact"/>
        </w:trPr>
        <w:tc>
          <w:tcPr>
            <w:tcW w:w="1767" w:type="dxa"/>
            <w:vMerge w:val="restart"/>
            <w:tcBorders>
              <w:top w:val="single" w:sz="6" w:space="0" w:color="000000"/>
              <w:left w:val="single" w:sz="6" w:space="0" w:color="000000"/>
              <w:right w:val="single" w:sz="6" w:space="0" w:color="000000"/>
            </w:tcBorders>
          </w:tcPr>
          <w:p>
            <w:pPr>
              <w:pStyle w:val="TableParagraph"/>
              <w:spacing w:line="316" w:lineRule="auto" w:before="20"/>
              <w:ind w:left="4" w:right="-1"/>
              <w:jc w:val="both"/>
              <w:rPr>
                <w:rFonts w:ascii="宋体" w:hAnsi="宋体" w:cs="宋体" w:eastAsia="宋体" w:hint="default"/>
                <w:sz w:val="18"/>
                <w:szCs w:val="18"/>
              </w:rPr>
            </w:pPr>
            <w:r>
              <w:rPr>
                <w:rFonts w:ascii="宋体" w:hAnsi="宋体" w:cs="宋体" w:eastAsia="宋体" w:hint="default"/>
                <w:spacing w:val="13"/>
                <w:sz w:val="18"/>
                <w:szCs w:val="18"/>
              </w:rPr>
              <w:t>面向新零售的智慧商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城云平台应用示范项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目</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380,066.67</w:t>
            </w:r>
          </w:p>
        </w:tc>
        <w:tc>
          <w:tcPr>
            <w:tcW w:w="1327"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61,600.00</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318,466.67</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24" w:hRule="exact"/>
        </w:trPr>
        <w:tc>
          <w:tcPr>
            <w:tcW w:w="1767" w:type="dxa"/>
            <w:vMerge/>
            <w:tcBorders>
              <w:left w:val="single" w:sz="6" w:space="0" w:color="000000"/>
              <w:bottom w:val="single" w:sz="6" w:space="0" w:color="000000"/>
              <w:right w:val="single" w:sz="6" w:space="0" w:color="000000"/>
            </w:tcBorders>
          </w:tcPr>
          <w:p>
            <w:pP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2,144,868.00</w:t>
            </w:r>
          </w:p>
        </w:tc>
        <w:tc>
          <w:tcPr>
            <w:tcW w:w="1327"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1,278,893.00</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865,975.00</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72" w:hRule="exact"/>
        </w:trPr>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2"/>
              <w:jc w:val="both"/>
              <w:rPr>
                <w:rFonts w:ascii="宋体" w:hAnsi="宋体" w:cs="宋体" w:eastAsia="宋体" w:hint="default"/>
                <w:sz w:val="18"/>
                <w:szCs w:val="18"/>
              </w:rPr>
            </w:pPr>
            <w:r>
              <w:rPr>
                <w:rFonts w:ascii="宋体" w:hAnsi="宋体" w:cs="宋体" w:eastAsia="宋体" w:hint="default"/>
                <w:spacing w:val="13"/>
                <w:sz w:val="18"/>
                <w:szCs w:val="18"/>
              </w:rPr>
              <w:t>基于物联网技术的行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业智能移动终端产业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化</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117,077.16</w:t>
            </w:r>
          </w:p>
        </w:tc>
        <w:tc>
          <w:tcPr>
            <w:tcW w:w="1327"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33,077.16</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84,000.00</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6" w:hRule="exact"/>
        </w:trPr>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5"/>
                <w:sz w:val="18"/>
                <w:szCs w:val="18"/>
              </w:rPr>
              <w:t> </w:t>
            </w:r>
            <w:r>
              <w:rPr>
                <w:rFonts w:ascii="宋体" w:hAnsi="宋体" w:cs="宋体" w:eastAsia="宋体" w:hint="default"/>
                <w:spacing w:val="15"/>
                <w:sz w:val="18"/>
                <w:szCs w:val="18"/>
              </w:rPr>
              <w:t>年人才安居住房</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620,000.00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620,000.00</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50" w:type="dxa"/>
        <w:tblLayout w:type="fixed"/>
        <w:tblCellMar>
          <w:top w:w="0" w:type="dxa"/>
          <w:left w:w="0" w:type="dxa"/>
          <w:bottom w:w="0" w:type="dxa"/>
          <w:right w:w="0" w:type="dxa"/>
        </w:tblCellMar>
        <w:tblLook w:val="01E0"/>
      </w:tblPr>
      <w:tblGrid>
        <w:gridCol w:w="1767"/>
        <w:gridCol w:w="1333"/>
        <w:gridCol w:w="1327"/>
        <w:gridCol w:w="1330"/>
        <w:gridCol w:w="1248"/>
        <w:gridCol w:w="523"/>
        <w:gridCol w:w="1033"/>
        <w:gridCol w:w="1078"/>
      </w:tblGrid>
      <w:tr>
        <w:trPr>
          <w:trHeight w:val="348" w:hRule="exact"/>
        </w:trPr>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补租款</w:t>
            </w:r>
          </w:p>
        </w:tc>
        <w:tc>
          <w:tcPr>
            <w:tcW w:w="1333"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523" w:type="dxa"/>
            <w:tcBorders>
              <w:top w:val="single" w:sz="6" w:space="0" w:color="000000"/>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13"/>
                <w:sz w:val="18"/>
                <w:szCs w:val="18"/>
              </w:rPr>
              <w:t>先进制造业企业优秀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技能人才资助</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100,000.00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100,000.00</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72" w:hRule="exact"/>
        </w:trPr>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3"/>
                <w:sz w:val="18"/>
                <w:szCs w:val="18"/>
              </w:rPr>
              <w:t> </w:t>
            </w:r>
            <w:r>
              <w:rPr>
                <w:rFonts w:ascii="宋体" w:hAnsi="宋体" w:cs="宋体" w:eastAsia="宋体" w:hint="default"/>
                <w:spacing w:val="13"/>
                <w:sz w:val="18"/>
                <w:szCs w:val="18"/>
              </w:rPr>
              <w:t>大型工业创新能力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培育提升支持计划》补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贴款</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534,200.00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534,200.00</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58" w:hRule="exact"/>
        </w:trPr>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6"/>
                <w:sz w:val="18"/>
                <w:szCs w:val="18"/>
              </w:rPr>
              <w:t> </w:t>
            </w:r>
            <w:r>
              <w:rPr>
                <w:rFonts w:ascii="宋体" w:hAnsi="宋体" w:cs="宋体" w:eastAsia="宋体" w:hint="default"/>
                <w:spacing w:val="15"/>
                <w:sz w:val="18"/>
                <w:szCs w:val="18"/>
              </w:rPr>
              <w:t>年一季度稳增长</w:t>
            </w:r>
            <w:r>
              <w:rPr>
                <w:rFonts w:ascii="宋体" w:hAnsi="宋体" w:cs="宋体" w:eastAsia="宋体" w:hint="default"/>
                <w:sz w:val="18"/>
                <w:szCs w:val="18"/>
              </w:rPr>
              <w:t> 资助项目</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430,000.00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430,000.00</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60" w:hRule="exact"/>
        </w:trPr>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pacing w:val="13"/>
                <w:sz w:val="18"/>
                <w:szCs w:val="18"/>
              </w:rPr>
              <w:t>深圳市企业研究开发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资助计划补贴款</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2,975,000.00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2,975,000.00</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6" w:hRule="exact"/>
        </w:trPr>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创新服务券资助计划</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13,458.00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13,458.00</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61" w:hRule="exact"/>
        </w:trPr>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6"/>
                <w:sz w:val="18"/>
                <w:szCs w:val="18"/>
              </w:rPr>
              <w:t> </w:t>
            </w:r>
            <w:r>
              <w:rPr>
                <w:rFonts w:ascii="宋体" w:hAnsi="宋体" w:cs="宋体" w:eastAsia="宋体" w:hint="default"/>
                <w:spacing w:val="15"/>
                <w:sz w:val="18"/>
                <w:szCs w:val="18"/>
              </w:rPr>
              <w:t>年第一批专利补</w:t>
            </w:r>
            <w:r>
              <w:rPr>
                <w:rFonts w:ascii="宋体" w:hAnsi="宋体" w:cs="宋体" w:eastAsia="宋体" w:hint="default"/>
                <w:sz w:val="18"/>
                <w:szCs w:val="18"/>
              </w:rPr>
              <w:t> 贴</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4,000.00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4,000.00</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72" w:hRule="exact"/>
        </w:trPr>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4" w:right="-2"/>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6"/>
                <w:sz w:val="18"/>
                <w:szCs w:val="18"/>
              </w:rPr>
              <w:t> </w:t>
            </w:r>
            <w:r>
              <w:rPr>
                <w:rFonts w:ascii="宋体" w:hAnsi="宋体" w:cs="宋体" w:eastAsia="宋体" w:hint="default"/>
                <w:spacing w:val="15"/>
                <w:sz w:val="18"/>
                <w:szCs w:val="18"/>
              </w:rPr>
              <w:t>第一批工业设计</w:t>
            </w:r>
            <w:r>
              <w:rPr>
                <w:rFonts w:ascii="宋体" w:hAnsi="宋体" w:cs="宋体" w:eastAsia="宋体" w:hint="default"/>
                <w:sz w:val="18"/>
                <w:szCs w:val="18"/>
              </w:rPr>
              <w:t> </w:t>
            </w:r>
            <w:r>
              <w:rPr>
                <w:rFonts w:ascii="宋体" w:hAnsi="宋体" w:cs="宋体" w:eastAsia="宋体" w:hint="default"/>
                <w:spacing w:val="13"/>
                <w:sz w:val="18"/>
                <w:szCs w:val="18"/>
              </w:rPr>
              <w:t>发展扶持计划专项资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50,000.00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50,000.00</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70" w:hRule="exact"/>
        </w:trPr>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4" w:right="-2"/>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6"/>
                <w:sz w:val="18"/>
                <w:szCs w:val="18"/>
              </w:rPr>
              <w:t> </w:t>
            </w:r>
            <w:r>
              <w:rPr>
                <w:rFonts w:ascii="宋体" w:hAnsi="宋体" w:cs="宋体" w:eastAsia="宋体" w:hint="default"/>
                <w:spacing w:val="15"/>
                <w:sz w:val="18"/>
                <w:szCs w:val="18"/>
              </w:rPr>
              <w:t>年度提升国际化</w:t>
            </w:r>
            <w:r>
              <w:rPr>
                <w:rFonts w:ascii="宋体" w:hAnsi="宋体" w:cs="宋体" w:eastAsia="宋体" w:hint="default"/>
                <w:sz w:val="18"/>
                <w:szCs w:val="18"/>
              </w:rPr>
              <w:t> </w:t>
            </w:r>
            <w:r>
              <w:rPr>
                <w:rFonts w:ascii="宋体" w:hAnsi="宋体" w:cs="宋体" w:eastAsia="宋体" w:hint="default"/>
                <w:spacing w:val="13"/>
                <w:sz w:val="18"/>
                <w:szCs w:val="18"/>
              </w:rPr>
              <w:t>经营能力事项资助项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目</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10,000.00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10,000.00</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60" w:hRule="exact"/>
        </w:trPr>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6"/>
                <w:sz w:val="18"/>
                <w:szCs w:val="18"/>
              </w:rPr>
              <w:t> </w:t>
            </w:r>
            <w:r>
              <w:rPr>
                <w:rFonts w:ascii="宋体" w:hAnsi="宋体" w:cs="宋体" w:eastAsia="宋体" w:hint="default"/>
                <w:spacing w:val="15"/>
                <w:sz w:val="18"/>
                <w:szCs w:val="18"/>
              </w:rPr>
              <w:t>年支持中小企业</w:t>
            </w:r>
            <w:r>
              <w:rPr>
                <w:rFonts w:ascii="宋体" w:hAnsi="宋体" w:cs="宋体" w:eastAsia="宋体" w:hint="default"/>
                <w:sz w:val="18"/>
                <w:szCs w:val="18"/>
              </w:rPr>
              <w:t> 开拓市场资助款项</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44,919.75</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44,919.75</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58" w:hRule="exact"/>
        </w:trPr>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3"/>
                <w:sz w:val="18"/>
                <w:szCs w:val="18"/>
              </w:rPr>
              <w:t> </w:t>
            </w:r>
            <w:r>
              <w:rPr>
                <w:rFonts w:ascii="宋体" w:hAnsi="宋体" w:cs="宋体" w:eastAsia="宋体" w:hint="default"/>
                <w:spacing w:val="13"/>
                <w:sz w:val="18"/>
                <w:szCs w:val="18"/>
              </w:rPr>
              <w:t>企业知识产权管理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规范》资助项目</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23,000.00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23,000.00</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72" w:hRule="exact"/>
        </w:trPr>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both"/>
              <w:rPr>
                <w:rFonts w:ascii="宋体" w:hAnsi="宋体" w:cs="宋体" w:eastAsia="宋体" w:hint="default"/>
                <w:sz w:val="18"/>
                <w:szCs w:val="18"/>
              </w:rPr>
            </w:pPr>
            <w:r>
              <w:rPr>
                <w:rFonts w:ascii="宋体" w:hAnsi="宋体" w:cs="宋体" w:eastAsia="宋体" w:hint="default"/>
                <w:spacing w:val="13"/>
                <w:sz w:val="18"/>
                <w:szCs w:val="18"/>
              </w:rPr>
              <w:t>深圳市南山区企业研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发投入支持计划补贴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款</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334,900.00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334,900.00</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72" w:hRule="exact"/>
        </w:trPr>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20"/>
              <w:jc w:val="both"/>
              <w:rPr>
                <w:rFonts w:ascii="宋体" w:hAnsi="宋体" w:cs="宋体" w:eastAsia="宋体" w:hint="default"/>
                <w:sz w:val="18"/>
                <w:szCs w:val="18"/>
              </w:rPr>
            </w:pPr>
            <w:r>
              <w:rPr>
                <w:rFonts w:ascii="宋体" w:hAnsi="宋体" w:cs="宋体" w:eastAsia="宋体" w:hint="default"/>
                <w:spacing w:val="13"/>
                <w:sz w:val="18"/>
                <w:szCs w:val="18"/>
              </w:rPr>
              <w:t>深圳市南山区科技创</w:t>
            </w:r>
            <w:r>
              <w:rPr>
                <w:rFonts w:ascii="宋体" w:hAnsi="宋体" w:cs="宋体" w:eastAsia="宋体" w:hint="default"/>
                <w:spacing w:val="-83"/>
                <w:sz w:val="18"/>
                <w:szCs w:val="18"/>
              </w:rPr>
              <w:t> </w:t>
            </w:r>
            <w:r>
              <w:rPr>
                <w:rFonts w:ascii="宋体" w:hAnsi="宋体" w:cs="宋体" w:eastAsia="宋体" w:hint="default"/>
                <w:spacing w:val="13"/>
                <w:sz w:val="18"/>
                <w:szCs w:val="18"/>
              </w:rPr>
              <w:t>新局国家高新技术企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业奖补资金</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50,000.00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50,000.00</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70" w:hRule="exact"/>
        </w:trPr>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both"/>
              <w:rPr>
                <w:rFonts w:ascii="宋体" w:hAnsi="宋体" w:cs="宋体" w:eastAsia="宋体" w:hint="default"/>
                <w:sz w:val="18"/>
                <w:szCs w:val="18"/>
              </w:rPr>
            </w:pPr>
            <w:r>
              <w:rPr>
                <w:rFonts w:ascii="宋体" w:hAnsi="宋体" w:cs="宋体" w:eastAsia="宋体" w:hint="default"/>
                <w:spacing w:val="13"/>
                <w:sz w:val="18"/>
                <w:szCs w:val="18"/>
              </w:rPr>
              <w:t>深圳市南山区科技创</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新局国家高新技术企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业倍增支持计划</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100,000.00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100,000.00</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85" w:hRule="exact"/>
        </w:trPr>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1"/>
              <w:jc w:val="both"/>
              <w:rPr>
                <w:rFonts w:ascii="宋体" w:hAnsi="宋体" w:cs="宋体" w:eastAsia="宋体" w:hint="default"/>
                <w:sz w:val="18"/>
                <w:szCs w:val="18"/>
              </w:rPr>
            </w:pPr>
            <w:r>
              <w:rPr>
                <w:rFonts w:ascii="宋体" w:hAnsi="宋体" w:cs="宋体" w:eastAsia="宋体" w:hint="default"/>
                <w:spacing w:val="-6"/>
                <w:sz w:val="18"/>
                <w:szCs w:val="18"/>
              </w:rPr>
              <w:t>武汉市科学技术局（武</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汉市知识产权局）省级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3"/>
                <w:sz w:val="18"/>
                <w:szCs w:val="18"/>
              </w:rPr>
              <w:t>研发投入补贴区级配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套资金</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310,000.00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310,000.00</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58" w:hRule="exact"/>
        </w:trPr>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服</w:t>
            </w:r>
            <w:r>
              <w:rPr>
                <w:rFonts w:ascii="宋体" w:hAnsi="宋体" w:cs="宋体" w:eastAsia="宋体" w:hint="default"/>
                <w:spacing w:val="-60"/>
                <w:sz w:val="18"/>
                <w:szCs w:val="18"/>
              </w:rPr>
              <w:t> </w:t>
            </w:r>
            <w:r>
              <w:rPr>
                <w:rFonts w:ascii="宋体" w:hAnsi="宋体" w:cs="宋体" w:eastAsia="宋体" w:hint="default"/>
                <w:sz w:val="18"/>
                <w:szCs w:val="18"/>
              </w:rPr>
              <w:t>务</w:t>
            </w:r>
            <w:r>
              <w:rPr>
                <w:rFonts w:ascii="宋体" w:hAnsi="宋体" w:cs="宋体" w:eastAsia="宋体" w:hint="default"/>
                <w:spacing w:val="-57"/>
                <w:sz w:val="18"/>
                <w:szCs w:val="18"/>
              </w:rPr>
              <w:t> </w:t>
            </w:r>
            <w:r>
              <w:rPr>
                <w:rFonts w:ascii="宋体" w:hAnsi="宋体" w:cs="宋体" w:eastAsia="宋体" w:hint="default"/>
                <w:sz w:val="18"/>
                <w:szCs w:val="18"/>
              </w:rPr>
              <w:t>业</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3"/>
                <w:sz w:val="18"/>
                <w:szCs w:val="18"/>
              </w:rPr>
              <w:t> </w:t>
            </w:r>
            <w:r>
              <w:rPr>
                <w:rFonts w:ascii="宋体" w:hAnsi="宋体" w:cs="宋体" w:eastAsia="宋体" w:hint="default"/>
                <w:spacing w:val="16"/>
                <w:sz w:val="18"/>
                <w:szCs w:val="18"/>
              </w:rPr>
              <w:t>小进</w:t>
            </w:r>
            <w:r>
              <w:rPr>
                <w:rFonts w:ascii="宋体" w:hAnsi="宋体" w:cs="宋体" w:eastAsia="宋体" w:hint="default"/>
                <w:spacing w:val="-57"/>
                <w:sz w:val="18"/>
                <w:szCs w:val="18"/>
              </w:rPr>
              <w:t> </w:t>
            </w:r>
            <w:r>
              <w:rPr>
                <w:rFonts w:ascii="宋体" w:hAnsi="宋体" w:cs="宋体" w:eastAsia="宋体" w:hint="default"/>
                <w:sz w:val="18"/>
                <w:szCs w:val="18"/>
              </w:rPr>
              <w:t>规</w:t>
            </w:r>
            <w:r>
              <w:rPr>
                <w:rFonts w:ascii="Times New Roman" w:hAnsi="Times New Roman" w:cs="Times New Roman" w:eastAsia="Times New Roman" w:hint="default"/>
                <w:sz w:val="18"/>
                <w:szCs w:val="18"/>
              </w:rPr>
              <w:t>”</w:t>
            </w:r>
            <w:r>
              <w:rPr>
                <w:rFonts w:ascii="宋体" w:hAnsi="宋体" w:cs="宋体" w:eastAsia="宋体" w:hint="default"/>
                <w:sz w:val="18"/>
                <w:szCs w:val="18"/>
              </w:rPr>
              <w:t>政策兑现资金</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50,000.00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50,000.00</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60" w:hRule="exact"/>
        </w:trPr>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6"/>
                <w:sz w:val="18"/>
                <w:szCs w:val="18"/>
              </w:rPr>
              <w:t> </w:t>
            </w:r>
            <w:r>
              <w:rPr>
                <w:rFonts w:ascii="宋体" w:hAnsi="宋体" w:cs="宋体" w:eastAsia="宋体" w:hint="default"/>
                <w:spacing w:val="15"/>
                <w:sz w:val="18"/>
                <w:szCs w:val="18"/>
              </w:rPr>
              <w:t>年数字经济和创</w:t>
            </w:r>
            <w:r>
              <w:rPr>
                <w:rFonts w:ascii="宋体" w:hAnsi="宋体" w:cs="宋体" w:eastAsia="宋体" w:hint="default"/>
                <w:sz w:val="18"/>
                <w:szCs w:val="18"/>
              </w:rPr>
              <w:t> 新创业政府补贴</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222,000.00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222,000.00</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60" w:hRule="exact"/>
        </w:trPr>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13"/>
                <w:sz w:val="18"/>
                <w:szCs w:val="18"/>
              </w:rPr>
              <w:t>深圳市南山区经济促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进局鼓励中小企业上</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400,000.00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400,000.00</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50" w:type="dxa"/>
        <w:tblLayout w:type="fixed"/>
        <w:tblCellMar>
          <w:top w:w="0" w:type="dxa"/>
          <w:left w:w="0" w:type="dxa"/>
          <w:bottom w:w="0" w:type="dxa"/>
          <w:right w:w="0" w:type="dxa"/>
        </w:tblCellMar>
        <w:tblLook w:val="01E0"/>
      </w:tblPr>
      <w:tblGrid>
        <w:gridCol w:w="1767"/>
        <w:gridCol w:w="1333"/>
        <w:gridCol w:w="1327"/>
        <w:gridCol w:w="1330"/>
        <w:gridCol w:w="1248"/>
        <w:gridCol w:w="523"/>
        <w:gridCol w:w="1033"/>
        <w:gridCol w:w="1078"/>
      </w:tblGrid>
      <w:tr>
        <w:trPr>
          <w:trHeight w:val="348" w:hRule="exact"/>
        </w:trPr>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规模奖励项目</w:t>
            </w:r>
          </w:p>
        </w:tc>
        <w:tc>
          <w:tcPr>
            <w:tcW w:w="1333"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523" w:type="dxa"/>
            <w:tcBorders>
              <w:top w:val="single" w:sz="6" w:space="0" w:color="000000"/>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68,106.62</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68,106.62</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8" w:hRule="exact"/>
        </w:trPr>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进项税额加计抵减</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88,409.43</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88,409.43</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8" w:hRule="exact"/>
        </w:trPr>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5,857,051.89</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64" w:right="0"/>
              <w:jc w:val="left"/>
              <w:rPr>
                <w:rFonts w:ascii="Times New Roman" w:hAnsi="Times New Roman" w:cs="Times New Roman" w:eastAsia="Times New Roman" w:hint="default"/>
                <w:sz w:val="18"/>
                <w:szCs w:val="18"/>
              </w:rPr>
            </w:pPr>
            <w:r>
              <w:rPr>
                <w:rFonts w:ascii="Times New Roman"/>
                <w:sz w:val="18"/>
              </w:rPr>
              <w:t>3,135,416.53</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6,427,993.80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9,255,039.12</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6,165,423.10</w:t>
            </w:r>
          </w:p>
        </w:tc>
        <w:tc>
          <w:tcPr>
            <w:tcW w:w="107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97" w:lineRule="auto" w:before="49"/>
        <w:ind w:right="1134"/>
        <w:jc w:val="both"/>
      </w:pPr>
      <w:r>
        <w:rPr/>
        <w:t>（</w:t>
      </w:r>
      <w:r>
        <w:rPr>
          <w:rFonts w:ascii="Times New Roman" w:hAnsi="Times New Roman" w:cs="Times New Roman" w:eastAsia="Times New Roman" w:hint="default"/>
        </w:rPr>
        <w:t>1</w:t>
      </w:r>
      <w:r>
        <w:rPr/>
        <w:t>）根据本公司与深圳市科技创新委员会签订的</w:t>
      </w:r>
      <w:r>
        <w:rPr>
          <w:rFonts w:ascii="Times New Roman" w:hAnsi="Times New Roman" w:cs="Times New Roman" w:eastAsia="Times New Roman" w:hint="default"/>
        </w:rPr>
        <w:t>“</w:t>
      </w:r>
      <w:r>
        <w:rPr/>
        <w:t>深圳市战略性新兴产业发展专项资金项目合同书</w:t>
      </w:r>
      <w:r>
        <w:rPr>
          <w:rFonts w:ascii="Times New Roman" w:hAnsi="Times New Roman" w:cs="Times New Roman" w:eastAsia="Times New Roman" w:hint="default"/>
        </w:rPr>
        <w:t>”</w:t>
      </w:r>
      <w:r>
        <w:rPr/>
        <w:t>，本公司收到政府补贴</w:t>
      </w:r>
      <w:r>
        <w:rPr>
          <w:spacing w:val="-68"/>
        </w:rPr>
        <w:t> </w:t>
      </w:r>
      <w:r>
        <w:rPr>
          <w:spacing w:val="-68"/>
        </w:rPr>
      </w:r>
      <w:r>
        <w:rPr/>
        <w:t>款</w:t>
      </w:r>
      <w:r>
        <w:rPr>
          <w:rFonts w:ascii="Times New Roman" w:hAnsi="Times New Roman" w:cs="Times New Roman" w:eastAsia="Times New Roman" w:hint="default"/>
        </w:rPr>
        <w:t>315.00</w:t>
      </w:r>
      <w:r>
        <w:rPr/>
        <w:t>万元，主要用于该项目研发、设备的采购等，本报告期转入其他收益金额为</w:t>
      </w:r>
      <w:r>
        <w:rPr>
          <w:rFonts w:ascii="Times New Roman" w:hAnsi="Times New Roman" w:cs="Times New Roman" w:eastAsia="Times New Roman" w:hint="default"/>
        </w:rPr>
        <w:t>565,650.00</w:t>
      </w:r>
      <w:r>
        <w:rPr/>
        <w:t>元。</w:t>
      </w:r>
    </w:p>
    <w:p>
      <w:pPr>
        <w:pStyle w:val="BodyText"/>
        <w:spacing w:line="300" w:lineRule="auto" w:before="55"/>
        <w:ind w:right="1128"/>
        <w:jc w:val="both"/>
      </w:pPr>
      <w:r>
        <w:rPr/>
        <w:t>（</w:t>
      </w:r>
      <w:r>
        <w:rPr>
          <w:rFonts w:ascii="Times New Roman" w:hAnsi="Times New Roman" w:cs="Times New Roman" w:eastAsia="Times New Roman" w:hint="default"/>
        </w:rPr>
        <w:t>2</w:t>
      </w:r>
      <w:r>
        <w:rPr/>
        <w:t>）本公司收到深圳市南山区财政局南山区智能移动金融支付终端及应用工程技术中心项目</w:t>
      </w:r>
      <w:r>
        <w:rPr>
          <w:rFonts w:ascii="Times New Roman" w:hAnsi="Times New Roman" w:cs="Times New Roman" w:eastAsia="Times New Roman" w:hint="default"/>
        </w:rPr>
        <w:t>100.00</w:t>
      </w:r>
      <w:r>
        <w:rPr/>
        <w:t>万元，其中</w:t>
      </w:r>
      <w:r>
        <w:rPr>
          <w:rFonts w:ascii="Times New Roman" w:hAnsi="Times New Roman" w:cs="Times New Roman" w:eastAsia="Times New Roman" w:hint="default"/>
        </w:rPr>
        <w:t>40.00</w:t>
      </w:r>
      <w:r>
        <w:rPr/>
        <w:t>万元与</w:t>
      </w:r>
      <w:r>
        <w:rPr>
          <w:spacing w:val="-84"/>
        </w:rPr>
        <w:t> </w:t>
      </w:r>
      <w:r>
        <w:rPr>
          <w:spacing w:val="-84"/>
        </w:rPr>
      </w:r>
      <w:r>
        <w:rPr/>
        <w:t>资产相关，本报告期内转入其他收益金额为</w:t>
      </w:r>
      <w:r>
        <w:rPr>
          <w:rFonts w:ascii="Times New Roman" w:hAnsi="Times New Roman" w:cs="Times New Roman" w:eastAsia="Times New Roman" w:hint="default"/>
        </w:rPr>
        <w:t>21,864.10</w:t>
      </w:r>
      <w:r>
        <w:rPr/>
        <w:t>元。</w:t>
      </w:r>
    </w:p>
    <w:p>
      <w:pPr>
        <w:pStyle w:val="BodyText"/>
        <w:spacing w:line="300" w:lineRule="auto" w:before="53"/>
        <w:ind w:right="1132"/>
        <w:jc w:val="both"/>
      </w:pPr>
      <w:r>
        <w:rPr/>
        <w:t>（</w:t>
      </w:r>
      <w:r>
        <w:rPr>
          <w:rFonts w:ascii="Times New Roman" w:hAnsi="Times New Roman" w:cs="Times New Roman" w:eastAsia="Times New Roman" w:hint="default"/>
        </w:rPr>
        <w:t>3</w:t>
      </w:r>
      <w:r>
        <w:rPr/>
        <w:t>）根据深圳市科技创新委员会和深圳市财政委员会颁发的深科技创新</w:t>
      </w:r>
      <w:r>
        <w:rPr>
          <w:rFonts w:ascii="Times New Roman" w:hAnsi="Times New Roman" w:cs="Times New Roman" w:eastAsia="Times New Roman" w:hint="default"/>
        </w:rPr>
        <w:t>(2016)86</w:t>
      </w:r>
      <w:r>
        <w:rPr/>
        <w:t>号文件，本公司取得基于国产安全芯片的</w:t>
      </w:r>
      <w:r>
        <w:rPr>
          <w:spacing w:val="-32"/>
        </w:rPr>
        <w:t> </w:t>
      </w:r>
      <w:r>
        <w:rPr>
          <w:spacing w:val="-32"/>
        </w:rPr>
      </w:r>
      <w:r>
        <w:rPr>
          <w:spacing w:val="-1"/>
        </w:rPr>
        <w:t>移动支付终端研发技术创新专项资金项目补助款</w:t>
      </w:r>
      <w:r>
        <w:rPr>
          <w:rFonts w:ascii="Times New Roman" w:hAnsi="Times New Roman" w:cs="Times New Roman" w:eastAsia="Times New Roman" w:hint="default"/>
          <w:spacing w:val="-1"/>
        </w:rPr>
        <w:t>400.00</w:t>
      </w:r>
      <w:r>
        <w:rPr>
          <w:spacing w:val="-1"/>
        </w:rPr>
        <w:t>万元，主要用于研发、生产设备的购置等，本报告期内转入其他收益</w:t>
      </w:r>
      <w:r>
        <w:rPr>
          <w:spacing w:val="-75"/>
        </w:rPr>
        <w:t> </w:t>
      </w:r>
      <w:r>
        <w:rPr>
          <w:spacing w:val="-75"/>
        </w:rPr>
      </w:r>
      <w:r>
        <w:rPr/>
        <w:t>金额为</w:t>
      </w:r>
      <w:r>
        <w:rPr>
          <w:rFonts w:ascii="Times New Roman" w:hAnsi="Times New Roman" w:cs="Times New Roman" w:eastAsia="Times New Roman" w:hint="default"/>
        </w:rPr>
        <w:t>920,961.03</w:t>
      </w:r>
      <w:r>
        <w:rPr/>
        <w:t>元。</w:t>
      </w:r>
    </w:p>
    <w:p>
      <w:pPr>
        <w:pStyle w:val="BodyText"/>
        <w:spacing w:line="300" w:lineRule="auto" w:before="52"/>
        <w:ind w:right="1131"/>
        <w:jc w:val="both"/>
      </w:pPr>
      <w:r>
        <w:rPr>
          <w:spacing w:val="-1"/>
        </w:rPr>
        <w:t>（</w:t>
      </w:r>
      <w:r>
        <w:rPr>
          <w:rFonts w:ascii="Times New Roman" w:hAnsi="Times New Roman" w:cs="Times New Roman" w:eastAsia="Times New Roman" w:hint="default"/>
          <w:spacing w:val="-1"/>
        </w:rPr>
        <w:t>4</w:t>
      </w:r>
      <w:r>
        <w:rPr>
          <w:spacing w:val="-1"/>
        </w:rPr>
        <w:t>）本公司收到</w:t>
      </w:r>
      <w:r>
        <w:rPr>
          <w:rFonts w:ascii="Times New Roman" w:hAnsi="Times New Roman" w:cs="Times New Roman" w:eastAsia="Times New Roman" w:hint="default"/>
          <w:spacing w:val="-1"/>
        </w:rPr>
        <w:t>2016</w:t>
      </w:r>
      <w:r>
        <w:rPr>
          <w:spacing w:val="-1"/>
        </w:rPr>
        <w:t>年广东省级信息产业发展专项资金面向区域配送的智慧物流云平台项目资金</w:t>
      </w:r>
      <w:r>
        <w:rPr>
          <w:rFonts w:ascii="Times New Roman" w:hAnsi="Times New Roman" w:cs="Times New Roman" w:eastAsia="Times New Roman" w:hint="default"/>
          <w:spacing w:val="-1"/>
        </w:rPr>
        <w:t>1,500,000.00</w:t>
      </w:r>
      <w:r>
        <w:rPr>
          <w:spacing w:val="-1"/>
        </w:rPr>
        <w:t>元，本报告期</w:t>
      </w:r>
      <w:r>
        <w:rPr>
          <w:spacing w:val="-72"/>
        </w:rPr>
        <w:t> </w:t>
      </w:r>
      <w:r>
        <w:rPr>
          <w:spacing w:val="-72"/>
        </w:rPr>
      </w:r>
      <w:r>
        <w:rPr/>
        <w:t>内转入其他收益金额为</w:t>
      </w:r>
      <w:r>
        <w:rPr>
          <w:rFonts w:ascii="Times New Roman" w:hAnsi="Times New Roman" w:cs="Times New Roman" w:eastAsia="Times New Roman" w:hint="default"/>
        </w:rPr>
        <w:t>205,000.03</w:t>
      </w:r>
      <w:r>
        <w:rPr/>
        <w:t>元。</w:t>
      </w:r>
    </w:p>
    <w:p>
      <w:pPr>
        <w:pStyle w:val="BodyText"/>
        <w:spacing w:line="240" w:lineRule="auto" w:before="53"/>
        <w:ind w:right="0"/>
        <w:jc w:val="both"/>
      </w:pPr>
      <w:r>
        <w:rPr/>
        <w:t>（</w:t>
      </w:r>
      <w:r>
        <w:rPr>
          <w:rFonts w:ascii="Times New Roman" w:hAnsi="Times New Roman" w:cs="Times New Roman" w:eastAsia="Times New Roman" w:hint="default"/>
        </w:rPr>
        <w:t>5</w:t>
      </w:r>
      <w:r>
        <w:rPr/>
        <w:t>）本公司收到深圳市南山财政局拨付的重点企事业单位住房补租补贴资金</w:t>
      </w:r>
      <w:r>
        <w:rPr>
          <w:rFonts w:ascii="Times New Roman" w:hAnsi="Times New Roman" w:cs="Times New Roman" w:eastAsia="Times New Roman" w:hint="default"/>
        </w:rPr>
        <w:t>460,000.00</w:t>
      </w:r>
      <w:r>
        <w:rPr/>
        <w:t>元，本报告期内转入其他收益金额为</w:t>
      </w:r>
    </w:p>
    <w:p>
      <w:pPr>
        <w:pStyle w:val="BodyText"/>
        <w:spacing w:line="240" w:lineRule="auto" w:before="63"/>
        <w:ind w:right="0"/>
        <w:jc w:val="both"/>
      </w:pPr>
      <w:r>
        <w:rPr>
          <w:rFonts w:ascii="Times New Roman" w:hAnsi="Times New Roman" w:cs="Times New Roman" w:eastAsia="Times New Roman" w:hint="default"/>
        </w:rPr>
        <w:t>460,000.00</w:t>
      </w:r>
      <w:r>
        <w:rPr/>
        <w:t>元。</w:t>
      </w:r>
    </w:p>
    <w:p>
      <w:pPr>
        <w:pStyle w:val="BodyText"/>
        <w:spacing w:line="300" w:lineRule="auto" w:before="103"/>
        <w:ind w:right="1130"/>
        <w:jc w:val="both"/>
      </w:pPr>
      <w:r>
        <w:rPr/>
        <w:t>（</w:t>
      </w:r>
      <w:r>
        <w:rPr>
          <w:rFonts w:ascii="Times New Roman" w:hAnsi="Times New Roman" w:cs="Times New Roman" w:eastAsia="Times New Roman" w:hint="default"/>
        </w:rPr>
        <w:t>6</w:t>
      </w:r>
      <w:r>
        <w:rPr/>
        <w:t>）根据本公司与深圳市科技创新委员会签订的</w:t>
      </w:r>
      <w:r>
        <w:rPr>
          <w:rFonts w:ascii="Times New Roman" w:hAnsi="Times New Roman" w:cs="Times New Roman" w:eastAsia="Times New Roman" w:hint="default"/>
        </w:rPr>
        <w:t>“</w:t>
      </w:r>
      <w:r>
        <w:rPr/>
        <w:t>深圳市科技计划项目合同书</w:t>
      </w:r>
      <w:r>
        <w:rPr>
          <w:rFonts w:ascii="Times New Roman" w:hAnsi="Times New Roman" w:cs="Times New Roman" w:eastAsia="Times New Roman" w:hint="default"/>
        </w:rPr>
        <w:t>”</w:t>
      </w:r>
      <w:r>
        <w:rPr/>
        <w:t>，本公司收到面向新零售的智慧商城云平台</w:t>
      </w:r>
      <w:r>
        <w:rPr>
          <w:spacing w:val="-69"/>
        </w:rPr>
        <w:t> </w:t>
      </w:r>
      <w:r>
        <w:rPr>
          <w:spacing w:val="-69"/>
        </w:rPr>
      </w:r>
      <w:r>
        <w:rPr>
          <w:spacing w:val="-2"/>
        </w:rPr>
        <w:t>应用示范项目的政府补贴款</w:t>
      </w:r>
      <w:r>
        <w:rPr>
          <w:rFonts w:ascii="Times New Roman" w:hAnsi="Times New Roman" w:cs="Times New Roman" w:eastAsia="Times New Roman" w:hint="default"/>
          <w:spacing w:val="-2"/>
        </w:rPr>
        <w:t>300.00</w:t>
      </w:r>
      <w:r>
        <w:rPr>
          <w:spacing w:val="-2"/>
        </w:rPr>
        <w:t>万元，其中</w:t>
      </w:r>
      <w:r>
        <w:rPr>
          <w:rFonts w:ascii="Times New Roman" w:hAnsi="Times New Roman" w:cs="Times New Roman" w:eastAsia="Times New Roman" w:hint="default"/>
          <w:spacing w:val="-2"/>
        </w:rPr>
        <w:t>40.00</w:t>
      </w:r>
      <w:r>
        <w:rPr>
          <w:spacing w:val="-2"/>
        </w:rPr>
        <w:t>万元设备补助款，主要用于研发、生产设备的购置。本报告期转入其他收</w:t>
      </w:r>
      <w:r>
        <w:rPr>
          <w:spacing w:val="-56"/>
        </w:rPr>
        <w:t> </w:t>
      </w:r>
      <w:r>
        <w:rPr>
          <w:spacing w:val="-56"/>
        </w:rPr>
      </w:r>
      <w:r>
        <w:rPr/>
        <w:t>益金额为</w:t>
      </w:r>
      <w:r>
        <w:rPr>
          <w:rFonts w:ascii="Times New Roman" w:hAnsi="Times New Roman" w:cs="Times New Roman" w:eastAsia="Times New Roman" w:hint="default"/>
        </w:rPr>
        <w:t>1,340,493.00</w:t>
      </w:r>
      <w:r>
        <w:rPr/>
        <w:t>元。</w:t>
      </w:r>
    </w:p>
    <w:p>
      <w:pPr>
        <w:pStyle w:val="BodyText"/>
        <w:spacing w:line="300" w:lineRule="auto" w:before="51"/>
        <w:ind w:right="1042"/>
        <w:jc w:val="both"/>
      </w:pPr>
      <w:r>
        <w:rPr>
          <w:spacing w:val="-2"/>
        </w:rPr>
        <w:t>（</w:t>
      </w:r>
      <w:r>
        <w:rPr>
          <w:rFonts w:ascii="Times New Roman" w:hAnsi="Times New Roman" w:cs="Times New Roman" w:eastAsia="Times New Roman" w:hint="default"/>
          <w:spacing w:val="-2"/>
        </w:rPr>
        <w:t>7</w:t>
      </w:r>
      <w:r>
        <w:rPr>
          <w:spacing w:val="-2"/>
        </w:rPr>
        <w:t>）根据本公司与深圳市科技创新委员会签订的</w:t>
      </w:r>
      <w:r>
        <w:rPr>
          <w:rFonts w:ascii="Times New Roman" w:hAnsi="Times New Roman" w:cs="Times New Roman" w:eastAsia="Times New Roman" w:hint="default"/>
          <w:spacing w:val="-2"/>
        </w:rPr>
        <w:t>“</w:t>
      </w:r>
      <w:r>
        <w:rPr>
          <w:spacing w:val="-2"/>
        </w:rPr>
        <w:t>深圳市国家和省计划配套项目合同书</w:t>
      </w:r>
      <w:r>
        <w:rPr>
          <w:rFonts w:ascii="Times New Roman" w:hAnsi="Times New Roman" w:cs="Times New Roman" w:eastAsia="Times New Roman" w:hint="default"/>
          <w:spacing w:val="-2"/>
        </w:rPr>
        <w:t>”</w:t>
      </w:r>
      <w:r>
        <w:rPr>
          <w:spacing w:val="-2"/>
        </w:rPr>
        <w:t>，本公司收到政府补贴款</w:t>
      </w:r>
      <w:r>
        <w:rPr>
          <w:rFonts w:ascii="Times New Roman" w:hAnsi="Times New Roman" w:cs="Times New Roman" w:eastAsia="Times New Roman" w:hint="default"/>
          <w:spacing w:val="-2"/>
        </w:rPr>
        <w:t>42.00</w:t>
      </w:r>
      <w:r>
        <w:rPr>
          <w:spacing w:val="-2"/>
        </w:rPr>
        <w:t>万元，</w:t>
      </w:r>
      <w:r>
        <w:rPr>
          <w:spacing w:val="-83"/>
        </w:rPr>
        <w:t> </w:t>
      </w:r>
      <w:r>
        <w:rPr>
          <w:spacing w:val="-83"/>
        </w:rPr>
      </w:r>
      <w:r>
        <w:rPr/>
        <w:t>主要用于该项目研发，本报告期转入其他收益金额为</w:t>
      </w:r>
      <w:r>
        <w:rPr>
          <w:rFonts w:ascii="Times New Roman" w:hAnsi="Times New Roman" w:cs="Times New Roman" w:eastAsia="Times New Roman" w:hint="default"/>
        </w:rPr>
        <w:t>33,077.16</w:t>
      </w:r>
      <w:r>
        <w:rPr/>
        <w:t>元。</w:t>
      </w:r>
    </w:p>
    <w:p>
      <w:pPr>
        <w:pStyle w:val="BodyText"/>
        <w:spacing w:line="300" w:lineRule="auto" w:before="53"/>
        <w:ind w:right="1131"/>
        <w:jc w:val="both"/>
      </w:pPr>
      <w:r>
        <w:rPr>
          <w:spacing w:val="-1"/>
        </w:rPr>
        <w:t>（</w:t>
      </w:r>
      <w:r>
        <w:rPr>
          <w:rFonts w:ascii="Times New Roman" w:hAnsi="Times New Roman" w:cs="Times New Roman" w:eastAsia="Times New Roman" w:hint="default"/>
          <w:spacing w:val="-1"/>
        </w:rPr>
        <w:t>8</w:t>
      </w:r>
      <w:r>
        <w:rPr>
          <w:spacing w:val="-1"/>
        </w:rPr>
        <w:t>）本公司收到深圳市南山区住房和建设局拨付的</w:t>
      </w:r>
      <w:r>
        <w:rPr>
          <w:rFonts w:ascii="Times New Roman" w:hAnsi="Times New Roman" w:cs="Times New Roman" w:eastAsia="Times New Roman" w:hint="default"/>
          <w:spacing w:val="-1"/>
        </w:rPr>
        <w:t>2019</w:t>
      </w:r>
      <w:r>
        <w:rPr>
          <w:spacing w:val="-1"/>
        </w:rPr>
        <w:t>年人才安居住房补租款</w:t>
      </w:r>
      <w:r>
        <w:rPr>
          <w:rFonts w:ascii="Times New Roman" w:hAnsi="Times New Roman" w:cs="Times New Roman" w:eastAsia="Times New Roman" w:hint="default"/>
          <w:spacing w:val="-1"/>
        </w:rPr>
        <w:t>62.00</w:t>
      </w:r>
      <w:r>
        <w:rPr>
          <w:spacing w:val="-1"/>
        </w:rPr>
        <w:t>万元，截止</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日该资金尚未</w:t>
      </w:r>
      <w:r>
        <w:rPr>
          <w:spacing w:val="-72"/>
        </w:rPr>
        <w:t> </w:t>
      </w:r>
      <w:r>
        <w:rPr>
          <w:spacing w:val="-72"/>
        </w:rPr>
      </w:r>
      <w:r>
        <w:rPr/>
        <w:t>使用。</w:t>
      </w:r>
    </w:p>
    <w:p>
      <w:pPr>
        <w:pStyle w:val="BodyText"/>
        <w:spacing w:line="300" w:lineRule="auto" w:before="72"/>
        <w:ind w:right="1131"/>
        <w:jc w:val="both"/>
      </w:pPr>
      <w:r>
        <w:rPr>
          <w:spacing w:val="-1"/>
        </w:rPr>
        <w:t>（</w:t>
      </w:r>
      <w:r>
        <w:rPr>
          <w:rFonts w:ascii="Times New Roman" w:hAnsi="Times New Roman" w:cs="Times New Roman" w:eastAsia="Times New Roman" w:hint="default"/>
          <w:spacing w:val="-1"/>
        </w:rPr>
        <w:t>9</w:t>
      </w:r>
      <w:r>
        <w:rPr>
          <w:spacing w:val="-1"/>
        </w:rPr>
        <w:t>）本公司收到深圳市南山区人力资源局拨付的先进制造业企业优秀技能人才资助款</w:t>
      </w:r>
      <w:r>
        <w:rPr>
          <w:rFonts w:ascii="Times New Roman" w:hAnsi="Times New Roman" w:cs="Times New Roman" w:eastAsia="Times New Roman" w:hint="default"/>
          <w:spacing w:val="-1"/>
        </w:rPr>
        <w:t>10.00</w:t>
      </w:r>
      <w:r>
        <w:rPr>
          <w:spacing w:val="-1"/>
        </w:rPr>
        <w:t>万元，截止</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日该资</w:t>
      </w:r>
      <w:r>
        <w:rPr>
          <w:spacing w:val="-72"/>
        </w:rPr>
        <w:t> </w:t>
      </w:r>
      <w:r>
        <w:rPr>
          <w:spacing w:val="-72"/>
        </w:rPr>
      </w:r>
      <w:r>
        <w:rPr/>
        <w:t>金尚未使用。</w:t>
      </w:r>
    </w:p>
    <w:p>
      <w:pPr>
        <w:pStyle w:val="BodyText"/>
        <w:spacing w:line="240" w:lineRule="auto" w:before="70"/>
        <w:ind w:right="0"/>
        <w:jc w:val="both"/>
      </w:pPr>
      <w:r>
        <w:rPr/>
        <w:t>（</w:t>
      </w:r>
      <w:r>
        <w:rPr>
          <w:rFonts w:ascii="Times New Roman" w:hAnsi="Times New Roman" w:cs="Times New Roman" w:eastAsia="Times New Roman" w:hint="default"/>
        </w:rPr>
        <w:t>10</w:t>
      </w:r>
      <w:r>
        <w:rPr/>
        <w:t>）本公司收到深圳市南山区科学技术局拨付的《大型工业创新能力培育提升支持计划》补贴款</w:t>
      </w:r>
      <w:r>
        <w:rPr>
          <w:rFonts w:ascii="Times New Roman" w:hAnsi="Times New Roman" w:cs="Times New Roman" w:eastAsia="Times New Roman" w:hint="default"/>
        </w:rPr>
        <w:t>53.42</w:t>
      </w:r>
      <w:r>
        <w:rPr/>
        <w:t>万元。</w:t>
      </w:r>
    </w:p>
    <w:p>
      <w:pPr>
        <w:pStyle w:val="BodyText"/>
        <w:spacing w:line="240" w:lineRule="auto" w:before="103"/>
        <w:ind w:right="0"/>
        <w:jc w:val="both"/>
      </w:pPr>
      <w:r>
        <w:rPr/>
        <w:t>（</w:t>
      </w:r>
      <w:r>
        <w:rPr>
          <w:rFonts w:ascii="Times New Roman" w:hAnsi="Times New Roman" w:cs="Times New Roman" w:eastAsia="Times New Roman" w:hint="default"/>
        </w:rPr>
        <w:t>11</w:t>
      </w:r>
      <w:r>
        <w:rPr/>
        <w:t>）本公司收到深圳市南山区经济促进局拨付的</w:t>
      </w:r>
      <w:r>
        <w:rPr>
          <w:rFonts w:ascii="Times New Roman" w:hAnsi="Times New Roman" w:cs="Times New Roman" w:eastAsia="Times New Roman" w:hint="default"/>
        </w:rPr>
        <w:t>2019</w:t>
      </w:r>
      <w:r>
        <w:rPr/>
        <w:t>年一季度稳增长资助项目补助款</w:t>
      </w:r>
      <w:r>
        <w:rPr>
          <w:rFonts w:ascii="Times New Roman" w:hAnsi="Times New Roman" w:cs="Times New Roman" w:eastAsia="Times New Roman" w:hint="default"/>
        </w:rPr>
        <w:t>43.00</w:t>
      </w:r>
      <w:r>
        <w:rPr/>
        <w:t>万元。</w:t>
      </w:r>
    </w:p>
    <w:p>
      <w:pPr>
        <w:pStyle w:val="BodyText"/>
        <w:spacing w:line="300" w:lineRule="auto" w:before="103"/>
        <w:ind w:right="1130"/>
        <w:jc w:val="both"/>
      </w:pPr>
      <w:r>
        <w:rPr>
          <w:spacing w:val="-1"/>
        </w:rPr>
        <w:t>（</w:t>
      </w:r>
      <w:r>
        <w:rPr>
          <w:rFonts w:ascii="Times New Roman" w:hAnsi="Times New Roman" w:cs="Times New Roman" w:eastAsia="Times New Roman" w:hint="default"/>
          <w:spacing w:val="-1"/>
        </w:rPr>
        <w:t>12</w:t>
      </w:r>
      <w:r>
        <w:rPr>
          <w:spacing w:val="-1"/>
        </w:rPr>
        <w:t>）本公司收到深圳市科技创新委员会拨付的深圳市企业研究开发资助计划补贴款</w:t>
      </w:r>
      <w:r>
        <w:rPr>
          <w:rFonts w:ascii="Times New Roman" w:hAnsi="Times New Roman" w:cs="Times New Roman" w:eastAsia="Times New Roman" w:hint="default"/>
          <w:spacing w:val="-1"/>
        </w:rPr>
        <w:t>149.30</w:t>
      </w:r>
      <w:r>
        <w:rPr>
          <w:spacing w:val="-1"/>
        </w:rPr>
        <w:t>万元，本公司之子公司优博讯软</w:t>
      </w:r>
      <w:r>
        <w:rPr>
          <w:spacing w:val="-74"/>
        </w:rPr>
        <w:t> </w:t>
      </w:r>
      <w:r>
        <w:rPr>
          <w:spacing w:val="-74"/>
        </w:rPr>
      </w:r>
      <w:r>
        <w:rPr/>
        <w:t>件公司收到深圳市科技创新委员会拨付的深圳市企业研究开发资助计划补贴款</w:t>
      </w:r>
      <w:r>
        <w:rPr>
          <w:rFonts w:ascii="Times New Roman" w:hAnsi="Times New Roman" w:cs="Times New Roman" w:eastAsia="Times New Roman" w:hint="default"/>
        </w:rPr>
        <w:t>84.60</w:t>
      </w:r>
      <w:r>
        <w:rPr/>
        <w:t>万元，本公司之子公司优金支付公司收</w:t>
      </w:r>
      <w:r>
        <w:rPr>
          <w:spacing w:val="-40"/>
        </w:rPr>
        <w:t> </w:t>
      </w:r>
      <w:r>
        <w:rPr>
          <w:spacing w:val="-40"/>
        </w:rPr>
      </w:r>
      <w:r>
        <w:rPr/>
        <w:t>到深圳市科技创新委员会拨付的深圳市企业研究开发资助计划补贴款</w:t>
      </w:r>
      <w:r>
        <w:rPr>
          <w:rFonts w:ascii="Times New Roman" w:hAnsi="Times New Roman" w:cs="Times New Roman" w:eastAsia="Times New Roman" w:hint="default"/>
        </w:rPr>
        <w:t>35.30</w:t>
      </w:r>
      <w:r>
        <w:rPr/>
        <w:t>万元，本公司之子公司瑞柏泰公司收到深圳市科</w:t>
      </w:r>
      <w:r>
        <w:rPr>
          <w:spacing w:val="-41"/>
        </w:rPr>
        <w:t> </w:t>
      </w:r>
      <w:r>
        <w:rPr>
          <w:spacing w:val="-41"/>
        </w:rPr>
      </w:r>
      <w:r>
        <w:rPr/>
        <w:t>技创新委员会拨付的深圳市企业研究开发资助计划补贴款</w:t>
      </w:r>
      <w:r>
        <w:rPr>
          <w:rFonts w:ascii="Times New Roman" w:hAnsi="Times New Roman" w:cs="Times New Roman" w:eastAsia="Times New Roman" w:hint="default"/>
        </w:rPr>
        <w:t>19.30</w:t>
      </w:r>
      <w:r>
        <w:rPr/>
        <w:t>万元，本公司之子公司帕思菲特公司收到深圳市科技创新委</w:t>
      </w:r>
      <w:r>
        <w:rPr>
          <w:spacing w:val="-42"/>
        </w:rPr>
        <w:t> </w:t>
      </w:r>
      <w:r>
        <w:rPr>
          <w:spacing w:val="-42"/>
        </w:rPr>
      </w:r>
      <w:r>
        <w:rPr/>
        <w:t>员会拨付的深圳市企业研究开发资助计划补贴款</w:t>
      </w:r>
      <w:r>
        <w:rPr>
          <w:rFonts w:ascii="Times New Roman" w:hAnsi="Times New Roman" w:cs="Times New Roman" w:eastAsia="Times New Roman" w:hint="default"/>
        </w:rPr>
        <w:t>9.00</w:t>
      </w:r>
      <w:r>
        <w:rPr/>
        <w:t>万元。</w:t>
      </w:r>
    </w:p>
    <w:p>
      <w:pPr>
        <w:pStyle w:val="BodyText"/>
        <w:spacing w:line="240" w:lineRule="auto" w:before="51"/>
        <w:ind w:right="0"/>
        <w:jc w:val="both"/>
      </w:pPr>
      <w:r>
        <w:rPr>
          <w:spacing w:val="4"/>
        </w:rPr>
        <w:t>（</w:t>
      </w:r>
      <w:r>
        <w:rPr>
          <w:rFonts w:ascii="Times New Roman" w:hAnsi="Times New Roman" w:cs="Times New Roman" w:eastAsia="Times New Roman" w:hint="default"/>
          <w:spacing w:val="4"/>
        </w:rPr>
        <w:t>13</w:t>
      </w:r>
      <w:r>
        <w:rPr>
          <w:spacing w:val="4"/>
        </w:rPr>
        <w:t>）本公司之子公司优博讯软件公司收到深圳市南山区科学技术局拨付的深圳市南山区企业研发投入支持计划补贴款</w:t>
      </w:r>
    </w:p>
    <w:p>
      <w:pPr>
        <w:pStyle w:val="BodyText"/>
        <w:spacing w:line="240" w:lineRule="auto" w:before="63"/>
        <w:ind w:right="0"/>
        <w:jc w:val="both"/>
      </w:pPr>
      <w:r>
        <w:rPr>
          <w:rFonts w:ascii="Times New Roman" w:hAnsi="Times New Roman" w:cs="Times New Roman" w:eastAsia="Times New Roman" w:hint="default"/>
        </w:rPr>
        <w:t>33.49</w:t>
      </w:r>
      <w:r>
        <w:rPr/>
        <w:t>万元。</w:t>
      </w:r>
    </w:p>
    <w:p>
      <w:pPr>
        <w:pStyle w:val="BodyText"/>
        <w:spacing w:line="240" w:lineRule="auto" w:before="104"/>
        <w:ind w:right="0"/>
        <w:jc w:val="both"/>
      </w:pPr>
      <w:r>
        <w:rPr/>
        <w:t>（</w:t>
      </w:r>
      <w:r>
        <w:rPr>
          <w:rFonts w:ascii="Times New Roman" w:hAnsi="Times New Roman" w:cs="Times New Roman" w:eastAsia="Times New Roman" w:hint="default"/>
        </w:rPr>
        <w:t>14</w:t>
      </w:r>
      <w:r>
        <w:rPr/>
        <w:t>）本公司之子公司武汉优博讯软件公司收到武汉市科学技术局（武汉市知识产权局）省级研发投入补贴区级配套资金</w:t>
      </w:r>
    </w:p>
    <w:p>
      <w:pPr>
        <w:pStyle w:val="BodyText"/>
        <w:spacing w:line="240" w:lineRule="auto" w:before="63"/>
        <w:ind w:right="0"/>
        <w:jc w:val="both"/>
      </w:pPr>
      <w:r>
        <w:rPr>
          <w:rFonts w:ascii="Times New Roman" w:hAnsi="Times New Roman" w:cs="Times New Roman" w:eastAsia="Times New Roman" w:hint="default"/>
        </w:rPr>
        <w:t>31.00</w:t>
      </w:r>
      <w:r>
        <w:rPr/>
        <w:t>万元。</w:t>
      </w:r>
    </w:p>
    <w:p>
      <w:pPr>
        <w:pStyle w:val="BodyText"/>
        <w:spacing w:line="240" w:lineRule="auto" w:before="103"/>
        <w:ind w:right="0"/>
        <w:jc w:val="both"/>
      </w:pPr>
      <w:r>
        <w:rPr/>
        <w:t>（</w:t>
      </w:r>
      <w:r>
        <w:rPr>
          <w:rFonts w:ascii="Times New Roman" w:hAnsi="Times New Roman" w:cs="Times New Roman" w:eastAsia="Times New Roman" w:hint="default"/>
        </w:rPr>
        <w:t>15</w:t>
      </w:r>
      <w:r>
        <w:rPr/>
        <w:t>）本公司之子公司武汉优博讯软件公司收到武汉市东湖高新区科创局</w:t>
      </w:r>
      <w:r>
        <w:rPr>
          <w:rFonts w:ascii="Times New Roman" w:hAnsi="Times New Roman" w:cs="Times New Roman" w:eastAsia="Times New Roman" w:hint="default"/>
        </w:rPr>
        <w:t>2019</w:t>
      </w:r>
      <w:r>
        <w:rPr/>
        <w:t>年数字经济和创新创业政府补贴款</w:t>
      </w:r>
      <w:r>
        <w:rPr>
          <w:rFonts w:ascii="Times New Roman" w:hAnsi="Times New Roman" w:cs="Times New Roman" w:eastAsia="Times New Roman" w:hint="default"/>
        </w:rPr>
        <w:t>22.20</w:t>
      </w:r>
      <w:r>
        <w:rPr/>
        <w:t>万元。</w:t>
      </w:r>
    </w:p>
    <w:p>
      <w:pPr>
        <w:pStyle w:val="BodyText"/>
        <w:spacing w:line="240" w:lineRule="auto" w:before="101"/>
        <w:ind w:right="0"/>
        <w:jc w:val="both"/>
      </w:pPr>
      <w:r>
        <w:rPr/>
        <w:t>（</w:t>
      </w:r>
      <w:r>
        <w:rPr>
          <w:rFonts w:ascii="Times New Roman" w:hAnsi="Times New Roman" w:cs="Times New Roman" w:eastAsia="Times New Roman" w:hint="default"/>
        </w:rPr>
        <w:t>16</w:t>
      </w:r>
      <w:r>
        <w:rPr/>
        <w:t>）本公司之子公司优金支付公司、帕思菲特公司分别收到深圳市南山区经济促进局鼓励中小企业上规模奖励项目资金</w:t>
      </w:r>
    </w:p>
    <w:p>
      <w:pPr>
        <w:pStyle w:val="BodyText"/>
        <w:spacing w:line="240" w:lineRule="auto" w:before="63"/>
        <w:ind w:right="0"/>
        <w:jc w:val="both"/>
      </w:pPr>
      <w:r>
        <w:rPr>
          <w:rFonts w:ascii="Times New Roman" w:hAnsi="Times New Roman" w:cs="Times New Roman" w:eastAsia="Times New Roman" w:hint="default"/>
        </w:rPr>
        <w:t>20.00</w:t>
      </w:r>
      <w:r>
        <w:rPr/>
        <w:t>万元、</w:t>
      </w:r>
      <w:r>
        <w:rPr>
          <w:rFonts w:ascii="Times New Roman" w:hAnsi="Times New Roman" w:cs="Times New Roman" w:eastAsia="Times New Roman" w:hint="default"/>
        </w:rPr>
        <w:t>20.00</w:t>
      </w:r>
      <w:r>
        <w:rPr/>
        <w:t>万元。</w:t>
      </w:r>
    </w:p>
    <w:p>
      <w:pPr>
        <w:pStyle w:val="BodyText"/>
        <w:spacing w:line="307" w:lineRule="auto" w:before="103"/>
        <w:ind w:right="1131" w:firstLine="360"/>
        <w:jc w:val="both"/>
      </w:pPr>
      <w:r>
        <w:rPr>
          <w:spacing w:val="-1"/>
        </w:rPr>
        <w:t>（</w:t>
      </w:r>
      <w:r>
        <w:rPr>
          <w:rFonts w:ascii="Times New Roman" w:hAnsi="Times New Roman" w:cs="Times New Roman" w:eastAsia="Times New Roman" w:hint="default"/>
          <w:spacing w:val="-1"/>
        </w:rPr>
        <w:t>17</w:t>
      </w:r>
      <w:r>
        <w:rPr>
          <w:spacing w:val="-1"/>
        </w:rPr>
        <w:t>）根据珠海市金湾区平沙镇人民政府出具的珠平府函</w:t>
      </w:r>
      <w:r>
        <w:rPr>
          <w:rFonts w:ascii="Times New Roman" w:hAnsi="Times New Roman" w:cs="Times New Roman" w:eastAsia="Times New Roman" w:hint="default"/>
          <w:spacing w:val="-1"/>
        </w:rPr>
        <w:t>[2012]23</w:t>
      </w:r>
      <w:r>
        <w:rPr>
          <w:spacing w:val="-1"/>
        </w:rPr>
        <w:t>号《关于给予珠海佳博科技股份有限公司扶持政策的</w:t>
      </w:r>
      <w:r>
        <w:rPr/>
        <w:t> </w:t>
      </w:r>
      <w:r>
        <w:rPr>
          <w:spacing w:val="-2"/>
        </w:rPr>
        <w:t>函》，珠海市金湾区平沙镇人民政府设立专项财政扶持资金，用于公司平沙项目的基础设施配套建设、供电设施、建立技术</w:t>
      </w:r>
      <w:r>
        <w:rPr>
          <w:spacing w:val="-67"/>
        </w:rPr>
        <w:t> </w:t>
      </w:r>
      <w:r>
        <w:rPr>
          <w:spacing w:val="-67"/>
        </w:rPr>
      </w:r>
      <w:r>
        <w:rPr/>
        <w:t>研发中心或实验室、技术研发创新、节能环保等，扶持额度</w:t>
      </w:r>
      <w:r>
        <w:rPr>
          <w:rFonts w:ascii="Times New Roman" w:hAnsi="Times New Roman" w:cs="Times New Roman" w:eastAsia="Times New Roman" w:hint="default"/>
        </w:rPr>
        <w:t>350.00</w:t>
      </w:r>
      <w:r>
        <w:rPr/>
        <w:t>万元。公司于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日收到珠海市平沙镇政府会计</w:t>
      </w:r>
      <w:r>
        <w:rPr>
          <w:spacing w:val="-45"/>
        </w:rPr>
        <w:t> </w:t>
      </w:r>
      <w:r>
        <w:rPr>
          <w:spacing w:val="-45"/>
        </w:rPr>
      </w:r>
      <w:r>
        <w:rPr>
          <w:spacing w:val="-1"/>
        </w:rPr>
        <w:t>结算中心汇入的该笔</w:t>
      </w:r>
      <w:r>
        <w:rPr>
          <w:rFonts w:ascii="Times New Roman" w:hAnsi="Times New Roman" w:cs="Times New Roman" w:eastAsia="Times New Roman" w:hint="default"/>
          <w:spacing w:val="-1"/>
        </w:rPr>
        <w:t>350.00</w:t>
      </w:r>
      <w:r>
        <w:rPr>
          <w:spacing w:val="-1"/>
        </w:rPr>
        <w:t>万元扶持资金。本公司之子公司佳博科技公司本期属于非同一控制下企业合并的子公司，本报告</w:t>
      </w:r>
    </w:p>
    <w:p>
      <w:pPr>
        <w:spacing w:after="0" w:line="307"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期转入递延收益金额为</w:t>
      </w:r>
      <w:r>
        <w:rPr>
          <w:rFonts w:ascii="Times New Roman" w:hAnsi="Times New Roman" w:cs="Times New Roman" w:eastAsia="Times New Roman" w:hint="default"/>
        </w:rPr>
        <w:t>3,135,416.53</w:t>
      </w:r>
      <w:r>
        <w:rPr/>
        <w:t>元。</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8、股本" w:id="289"/>
      <w:bookmarkEnd w:id="289"/>
      <w:r>
        <w:rPr>
          <w:b w:val="0"/>
          <w:bCs w:val="0"/>
        </w:rPr>
      </w:r>
      <w:r>
        <w:rPr>
          <w:rFonts w:ascii="Times New Roman" w:hAnsi="Times New Roman" w:cs="Times New Roman" w:eastAsia="Times New Roman" w:hint="default"/>
        </w:rPr>
        <w:t>28</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280,000,000.00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32,665,317.00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32,665,317.00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312,665,317.00</w:t>
            </w:r>
          </w:p>
        </w:tc>
      </w:tr>
    </w:tbl>
    <w:p>
      <w:pPr>
        <w:pStyle w:val="BodyText"/>
        <w:spacing w:line="338" w:lineRule="auto" w:before="49"/>
        <w:ind w:right="1124"/>
        <w:jc w:val="left"/>
      </w:pPr>
      <w:r>
        <w:rPr/>
        <w:t>其他说明： </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5</w:t>
      </w:r>
      <w:r>
        <w:rPr/>
        <w:t>日，本公司取得中国证券监督管理委员会以证监许可［</w:t>
      </w:r>
      <w:r>
        <w:rPr>
          <w:rFonts w:ascii="宋体" w:hAnsi="宋体" w:cs="宋体" w:eastAsia="宋体" w:hint="default"/>
        </w:rPr>
        <w:t>2019</w:t>
      </w:r>
      <w:r>
        <w:rPr/>
        <w:t>］</w:t>
      </w:r>
      <w:r>
        <w:rPr>
          <w:rFonts w:ascii="宋体" w:hAnsi="宋体" w:cs="宋体" w:eastAsia="宋体" w:hint="default"/>
        </w:rPr>
        <w:t>2150</w:t>
      </w:r>
      <w:r>
        <w:rPr/>
        <w:t>号《关于核准深圳市优博讯科技股份有限公 司向陈建辉等发行股份购买资产并募集配套资金的批复》，核准本公司向陈建辉等</w:t>
      </w:r>
      <w:r>
        <w:rPr>
          <w:rFonts w:ascii="宋体" w:hAnsi="宋体" w:cs="宋体" w:eastAsia="宋体" w:hint="default"/>
        </w:rPr>
        <w:t>26</w:t>
      </w:r>
      <w:r>
        <w:rPr/>
        <w:t>名股东发行</w:t>
      </w:r>
      <w:r>
        <w:rPr>
          <w:rFonts w:ascii="宋体" w:hAnsi="宋体" w:cs="宋体" w:eastAsia="宋体" w:hint="default"/>
        </w:rPr>
        <w:t>32,665,317.00</w:t>
      </w:r>
      <w:r>
        <w:rPr/>
        <w:t>股普通股股</w:t>
      </w:r>
    </w:p>
    <w:p>
      <w:pPr>
        <w:pStyle w:val="BodyText"/>
        <w:spacing w:line="316" w:lineRule="auto" w:before="3"/>
        <w:ind w:right="1128"/>
        <w:jc w:val="both"/>
      </w:pPr>
      <w:r>
        <w:rPr>
          <w:spacing w:val="-3"/>
        </w:rPr>
        <w:t>票，非公开发行股份募集配套资金不超过</w:t>
      </w:r>
      <w:r>
        <w:rPr>
          <w:rFonts w:ascii="宋体" w:hAnsi="宋体" w:cs="宋体" w:eastAsia="宋体" w:hint="default"/>
          <w:spacing w:val="-3"/>
        </w:rPr>
        <w:t>35,000.00</w:t>
      </w:r>
      <w:r>
        <w:rPr>
          <w:spacing w:val="-3"/>
        </w:rPr>
        <w:t>万元。</w:t>
      </w:r>
      <w:r>
        <w:rPr>
          <w:rFonts w:ascii="宋体" w:hAnsi="宋体" w:cs="宋体" w:eastAsia="宋体" w:hint="default"/>
          <w:spacing w:val="-3"/>
        </w:rPr>
        <w:t>2019</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w:t>
      </w:r>
      <w:r>
        <w:rPr>
          <w:spacing w:val="-3"/>
        </w:rPr>
        <w:t>日本公司向陈建辉等</w:t>
      </w:r>
      <w:r>
        <w:rPr>
          <w:rFonts w:ascii="宋体" w:hAnsi="宋体" w:cs="宋体" w:eastAsia="宋体" w:hint="default"/>
          <w:spacing w:val="-3"/>
        </w:rPr>
        <w:t>26</w:t>
      </w:r>
      <w:r>
        <w:rPr>
          <w:spacing w:val="-3"/>
        </w:rPr>
        <w:t>名股东发行合计</w:t>
      </w:r>
      <w:r>
        <w:rPr>
          <w:rFonts w:ascii="宋体" w:hAnsi="宋体" w:cs="宋体" w:eastAsia="宋体" w:hint="default"/>
          <w:spacing w:val="-3"/>
        </w:rPr>
        <w:t>32,665,317.00</w:t>
      </w:r>
      <w:r>
        <w:rPr>
          <w:rFonts w:ascii="宋体" w:hAnsi="宋体" w:cs="宋体" w:eastAsia="宋体" w:hint="default"/>
          <w:spacing w:val="-60"/>
        </w:rPr>
        <w:t> </w:t>
      </w:r>
      <w:r>
        <w:rPr>
          <w:rFonts w:ascii="宋体" w:hAnsi="宋体" w:cs="宋体" w:eastAsia="宋体" w:hint="default"/>
          <w:spacing w:val="-60"/>
        </w:rPr>
      </w:r>
      <w:r>
        <w:rPr>
          <w:spacing w:val="-2"/>
        </w:rPr>
        <w:t>股股份购买相关资产，每股面值为人民币</w:t>
      </w:r>
      <w:r>
        <w:rPr>
          <w:rFonts w:ascii="宋体" w:hAnsi="宋体" w:cs="宋体" w:eastAsia="宋体" w:hint="default"/>
          <w:spacing w:val="-2"/>
        </w:rPr>
        <w:t>1.00</w:t>
      </w:r>
      <w:r>
        <w:rPr>
          <w:spacing w:val="-2"/>
        </w:rPr>
        <w:t>元，股份支付对价</w:t>
      </w:r>
      <w:r>
        <w:rPr>
          <w:rFonts w:ascii="宋体" w:hAnsi="宋体" w:cs="宋体" w:eastAsia="宋体" w:hint="default"/>
          <w:spacing w:val="-2"/>
        </w:rPr>
        <w:t>489,000,000.00</w:t>
      </w:r>
      <w:r>
        <w:rPr>
          <w:spacing w:val="-2"/>
        </w:rPr>
        <w:t>元。经此发行后本公司的股本变更为人民币</w:t>
      </w:r>
      <w:r>
        <w:rPr>
          <w:spacing w:val="-52"/>
        </w:rPr>
        <w:t> </w:t>
      </w:r>
      <w:r>
        <w:rPr>
          <w:spacing w:val="-52"/>
        </w:rPr>
      </w:r>
      <w:r>
        <w:rPr>
          <w:rFonts w:ascii="宋体" w:hAnsi="宋体" w:cs="宋体" w:eastAsia="宋体" w:hint="default"/>
        </w:rPr>
        <w:t>312,665,317.00</w:t>
      </w:r>
      <w:r>
        <w:rPr/>
        <w:t>元。</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29、资本公积" w:id="290"/>
      <w:bookmarkEnd w:id="290"/>
      <w:r>
        <w:rPr>
          <w:b w:val="0"/>
          <w:bCs w:val="0"/>
        </w:rPr>
      </w:r>
      <w:r>
        <w:rPr>
          <w:rFonts w:ascii="Times New Roman" w:hAnsi="Times New Roman" w:cs="Times New Roman" w:eastAsia="Times New Roman" w:hint="default"/>
        </w:rPr>
        <w:t>29</w:t>
      </w:r>
      <w:r>
        <w:rPr/>
        <w:t>、资本公积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27,446,930.45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456,334,683.00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589,196.39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483,192,417.06</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同一控制下企业合并产 生的股本溢价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-10,234.66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-10,234.66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27,436,695.79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456,334,683.00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589,196.39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483,182,182.40</w:t>
            </w:r>
          </w:p>
        </w:tc>
      </w:tr>
    </w:tbl>
    <w:p>
      <w:pPr>
        <w:pStyle w:val="BodyText"/>
        <w:spacing w:line="240" w:lineRule="auto" w:before="49"/>
        <w:ind w:right="1133"/>
        <w:jc w:val="left"/>
      </w:pPr>
      <w:r>
        <w:rPr/>
        <w:t>其他说明，包括本期增减变动情况、变动原因说明：</w:t>
      </w:r>
    </w:p>
    <w:p>
      <w:pPr>
        <w:pStyle w:val="BodyText"/>
        <w:spacing w:line="316" w:lineRule="auto" w:before="115"/>
        <w:ind w:right="1664"/>
        <w:jc w:val="left"/>
      </w:pPr>
      <w:r>
        <w:rPr/>
        <w:t>（</w:t>
      </w:r>
      <w:r>
        <w:rPr>
          <w:rFonts w:ascii="宋体" w:hAnsi="宋体" w:cs="宋体" w:eastAsia="宋体" w:hint="default"/>
        </w:rPr>
        <w:t>1</w:t>
      </w:r>
      <w:r>
        <w:rPr/>
        <w:t>）如注释</w:t>
      </w:r>
      <w:r>
        <w:rPr>
          <w:rFonts w:ascii="宋体" w:hAnsi="宋体" w:cs="宋体" w:eastAsia="宋体" w:hint="default"/>
        </w:rPr>
        <w:t>28</w:t>
      </w:r>
      <w:r>
        <w:rPr/>
        <w:t>所述，</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w:t>
      </w:r>
      <w:r>
        <w:rPr/>
        <w:t>日本公司向陈建辉等</w:t>
      </w:r>
      <w:r>
        <w:rPr>
          <w:rFonts w:ascii="宋体" w:hAnsi="宋体" w:cs="宋体" w:eastAsia="宋体" w:hint="default"/>
        </w:rPr>
        <w:t>26</w:t>
      </w:r>
      <w:r>
        <w:rPr/>
        <w:t>名股东发行合计</w:t>
      </w:r>
      <w:r>
        <w:rPr>
          <w:rFonts w:ascii="宋体" w:hAnsi="宋体" w:cs="宋体" w:eastAsia="宋体" w:hint="default"/>
        </w:rPr>
        <w:t>32,665,317.00</w:t>
      </w:r>
      <w:r>
        <w:rPr/>
        <w:t>股股份购买相关资产，其中 </w:t>
      </w:r>
      <w:r>
        <w:rPr>
          <w:rFonts w:ascii="宋体" w:hAnsi="宋体" w:cs="宋体" w:eastAsia="宋体" w:hint="default"/>
        </w:rPr>
        <w:t>32,665,317.00</w:t>
      </w:r>
      <w:r>
        <w:rPr/>
        <w:t>元计入股本，</w:t>
      </w:r>
      <w:r>
        <w:rPr>
          <w:rFonts w:ascii="宋体" w:hAnsi="宋体" w:cs="宋体" w:eastAsia="宋体" w:hint="default"/>
        </w:rPr>
        <w:t>456,334,683.00</w:t>
      </w:r>
      <w:r>
        <w:rPr/>
        <w:t>元计入资本公积。</w:t>
      </w:r>
    </w:p>
    <w:p>
      <w:pPr>
        <w:pStyle w:val="BodyText"/>
        <w:spacing w:line="316" w:lineRule="auto" w:before="19"/>
        <w:ind w:right="1124"/>
        <w:jc w:val="left"/>
      </w:pPr>
      <w:r>
        <w:rPr/>
        <w:t>（</w:t>
      </w:r>
      <w:r>
        <w:rPr>
          <w:rFonts w:ascii="宋体" w:hAnsi="宋体" w:cs="宋体" w:eastAsia="宋体" w:hint="default"/>
        </w:rPr>
        <w:t>2</w:t>
      </w:r>
      <w:r>
        <w:rPr/>
        <w:t>）本公司收购子公司部分少数股权，按新取得的长期股权投资与按照新增持股比例计算应享有子公司自购买日开始持续 计算的可辨认净资产份额之间的差额调整资本公积，减少资本公积（股本溢价）</w:t>
      </w:r>
      <w:r>
        <w:rPr>
          <w:rFonts w:ascii="宋体" w:hAnsi="宋体" w:cs="宋体" w:eastAsia="宋体" w:hint="default"/>
        </w:rPr>
        <w:t>589,196.39</w:t>
      </w:r>
      <w:r>
        <w:rPr/>
        <w:t>元。</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30、其他综合收益" w:id="291"/>
      <w:bookmarkEnd w:id="291"/>
      <w:r>
        <w:rPr>
          <w:b w:val="0"/>
          <w:bCs w:val="0"/>
        </w:rPr>
      </w:r>
      <w:r>
        <w:rPr>
          <w:rFonts w:ascii="Times New Roman" w:hAnsi="Times New Roman" w:cs="Times New Roman" w:eastAsia="Times New Roman" w:hint="default"/>
        </w:rPr>
        <w:t>30</w:t>
      </w:r>
      <w:r>
        <w:rPr/>
        <w:t>、其他综合收益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44"/>
        <w:gridCol w:w="975"/>
        <w:gridCol w:w="852"/>
        <w:gridCol w:w="1053"/>
        <w:gridCol w:w="840"/>
        <w:gridCol w:w="863"/>
        <w:gridCol w:w="865"/>
        <w:gridCol w:w="493"/>
        <w:gridCol w:w="1074"/>
      </w:tblGrid>
      <w:tr>
        <w:trPr>
          <w:trHeight w:val="399" w:hRule="exact"/>
        </w:trPr>
        <w:tc>
          <w:tcPr>
            <w:tcW w:w="2544" w:type="dxa"/>
            <w:vMerge w:val="restart"/>
            <w:tcBorders>
              <w:top w:val="single" w:sz="4" w:space="0" w:color="000000"/>
              <w:left w:val="single" w:sz="4" w:space="0" w:color="000000"/>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shd w:val="clear" w:color="auto" w:fill="D2D2D2"/>
          </w:tcPr>
          <w:p>
            <w:pPr/>
          </w:p>
        </w:tc>
        <w:tc>
          <w:tcPr>
            <w:tcW w:w="496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074" w:type="dxa"/>
            <w:vMerge w:val="restart"/>
            <w:tcBorders>
              <w:top w:val="single" w:sz="4" w:space="0" w:color="000000"/>
              <w:left w:val="single" w:sz="4" w:space="0" w:color="000000"/>
              <w:right w:val="single" w:sz="4" w:space="0" w:color="000000"/>
            </w:tcBorders>
            <w:shd w:val="clear" w:color="auto" w:fill="D2D2D2"/>
          </w:tcPr>
          <w:p>
            <w:pPr/>
          </w:p>
        </w:tc>
      </w:tr>
      <w:tr>
        <w:trPr>
          <w:trHeight w:val="166"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10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1" w:right="47"/>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63" w:type="dxa"/>
            <w:vMerge w:val="restart"/>
            <w:tcBorders>
              <w:top w:val="single" w:sz="4" w:space="0" w:color="000000"/>
              <w:left w:val="single" w:sz="4" w:space="0" w:color="000000"/>
              <w:right w:val="single" w:sz="4" w:space="0" w:color="000000"/>
            </w:tcBorders>
            <w:shd w:val="clear" w:color="auto" w:fill="D2D2D2"/>
          </w:tcPr>
          <w:p>
            <w:pPr/>
          </w:p>
        </w:tc>
        <w:tc>
          <w:tcPr>
            <w:tcW w:w="865" w:type="dxa"/>
            <w:vMerge w:val="restart"/>
            <w:tcBorders>
              <w:top w:val="single" w:sz="4" w:space="0" w:color="000000"/>
              <w:left w:val="single" w:sz="4" w:space="0" w:color="000000"/>
              <w:right w:val="single" w:sz="4" w:space="0" w:color="000000"/>
            </w:tcBorders>
            <w:shd w:val="clear" w:color="auto" w:fill="D2D2D2"/>
          </w:tcPr>
          <w:p>
            <w:pPr/>
          </w:p>
        </w:tc>
        <w:tc>
          <w:tcPr>
            <w:tcW w:w="4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0" w:right="61"/>
              <w:jc w:val="both"/>
              <w:rPr>
                <w:rFonts w:ascii="宋体" w:hAnsi="宋体" w:cs="宋体" w:eastAsia="宋体" w:hint="default"/>
                <w:sz w:val="18"/>
                <w:szCs w:val="18"/>
              </w:rPr>
            </w:pPr>
            <w:r>
              <w:rPr>
                <w:rFonts w:ascii="宋体" w:hAnsi="宋体" w:cs="宋体" w:eastAsia="宋体" w:hint="default"/>
                <w:sz w:val="18"/>
                <w:szCs w:val="18"/>
              </w:rPr>
              <w:t>税后 归属 于少 数股 东</w:t>
            </w:r>
          </w:p>
        </w:tc>
        <w:tc>
          <w:tcPr>
            <w:tcW w:w="1074" w:type="dxa"/>
            <w:vMerge/>
            <w:tcBorders>
              <w:left w:val="single" w:sz="4" w:space="0" w:color="000000"/>
              <w:right w:val="single" w:sz="4" w:space="0" w:color="000000"/>
            </w:tcBorders>
            <w:shd w:val="clear" w:color="auto" w:fill="D2D2D2"/>
          </w:tcPr>
          <w:p>
            <w:pPr/>
          </w:p>
        </w:tc>
      </w:tr>
      <w:tr>
        <w:trPr>
          <w:trHeight w:val="156"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40" w:type="dxa"/>
            <w:vMerge/>
            <w:tcBorders>
              <w:left w:val="single" w:sz="4" w:space="0" w:color="000000"/>
              <w:right w:val="single" w:sz="4" w:space="0" w:color="000000"/>
            </w:tcBorders>
            <w:shd w:val="clear" w:color="auto" w:fill="D2D2D2"/>
          </w:tcPr>
          <w:p>
            <w:pPr/>
          </w:p>
        </w:tc>
        <w:tc>
          <w:tcPr>
            <w:tcW w:w="863" w:type="dxa"/>
            <w:vMerge/>
            <w:tcBorders>
              <w:left w:val="single" w:sz="4" w:space="0" w:color="000000"/>
              <w:right w:val="single" w:sz="4" w:space="0" w:color="000000"/>
            </w:tcBorders>
            <w:shd w:val="clear" w:color="auto" w:fill="D2D2D2"/>
          </w:tcPr>
          <w:p>
            <w:pPr/>
          </w:p>
        </w:tc>
        <w:tc>
          <w:tcPr>
            <w:tcW w:w="865" w:type="dxa"/>
            <w:vMerge/>
            <w:tcBorders>
              <w:left w:val="single" w:sz="4" w:space="0" w:color="000000"/>
              <w:right w:val="single" w:sz="4" w:space="0" w:color="000000"/>
            </w:tcBorders>
            <w:shd w:val="clear" w:color="auto" w:fill="D2D2D2"/>
          </w:tcPr>
          <w:p>
            <w:pPr/>
          </w:p>
        </w:tc>
        <w:tc>
          <w:tcPr>
            <w:tcW w:w="493" w:type="dxa"/>
            <w:vMerge/>
            <w:tcBorders>
              <w:left w:val="single" w:sz="4" w:space="0" w:color="000000"/>
              <w:right w:val="single" w:sz="4" w:space="0" w:color="000000"/>
            </w:tcBorders>
            <w:shd w:val="clear" w:color="auto" w:fill="D2D2D2"/>
          </w:tcPr>
          <w:p>
            <w:pPr/>
          </w:p>
        </w:tc>
        <w:tc>
          <w:tcPr>
            <w:tcW w:w="1074" w:type="dxa"/>
            <w:vMerge/>
            <w:tcBorders>
              <w:left w:val="single" w:sz="4" w:space="0" w:color="000000"/>
              <w:right w:val="single" w:sz="4" w:space="0" w:color="000000"/>
            </w:tcBorders>
            <w:shd w:val="clear" w:color="auto" w:fill="D2D2D2"/>
          </w:tcPr>
          <w:p>
            <w:pPr/>
          </w:p>
        </w:tc>
      </w:tr>
      <w:tr>
        <w:trPr>
          <w:trHeight w:val="110" w:hRule="exact"/>
        </w:trPr>
        <w:tc>
          <w:tcPr>
            <w:tcW w:w="2544" w:type="dxa"/>
            <w:vMerge/>
            <w:tcBorders>
              <w:left w:val="single" w:sz="4" w:space="0" w:color="000000"/>
              <w:bottom w:val="nil" w:sz="6" w:space="0" w:color="auto"/>
              <w:right w:val="single" w:sz="4" w:space="0" w:color="000000"/>
            </w:tcBorders>
            <w:shd w:val="clear" w:color="auto" w:fill="D2D2D2"/>
          </w:tcPr>
          <w:p>
            <w:pPr/>
          </w:p>
        </w:tc>
        <w:tc>
          <w:tcPr>
            <w:tcW w:w="975"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2" w:right="59"/>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3" w:type="dxa"/>
            <w:vMerge/>
            <w:tcBorders>
              <w:left w:val="single" w:sz="4" w:space="0" w:color="000000"/>
              <w:right w:val="single" w:sz="4" w:space="0" w:color="000000"/>
            </w:tcBorders>
            <w:shd w:val="clear" w:color="auto" w:fill="D2D2D2"/>
          </w:tcPr>
          <w:p>
            <w:pPr/>
          </w:p>
        </w:tc>
        <w:tc>
          <w:tcPr>
            <w:tcW w:w="840" w:type="dxa"/>
            <w:vMerge/>
            <w:tcBorders>
              <w:left w:val="single" w:sz="4" w:space="0" w:color="000000"/>
              <w:right w:val="single" w:sz="4" w:space="0" w:color="000000"/>
            </w:tcBorders>
            <w:shd w:val="clear" w:color="auto" w:fill="D2D2D2"/>
          </w:tcPr>
          <w:p>
            <w:pPr/>
          </w:p>
        </w:tc>
        <w:tc>
          <w:tcPr>
            <w:tcW w:w="863" w:type="dxa"/>
            <w:vMerge/>
            <w:tcBorders>
              <w:left w:val="single" w:sz="4" w:space="0" w:color="000000"/>
              <w:bottom w:val="nil" w:sz="6" w:space="0" w:color="auto"/>
              <w:right w:val="single" w:sz="4" w:space="0" w:color="000000"/>
            </w:tcBorders>
            <w:shd w:val="clear" w:color="auto" w:fill="D2D2D2"/>
          </w:tcPr>
          <w:p>
            <w:pPr/>
          </w:p>
        </w:tc>
        <w:tc>
          <w:tcPr>
            <w:tcW w:w="865" w:type="dxa"/>
            <w:vMerge/>
            <w:tcBorders>
              <w:left w:val="single" w:sz="4" w:space="0" w:color="000000"/>
              <w:bottom w:val="nil" w:sz="6" w:space="0" w:color="auto"/>
              <w:right w:val="single" w:sz="4" w:space="0" w:color="000000"/>
            </w:tcBorders>
            <w:shd w:val="clear" w:color="auto" w:fill="D2D2D2"/>
          </w:tcPr>
          <w:p>
            <w:pPr/>
          </w:p>
        </w:tc>
        <w:tc>
          <w:tcPr>
            <w:tcW w:w="493" w:type="dxa"/>
            <w:vMerge/>
            <w:tcBorders>
              <w:left w:val="single" w:sz="4" w:space="0" w:color="000000"/>
              <w:right w:val="single" w:sz="4" w:space="0" w:color="000000"/>
            </w:tcBorders>
            <w:shd w:val="clear" w:color="auto" w:fill="D2D2D2"/>
          </w:tcPr>
          <w:p>
            <w:pPr/>
          </w:p>
        </w:tc>
        <w:tc>
          <w:tcPr>
            <w:tcW w:w="1074" w:type="dxa"/>
            <w:vMerge/>
            <w:tcBorders>
              <w:left w:val="single" w:sz="4" w:space="0" w:color="000000"/>
              <w:bottom w:val="nil" w:sz="6" w:space="0" w:color="auto"/>
              <w:right w:val="single" w:sz="4" w:space="0" w:color="000000"/>
            </w:tcBorders>
            <w:shd w:val="clear" w:color="auto" w:fill="D2D2D2"/>
          </w:tcPr>
          <w:p>
            <w:pPr/>
          </w:p>
        </w:tc>
      </w:tr>
      <w:tr>
        <w:trPr>
          <w:trHeight w:val="368" w:hRule="exact"/>
        </w:trPr>
        <w:tc>
          <w:tcPr>
            <w:tcW w:w="2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2" w:type="dxa"/>
            <w:vMerge/>
            <w:tcBorders>
              <w:left w:val="single" w:sz="4" w:space="0" w:color="000000"/>
              <w:right w:val="single" w:sz="4" w:space="0" w:color="000000"/>
            </w:tcBorders>
            <w:shd w:val="clear" w:color="auto" w:fill="D2D2D2"/>
          </w:tcPr>
          <w:p>
            <w:pPr/>
          </w:p>
        </w:tc>
        <w:tc>
          <w:tcPr>
            <w:tcW w:w="1053" w:type="dxa"/>
            <w:vMerge/>
            <w:tcBorders>
              <w:left w:val="single" w:sz="4" w:space="0" w:color="000000"/>
              <w:right w:val="single" w:sz="4" w:space="0" w:color="000000"/>
            </w:tcBorders>
            <w:shd w:val="clear" w:color="auto" w:fill="D2D2D2"/>
          </w:tcPr>
          <w:p>
            <w:pPr/>
          </w:p>
        </w:tc>
        <w:tc>
          <w:tcPr>
            <w:tcW w:w="840" w:type="dxa"/>
            <w:vMerge/>
            <w:tcBorders>
              <w:left w:val="single" w:sz="4" w:space="0" w:color="000000"/>
              <w:right w:val="single" w:sz="4" w:space="0" w:color="000000"/>
            </w:tcBorders>
            <w:shd w:val="clear" w:color="auto" w:fill="D2D2D2"/>
          </w:tcPr>
          <w:p>
            <w:pPr/>
          </w:p>
        </w:tc>
        <w:tc>
          <w:tcPr>
            <w:tcW w:w="86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1"/>
              <w:ind w:left="162" w:right="59"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1"/>
              <w:ind w:left="62" w:right="70"/>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493" w:type="dxa"/>
            <w:vMerge/>
            <w:tcBorders>
              <w:left w:val="single" w:sz="4" w:space="0" w:color="000000"/>
              <w:right w:val="single" w:sz="4" w:space="0" w:color="000000"/>
            </w:tcBorders>
            <w:shd w:val="clear" w:color="auto" w:fill="D2D2D2"/>
          </w:tcPr>
          <w:p>
            <w:pPr/>
          </w:p>
        </w:tc>
        <w:tc>
          <w:tcPr>
            <w:tcW w:w="10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7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544" w:type="dxa"/>
            <w:vMerge w:val="restart"/>
            <w:tcBorders>
              <w:top w:val="nil" w:sz="6" w:space="0" w:color="auto"/>
              <w:left w:val="single" w:sz="4" w:space="0" w:color="000000"/>
              <w:right w:val="single" w:sz="4" w:space="0" w:color="000000"/>
            </w:tcBorders>
            <w:shd w:val="clear" w:color="auto" w:fill="D2D2D2"/>
          </w:tcPr>
          <w:p>
            <w:pPr/>
          </w:p>
        </w:tc>
        <w:tc>
          <w:tcPr>
            <w:tcW w:w="975"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3" w:type="dxa"/>
            <w:vMerge/>
            <w:tcBorders>
              <w:left w:val="single" w:sz="4" w:space="0" w:color="000000"/>
              <w:right w:val="single" w:sz="4" w:space="0" w:color="000000"/>
            </w:tcBorders>
            <w:shd w:val="clear" w:color="auto" w:fill="D2D2D2"/>
          </w:tcPr>
          <w:p>
            <w:pPr/>
          </w:p>
        </w:tc>
        <w:tc>
          <w:tcPr>
            <w:tcW w:w="840" w:type="dxa"/>
            <w:vMerge/>
            <w:tcBorders>
              <w:left w:val="single" w:sz="4" w:space="0" w:color="000000"/>
              <w:right w:val="single" w:sz="4" w:space="0" w:color="000000"/>
            </w:tcBorders>
            <w:shd w:val="clear" w:color="auto" w:fill="D2D2D2"/>
          </w:tcPr>
          <w:p>
            <w:pPr/>
          </w:p>
        </w:tc>
        <w:tc>
          <w:tcPr>
            <w:tcW w:w="863" w:type="dxa"/>
            <w:vMerge/>
            <w:tcBorders>
              <w:left w:val="single" w:sz="4" w:space="0" w:color="000000"/>
              <w:bottom w:val="nil" w:sz="6" w:space="0" w:color="auto"/>
              <w:right w:val="single" w:sz="4" w:space="0" w:color="000000"/>
            </w:tcBorders>
            <w:shd w:val="clear" w:color="auto" w:fill="D2D2D2"/>
          </w:tcPr>
          <w:p>
            <w:pPr/>
          </w:p>
        </w:tc>
        <w:tc>
          <w:tcPr>
            <w:tcW w:w="865" w:type="dxa"/>
            <w:vMerge/>
            <w:tcBorders>
              <w:left w:val="single" w:sz="4" w:space="0" w:color="000000"/>
              <w:bottom w:val="nil" w:sz="6" w:space="0" w:color="auto"/>
              <w:right w:val="single" w:sz="4" w:space="0" w:color="000000"/>
            </w:tcBorders>
            <w:shd w:val="clear" w:color="auto" w:fill="D2D2D2"/>
          </w:tcPr>
          <w:p>
            <w:pPr/>
          </w:p>
        </w:tc>
        <w:tc>
          <w:tcPr>
            <w:tcW w:w="493" w:type="dxa"/>
            <w:vMerge/>
            <w:tcBorders>
              <w:left w:val="single" w:sz="4" w:space="0" w:color="000000"/>
              <w:right w:val="single" w:sz="4" w:space="0" w:color="000000"/>
            </w:tcBorders>
            <w:shd w:val="clear" w:color="auto" w:fill="D2D2D2"/>
          </w:tcPr>
          <w:p>
            <w:pPr/>
          </w:p>
        </w:tc>
        <w:tc>
          <w:tcPr>
            <w:tcW w:w="1074"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3" w:type="dxa"/>
            <w:vMerge/>
            <w:tcBorders>
              <w:left w:val="single" w:sz="4" w:space="0" w:color="000000"/>
              <w:right w:val="single" w:sz="4" w:space="0" w:color="000000"/>
            </w:tcBorders>
            <w:shd w:val="clear" w:color="auto" w:fill="D2D2D2"/>
          </w:tcPr>
          <w:p>
            <w:pPr/>
          </w:p>
        </w:tc>
        <w:tc>
          <w:tcPr>
            <w:tcW w:w="840" w:type="dxa"/>
            <w:vMerge/>
            <w:tcBorders>
              <w:left w:val="single" w:sz="4" w:space="0" w:color="000000"/>
              <w:right w:val="single" w:sz="4" w:space="0" w:color="000000"/>
            </w:tcBorders>
            <w:shd w:val="clear" w:color="auto" w:fill="D2D2D2"/>
          </w:tcPr>
          <w:p>
            <w:pPr/>
          </w:p>
        </w:tc>
        <w:tc>
          <w:tcPr>
            <w:tcW w:w="863" w:type="dxa"/>
            <w:vMerge w:val="restart"/>
            <w:tcBorders>
              <w:top w:val="nil" w:sz="6" w:space="0" w:color="auto"/>
              <w:left w:val="single" w:sz="4" w:space="0" w:color="000000"/>
              <w:right w:val="single" w:sz="4" w:space="0" w:color="000000"/>
            </w:tcBorders>
            <w:shd w:val="clear" w:color="auto" w:fill="D2D2D2"/>
          </w:tcPr>
          <w:p>
            <w:pPr/>
          </w:p>
        </w:tc>
        <w:tc>
          <w:tcPr>
            <w:tcW w:w="865" w:type="dxa"/>
            <w:vMerge w:val="restart"/>
            <w:tcBorders>
              <w:top w:val="nil" w:sz="6" w:space="0" w:color="auto"/>
              <w:left w:val="single" w:sz="4" w:space="0" w:color="000000"/>
              <w:right w:val="single" w:sz="4" w:space="0" w:color="000000"/>
            </w:tcBorders>
            <w:shd w:val="clear" w:color="auto" w:fill="D2D2D2"/>
          </w:tcPr>
          <w:p>
            <w:pPr/>
          </w:p>
        </w:tc>
        <w:tc>
          <w:tcPr>
            <w:tcW w:w="493" w:type="dxa"/>
            <w:vMerge/>
            <w:tcBorders>
              <w:left w:val="single" w:sz="4" w:space="0" w:color="000000"/>
              <w:right w:val="single" w:sz="4" w:space="0" w:color="000000"/>
            </w:tcBorders>
            <w:shd w:val="clear" w:color="auto" w:fill="D2D2D2"/>
          </w:tcPr>
          <w:p>
            <w:pPr/>
          </w:p>
        </w:tc>
        <w:tc>
          <w:tcPr>
            <w:tcW w:w="1074" w:type="dxa"/>
            <w:vMerge/>
            <w:tcBorders>
              <w:left w:val="single" w:sz="4" w:space="0" w:color="000000"/>
              <w:right w:val="single" w:sz="4" w:space="0" w:color="000000"/>
            </w:tcBorders>
            <w:shd w:val="clear" w:color="auto" w:fill="D2D2D2"/>
          </w:tcPr>
          <w:p>
            <w:pPr/>
          </w:p>
        </w:tc>
      </w:tr>
      <w:tr>
        <w:trPr>
          <w:trHeight w:val="156"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1053" w:type="dxa"/>
            <w:vMerge/>
            <w:tcBorders>
              <w:left w:val="single" w:sz="4" w:space="0" w:color="000000"/>
              <w:bottom w:val="nil" w:sz="6" w:space="0" w:color="auto"/>
              <w:right w:val="single" w:sz="4" w:space="0" w:color="000000"/>
            </w:tcBorders>
            <w:shd w:val="clear" w:color="auto" w:fill="D2D2D2"/>
          </w:tcPr>
          <w:p>
            <w:pPr/>
          </w:p>
        </w:tc>
        <w:tc>
          <w:tcPr>
            <w:tcW w:w="840" w:type="dxa"/>
            <w:vMerge/>
            <w:tcBorders>
              <w:left w:val="single" w:sz="4" w:space="0" w:color="000000"/>
              <w:right w:val="single" w:sz="4" w:space="0" w:color="000000"/>
            </w:tcBorders>
            <w:shd w:val="clear" w:color="auto" w:fill="D2D2D2"/>
          </w:tcPr>
          <w:p>
            <w:pPr/>
          </w:p>
        </w:tc>
        <w:tc>
          <w:tcPr>
            <w:tcW w:w="863" w:type="dxa"/>
            <w:vMerge/>
            <w:tcBorders>
              <w:left w:val="single" w:sz="4" w:space="0" w:color="000000"/>
              <w:right w:val="single" w:sz="4" w:space="0" w:color="000000"/>
            </w:tcBorders>
            <w:shd w:val="clear" w:color="auto" w:fill="D2D2D2"/>
          </w:tcPr>
          <w:p>
            <w:pPr/>
          </w:p>
        </w:tc>
        <w:tc>
          <w:tcPr>
            <w:tcW w:w="865" w:type="dxa"/>
            <w:vMerge/>
            <w:tcBorders>
              <w:left w:val="single" w:sz="4" w:space="0" w:color="000000"/>
              <w:right w:val="single" w:sz="4" w:space="0" w:color="000000"/>
            </w:tcBorders>
            <w:shd w:val="clear" w:color="auto" w:fill="D2D2D2"/>
          </w:tcPr>
          <w:p>
            <w:pPr/>
          </w:p>
        </w:tc>
        <w:tc>
          <w:tcPr>
            <w:tcW w:w="493" w:type="dxa"/>
            <w:vMerge/>
            <w:tcBorders>
              <w:left w:val="single" w:sz="4" w:space="0" w:color="000000"/>
              <w:right w:val="single" w:sz="4" w:space="0" w:color="000000"/>
            </w:tcBorders>
            <w:shd w:val="clear" w:color="auto" w:fill="D2D2D2"/>
          </w:tcPr>
          <w:p>
            <w:pPr/>
          </w:p>
        </w:tc>
        <w:tc>
          <w:tcPr>
            <w:tcW w:w="1074" w:type="dxa"/>
            <w:vMerge/>
            <w:tcBorders>
              <w:left w:val="single" w:sz="4" w:space="0" w:color="000000"/>
              <w:right w:val="single" w:sz="4" w:space="0" w:color="000000"/>
            </w:tcBorders>
            <w:shd w:val="clear" w:color="auto" w:fill="D2D2D2"/>
          </w:tcPr>
          <w:p>
            <w:pPr/>
          </w:p>
        </w:tc>
      </w:tr>
      <w:tr>
        <w:trPr>
          <w:trHeight w:val="161" w:hRule="exact"/>
        </w:trPr>
        <w:tc>
          <w:tcPr>
            <w:tcW w:w="2544"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0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0" w:type="dxa"/>
            <w:vMerge/>
            <w:tcBorders>
              <w:left w:val="single" w:sz="4" w:space="0" w:color="000000"/>
              <w:bottom w:val="single" w:sz="4" w:space="0" w:color="000000"/>
              <w:right w:val="single" w:sz="4" w:space="0" w:color="000000"/>
            </w:tcBorders>
            <w:shd w:val="clear" w:color="auto" w:fill="D2D2D2"/>
          </w:tcPr>
          <w:p>
            <w:pPr/>
          </w:p>
        </w:tc>
        <w:tc>
          <w:tcPr>
            <w:tcW w:w="863" w:type="dxa"/>
            <w:vMerge/>
            <w:tcBorders>
              <w:left w:val="single" w:sz="4" w:space="0" w:color="000000"/>
              <w:bottom w:val="single" w:sz="4" w:space="0" w:color="000000"/>
              <w:right w:val="single" w:sz="4" w:space="0" w:color="000000"/>
            </w:tcBorders>
            <w:shd w:val="clear" w:color="auto" w:fill="D2D2D2"/>
          </w:tcPr>
          <w:p>
            <w:pPr/>
          </w:p>
        </w:tc>
        <w:tc>
          <w:tcPr>
            <w:tcW w:w="865" w:type="dxa"/>
            <w:vMerge/>
            <w:tcBorders>
              <w:left w:val="single" w:sz="4" w:space="0" w:color="000000"/>
              <w:bottom w:val="single" w:sz="4" w:space="0" w:color="000000"/>
              <w:right w:val="single" w:sz="4" w:space="0" w:color="000000"/>
            </w:tcBorders>
            <w:shd w:val="clear" w:color="auto" w:fill="D2D2D2"/>
          </w:tcPr>
          <w:p>
            <w:pPr/>
          </w:p>
        </w:tc>
        <w:tc>
          <w:tcPr>
            <w:tcW w:w="493" w:type="dxa"/>
            <w:vMerge/>
            <w:tcBorders>
              <w:left w:val="single" w:sz="4" w:space="0" w:color="000000"/>
              <w:bottom w:val="single" w:sz="4" w:space="0" w:color="000000"/>
              <w:right w:val="single" w:sz="4" w:space="0" w:color="000000"/>
            </w:tcBorders>
            <w:shd w:val="clear" w:color="auto" w:fill="D2D2D2"/>
          </w:tcPr>
          <w:p>
            <w:pPr/>
          </w:p>
        </w:tc>
        <w:tc>
          <w:tcPr>
            <w:tcW w:w="1074"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收益</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-92,579.10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-60,105.50</w:t>
            </w:r>
          </w:p>
        </w:tc>
        <w:tc>
          <w:tcPr>
            <w:tcW w:w="1053"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-60,105.50</w:t>
            </w:r>
          </w:p>
        </w:tc>
        <w:tc>
          <w:tcPr>
            <w:tcW w:w="493"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-152,684.60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55"/>
        <w:gridCol w:w="975"/>
        <w:gridCol w:w="852"/>
        <w:gridCol w:w="1052"/>
        <w:gridCol w:w="852"/>
        <w:gridCol w:w="852"/>
        <w:gridCol w:w="853"/>
        <w:gridCol w:w="516"/>
        <w:gridCol w:w="1063"/>
      </w:tblGrid>
      <w:tr>
        <w:trPr>
          <w:trHeight w:val="401"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-92,579.10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-60,105.50</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-60,105.50</w:t>
            </w:r>
          </w:p>
        </w:tc>
        <w:tc>
          <w:tcPr>
            <w:tcW w:w="51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-152,684.60</w:t>
            </w:r>
          </w:p>
        </w:tc>
      </w:tr>
      <w:tr>
        <w:trPr>
          <w:trHeight w:val="403"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-92,579.10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-60,105.50</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-60,105.50</w:t>
            </w:r>
          </w:p>
        </w:tc>
        <w:tc>
          <w:tcPr>
            <w:tcW w:w="51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-152,684.60</w:t>
            </w:r>
          </w:p>
        </w:tc>
      </w:tr>
    </w:tbl>
    <w:p>
      <w:pPr>
        <w:pStyle w:val="BodyText"/>
        <w:spacing w:line="240" w:lineRule="auto" w:before="49"/>
        <w:ind w:right="1133"/>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1、盈余公积" w:id="292"/>
      <w:bookmarkEnd w:id="292"/>
      <w:r>
        <w:rPr>
          <w:b w:val="0"/>
          <w:bCs w:val="0"/>
        </w:rPr>
      </w:r>
      <w:r>
        <w:rPr>
          <w:rFonts w:ascii="Times New Roman" w:hAnsi="Times New Roman" w:cs="Times New Roman" w:eastAsia="Times New Roman" w:hint="default"/>
        </w:rPr>
        <w:t>31</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19,176,571.97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19,176,571.97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19,176,571.97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19,176,571.97</w:t>
            </w:r>
          </w:p>
        </w:tc>
      </w:tr>
    </w:tbl>
    <w:p>
      <w:pPr>
        <w:pStyle w:val="BodyText"/>
        <w:spacing w:line="240" w:lineRule="auto" w:before="49"/>
        <w:ind w:right="1133"/>
        <w:jc w:val="left"/>
      </w:pPr>
      <w:r>
        <w:rPr/>
        <w:t>盈余公积说明，包括本期增减变动情况、变动原因说明：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2、未分配利润" w:id="293"/>
      <w:bookmarkEnd w:id="293"/>
      <w:r>
        <w:rPr>
          <w:b w:val="0"/>
          <w:bCs w:val="0"/>
        </w:rPr>
      </w:r>
      <w:r>
        <w:rPr>
          <w:rFonts w:ascii="Times New Roman" w:hAnsi="Times New Roman" w:cs="Times New Roman" w:eastAsia="Times New Roman" w:hint="default"/>
        </w:rPr>
        <w:t>32</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381,974,990.59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275,248,992.99</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381,974,990.59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275,248,992.99</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51,356,383.35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117,250,420.08</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4,924,422.48</w:t>
            </w:r>
          </w:p>
        </w:tc>
      </w:tr>
      <w:tr>
        <w:trPr>
          <w:trHeight w:val="404"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5,600,000.00</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424,931,373.94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381,974,990.59</w:t>
            </w:r>
          </w:p>
        </w:tc>
      </w:tr>
    </w:tbl>
    <w:p>
      <w:pPr>
        <w:pStyle w:val="BodyText"/>
        <w:spacing w:line="240" w:lineRule="auto" w:before="49"/>
        <w:ind w:right="1133"/>
        <w:jc w:val="left"/>
      </w:pPr>
      <w:r>
        <w:rPr/>
        <w:t>调整期初未分配利润明细：</w:t>
      </w:r>
    </w:p>
    <w:p>
      <w:pPr>
        <w:pStyle w:val="BodyText"/>
        <w:spacing w:line="240" w:lineRule="auto" w:before="117"/>
        <w:ind w:right="1133"/>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1133"/>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33"/>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33"/>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1133"/>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33、营业收入和营业成本" w:id="294"/>
      <w:bookmarkEnd w:id="294"/>
      <w:r>
        <w:rPr>
          <w:b w:val="0"/>
          <w:bCs w:val="0"/>
        </w:rPr>
      </w:r>
      <w:r>
        <w:rPr>
          <w:rFonts w:ascii="Times New Roman" w:hAnsi="Times New Roman" w:cs="Times New Roman" w:eastAsia="Times New Roman" w:hint="default"/>
        </w:rPr>
        <w:t>33</w:t>
      </w:r>
      <w:r>
        <w:rPr/>
        <w:t>、营业收入和营业成本</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951,309,604.48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633,137,963.88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951,939,425.66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634,928,821.30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951,309,604.48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633,137,963.88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951,939,425.66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634,928,821.30</w:t>
            </w:r>
          </w:p>
        </w:tc>
      </w:tr>
    </w:tbl>
    <w:p>
      <w:pPr>
        <w:pStyle w:val="BodyText"/>
        <w:spacing w:line="240" w:lineRule="auto" w:before="49"/>
        <w:ind w:right="1133"/>
        <w:jc w:val="left"/>
      </w:pPr>
      <w:r>
        <w:rPr/>
        <w:t>是否已执行新收入准则</w:t>
      </w:r>
    </w:p>
    <w:p>
      <w:pPr>
        <w:pStyle w:val="BodyText"/>
        <w:spacing w:line="240" w:lineRule="auto" w:before="114"/>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其他说明</w:t>
      </w:r>
    </w:p>
    <w:p>
      <w:pPr>
        <w:pStyle w:val="BodyText"/>
        <w:spacing w:line="240" w:lineRule="auto" w:before="117"/>
        <w:ind w:left="513" w:right="1133"/>
        <w:jc w:val="left"/>
      </w:pPr>
      <w:r>
        <w:rPr/>
        <w:t>主营业务（分产品）</w:t>
      </w:r>
    </w:p>
    <w:p>
      <w:pPr>
        <w:spacing w:line="240" w:lineRule="auto" w:before="3"/>
        <w:rPr>
          <w:rFonts w:ascii="宋体" w:hAnsi="宋体" w:cs="宋体" w:eastAsia="宋体" w:hint="default"/>
          <w:sz w:val="5"/>
          <w:szCs w:val="5"/>
        </w:rPr>
      </w:pPr>
    </w:p>
    <w:tbl>
      <w:tblPr>
        <w:tblW w:w="0" w:type="auto"/>
        <w:jc w:val="left"/>
        <w:tblInd w:w="150" w:type="dxa"/>
        <w:tblLayout w:type="fixed"/>
        <w:tblCellMar>
          <w:top w:w="0" w:type="dxa"/>
          <w:left w:w="0" w:type="dxa"/>
          <w:bottom w:w="0" w:type="dxa"/>
          <w:right w:w="0" w:type="dxa"/>
        </w:tblCellMar>
        <w:tblLook w:val="01E0"/>
      </w:tblPr>
      <w:tblGrid>
        <w:gridCol w:w="1776"/>
        <w:gridCol w:w="1945"/>
        <w:gridCol w:w="2105"/>
        <w:gridCol w:w="1942"/>
        <w:gridCol w:w="1862"/>
      </w:tblGrid>
      <w:tr>
        <w:trPr>
          <w:trHeight w:val="346" w:hRule="exact"/>
        </w:trPr>
        <w:tc>
          <w:tcPr>
            <w:tcW w:w="177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7"/>
              <w:ind w:left="523"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4050"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05"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8" w:hRule="exact"/>
        </w:trPr>
        <w:tc>
          <w:tcPr>
            <w:tcW w:w="1776" w:type="dxa"/>
            <w:vMerge/>
            <w:tcBorders>
              <w:left w:val="single" w:sz="6" w:space="0" w:color="000000"/>
              <w:bottom w:val="single" w:sz="6" w:space="0" w:color="000000"/>
              <w:right w:val="single" w:sz="6" w:space="0" w:color="000000"/>
            </w:tcBorders>
            <w:shd w:val="clear" w:color="auto" w:fill="D9D9D9"/>
          </w:tcPr>
          <w:p>
            <w:pPr/>
          </w:p>
        </w:tc>
        <w:tc>
          <w:tcPr>
            <w:tcW w:w="19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60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1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68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60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46" w:hRule="exact"/>
        </w:trPr>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设备销售</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866,633,242.59</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589,712,174.92</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883,827,895.38</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600,693,405.98</w:t>
            </w:r>
          </w:p>
        </w:tc>
      </w:tr>
      <w:tr>
        <w:trPr>
          <w:trHeight w:val="348" w:hRule="exact"/>
        </w:trPr>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配件销售</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33,259,664.70</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16,817,294.99</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27,138,250.33</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19,360,722.65</w:t>
            </w:r>
          </w:p>
        </w:tc>
      </w:tr>
      <w:tr>
        <w:trPr>
          <w:trHeight w:val="348" w:hRule="exact"/>
        </w:trPr>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304,247.79</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103,773.58</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6" w:hRule="exact"/>
        </w:trPr>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开发及服务</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25,901,806.73</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5,531,931.53</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23,542,173.88</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2,829,666.74</w:t>
            </w:r>
          </w:p>
        </w:tc>
      </w:tr>
      <w:tr>
        <w:trPr>
          <w:trHeight w:val="348" w:hRule="exact"/>
        </w:trPr>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贸易商品</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25,139,716.05</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20,945,121.13</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16,512,874.43</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11,710,876.43</w:t>
            </w:r>
          </w:p>
        </w:tc>
      </w:tr>
      <w:tr>
        <w:trPr>
          <w:trHeight w:val="346" w:hRule="exact"/>
        </w:trPr>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宋体" w:hAnsi="宋体" w:cs="宋体" w:eastAsia="宋体" w:hint="default"/>
                <w:sz w:val="18"/>
                <w:szCs w:val="18"/>
              </w:rPr>
              <w:t>机具租赁</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70,926.62</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27,667.73</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918,231.64</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334,149.50</w:t>
            </w:r>
          </w:p>
        </w:tc>
      </w:tr>
      <w:tr>
        <w:trPr>
          <w:trHeight w:val="348" w:hRule="exact"/>
        </w:trPr>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951,309,604.48</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633,137,963.88</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951,939,425.66</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634,928,821.30</w:t>
            </w:r>
          </w:p>
        </w:tc>
      </w:tr>
    </w:tbl>
    <w:p>
      <w:pPr>
        <w:pStyle w:val="BodyText"/>
        <w:spacing w:line="240" w:lineRule="auto" w:before="8"/>
        <w:ind w:left="513" w:right="1133"/>
        <w:jc w:val="left"/>
      </w:pPr>
      <w:r>
        <w:rPr/>
        <w:t>主营业务收入前五名</w:t>
      </w:r>
    </w:p>
    <w:p>
      <w:pPr>
        <w:spacing w:line="240" w:lineRule="auto" w:before="9"/>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003"/>
        <w:gridCol w:w="3380"/>
        <w:gridCol w:w="3253"/>
      </w:tblGrid>
      <w:tr>
        <w:trPr>
          <w:trHeight w:val="342" w:hRule="exact"/>
        </w:trPr>
        <w:tc>
          <w:tcPr>
            <w:tcW w:w="3003"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4"/>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6632"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346" w:hRule="exact"/>
        </w:trPr>
        <w:tc>
          <w:tcPr>
            <w:tcW w:w="3003" w:type="dxa"/>
            <w:vMerge/>
            <w:tcBorders>
              <w:left w:val="single" w:sz="6" w:space="0" w:color="000000"/>
              <w:bottom w:val="single" w:sz="6" w:space="0" w:color="000000"/>
              <w:right w:val="single" w:sz="6" w:space="0" w:color="000000"/>
            </w:tcBorders>
            <w:shd w:val="clear" w:color="auto" w:fill="D9D9D9"/>
          </w:tcPr>
          <w:p>
            <w:pPr/>
          </w:p>
        </w:tc>
        <w:tc>
          <w:tcPr>
            <w:tcW w:w="33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2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8" w:hRule="exact"/>
        </w:trPr>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216,074,643.70</w:t>
            </w:r>
          </w:p>
        </w:tc>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22.71</w:t>
            </w:r>
          </w:p>
        </w:tc>
      </w:tr>
      <w:tr>
        <w:trPr>
          <w:trHeight w:val="348" w:hRule="exact"/>
        </w:trPr>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108,976,161.96</w:t>
            </w:r>
          </w:p>
        </w:tc>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11.46</w:t>
            </w:r>
          </w:p>
        </w:tc>
      </w:tr>
      <w:tr>
        <w:trPr>
          <w:trHeight w:val="346" w:hRule="exact"/>
        </w:trPr>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88,108,355.63</w:t>
            </w:r>
          </w:p>
        </w:tc>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9.26</w:t>
            </w:r>
          </w:p>
        </w:tc>
      </w:tr>
      <w:tr>
        <w:trPr>
          <w:trHeight w:val="348" w:hRule="exact"/>
        </w:trPr>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43,732,241.56</w:t>
            </w:r>
          </w:p>
        </w:tc>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4.60</w:t>
            </w:r>
          </w:p>
        </w:tc>
      </w:tr>
      <w:tr>
        <w:trPr>
          <w:trHeight w:val="346" w:hRule="exact"/>
        </w:trPr>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38,774,339.78</w:t>
            </w:r>
          </w:p>
        </w:tc>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4.08</w:t>
            </w:r>
          </w:p>
        </w:tc>
      </w:tr>
      <w:tr>
        <w:trPr>
          <w:trHeight w:val="348" w:hRule="exact"/>
        </w:trPr>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495,665,742.63</w:t>
            </w:r>
          </w:p>
        </w:tc>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52.11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4、税金及附加" w:id="295"/>
      <w:bookmarkEnd w:id="295"/>
      <w:r>
        <w:rPr>
          <w:b w:val="0"/>
          <w:bCs w:val="0"/>
        </w:rPr>
      </w:r>
      <w:r>
        <w:rPr>
          <w:rFonts w:ascii="Times New Roman" w:hAnsi="Times New Roman" w:cs="Times New Roman" w:eastAsia="Times New Roman" w:hint="default"/>
        </w:rPr>
        <w:t>34</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2,412,458.53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2,328,142.16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1,713,057.58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1,636,970.08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217,618.40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103,627.82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642,280.54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794,545.52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4,985,415.05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4,863,285.58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5、销售费用" w:id="296"/>
      <w:bookmarkEnd w:id="296"/>
      <w:r>
        <w:rPr>
          <w:b w:val="0"/>
          <w:bCs w:val="0"/>
        </w:rPr>
      </w:r>
      <w:r>
        <w:rPr>
          <w:rFonts w:ascii="Times New Roman" w:hAnsi="Times New Roman" w:cs="Times New Roman" w:eastAsia="Times New Roman" w:hint="default"/>
        </w:rPr>
        <w:t>35</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24,456,935.32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24,904,491.46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29,204,188.13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14,182,530.49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4,925,777.26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4,677,106.44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1,450,171.76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2,277,677.19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2,251,868.25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2,948,774.85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10,200,005.67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2,627,882.99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售后费用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12,149,587.18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7,165,407.58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1,586,378.79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1,105,171.57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86,224,912.36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59,889,042.57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6、管理费用" w:id="297"/>
      <w:bookmarkEnd w:id="297"/>
      <w:r>
        <w:rPr>
          <w:b w:val="0"/>
          <w:bCs w:val="0"/>
        </w:rPr>
      </w:r>
      <w:r>
        <w:rPr>
          <w:rFonts w:ascii="Times New Roman" w:hAnsi="Times New Roman" w:cs="Times New Roman" w:eastAsia="Times New Roman" w:hint="default"/>
        </w:rPr>
        <w:t>36</w:t>
      </w:r>
      <w:r>
        <w:rPr/>
        <w:t>、管理费用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13,088,699.11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11,341,447.94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4,843,806.21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3,321,394.46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中介及咨询费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7,875,867.58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1,967,811.67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1,258,683.50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1,717,968.46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449,439.07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416,617.03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1,926,798.53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1,796,126.90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存货报废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6,068,384.22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15,040,848.74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631,432.94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440,829.57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36,143,111.16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36,043,044.77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7、研发费用" w:id="298"/>
      <w:bookmarkEnd w:id="298"/>
      <w:r>
        <w:rPr>
          <w:b w:val="0"/>
          <w:bCs w:val="0"/>
        </w:rPr>
      </w:r>
      <w:r>
        <w:rPr>
          <w:rFonts w:ascii="Times New Roman" w:hAnsi="Times New Roman" w:cs="Times New Roman" w:eastAsia="Times New Roman" w:hint="default"/>
        </w:rPr>
        <w:t>37</w:t>
      </w:r>
      <w:r>
        <w:rPr/>
        <w:t>、研发费用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46,016,716.96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43,440,748.58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3,706,975.19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3,670,331.15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867,763.78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1,844,683.30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5,199,239.27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2,781,611.00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2,329,146.69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2,828,759.69</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技术维护费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13,034,348.55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13,305,678.98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2,850,676.40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4,359,612.35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74,004,866.84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72,231,425.05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8、财务费用" w:id="299"/>
      <w:bookmarkEnd w:id="299"/>
      <w:r>
        <w:rPr>
          <w:b w:val="0"/>
          <w:bCs w:val="0"/>
        </w:rPr>
      </w:r>
      <w:r>
        <w:rPr>
          <w:rFonts w:ascii="Times New Roman" w:hAnsi="Times New Roman" w:cs="Times New Roman" w:eastAsia="Times New Roman" w:hint="default"/>
        </w:rPr>
        <w:t>38</w:t>
      </w:r>
      <w:r>
        <w:rPr/>
        <w:t>、财务费用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5,483,899.23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3,950,449.39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7,264,973.87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3,207,330.84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-6,170,546.30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-4,869,107.54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9,240,101.21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2,907,205.31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1,288,480.27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-1,218,783.68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9、其他收益" w:id="300"/>
      <w:bookmarkEnd w:id="300"/>
      <w:r>
        <w:rPr>
          <w:b w:val="0"/>
          <w:bCs w:val="0"/>
        </w:rPr>
      </w:r>
      <w:r>
        <w:rPr>
          <w:rFonts w:ascii="Times New Roman" w:hAnsi="Times New Roman" w:cs="Times New Roman" w:eastAsia="Times New Roman" w:hint="default"/>
        </w:rPr>
        <w:t>39</w:t>
      </w:r>
      <w:r>
        <w:rPr/>
        <w:t>、其他收益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9,255,039.12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8,827,558.45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21,348,079.07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19,339,558.58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96,033.14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91,569.35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30,699,151.33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28,258,686.38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0、投资收益" w:id="301"/>
      <w:bookmarkEnd w:id="301"/>
      <w:r>
        <w:rPr>
          <w:b w:val="0"/>
          <w:bCs w:val="0"/>
        </w:rPr>
      </w:r>
      <w:r>
        <w:rPr>
          <w:rFonts w:ascii="Times New Roman" w:hAnsi="Times New Roman" w:cs="Times New Roman" w:eastAsia="Times New Roman" w:hint="default"/>
        </w:rPr>
        <w:t>40</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5,552,180.99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6,531,113.71</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1,355,814.32</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5,552,180.99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7,886,928.03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1、公允价值变动收益" w:id="302"/>
      <w:bookmarkEnd w:id="302"/>
      <w:r>
        <w:rPr>
          <w:b w:val="0"/>
          <w:bCs w:val="0"/>
        </w:rPr>
      </w:r>
      <w:r>
        <w:rPr>
          <w:rFonts w:ascii="Times New Roman" w:hAnsi="Times New Roman" w:cs="Times New Roman" w:eastAsia="Times New Roman" w:hint="default"/>
        </w:rPr>
        <w:t>41</w:t>
      </w:r>
      <w:r>
        <w:rPr/>
        <w:t>、公允价值变动收益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货币掉期收益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3,260,345.02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1,628,397.10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591,130.63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应收业绩补偿款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20,415,088.31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1,664,820.06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24,266,563.96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3,293,217.16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2、信用减值损失" w:id="303"/>
      <w:bookmarkEnd w:id="303"/>
      <w:r>
        <w:rPr>
          <w:b w:val="0"/>
          <w:bCs w:val="0"/>
        </w:rPr>
      </w:r>
      <w:r>
        <w:rPr>
          <w:rFonts w:ascii="Times New Roman" w:hAnsi="Times New Roman" w:cs="Times New Roman" w:eastAsia="Times New Roman" w:hint="default"/>
        </w:rPr>
        <w:t>42</w:t>
      </w:r>
      <w:r>
        <w:rPr/>
        <w:t>、信用减值损失</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471,405.49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471,405.49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43、资产减值损失" w:id="304"/>
      <w:bookmarkEnd w:id="304"/>
      <w:r>
        <w:rPr>
          <w:b w:val="0"/>
          <w:bCs w:val="0"/>
        </w:rPr>
      </w:r>
      <w:r>
        <w:rPr>
          <w:rFonts w:ascii="Times New Roman" w:hAnsi="Times New Roman" w:cs="Times New Roman" w:eastAsia="Times New Roman" w:hint="default"/>
        </w:rPr>
        <w:t>43</w:t>
      </w:r>
      <w:r>
        <w:rPr/>
        <w:t>、资产减值损失</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-11,818,660.37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-19,044,980.34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-18,074,814.70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-2,018,488.10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-84,663,087.31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-2,400,390.72</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-105,726,555.75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-32,293,865.79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4、资产处置收益" w:id="305"/>
      <w:bookmarkEnd w:id="305"/>
      <w:r>
        <w:rPr>
          <w:b w:val="0"/>
          <w:bCs w:val="0"/>
        </w:rPr>
      </w:r>
      <w:r>
        <w:rPr>
          <w:rFonts w:ascii="Times New Roman" w:hAnsi="Times New Roman" w:cs="Times New Roman" w:eastAsia="Times New Roman" w:hint="default"/>
        </w:rPr>
        <w:t>44</w:t>
      </w:r>
      <w:r>
        <w:rPr/>
        <w:t>、资产处置收益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-72,072.57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70,749.14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-72,072.57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70,749.14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5、营业外收入" w:id="306"/>
      <w:bookmarkEnd w:id="306"/>
      <w:r>
        <w:rPr>
          <w:b w:val="0"/>
          <w:bCs w:val="0"/>
        </w:rPr>
      </w:r>
      <w:r>
        <w:rPr>
          <w:rFonts w:ascii="Times New Roman" w:hAnsi="Times New Roman" w:cs="Times New Roman" w:eastAsia="Times New Roman" w:hint="default"/>
        </w:rPr>
        <w:t>45</w:t>
      </w:r>
      <w:r>
        <w:rPr/>
        <w:t>、营业外收入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违约赔偿款</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往来款清理</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21,320.00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21,320.00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26,594.03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156,548.68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26,594.03</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47,914.03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606,548.68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47,914.03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6、营业外支出" w:id="307"/>
      <w:bookmarkEnd w:id="307"/>
      <w:r>
        <w:rPr>
          <w:b w:val="0"/>
          <w:bCs w:val="0"/>
        </w:rPr>
      </w:r>
      <w:r>
        <w:rPr>
          <w:rFonts w:ascii="Times New Roman" w:hAnsi="Times New Roman" w:cs="Times New Roman" w:eastAsia="Times New Roman" w:hint="default"/>
        </w:rPr>
        <w:t>46</w:t>
      </w:r>
      <w:r>
        <w:rPr/>
        <w:t>、营业外支出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5,161,317.30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1,658,450.00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5,161,317.30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129,043.28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96,380.99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129,043.28</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37.39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37.39</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63,977.90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201,247.06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63,977.90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390"/>
        <w:gridCol w:w="2396"/>
        <w:gridCol w:w="2393"/>
        <w:gridCol w:w="2393"/>
      </w:tblGrid>
      <w:tr>
        <w:trPr>
          <w:trHeight w:val="40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1" w:right="0"/>
              <w:jc w:val="left"/>
              <w:rPr>
                <w:rFonts w:ascii="Times New Roman" w:hAnsi="Times New Roman" w:cs="Times New Roman" w:eastAsia="Times New Roman" w:hint="default"/>
                <w:sz w:val="18"/>
                <w:szCs w:val="18"/>
              </w:rPr>
            </w:pPr>
            <w:r>
              <w:rPr>
                <w:rFonts w:ascii="Times New Roman"/>
                <w:sz w:val="18"/>
              </w:rPr>
              <w:t>5,354,375.87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3" w:right="0"/>
              <w:jc w:val="left"/>
              <w:rPr>
                <w:rFonts w:ascii="Times New Roman" w:hAnsi="Times New Roman" w:cs="Times New Roman" w:eastAsia="Times New Roman" w:hint="default"/>
                <w:sz w:val="18"/>
                <w:szCs w:val="18"/>
              </w:rPr>
            </w:pPr>
            <w:r>
              <w:rPr>
                <w:rFonts w:ascii="Times New Roman"/>
                <w:sz w:val="18"/>
              </w:rPr>
              <w:t>1,956,078.05</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7、所得税费用" w:id="308"/>
      <w:bookmarkEnd w:id="308"/>
      <w:r>
        <w:rPr>
          <w:b w:val="0"/>
          <w:bCs w:val="0"/>
        </w:rPr>
      </w:r>
      <w:r>
        <w:rPr>
          <w:rFonts w:ascii="Times New Roman" w:hAnsi="Times New Roman" w:cs="Times New Roman" w:eastAsia="Times New Roman" w:hint="default"/>
        </w:rPr>
        <w:t>47</w:t>
      </w:r>
      <w:r>
        <w:rPr/>
        <w:t>、所得税费用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所得税费用表" w:id="309"/>
      <w:bookmarkEnd w:id="309"/>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9,611,781.50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23,246,442.21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446,290.90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-2,700,103.04</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10,058,072.40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20,546,339.17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会计利润与所得税费用调整过程" w:id="310"/>
      <w:bookmarkEnd w:id="310"/>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65,409,066.53</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9,811,359.98</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-3,969,620.49</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-7,183,538.09</w:t>
            </w:r>
          </w:p>
        </w:tc>
      </w:tr>
      <w:tr>
        <w:trPr>
          <w:trHeight w:val="40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13,161,879.35</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-1,257,912.23</w:t>
            </w:r>
          </w:p>
        </w:tc>
      </w:tr>
      <w:tr>
        <w:trPr>
          <w:trHeight w:val="715"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6,077,586.73</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研发费用加计扣除影响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-6,581,682.85</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10,058,072.40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8、现金流量表项目" w:id="311"/>
      <w:bookmarkEnd w:id="311"/>
      <w:r>
        <w:rPr>
          <w:b w:val="0"/>
          <w:bCs w:val="0"/>
        </w:rPr>
      </w:r>
      <w:r>
        <w:rPr>
          <w:rFonts w:ascii="Times New Roman" w:hAnsi="Times New Roman" w:cs="Times New Roman" w:eastAsia="Times New Roman" w:hint="default"/>
        </w:rPr>
        <w:t>48</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收到的其他与经营活动有关的现金" w:id="312"/>
      <w:bookmarkEnd w:id="312"/>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6,775,548.88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8,309,087.12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4,938,449.02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2,926,015.88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6,370,417.51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8,871,970.16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11,520.00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79,537.47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18,095,935.41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20,186,610.63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支付的其他与经营活动有关的现金" w:id="313"/>
      <w:bookmarkEnd w:id="313"/>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6,454,047.80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3,964,734.57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费用支出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97,033,936.35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60,593,404.42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103,487,984.15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64,558,138.99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收到的其他与投资活动有关的现金" w:id="314"/>
      <w:bookmarkEnd w:id="314"/>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388,116,894.25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并购重组诚意金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393,116,894.25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447,500,000.00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支付的其他与投资活动有关的现金" w:id="315"/>
      <w:bookmarkEnd w:id="315"/>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理财产品及结构性存款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386,878,493.29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442,500,000.00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并购重组诚意金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396,878,493.29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447,500,000.00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收到的其他与筹资活动有关的现金" w:id="316"/>
      <w:bookmarkEnd w:id="316"/>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募集资金存款利息及其他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138,236.84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207,686.44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银行承兑及保函保证金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3,052,505.26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138,236.84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3,260,191.70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6）支付的其他与筹资活动有关的现金" w:id="317"/>
      <w:bookmarkEnd w:id="317"/>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银行承兑汇票及保函保证金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14,738,549.08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保函手续费等融资费用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1,075,361.36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2,339,359.51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发行费用及其他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2,072.08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15,813,910.44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2,341,431.59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9、现金流量表补充资料" w:id="318"/>
      <w:bookmarkEnd w:id="318"/>
      <w:r>
        <w:rPr>
          <w:b w:val="0"/>
          <w:bCs w:val="0"/>
        </w:rPr>
      </w:r>
      <w:r>
        <w:rPr>
          <w:rFonts w:ascii="Times New Roman" w:hAnsi="Times New Roman" w:cs="Times New Roman" w:eastAsia="Times New Roman" w:hint="default"/>
        </w:rPr>
        <w:t>49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 现金流量表补充资料" w:id="319"/>
      <w:bookmarkEnd w:id="319"/>
      <w:r>
        <w:rPr>
          <w:b w:val="0"/>
          <w:bCs w:val="0"/>
        </w:rPr>
      </w:r>
      <w:r>
        <w:rPr/>
        <w:t>（</w:t>
      </w:r>
      <w:r>
        <w:rPr>
          <w:rFonts w:ascii="Times New Roman" w:hAnsi="Times New Roman" w:cs="Times New Roman" w:eastAsia="Times New Roman" w:hint="default"/>
        </w:rPr>
        <w:t>1</w:t>
      </w:r>
      <w:r>
        <w:rPr/>
        <w:t>）</w:t>
      </w:r>
      <w:r>
        <w:rPr>
          <w:spacing w:val="-3"/>
        </w:rPr>
        <w:t> </w:t>
      </w:r>
      <w:r>
        <w:rPr/>
        <w:t>现金流量表补充资料</w:t>
      </w:r>
      <w:r>
        <w:rPr>
          <w:b w:val="0"/>
          <w:bCs w:val="0"/>
        </w:rPr>
      </w:r>
    </w:p>
    <w:p>
      <w:pPr>
        <w:spacing w:line="240" w:lineRule="auto" w:before="13"/>
        <w:rPr>
          <w:rFonts w:ascii="宋体" w:hAnsi="宋体" w:cs="宋体" w:eastAsia="宋体" w:hint="default"/>
          <w:b/>
          <w:bCs/>
          <w:sz w:val="25"/>
          <w:szCs w:val="25"/>
        </w:rPr>
      </w:pPr>
    </w:p>
    <w:tbl>
      <w:tblPr>
        <w:tblW w:w="0" w:type="auto"/>
        <w:jc w:val="left"/>
        <w:tblInd w:w="150" w:type="dxa"/>
        <w:tblLayout w:type="fixed"/>
        <w:tblCellMar>
          <w:top w:w="0" w:type="dxa"/>
          <w:left w:w="0" w:type="dxa"/>
          <w:bottom w:w="0" w:type="dxa"/>
          <w:right w:w="0" w:type="dxa"/>
        </w:tblCellMar>
        <w:tblLook w:val="01E0"/>
      </w:tblPr>
      <w:tblGrid>
        <w:gridCol w:w="5089"/>
        <w:gridCol w:w="2271"/>
        <w:gridCol w:w="2273"/>
      </w:tblGrid>
      <w:tr>
        <w:trPr>
          <w:trHeight w:val="342" w:hRule="exact"/>
        </w:trPr>
        <w:tc>
          <w:tcPr>
            <w:tcW w:w="50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7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left="3"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47" w:hRule="exact"/>
        </w:trPr>
        <w:tc>
          <w:tcPr>
            <w:tcW w:w="50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1"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50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55,350,994.13</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130,522,436.45</w:t>
            </w:r>
          </w:p>
        </w:tc>
      </w:tr>
      <w:tr>
        <w:trPr>
          <w:trHeight w:val="347" w:hRule="exact"/>
        </w:trPr>
        <w:tc>
          <w:tcPr>
            <w:tcW w:w="50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加：信用减值损失</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-471,405.49</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8" w:hRule="exact"/>
        </w:trPr>
        <w:tc>
          <w:tcPr>
            <w:tcW w:w="50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105,726,555.75</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32,293,865.79</w:t>
            </w:r>
          </w:p>
        </w:tc>
      </w:tr>
      <w:tr>
        <w:trPr>
          <w:trHeight w:val="347" w:hRule="exact"/>
        </w:trPr>
        <w:tc>
          <w:tcPr>
            <w:tcW w:w="50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4,313,370.06</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4,171,667.30</w:t>
            </w:r>
          </w:p>
        </w:tc>
      </w:tr>
      <w:tr>
        <w:trPr>
          <w:trHeight w:val="347" w:hRule="exact"/>
        </w:trPr>
        <w:tc>
          <w:tcPr>
            <w:tcW w:w="50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1,027,591.43</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937,914.72</w:t>
            </w:r>
          </w:p>
        </w:tc>
      </w:tr>
      <w:tr>
        <w:trPr>
          <w:trHeight w:val="347" w:hRule="exact"/>
        </w:trPr>
        <w:tc>
          <w:tcPr>
            <w:tcW w:w="50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5,095,455.98</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3,658,313.54</w:t>
            </w:r>
          </w:p>
        </w:tc>
      </w:tr>
      <w:tr>
        <w:trPr>
          <w:trHeight w:val="659" w:hRule="exact"/>
        </w:trPr>
        <w:tc>
          <w:tcPr>
            <w:tcW w:w="50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72,072.57</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-70,749.14</w:t>
            </w:r>
          </w:p>
        </w:tc>
      </w:tr>
      <w:tr>
        <w:trPr>
          <w:trHeight w:val="347" w:hRule="exact"/>
        </w:trPr>
        <w:tc>
          <w:tcPr>
            <w:tcW w:w="50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129,043.28</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96,380.99</w:t>
            </w:r>
          </w:p>
        </w:tc>
      </w:tr>
      <w:tr>
        <w:trPr>
          <w:trHeight w:val="347" w:hRule="exact"/>
        </w:trPr>
        <w:tc>
          <w:tcPr>
            <w:tcW w:w="50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-24,266,563.96</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-3,293,217.16</w:t>
            </w:r>
          </w:p>
        </w:tc>
      </w:tr>
      <w:tr>
        <w:trPr>
          <w:trHeight w:val="348" w:hRule="exact"/>
        </w:trPr>
        <w:tc>
          <w:tcPr>
            <w:tcW w:w="50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-2,984,064.70</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5,564,272.21</w:t>
            </w:r>
          </w:p>
        </w:tc>
      </w:tr>
      <w:tr>
        <w:trPr>
          <w:trHeight w:val="347" w:hRule="exact"/>
        </w:trPr>
        <w:tc>
          <w:tcPr>
            <w:tcW w:w="50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-5,552,180.99</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-7,886,928.03</w:t>
            </w:r>
          </w:p>
        </w:tc>
      </w:tr>
      <w:tr>
        <w:trPr>
          <w:trHeight w:val="347" w:hRule="exact"/>
        </w:trPr>
        <w:tc>
          <w:tcPr>
            <w:tcW w:w="50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489,397.54</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-2,641,467.46</w:t>
            </w:r>
          </w:p>
        </w:tc>
      </w:tr>
      <w:tr>
        <w:trPr>
          <w:trHeight w:val="347" w:hRule="exact"/>
        </w:trPr>
        <w:tc>
          <w:tcPr>
            <w:tcW w:w="50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-43,106.64</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-58,635.58</w:t>
            </w:r>
          </w:p>
        </w:tc>
      </w:tr>
      <w:tr>
        <w:trPr>
          <w:trHeight w:val="347" w:hRule="exact"/>
        </w:trPr>
        <w:tc>
          <w:tcPr>
            <w:tcW w:w="50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61,971,661.92</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-145,776,446.12</w:t>
            </w:r>
          </w:p>
        </w:tc>
      </w:tr>
      <w:tr>
        <w:trPr>
          <w:trHeight w:val="348" w:hRule="exact"/>
        </w:trPr>
        <w:tc>
          <w:tcPr>
            <w:tcW w:w="50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84,262,554.28</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-153,993,954.59</w:t>
            </w:r>
          </w:p>
        </w:tc>
      </w:tr>
      <w:tr>
        <w:trPr>
          <w:trHeight w:val="347" w:hRule="exact"/>
        </w:trPr>
        <w:tc>
          <w:tcPr>
            <w:tcW w:w="50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-75,138,162.07</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109,196,682.96</w:t>
            </w:r>
          </w:p>
        </w:tc>
      </w:tr>
      <w:tr>
        <w:trPr>
          <w:trHeight w:val="347" w:hRule="exact"/>
        </w:trPr>
        <w:tc>
          <w:tcPr>
            <w:tcW w:w="50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7" w:hRule="exact"/>
        </w:trPr>
        <w:tc>
          <w:tcPr>
            <w:tcW w:w="50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209,983,213.09</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-27,279,864.12</w:t>
            </w:r>
          </w:p>
        </w:tc>
      </w:tr>
      <w:tr>
        <w:trPr>
          <w:trHeight w:val="347" w:hRule="exact"/>
        </w:trPr>
        <w:tc>
          <w:tcPr>
            <w:tcW w:w="50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1"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50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7" w:hRule="exact"/>
        </w:trPr>
        <w:tc>
          <w:tcPr>
            <w:tcW w:w="50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8" w:hRule="exact"/>
        </w:trPr>
        <w:tc>
          <w:tcPr>
            <w:tcW w:w="50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7" w:hRule="exact"/>
        </w:trPr>
        <w:tc>
          <w:tcPr>
            <w:tcW w:w="50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1"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50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550,793,739.87</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361,387,283.21</w:t>
            </w:r>
          </w:p>
        </w:tc>
      </w:tr>
      <w:tr>
        <w:trPr>
          <w:trHeight w:val="347" w:hRule="exact"/>
        </w:trPr>
        <w:tc>
          <w:tcPr>
            <w:tcW w:w="50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361,387,283.21</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303,043,074.70</w:t>
            </w:r>
          </w:p>
        </w:tc>
      </w:tr>
      <w:tr>
        <w:trPr>
          <w:trHeight w:val="347" w:hRule="exact"/>
        </w:trPr>
        <w:tc>
          <w:tcPr>
            <w:tcW w:w="50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8" w:hRule="exact"/>
        </w:trPr>
        <w:tc>
          <w:tcPr>
            <w:tcW w:w="50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2" w:hRule="exact"/>
        </w:trPr>
        <w:tc>
          <w:tcPr>
            <w:tcW w:w="50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189,406,456.66</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58,344,208.51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6"/>
        <w:ind w:right="1133"/>
        <w:jc w:val="left"/>
        <w:rPr>
          <w:b w:val="0"/>
          <w:bCs w:val="0"/>
        </w:rPr>
      </w:pPr>
      <w:bookmarkStart w:name="（2）本期支付的取得子公司的现金净额" w:id="320"/>
      <w:bookmarkEnd w:id="320"/>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163,000,014.00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佳博科技公司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163,000,014.00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102,854,038.38</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佳博科技公司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102,854,038.38</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60,145,975.62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现金和现金等价物的构成" w:id="321"/>
      <w:bookmarkEnd w:id="321"/>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550,793,739.87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361,387,283.21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1,138,601.59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61,287.18</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549,655,138.28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361,325,996.03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550,793,739.87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361,387,283.21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0、所有权或使用权受到限制的资产" w:id="322"/>
      <w:bookmarkEnd w:id="322"/>
      <w:r>
        <w:rPr>
          <w:b w:val="0"/>
          <w:bCs w:val="0"/>
        </w:rPr>
      </w:r>
      <w:r>
        <w:rPr>
          <w:rFonts w:ascii="Times New Roman" w:hAnsi="Times New Roman" w:cs="Times New Roman" w:eastAsia="Times New Roman" w:hint="default"/>
        </w:rPr>
        <w:t>50</w:t>
      </w:r>
      <w:r>
        <w:rPr/>
        <w:t>、所有权或使用权受到限制的资产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33,330,771.06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受限资金</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14,365,000.00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质押票据，详见注释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47,695,771.06</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1、外币货币性项目" w:id="323"/>
      <w:bookmarkEnd w:id="323"/>
      <w:r>
        <w:rPr>
          <w:b w:val="0"/>
          <w:bCs w:val="0"/>
        </w:rPr>
      </w:r>
      <w:r>
        <w:rPr>
          <w:rFonts w:ascii="Times New Roman" w:hAnsi="Times New Roman" w:cs="Times New Roman" w:eastAsia="Times New Roman" w:hint="default"/>
        </w:rPr>
        <w:t>51</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外币货币性项目" w:id="324"/>
      <w:bookmarkEnd w:id="324"/>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79"/>
        <w:gridCol w:w="2402"/>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w:t>
            </w:r>
          </w:p>
        </w:tc>
        <w:tc>
          <w:tcPr>
            <w:tcW w:w="2402"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219" w:right="0"/>
              <w:jc w:val="left"/>
              <w:rPr>
                <w:rFonts w:ascii="Times New Roman" w:hAnsi="Times New Roman" w:cs="Times New Roman" w:eastAsia="Times New Roman" w:hint="default"/>
                <w:sz w:val="18"/>
                <w:szCs w:val="18"/>
              </w:rPr>
            </w:pPr>
            <w:r>
              <w:rPr>
                <w:rFonts w:ascii="Times New Roman"/>
                <w:sz w:val="18"/>
              </w:rPr>
              <w:t>37,257,564.91</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6.9762</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2" w:right="0"/>
              <w:jc w:val="left"/>
              <w:rPr>
                <w:rFonts w:ascii="Times New Roman" w:hAnsi="Times New Roman" w:cs="Times New Roman" w:eastAsia="Times New Roman" w:hint="default"/>
                <w:sz w:val="18"/>
                <w:szCs w:val="18"/>
              </w:rPr>
            </w:pPr>
            <w:r>
              <w:rPr>
                <w:rFonts w:ascii="Times New Roman"/>
                <w:sz w:val="18"/>
              </w:rPr>
              <w:t>259,916,224.33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95,138.98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743,558.70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186,620.04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0.8958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167,174.23</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83"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3,970,566.17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27,699,463.72</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42,072.40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328,816.84</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83"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7,149,000.00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55,873,009.50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624,706.20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4,358,075.39</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八、合并范围的变更" w:id="325"/>
      <w:bookmarkEnd w:id="325"/>
      <w:r>
        <w:rPr>
          <w:b w:val="0"/>
          <w:bCs w:val="0"/>
        </w:rPr>
      </w: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非同一控制下企业合并" w:id="326"/>
      <w:bookmarkEnd w:id="326"/>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本期发生的非同一控制下企业合并" w:id="327"/>
      <w:bookmarkEnd w:id="327"/>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3"/>
        <w:gridCol w:w="1064"/>
        <w:gridCol w:w="1066"/>
        <w:gridCol w:w="1061"/>
        <w:gridCol w:w="1064"/>
        <w:gridCol w:w="106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佳博科技公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实质性控制</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合并成本及商誉" w:id="328"/>
      <w:bookmarkEnd w:id="328"/>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佳博科技有限公司</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326,000,000.00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489,000,000.00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815,000,000.00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331,376,391.43</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2" w:right="197"/>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483,623,608.57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被购买方于购买日可辨认资产、负债" w:id="329"/>
      <w:bookmarkEnd w:id="329"/>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3"/>
      </w:tblGrid>
      <w:tr>
        <w:trPr>
          <w:trHeight w:val="40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 w:right="0"/>
              <w:jc w:val="center"/>
              <w:rPr>
                <w:rFonts w:ascii="宋体" w:hAnsi="宋体" w:cs="宋体" w:eastAsia="宋体" w:hint="default"/>
                <w:sz w:val="18"/>
                <w:szCs w:val="18"/>
              </w:rPr>
            </w:pPr>
            <w:r>
              <w:rPr>
                <w:rFonts w:ascii="宋体" w:hAnsi="宋体" w:cs="宋体" w:eastAsia="宋体" w:hint="default"/>
                <w:sz w:val="18"/>
                <w:szCs w:val="18"/>
              </w:rPr>
              <w:t>佳博科技有限公司</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7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102,854,038.38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102,854,038.38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115,663,265.57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115,663,265.57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85,094,652.84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81,538,269.55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61,067,766.86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53,226,620.92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30,264,300.13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pacing w:val="-1"/>
                <w:sz w:val="18"/>
              </w:rPr>
              <w:t>7,215,415.72</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6,574,372.95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6,574,372.95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875,103.92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875,103.92</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504,075.67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504,075.67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60,784,547.73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60,784,547.73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4,094,071.02</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7,153,343.68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7,153,343.68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3,044,995.36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3,044,995.36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3,135,416.53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3,135,416.53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331,376,391.43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301,024,048.81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331,376,391.43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301,024,048.81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其他原因的合并范围变动" w:id="330"/>
      <w:bookmarkEnd w:id="330"/>
      <w:r>
        <w:rPr>
          <w:b w:val="0"/>
          <w:bCs w:val="0"/>
        </w:rPr>
      </w:r>
      <w:r>
        <w:rPr>
          <w:rFonts w:ascii="Times New Roman" w:hAnsi="Times New Roman" w:cs="Times New Roman" w:eastAsia="Times New Roman" w:hint="default"/>
        </w:rPr>
        <w:t>2</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说明其他原因导致的合并范围变动（如，新设子公司、清算子公司等）及其相关情况：</w:t>
      </w:r>
    </w:p>
    <w:p>
      <w:pPr>
        <w:pStyle w:val="BodyText"/>
        <w:spacing w:line="300" w:lineRule="auto" w:before="115"/>
        <w:ind w:right="1133"/>
        <w:jc w:val="left"/>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5</w:t>
      </w:r>
      <w:r>
        <w:rPr>
          <w:spacing w:val="-1"/>
        </w:rPr>
        <w:t>日本公司投资设立控股子公司</w:t>
      </w:r>
      <w:r>
        <w:rPr>
          <w:rFonts w:ascii="Times New Roman" w:hAnsi="Times New Roman" w:cs="Times New Roman" w:eastAsia="Times New Roman" w:hint="default"/>
          <w:spacing w:val="-1"/>
        </w:rPr>
        <w:t>“</w:t>
      </w:r>
      <w:r>
        <w:rPr>
          <w:spacing w:val="-1"/>
        </w:rPr>
        <w:t>深圳市云栖信息科技有限公司</w:t>
      </w:r>
      <w:r>
        <w:rPr>
          <w:rFonts w:ascii="Times New Roman" w:hAnsi="Times New Roman" w:cs="Times New Roman" w:eastAsia="Times New Roman" w:hint="default"/>
          <w:spacing w:val="-1"/>
        </w:rPr>
        <w:t>”</w:t>
      </w:r>
      <w:r>
        <w:rPr>
          <w:spacing w:val="-1"/>
        </w:rPr>
        <w:t>，注册资本人民币</w:t>
      </w:r>
      <w:r>
        <w:rPr>
          <w:rFonts w:ascii="Times New Roman" w:hAnsi="Times New Roman" w:cs="Times New Roman" w:eastAsia="Times New Roman" w:hint="default"/>
          <w:spacing w:val="-1"/>
        </w:rPr>
        <w:t>500.00</w:t>
      </w:r>
      <w:r>
        <w:rPr>
          <w:spacing w:val="-1"/>
        </w:rPr>
        <w:t>万元，本公司认缴出资额</w:t>
      </w:r>
      <w:r>
        <w:rPr>
          <w:spacing w:val="-54"/>
        </w:rPr>
        <w:t> </w:t>
      </w:r>
      <w:r>
        <w:rPr>
          <w:spacing w:val="-54"/>
        </w:rPr>
      </w:r>
      <w:r>
        <w:rPr/>
        <w:t>为人民币</w:t>
      </w:r>
      <w:r>
        <w:rPr>
          <w:rFonts w:ascii="Times New Roman" w:hAnsi="Times New Roman" w:cs="Times New Roman" w:eastAsia="Times New Roman" w:hint="default"/>
        </w:rPr>
        <w:t>400.00</w:t>
      </w:r>
      <w:r>
        <w:rPr/>
        <w:t>万元，出资比例为</w:t>
      </w:r>
      <w:r>
        <w:rPr>
          <w:rFonts w:ascii="Times New Roman" w:hAnsi="Times New Roman" w:cs="Times New Roman" w:eastAsia="Times New Roman" w:hint="default"/>
        </w:rPr>
        <w:t>80.00%</w:t>
      </w:r>
      <w:r>
        <w:rPr/>
        <w:t>。</w:t>
      </w:r>
    </w:p>
    <w:p>
      <w:pPr>
        <w:pStyle w:val="BodyText"/>
        <w:spacing w:line="240" w:lineRule="auto" w:before="13"/>
        <w:ind w:right="0"/>
        <w:jc w:val="left"/>
      </w:pPr>
      <w:r>
        <w:rPr/>
        <w:t>本公司全资子公司深圳正达资讯公司于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日成立</w:t>
      </w:r>
      <w:r>
        <w:rPr>
          <w:spacing w:val="-19"/>
        </w:rPr>
        <w:t> </w:t>
      </w:r>
      <w:r>
        <w:rPr>
          <w:rFonts w:ascii="Times New Roman" w:hAnsi="Times New Roman" w:cs="Times New Roman" w:eastAsia="Times New Roman" w:hint="default"/>
          <w:spacing w:val="-3"/>
        </w:rPr>
        <w:t>“</w:t>
      </w:r>
      <w:r>
        <w:rPr>
          <w:spacing w:val="-3"/>
        </w:rPr>
        <w:t>桐庐宏锐软件科技有限公司</w:t>
      </w:r>
      <w:r>
        <w:rPr>
          <w:rFonts w:ascii="Times New Roman" w:hAnsi="Times New Roman" w:cs="Times New Roman" w:eastAsia="Times New Roman" w:hint="default"/>
          <w:spacing w:val="-3"/>
        </w:rPr>
        <w:t>”</w:t>
      </w:r>
      <w:r>
        <w:rPr>
          <w:spacing w:val="-3"/>
        </w:rPr>
        <w:t>，注册资本</w:t>
      </w:r>
      <w:r>
        <w:rPr>
          <w:rFonts w:ascii="Times New Roman" w:hAnsi="Times New Roman" w:cs="Times New Roman" w:eastAsia="Times New Roman" w:hint="default"/>
          <w:spacing w:val="-3"/>
        </w:rPr>
        <w:t>200.00</w:t>
      </w:r>
      <w:r>
        <w:rPr>
          <w:spacing w:val="-3"/>
        </w:rPr>
        <w:t>万元，持股比例</w:t>
      </w:r>
    </w:p>
    <w:p>
      <w:pPr>
        <w:pStyle w:val="BodyText"/>
        <w:spacing w:line="240" w:lineRule="auto" w:before="63"/>
        <w:ind w:right="1133"/>
        <w:jc w:val="left"/>
      </w:pPr>
      <w:r>
        <w:rPr>
          <w:rFonts w:ascii="Times New Roman" w:hAnsi="Times New Roman" w:cs="Times New Roman" w:eastAsia="Times New Roman" w:hint="default"/>
        </w:rPr>
        <w:t>100%</w:t>
      </w:r>
      <w:r>
        <w:rPr/>
        <w:t>。</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九、在其他主体中的权益" w:id="331"/>
      <w:bookmarkEnd w:id="331"/>
      <w:r>
        <w:rPr>
          <w:b w:val="0"/>
          <w:bCs w:val="0"/>
        </w:rPr>
      </w: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在子公司中的权益" w:id="332"/>
      <w:bookmarkEnd w:id="332"/>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企业集团的构成" w:id="333"/>
      <w:bookmarkEnd w:id="333"/>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深圳正达资讯公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贸易、软件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深圳蓝云达公司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贸易、软件</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宏锐软件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贸易、软件</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深圳江南正鼎公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贸易、软件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优博讯软件公司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香港优博讯公司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马来西亚优博讯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优金支付公司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武汉优博讯软件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瑞柏泰公司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51.38%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帕思菲特公司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香港乐乐高公司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贸易、软件</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云栖公司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贸易、软件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佳博科技公司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浩盛标签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智汇网络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珠海盛源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佳博网络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智联软件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兆丰科技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bookmarkStart w:name="（2）重要的非全资子公司" w:id="334"/>
      <w:bookmarkEnd w:id="334"/>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6"/>
        <w:gridCol w:w="1913"/>
        <w:gridCol w:w="1913"/>
        <w:gridCol w:w="1916"/>
      </w:tblGrid>
      <w:tr>
        <w:trPr>
          <w:trHeight w:val="76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4"/>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4"/>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瑞柏泰公司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3,751,397.14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5" w:right="0"/>
              <w:jc w:val="left"/>
              <w:rPr>
                <w:rFonts w:ascii="Times New Roman" w:hAnsi="Times New Roman" w:cs="Times New Roman" w:eastAsia="Times New Roman" w:hint="default"/>
                <w:sz w:val="18"/>
                <w:szCs w:val="18"/>
              </w:rPr>
            </w:pPr>
            <w:r>
              <w:rPr>
                <w:rFonts w:ascii="Times New Roman"/>
                <w:sz w:val="18"/>
              </w:rPr>
              <w:t>-6,713,000.00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34,059,355.00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重要非全资子公司的主要财务信息" w:id="335"/>
      <w:bookmarkEnd w:id="335"/>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4"/>
        <w:gridCol w:w="735"/>
        <w:gridCol w:w="734"/>
        <w:gridCol w:w="737"/>
        <w:gridCol w:w="737"/>
        <w:gridCol w:w="734"/>
        <w:gridCol w:w="72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81"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3"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2" w:right="161"/>
              <w:jc w:val="left"/>
              <w:rPr>
                <w:rFonts w:ascii="宋体" w:hAnsi="宋体" w:cs="宋体" w:eastAsia="宋体" w:hint="default"/>
                <w:sz w:val="18"/>
                <w:szCs w:val="18"/>
              </w:rPr>
            </w:pPr>
            <w:r>
              <w:rPr>
                <w:rFonts w:ascii="宋体" w:hAnsi="宋体" w:cs="宋体" w:eastAsia="宋体" w:hint="default"/>
                <w:sz w:val="18"/>
                <w:szCs w:val="18"/>
              </w:rPr>
              <w:t>瑞柏泰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73,068,0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94.06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3,453,57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0.02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76,521,6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64.08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6,471,86</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8.94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6,471,86</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8.94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82,942,6</w:t>
            </w:r>
          </w:p>
          <w:p>
            <w:pPr>
              <w:pStyle w:val="TableParagraph"/>
              <w:spacing w:line="240" w:lineRule="auto" w:before="102"/>
              <w:ind w:left="298" w:right="0"/>
              <w:jc w:val="left"/>
              <w:rPr>
                <w:rFonts w:ascii="Times New Roman" w:hAnsi="Times New Roman" w:cs="Times New Roman" w:eastAsia="Times New Roman" w:hint="default"/>
                <w:sz w:val="18"/>
                <w:szCs w:val="18"/>
              </w:rPr>
            </w:pPr>
            <w:r>
              <w:rPr>
                <w:rFonts w:ascii="Times New Roman"/>
                <w:sz w:val="18"/>
              </w:rPr>
              <w:t>86.62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4,611,39</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3.60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87,554,0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80.22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11,957,9</w:t>
            </w:r>
          </w:p>
          <w:p>
            <w:pPr>
              <w:pStyle w:val="TableParagraph"/>
              <w:spacing w:line="240" w:lineRule="auto" w:before="102"/>
              <w:ind w:left="299" w:right="0"/>
              <w:jc w:val="left"/>
              <w:rPr>
                <w:rFonts w:ascii="Times New Roman" w:hAnsi="Times New Roman" w:cs="Times New Roman" w:eastAsia="Times New Roman" w:hint="default"/>
                <w:sz w:val="18"/>
                <w:szCs w:val="18"/>
              </w:rPr>
            </w:pPr>
            <w:r>
              <w:rPr>
                <w:rFonts w:ascii="Times New Roman"/>
                <w:sz w:val="18"/>
              </w:rPr>
              <w:t>98.35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43,106.6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12,001,1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04.99</w:t>
            </w:r>
          </w:p>
        </w:tc>
      </w:tr>
    </w:tbl>
    <w:p>
      <w:pPr>
        <w:pStyle w:val="BodyText"/>
        <w:spacing w:line="240" w:lineRule="auto" w:before="4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4"/>
        <w:gridCol w:w="1055"/>
      </w:tblGrid>
      <w:tr>
        <w:trPr>
          <w:trHeight w:val="401"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6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3"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瑞柏泰公司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21,606,564.0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8,196,819.91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8,196,819.91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18,009,959.9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71,183,003.9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27,085,747.7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27,085,747.7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4,952,639.96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在合营安排或联营企业中的权益" w:id="336"/>
      <w:bookmarkEnd w:id="336"/>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 联营企业" w:id="337"/>
      <w:bookmarkEnd w:id="337"/>
      <w:r>
        <w:rPr>
          <w:b w:val="0"/>
          <w:bCs w:val="0"/>
        </w:rPr>
      </w:r>
      <w:r>
        <w:rPr/>
        <w:t>（</w:t>
      </w:r>
      <w:r>
        <w:rPr>
          <w:rFonts w:ascii="Times New Roman" w:hAnsi="Times New Roman" w:cs="Times New Roman" w:eastAsia="Times New Roman" w:hint="default"/>
        </w:rPr>
        <w:t>1</w:t>
      </w:r>
      <w:r>
        <w:rPr/>
        <w:t>）</w:t>
      </w:r>
      <w:r>
        <w:rPr>
          <w:spacing w:val="-2"/>
        </w:rPr>
        <w:t> </w:t>
      </w:r>
      <w:r>
        <w:rPr/>
        <w:t>联营企业</w:t>
      </w:r>
      <w:r>
        <w:rPr>
          <w:b w:val="0"/>
          <w:bCs w:val="0"/>
        </w:rPr>
      </w:r>
    </w:p>
    <w:p>
      <w:pPr>
        <w:spacing w:line="240" w:lineRule="auto" w:before="13"/>
        <w:rPr>
          <w:rFonts w:ascii="宋体" w:hAnsi="宋体" w:cs="宋体" w:eastAsia="宋体" w:hint="default"/>
          <w:b/>
          <w:bCs/>
          <w:sz w:val="25"/>
          <w:szCs w:val="25"/>
        </w:rPr>
      </w:pPr>
    </w:p>
    <w:tbl>
      <w:tblPr>
        <w:tblW w:w="0" w:type="auto"/>
        <w:jc w:val="left"/>
        <w:tblInd w:w="150" w:type="dxa"/>
        <w:tblLayout w:type="fixed"/>
        <w:tblCellMar>
          <w:top w:w="0" w:type="dxa"/>
          <w:left w:w="0" w:type="dxa"/>
          <w:bottom w:w="0" w:type="dxa"/>
          <w:right w:w="0" w:type="dxa"/>
        </w:tblCellMar>
        <w:tblLook w:val="01E0"/>
      </w:tblPr>
      <w:tblGrid>
        <w:gridCol w:w="2845"/>
        <w:gridCol w:w="1013"/>
        <w:gridCol w:w="1018"/>
        <w:gridCol w:w="1332"/>
        <w:gridCol w:w="960"/>
        <w:gridCol w:w="961"/>
        <w:gridCol w:w="1505"/>
      </w:tblGrid>
      <w:tr>
        <w:trPr>
          <w:trHeight w:val="343" w:hRule="exact"/>
        </w:trPr>
        <w:tc>
          <w:tcPr>
            <w:tcW w:w="2845"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4"/>
              <w:ind w:left="427"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1013"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4"/>
              <w:ind w:left="5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01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4"/>
              <w:ind w:left="23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3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4"/>
              <w:ind w:left="29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921"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left="45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505"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4"/>
              <w:ind w:left="206" w:right="0"/>
              <w:jc w:val="left"/>
              <w:rPr>
                <w:rFonts w:ascii="宋体" w:hAnsi="宋体" w:cs="宋体" w:eastAsia="宋体" w:hint="default"/>
                <w:sz w:val="18"/>
                <w:szCs w:val="18"/>
              </w:rPr>
            </w:pPr>
            <w:r>
              <w:rPr>
                <w:rFonts w:ascii="宋体" w:hAnsi="宋体" w:cs="宋体" w:eastAsia="宋体" w:hint="default"/>
                <w:sz w:val="18"/>
                <w:szCs w:val="18"/>
              </w:rPr>
              <w:t>会计处理方法</w:t>
            </w:r>
          </w:p>
        </w:tc>
      </w:tr>
      <w:tr>
        <w:trPr>
          <w:trHeight w:val="346" w:hRule="exact"/>
        </w:trPr>
        <w:tc>
          <w:tcPr>
            <w:tcW w:w="2845" w:type="dxa"/>
            <w:vMerge/>
            <w:tcBorders>
              <w:left w:val="single" w:sz="6" w:space="0" w:color="000000"/>
              <w:bottom w:val="single" w:sz="6" w:space="0" w:color="000000"/>
              <w:right w:val="single" w:sz="6" w:space="0" w:color="000000"/>
            </w:tcBorders>
            <w:shd w:val="clear" w:color="auto" w:fill="D9D9D9"/>
          </w:tcPr>
          <w:p>
            <w:pPr/>
          </w:p>
        </w:tc>
        <w:tc>
          <w:tcPr>
            <w:tcW w:w="1013" w:type="dxa"/>
            <w:vMerge/>
            <w:tcBorders>
              <w:left w:val="single" w:sz="6" w:space="0" w:color="000000"/>
              <w:bottom w:val="single" w:sz="6" w:space="0" w:color="000000"/>
              <w:right w:val="single" w:sz="6" w:space="0" w:color="000000"/>
            </w:tcBorders>
            <w:shd w:val="clear" w:color="auto" w:fill="D9D9D9"/>
          </w:tcPr>
          <w:p>
            <w:pPr/>
          </w:p>
        </w:tc>
        <w:tc>
          <w:tcPr>
            <w:tcW w:w="1018" w:type="dxa"/>
            <w:vMerge/>
            <w:tcBorders>
              <w:left w:val="single" w:sz="6" w:space="0" w:color="000000"/>
              <w:bottom w:val="single" w:sz="6" w:space="0" w:color="000000"/>
              <w:right w:val="single" w:sz="6" w:space="0" w:color="000000"/>
            </w:tcBorders>
            <w:shd w:val="clear" w:color="auto" w:fill="D9D9D9"/>
          </w:tcPr>
          <w:p>
            <w:pPr/>
          </w:p>
        </w:tc>
        <w:tc>
          <w:tcPr>
            <w:tcW w:w="1332" w:type="dxa"/>
            <w:vMerge/>
            <w:tcBorders>
              <w:left w:val="single" w:sz="6" w:space="0" w:color="000000"/>
              <w:bottom w:val="single" w:sz="6" w:space="0" w:color="000000"/>
              <w:right w:val="single" w:sz="6" w:space="0" w:color="000000"/>
            </w:tcBorders>
            <w:shd w:val="clear" w:color="auto" w:fill="D9D9D9"/>
          </w:tcPr>
          <w:p>
            <w:pPr/>
          </w:p>
        </w:tc>
        <w:tc>
          <w:tcPr>
            <w:tcW w:w="9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9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505" w:type="dxa"/>
            <w:vMerge/>
            <w:tcBorders>
              <w:left w:val="single" w:sz="6" w:space="0" w:color="000000"/>
              <w:bottom w:val="single" w:sz="6" w:space="0" w:color="000000"/>
              <w:right w:val="single" w:sz="6" w:space="0" w:color="000000"/>
            </w:tcBorders>
            <w:shd w:val="clear" w:color="auto" w:fill="D9D9D9"/>
          </w:tcPr>
          <w:p>
            <w:pPr/>
          </w:p>
        </w:tc>
      </w:tr>
      <w:tr>
        <w:trPr>
          <w:trHeight w:val="348"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上海芝柯智能科技有限公司</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19"/>
              <w:jc w:val="right"/>
              <w:rPr>
                <w:rFonts w:ascii="宋体" w:hAnsi="宋体" w:cs="宋体" w:eastAsia="宋体" w:hint="default"/>
                <w:sz w:val="18"/>
                <w:szCs w:val="18"/>
              </w:rPr>
            </w:pPr>
            <w:r>
              <w:rPr>
                <w:rFonts w:ascii="宋体" w:hAnsi="宋体" w:cs="宋体" w:eastAsia="宋体" w:hint="default"/>
                <w:sz w:val="18"/>
                <w:szCs w:val="18"/>
              </w:rPr>
              <w:t>上海</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贸易、软件</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27.50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348"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中世顺科技（北京）股份有限公司</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19"/>
              <w:jc w:val="right"/>
              <w:rPr>
                <w:rFonts w:ascii="宋体" w:hAnsi="宋体" w:cs="宋体" w:eastAsia="宋体" w:hint="default"/>
                <w:sz w:val="18"/>
                <w:szCs w:val="18"/>
              </w:rPr>
            </w:pPr>
            <w:r>
              <w:rPr>
                <w:rFonts w:ascii="宋体" w:hAnsi="宋体" w:cs="宋体" w:eastAsia="宋体" w:hint="default"/>
                <w:sz w:val="18"/>
                <w:szCs w:val="18"/>
              </w:rPr>
              <w:t>北京</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贸易、软件</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346"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深圳市天眼智通科技有限公司</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19"/>
              <w:jc w:val="right"/>
              <w:rPr>
                <w:rFonts w:ascii="宋体" w:hAnsi="宋体" w:cs="宋体" w:eastAsia="宋体" w:hint="default"/>
                <w:sz w:val="18"/>
                <w:szCs w:val="18"/>
              </w:rPr>
            </w:pPr>
            <w:r>
              <w:rPr>
                <w:rFonts w:ascii="宋体" w:hAnsi="宋体" w:cs="宋体" w:eastAsia="宋体" w:hint="default"/>
                <w:sz w:val="18"/>
                <w:szCs w:val="18"/>
              </w:rPr>
              <w:t>深圳</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贸易、软件</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348"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湖南爱买单信息技术有限公司</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长沙</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19"/>
              <w:jc w:val="right"/>
              <w:rPr>
                <w:rFonts w:ascii="宋体" w:hAnsi="宋体" w:cs="宋体" w:eastAsia="宋体" w:hint="default"/>
                <w:sz w:val="18"/>
                <w:szCs w:val="18"/>
              </w:rPr>
            </w:pPr>
            <w:r>
              <w:rPr>
                <w:rFonts w:ascii="宋体" w:hAnsi="宋体" w:cs="宋体" w:eastAsia="宋体" w:hint="default"/>
                <w:sz w:val="18"/>
                <w:szCs w:val="18"/>
              </w:rPr>
              <w:t>长沙</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软件</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5.004</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权益法核算</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6"/>
        <w:ind w:right="1133"/>
        <w:jc w:val="left"/>
        <w:rPr>
          <w:b w:val="0"/>
          <w:bCs w:val="0"/>
        </w:rPr>
      </w:pPr>
      <w:bookmarkStart w:name="（2） 联营企业的汇总财务信息" w:id="338"/>
      <w:bookmarkEnd w:id="338"/>
      <w:r>
        <w:rPr>
          <w:b w:val="0"/>
          <w:bCs w:val="0"/>
        </w:rPr>
      </w:r>
      <w:r>
        <w:rPr/>
        <w:t>（</w:t>
      </w:r>
      <w:r>
        <w:rPr>
          <w:rFonts w:ascii="Times New Roman" w:hAnsi="Times New Roman" w:cs="Times New Roman" w:eastAsia="Times New Roman" w:hint="default"/>
        </w:rPr>
        <w:t>2</w:t>
      </w:r>
      <w:r>
        <w:rPr/>
        <w:t>）</w:t>
      </w:r>
      <w:r>
        <w:rPr>
          <w:spacing w:val="-2"/>
        </w:rPr>
        <w:t> </w:t>
      </w:r>
      <w:r>
        <w:rPr/>
        <w:t>联营企业的汇总财务信息</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2"/>
          <w:szCs w:val="12"/>
        </w:rPr>
      </w:pPr>
    </w:p>
    <w:tbl>
      <w:tblPr>
        <w:tblW w:w="0" w:type="auto"/>
        <w:jc w:val="left"/>
        <w:tblInd w:w="150" w:type="dxa"/>
        <w:tblLayout w:type="fixed"/>
        <w:tblCellMar>
          <w:top w:w="0" w:type="dxa"/>
          <w:left w:w="0" w:type="dxa"/>
          <w:bottom w:w="0" w:type="dxa"/>
          <w:right w:w="0" w:type="dxa"/>
        </w:tblCellMar>
        <w:tblLook w:val="01E0"/>
      </w:tblPr>
      <w:tblGrid>
        <w:gridCol w:w="2216"/>
        <w:gridCol w:w="1966"/>
        <w:gridCol w:w="1872"/>
        <w:gridCol w:w="1791"/>
        <w:gridCol w:w="1740"/>
      </w:tblGrid>
      <w:tr>
        <w:trPr>
          <w:trHeight w:val="342" w:hRule="exact"/>
        </w:trPr>
        <w:tc>
          <w:tcPr>
            <w:tcW w:w="221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4"/>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370" w:type="dxa"/>
            <w:gridSpan w:val="4"/>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r>
      <w:tr>
        <w:trPr>
          <w:trHeight w:val="658" w:hRule="exact"/>
        </w:trPr>
        <w:tc>
          <w:tcPr>
            <w:tcW w:w="2216" w:type="dxa"/>
            <w:vMerge/>
            <w:tcBorders>
              <w:left w:val="single" w:sz="6" w:space="0" w:color="000000"/>
              <w:bottom w:val="single" w:sz="6" w:space="0" w:color="000000"/>
              <w:right w:val="single" w:sz="6" w:space="0" w:color="000000"/>
            </w:tcBorders>
            <w:shd w:val="clear" w:color="auto" w:fill="D9D9D9"/>
          </w:tcPr>
          <w:p>
            <w:pPr/>
          </w:p>
        </w:tc>
        <w:tc>
          <w:tcPr>
            <w:tcW w:w="19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7"/>
              <w:ind w:left="794" w:right="75" w:hanging="721"/>
              <w:jc w:val="left"/>
              <w:rPr>
                <w:rFonts w:ascii="宋体" w:hAnsi="宋体" w:cs="宋体" w:eastAsia="宋体" w:hint="default"/>
                <w:sz w:val="18"/>
                <w:szCs w:val="18"/>
              </w:rPr>
            </w:pPr>
            <w:r>
              <w:rPr>
                <w:rFonts w:ascii="宋体" w:hAnsi="宋体" w:cs="宋体" w:eastAsia="宋体" w:hint="default"/>
                <w:sz w:val="18"/>
                <w:szCs w:val="18"/>
              </w:rPr>
              <w:t>上海芝柯智能科技有限 公司</w:t>
            </w:r>
          </w:p>
        </w:tc>
        <w:tc>
          <w:tcPr>
            <w:tcW w:w="18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7"/>
              <w:ind w:left="477" w:right="27" w:hanging="449"/>
              <w:jc w:val="left"/>
              <w:rPr>
                <w:rFonts w:ascii="宋体" w:hAnsi="宋体" w:cs="宋体" w:eastAsia="宋体" w:hint="default"/>
                <w:sz w:val="18"/>
                <w:szCs w:val="18"/>
              </w:rPr>
            </w:pPr>
            <w:r>
              <w:rPr>
                <w:rFonts w:ascii="宋体" w:hAnsi="宋体" w:cs="宋体" w:eastAsia="宋体" w:hint="default"/>
                <w:sz w:val="18"/>
                <w:szCs w:val="18"/>
              </w:rPr>
              <w:t>中世顺科技（北京）股 份有限公司</w:t>
            </w:r>
          </w:p>
        </w:tc>
        <w:tc>
          <w:tcPr>
            <w:tcW w:w="17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7"/>
              <w:ind w:left="527" w:right="77" w:hanging="452"/>
              <w:jc w:val="left"/>
              <w:rPr>
                <w:rFonts w:ascii="宋体" w:hAnsi="宋体" w:cs="宋体" w:eastAsia="宋体" w:hint="default"/>
                <w:sz w:val="18"/>
                <w:szCs w:val="18"/>
              </w:rPr>
            </w:pPr>
            <w:r>
              <w:rPr>
                <w:rFonts w:ascii="宋体" w:hAnsi="宋体" w:cs="宋体" w:eastAsia="宋体" w:hint="default"/>
                <w:sz w:val="18"/>
                <w:szCs w:val="18"/>
              </w:rPr>
              <w:t>深圳市天眼智通科技 有限公司</w:t>
            </w:r>
          </w:p>
        </w:tc>
        <w:tc>
          <w:tcPr>
            <w:tcW w:w="17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7"/>
              <w:ind w:left="503" w:right="50" w:hanging="452"/>
              <w:jc w:val="left"/>
              <w:rPr>
                <w:rFonts w:ascii="宋体" w:hAnsi="宋体" w:cs="宋体" w:eastAsia="宋体" w:hint="default"/>
                <w:sz w:val="18"/>
                <w:szCs w:val="18"/>
              </w:rPr>
            </w:pPr>
            <w:r>
              <w:rPr>
                <w:rFonts w:ascii="宋体" w:hAnsi="宋体" w:cs="宋体" w:eastAsia="宋体" w:hint="default"/>
                <w:sz w:val="18"/>
                <w:szCs w:val="18"/>
              </w:rPr>
              <w:t>湖南爱买单信息技术 有限公司</w:t>
            </w:r>
          </w:p>
        </w:tc>
      </w:tr>
      <w:tr>
        <w:trPr>
          <w:trHeight w:val="348" w:hRule="exact"/>
        </w:trPr>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联营企业投资账面价值合计</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21,157,748.43</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30,994,991.28</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2,187,906.51</w:t>
            </w:r>
          </w:p>
        </w:tc>
      </w:tr>
      <w:tr>
        <w:trPr>
          <w:trHeight w:val="660" w:hRule="exact"/>
        </w:trPr>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5"/>
              <w:jc w:val="left"/>
              <w:rPr>
                <w:rFonts w:ascii="宋体" w:hAnsi="宋体" w:cs="宋体" w:eastAsia="宋体" w:hint="default"/>
                <w:sz w:val="18"/>
                <w:szCs w:val="18"/>
              </w:rPr>
            </w:pPr>
            <w:r>
              <w:rPr>
                <w:rFonts w:ascii="宋体" w:hAnsi="宋体" w:cs="宋体" w:eastAsia="宋体" w:hint="default"/>
                <w:spacing w:val="2"/>
                <w:sz w:val="18"/>
                <w:szCs w:val="18"/>
              </w:rPr>
              <w:t>下列各项按持股比例计算的</w:t>
            </w:r>
            <w:r>
              <w:rPr>
                <w:rFonts w:ascii="宋体" w:hAnsi="宋体" w:cs="宋体" w:eastAsia="宋体" w:hint="default"/>
                <w:sz w:val="18"/>
                <w:szCs w:val="18"/>
              </w:rPr>
              <w:t> 合计数</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2,713,261.34</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3,011,008.45</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-130,586.83</w:t>
            </w:r>
          </w:p>
        </w:tc>
      </w:tr>
      <w:tr>
        <w:trPr>
          <w:trHeight w:val="346" w:hRule="exact"/>
        </w:trPr>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9,895,619.85</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15,055,042.22</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-2,556,817.59</w:t>
            </w:r>
          </w:p>
        </w:tc>
      </w:tr>
      <w:tr>
        <w:trPr>
          <w:trHeight w:val="348" w:hRule="exact"/>
        </w:trPr>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9" w:hRule="exact"/>
        </w:trPr>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9,895,619.85</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15,055,042.22</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-2,556,817.59</w:t>
            </w:r>
          </w:p>
        </w:tc>
      </w:tr>
    </w:tbl>
    <w:p>
      <w:pPr>
        <w:spacing w:line="240" w:lineRule="auto" w:before="2"/>
        <w:rPr>
          <w:rFonts w:ascii="宋体" w:hAnsi="宋体" w:cs="宋体" w:eastAsia="宋体" w:hint="default"/>
          <w:b/>
          <w:bCs/>
          <w:sz w:val="9"/>
          <w:szCs w:val="9"/>
        </w:rPr>
      </w:pPr>
    </w:p>
    <w:p>
      <w:pPr>
        <w:pStyle w:val="BodyText"/>
        <w:spacing w:line="240" w:lineRule="auto" w:before="44"/>
        <w:ind w:left="513" w:right="1133"/>
        <w:jc w:val="left"/>
      </w:pPr>
      <w:r>
        <w:rPr/>
        <w:t>续：</w:t>
      </w:r>
    </w:p>
    <w:p>
      <w:pPr>
        <w:spacing w:line="240" w:lineRule="auto" w:before="3"/>
        <w:rPr>
          <w:rFonts w:ascii="宋体" w:hAnsi="宋体" w:cs="宋体" w:eastAsia="宋体" w:hint="default"/>
          <w:sz w:val="5"/>
          <w:szCs w:val="5"/>
        </w:rPr>
      </w:pPr>
    </w:p>
    <w:tbl>
      <w:tblPr>
        <w:tblW w:w="0" w:type="auto"/>
        <w:jc w:val="left"/>
        <w:tblInd w:w="150" w:type="dxa"/>
        <w:tblLayout w:type="fixed"/>
        <w:tblCellMar>
          <w:top w:w="0" w:type="dxa"/>
          <w:left w:w="0" w:type="dxa"/>
          <w:bottom w:w="0" w:type="dxa"/>
          <w:right w:w="0" w:type="dxa"/>
        </w:tblCellMar>
        <w:tblLook w:val="01E0"/>
      </w:tblPr>
      <w:tblGrid>
        <w:gridCol w:w="2223"/>
        <w:gridCol w:w="1971"/>
        <w:gridCol w:w="1880"/>
        <w:gridCol w:w="1796"/>
        <w:gridCol w:w="1747"/>
      </w:tblGrid>
      <w:tr>
        <w:trPr>
          <w:trHeight w:val="346" w:hRule="exact"/>
        </w:trPr>
        <w:tc>
          <w:tcPr>
            <w:tcW w:w="2223"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394" w:type="dxa"/>
            <w:gridSpan w:val="4"/>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660" w:hRule="exact"/>
        </w:trPr>
        <w:tc>
          <w:tcPr>
            <w:tcW w:w="2223" w:type="dxa"/>
            <w:vMerge/>
            <w:tcBorders>
              <w:left w:val="single" w:sz="6" w:space="0" w:color="000000"/>
              <w:bottom w:val="single" w:sz="6" w:space="0" w:color="000000"/>
              <w:right w:val="single" w:sz="6" w:space="0" w:color="000000"/>
            </w:tcBorders>
            <w:shd w:val="clear" w:color="auto" w:fill="D9D9D9"/>
          </w:tcPr>
          <w:p>
            <w:pPr/>
          </w:p>
        </w:tc>
        <w:tc>
          <w:tcPr>
            <w:tcW w:w="197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0"/>
              <w:ind w:left="797" w:right="77" w:hanging="721"/>
              <w:jc w:val="left"/>
              <w:rPr>
                <w:rFonts w:ascii="宋体" w:hAnsi="宋体" w:cs="宋体" w:eastAsia="宋体" w:hint="default"/>
                <w:sz w:val="18"/>
                <w:szCs w:val="18"/>
              </w:rPr>
            </w:pPr>
            <w:r>
              <w:rPr>
                <w:rFonts w:ascii="宋体" w:hAnsi="宋体" w:cs="宋体" w:eastAsia="宋体" w:hint="default"/>
                <w:sz w:val="18"/>
                <w:szCs w:val="18"/>
              </w:rPr>
              <w:t>上海芝柯智能科技有限 公司</w:t>
            </w:r>
          </w:p>
        </w:tc>
        <w:tc>
          <w:tcPr>
            <w:tcW w:w="18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0"/>
              <w:ind w:left="482" w:right="29" w:hanging="449"/>
              <w:jc w:val="left"/>
              <w:rPr>
                <w:rFonts w:ascii="宋体" w:hAnsi="宋体" w:cs="宋体" w:eastAsia="宋体" w:hint="default"/>
                <w:sz w:val="18"/>
                <w:szCs w:val="18"/>
              </w:rPr>
            </w:pPr>
            <w:r>
              <w:rPr>
                <w:rFonts w:ascii="宋体" w:hAnsi="宋体" w:cs="宋体" w:eastAsia="宋体" w:hint="default"/>
                <w:sz w:val="18"/>
                <w:szCs w:val="18"/>
              </w:rPr>
              <w:t>中世顺科技（北京）股 份有限公司</w:t>
            </w:r>
          </w:p>
        </w:tc>
        <w:tc>
          <w:tcPr>
            <w:tcW w:w="17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0"/>
              <w:ind w:left="530" w:right="80" w:hanging="452"/>
              <w:jc w:val="left"/>
              <w:rPr>
                <w:rFonts w:ascii="宋体" w:hAnsi="宋体" w:cs="宋体" w:eastAsia="宋体" w:hint="default"/>
                <w:sz w:val="18"/>
                <w:szCs w:val="18"/>
              </w:rPr>
            </w:pPr>
            <w:r>
              <w:rPr>
                <w:rFonts w:ascii="宋体" w:hAnsi="宋体" w:cs="宋体" w:eastAsia="宋体" w:hint="default"/>
                <w:sz w:val="18"/>
                <w:szCs w:val="18"/>
              </w:rPr>
              <w:t>深圳市天眼智通科技 有限公司</w:t>
            </w:r>
          </w:p>
        </w:tc>
        <w:tc>
          <w:tcPr>
            <w:tcW w:w="174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0"/>
              <w:ind w:left="506" w:right="53" w:hanging="449"/>
              <w:jc w:val="left"/>
              <w:rPr>
                <w:rFonts w:ascii="宋体" w:hAnsi="宋体" w:cs="宋体" w:eastAsia="宋体" w:hint="default"/>
                <w:sz w:val="18"/>
                <w:szCs w:val="18"/>
              </w:rPr>
            </w:pPr>
            <w:r>
              <w:rPr>
                <w:rFonts w:ascii="宋体" w:hAnsi="宋体" w:cs="宋体" w:eastAsia="宋体" w:hint="default"/>
                <w:sz w:val="18"/>
                <w:szCs w:val="18"/>
              </w:rPr>
              <w:t>湖南爱买单信息技术 有限公司</w:t>
            </w:r>
          </w:p>
        </w:tc>
      </w:tr>
      <w:tr>
        <w:trPr>
          <w:trHeight w:val="346"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联营企业投资账面价值合计</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19,819,487.09</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27,983,982.83</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2,047,026.00</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2,318,493.34</w:t>
            </w:r>
          </w:p>
        </w:tc>
      </w:tr>
      <w:tr>
        <w:trPr>
          <w:trHeight w:val="660"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下列各项按持股比例计算的</w:t>
            </w:r>
            <w:r>
              <w:rPr>
                <w:rFonts w:ascii="宋体" w:hAnsi="宋体" w:cs="宋体" w:eastAsia="宋体" w:hint="default"/>
                <w:sz w:val="18"/>
                <w:szCs w:val="18"/>
              </w:rPr>
              <w:t> 合计数</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4,156,337.89</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3,233,982.83</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-723,685.43</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-127,487.46</w:t>
            </w:r>
          </w:p>
        </w:tc>
      </w:tr>
      <w:tr>
        <w:trPr>
          <w:trHeight w:val="346"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15,113,955.98</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16,169,914.15</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-1,809,213.57</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-2,292,939.92</w:t>
            </w:r>
          </w:p>
        </w:tc>
      </w:tr>
      <w:tr>
        <w:trPr>
          <w:trHeight w:val="34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15,113,955.98</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16,169,914.15</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-1,809,213.57</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-2,292,939.92</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十、关联方及关联交易" w:id="339"/>
      <w:bookmarkEnd w:id="339"/>
      <w:r>
        <w:rPr>
          <w:b w:val="0"/>
          <w:bCs w:val="0"/>
        </w:rPr>
      </w:r>
      <w:r>
        <w:rPr/>
        <w:t>十、关联方及关联交易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1、本企业的母公司情况" w:id="340"/>
      <w:bookmarkEnd w:id="340"/>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5824"/>
        <w:jc w:val="left"/>
      </w:pPr>
      <w:r>
        <w:rPr/>
        <w:t>本企业最终控制方是</w:t>
      </w:r>
      <w:r>
        <w:rPr>
          <w:rFonts w:ascii="Times New Roman" w:hAnsi="Times New Roman" w:cs="Times New Roman" w:eastAsia="Times New Roman" w:hint="default"/>
        </w:rPr>
        <w:t>CHEN YIHAN</w:t>
      </w:r>
      <w:r>
        <w:rPr/>
        <w:t>、</w:t>
      </w:r>
      <w:r>
        <w:rPr>
          <w:rFonts w:ascii="Times New Roman" w:hAnsi="Times New Roman" w:cs="Times New Roman" w:eastAsia="Times New Roman" w:hint="default"/>
        </w:rPr>
        <w:t>GUO SONG</w:t>
      </w:r>
      <w:r>
        <w:rPr/>
        <w:t>、</w:t>
      </w:r>
      <w:r>
        <w:rPr>
          <w:rFonts w:ascii="Times New Roman" w:hAnsi="Times New Roman" w:cs="Times New Roman" w:eastAsia="Times New Roman" w:hint="default"/>
        </w:rPr>
        <w:t>LIU</w:t>
      </w:r>
      <w:r>
        <w:rPr>
          <w:rFonts w:ascii="Times New Roman" w:hAnsi="Times New Roman" w:cs="Times New Roman" w:eastAsia="Times New Roman" w:hint="default"/>
          <w:spacing w:val="-5"/>
        </w:rPr>
        <w:t> </w:t>
      </w:r>
      <w:r>
        <w:rPr>
          <w:rFonts w:ascii="Times New Roman" w:hAnsi="Times New Roman" w:cs="Times New Roman" w:eastAsia="Times New Roman" w:hint="default"/>
        </w:rPr>
        <w:t>DAN</w:t>
      </w:r>
      <w:r>
        <w:rPr/>
        <w:t>。 其他说明：</w:t>
      </w:r>
    </w:p>
    <w:p>
      <w:pPr>
        <w:spacing w:line="240" w:lineRule="auto" w:before="5"/>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155"/>
        <w:gridCol w:w="1140"/>
        <w:gridCol w:w="1056"/>
        <w:gridCol w:w="1056"/>
        <w:gridCol w:w="1056"/>
        <w:gridCol w:w="2093"/>
      </w:tblGrid>
      <w:tr>
        <w:trPr>
          <w:trHeight w:val="331" w:hRule="exact"/>
        </w:trPr>
        <w:tc>
          <w:tcPr>
            <w:tcW w:w="315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11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10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0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10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20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r>
      <w:tr>
        <w:trPr>
          <w:trHeight w:val="362" w:hRule="exact"/>
        </w:trPr>
        <w:tc>
          <w:tcPr>
            <w:tcW w:w="315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2"/>
              <w:ind w:left="4" w:right="0"/>
              <w:jc w:val="left"/>
              <w:rPr>
                <w:rFonts w:ascii="Times New Roman" w:hAnsi="Times New Roman" w:cs="Times New Roman" w:eastAsia="Times New Roman" w:hint="default"/>
                <w:sz w:val="18"/>
                <w:szCs w:val="18"/>
              </w:rPr>
            </w:pPr>
            <w:r>
              <w:rPr>
                <w:rFonts w:ascii="Times New Roman"/>
                <w:sz w:val="18"/>
              </w:rPr>
              <w:t>CHEN</w:t>
            </w:r>
            <w:r>
              <w:rPr>
                <w:rFonts w:ascii="Times New Roman"/>
                <w:spacing w:val="-2"/>
                <w:sz w:val="18"/>
              </w:rPr>
              <w:t> </w:t>
            </w:r>
            <w:r>
              <w:rPr>
                <w:rFonts w:ascii="Times New Roman"/>
                <w:sz w:val="18"/>
              </w:rPr>
              <w:t>YIHAN</w:t>
            </w:r>
          </w:p>
        </w:tc>
        <w:tc>
          <w:tcPr>
            <w:tcW w:w="114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2"/>
              <w:ind w:left="4" w:right="0"/>
              <w:jc w:val="center"/>
              <w:rPr>
                <w:rFonts w:ascii="Times New Roman" w:hAnsi="Times New Roman" w:cs="Times New Roman" w:eastAsia="Times New Roman" w:hint="default"/>
                <w:sz w:val="18"/>
                <w:szCs w:val="18"/>
              </w:rPr>
            </w:pPr>
            <w:r>
              <w:rPr>
                <w:rFonts w:ascii="Times New Roman"/>
                <w:sz w:val="18"/>
              </w:rPr>
              <w:t>---</w:t>
            </w:r>
          </w:p>
        </w:tc>
        <w:tc>
          <w:tcPr>
            <w:tcW w:w="105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2"/>
              <w:ind w:left="2" w:right="0"/>
              <w:jc w:val="center"/>
              <w:rPr>
                <w:rFonts w:ascii="Times New Roman" w:hAnsi="Times New Roman" w:cs="Times New Roman" w:eastAsia="Times New Roman" w:hint="default"/>
                <w:sz w:val="18"/>
                <w:szCs w:val="18"/>
              </w:rPr>
            </w:pPr>
            <w:r>
              <w:rPr>
                <w:rFonts w:ascii="Times New Roman"/>
                <w:sz w:val="18"/>
              </w:rPr>
              <w:t>---</w:t>
            </w:r>
          </w:p>
        </w:tc>
        <w:tc>
          <w:tcPr>
            <w:tcW w:w="105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2"/>
              <w:ind w:left="2" w:right="0"/>
              <w:jc w:val="center"/>
              <w:rPr>
                <w:rFonts w:ascii="Times New Roman" w:hAnsi="Times New Roman" w:cs="Times New Roman" w:eastAsia="Times New Roman" w:hint="default"/>
                <w:sz w:val="18"/>
                <w:szCs w:val="18"/>
              </w:rPr>
            </w:pPr>
            <w:r>
              <w:rPr>
                <w:rFonts w:ascii="Times New Roman"/>
                <w:sz w:val="18"/>
              </w:rPr>
              <w:t>---</w:t>
            </w:r>
          </w:p>
        </w:tc>
        <w:tc>
          <w:tcPr>
            <w:tcW w:w="105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2"/>
              <w:ind w:left="2" w:right="0"/>
              <w:jc w:val="center"/>
              <w:rPr>
                <w:rFonts w:ascii="Times New Roman" w:hAnsi="Times New Roman" w:cs="Times New Roman" w:eastAsia="Times New Roman" w:hint="default"/>
                <w:sz w:val="18"/>
                <w:szCs w:val="18"/>
              </w:rPr>
            </w:pPr>
            <w:r>
              <w:rPr>
                <w:rFonts w:ascii="Times New Roman"/>
                <w:sz w:val="18"/>
              </w:rPr>
              <w:t>---</w:t>
            </w:r>
          </w:p>
        </w:tc>
        <w:tc>
          <w:tcPr>
            <w:tcW w:w="209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9"/>
              <w:ind w:left="3" w:right="0"/>
              <w:jc w:val="center"/>
              <w:rPr>
                <w:rFonts w:ascii="宋体" w:hAnsi="宋体" w:cs="宋体" w:eastAsia="宋体" w:hint="default"/>
                <w:sz w:val="18"/>
                <w:szCs w:val="18"/>
              </w:rPr>
            </w:pPr>
            <w:r>
              <w:rPr>
                <w:rFonts w:ascii="宋体" w:hAnsi="宋体" w:cs="宋体" w:eastAsia="宋体" w:hint="default"/>
                <w:sz w:val="18"/>
                <w:szCs w:val="18"/>
              </w:rPr>
              <w:t>实际控制人</w:t>
            </w:r>
          </w:p>
        </w:tc>
      </w:tr>
      <w:tr>
        <w:trPr>
          <w:trHeight w:val="348" w:hRule="exact"/>
        </w:trPr>
        <w:tc>
          <w:tcPr>
            <w:tcW w:w="3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GUO</w:t>
            </w:r>
            <w:r>
              <w:rPr>
                <w:rFonts w:ascii="Times New Roman"/>
                <w:spacing w:val="-4"/>
                <w:sz w:val="18"/>
              </w:rPr>
              <w:t> </w:t>
            </w:r>
            <w:r>
              <w:rPr>
                <w:rFonts w:ascii="Times New Roman"/>
                <w:sz w:val="18"/>
              </w:rPr>
              <w:t>SONG</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实际控制人</w:t>
            </w:r>
          </w:p>
        </w:tc>
      </w:tr>
      <w:tr>
        <w:trPr>
          <w:trHeight w:val="349" w:hRule="exact"/>
        </w:trPr>
        <w:tc>
          <w:tcPr>
            <w:tcW w:w="3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LIU</w:t>
            </w:r>
            <w:r>
              <w:rPr>
                <w:rFonts w:ascii="Times New Roman"/>
                <w:spacing w:val="-4"/>
                <w:sz w:val="18"/>
              </w:rPr>
              <w:t> </w:t>
            </w:r>
            <w:r>
              <w:rPr>
                <w:rFonts w:ascii="Times New Roman"/>
                <w:sz w:val="18"/>
              </w:rPr>
              <w:t>DAN</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center"/>
              <w:rPr>
                <w:rFonts w:ascii="宋体" w:hAnsi="宋体" w:cs="宋体" w:eastAsia="宋体" w:hint="default"/>
                <w:sz w:val="18"/>
                <w:szCs w:val="18"/>
              </w:rPr>
            </w:pPr>
            <w:r>
              <w:rPr>
                <w:rFonts w:ascii="宋体" w:hAnsi="宋体" w:cs="宋体" w:eastAsia="宋体" w:hint="default"/>
                <w:sz w:val="18"/>
                <w:szCs w:val="18"/>
              </w:rPr>
              <w:t>实际控制人</w:t>
            </w:r>
          </w:p>
        </w:tc>
      </w:tr>
      <w:tr>
        <w:trPr>
          <w:trHeight w:val="346" w:hRule="exact"/>
        </w:trPr>
        <w:tc>
          <w:tcPr>
            <w:tcW w:w="3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香港优博讯科技控股集团有限公司</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GUO</w:t>
            </w:r>
            <w:r>
              <w:rPr>
                <w:rFonts w:ascii="Times New Roman"/>
                <w:spacing w:val="-4"/>
                <w:sz w:val="18"/>
              </w:rPr>
              <w:t> </w:t>
            </w:r>
            <w:r>
              <w:rPr>
                <w:rFonts w:ascii="Times New Roman"/>
                <w:sz w:val="18"/>
              </w:rPr>
              <w:t>SONG</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本公司控股股东</w:t>
            </w:r>
          </w:p>
        </w:tc>
      </w:tr>
    </w:tbl>
    <w:p>
      <w:pPr>
        <w:pStyle w:val="BodyText"/>
        <w:spacing w:line="340" w:lineRule="auto" w:before="8"/>
        <w:ind w:right="4477"/>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CHEN YIHAN</w:t>
      </w:r>
      <w:r>
        <w:rPr/>
        <w:t>、</w:t>
      </w:r>
      <w:r>
        <w:rPr>
          <w:rFonts w:ascii="Times New Roman" w:hAnsi="Times New Roman" w:cs="Times New Roman" w:eastAsia="Times New Roman" w:hint="default"/>
        </w:rPr>
        <w:t>GUO SONG</w:t>
      </w:r>
      <w:r>
        <w:rPr/>
        <w:t>和</w:t>
      </w:r>
      <w:r>
        <w:rPr>
          <w:rFonts w:ascii="Times New Roman" w:hAnsi="Times New Roman" w:cs="Times New Roman" w:eastAsia="Times New Roman" w:hint="default"/>
        </w:rPr>
        <w:t>LIU</w:t>
      </w:r>
      <w:r>
        <w:rPr>
          <w:rFonts w:ascii="Times New Roman" w:hAnsi="Times New Roman" w:cs="Times New Roman" w:eastAsia="Times New Roman" w:hint="default"/>
          <w:spacing w:val="-8"/>
        </w:rPr>
        <w:t> </w:t>
      </w:r>
      <w:r>
        <w:rPr>
          <w:rFonts w:ascii="Times New Roman" w:hAnsi="Times New Roman" w:cs="Times New Roman" w:eastAsia="Times New Roman" w:hint="default"/>
        </w:rPr>
        <w:t>DAN</w:t>
      </w:r>
      <w:r>
        <w:rPr/>
        <w:t>签署了一致行动协议。 本企业最终控制方是</w:t>
      </w:r>
      <w:r>
        <w:rPr>
          <w:spacing w:val="-45"/>
        </w:rPr>
        <w:t> </w:t>
      </w:r>
      <w:r>
        <w:rPr>
          <w:rFonts w:ascii="Times New Roman" w:hAnsi="Times New Roman" w:cs="Times New Roman" w:eastAsia="Times New Roman" w:hint="default"/>
        </w:rPr>
        <w:t>CHEN</w:t>
      </w:r>
      <w:r>
        <w:rPr>
          <w:rFonts w:ascii="Times New Roman" w:hAnsi="Times New Roman" w:cs="Times New Roman" w:eastAsia="Times New Roman" w:hint="default"/>
          <w:spacing w:val="-8"/>
        </w:rPr>
        <w:t> </w:t>
      </w:r>
      <w:r>
        <w:rPr>
          <w:rFonts w:ascii="Times New Roman" w:hAnsi="Times New Roman" w:cs="Times New Roman" w:eastAsia="Times New Roman" w:hint="default"/>
        </w:rPr>
        <w:t>YIHAN</w:t>
      </w:r>
      <w:r>
        <w:rPr/>
        <w:t>、</w:t>
      </w:r>
      <w:r>
        <w:rPr>
          <w:rFonts w:ascii="Times New Roman" w:hAnsi="Times New Roman" w:cs="Times New Roman" w:eastAsia="Times New Roman" w:hint="default"/>
        </w:rPr>
        <w:t>GUO</w:t>
      </w:r>
      <w:r>
        <w:rPr>
          <w:rFonts w:ascii="Times New Roman" w:hAnsi="Times New Roman" w:cs="Times New Roman" w:eastAsia="Times New Roman" w:hint="default"/>
          <w:spacing w:val="-2"/>
        </w:rPr>
        <w:t> </w:t>
      </w:r>
      <w:r>
        <w:rPr>
          <w:rFonts w:ascii="Times New Roman" w:hAnsi="Times New Roman" w:cs="Times New Roman" w:eastAsia="Times New Roman" w:hint="default"/>
        </w:rPr>
        <w:t>SONG</w:t>
      </w:r>
      <w:r>
        <w:rPr/>
        <w:t>、</w:t>
      </w:r>
      <w:r>
        <w:rPr>
          <w:rFonts w:ascii="Times New Roman" w:hAnsi="Times New Roman" w:cs="Times New Roman" w:eastAsia="Times New Roman" w:hint="default"/>
        </w:rPr>
        <w:t>LIU</w:t>
      </w:r>
      <w:r>
        <w:rPr>
          <w:rFonts w:ascii="Times New Roman" w:hAnsi="Times New Roman" w:cs="Times New Roman" w:eastAsia="Times New Roman" w:hint="default"/>
          <w:spacing w:val="-1"/>
        </w:rPr>
        <w:t> </w:t>
      </w:r>
      <w:r>
        <w:rPr>
          <w:rFonts w:ascii="Times New Roman" w:hAnsi="Times New Roman" w:cs="Times New Roman" w:eastAsia="Times New Roman" w:hint="default"/>
        </w:rPr>
        <w:t>DAN</w:t>
      </w:r>
      <w:r>
        <w:rPr/>
        <w:t>。</w:t>
      </w:r>
    </w:p>
    <w:p>
      <w:pPr>
        <w:spacing w:line="240" w:lineRule="auto" w:before="10"/>
        <w:rPr>
          <w:rFonts w:ascii="宋体" w:hAnsi="宋体" w:cs="宋体" w:eastAsia="宋体" w:hint="default"/>
          <w:sz w:val="19"/>
          <w:szCs w:val="19"/>
        </w:rPr>
      </w:pPr>
    </w:p>
    <w:p>
      <w:pPr>
        <w:pStyle w:val="Heading3"/>
        <w:spacing w:line="240" w:lineRule="auto"/>
        <w:ind w:right="1133"/>
        <w:jc w:val="left"/>
        <w:rPr>
          <w:b w:val="0"/>
          <w:bCs w:val="0"/>
        </w:rPr>
      </w:pPr>
      <w:bookmarkStart w:name="2、本企业的子公司情况" w:id="341"/>
      <w:bookmarkEnd w:id="341"/>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本企业子公司的情况详见附注九、</w:t>
      </w:r>
      <w:r>
        <w:rPr>
          <w:rFonts w:ascii="Times New Roman" w:hAnsi="Times New Roman" w:cs="Times New Roman" w:eastAsia="Times New Roman" w:hint="default"/>
        </w:rPr>
        <w:t>1</w:t>
      </w:r>
      <w:r>
        <w:rPr/>
        <w:t>。</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line="544" w:lineRule="auto" w:before="36"/>
        <w:ind w:left="152" w:right="7064" w:firstLine="0"/>
        <w:jc w:val="left"/>
        <w:rPr>
          <w:rFonts w:ascii="宋体" w:hAnsi="宋体" w:cs="宋体" w:eastAsia="宋体" w:hint="default"/>
          <w:sz w:val="21"/>
          <w:szCs w:val="21"/>
        </w:rPr>
      </w:pPr>
      <w:bookmarkStart w:name="3、本企业合营和联营企业情况" w:id="342"/>
      <w:bookmarkEnd w:id="34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z w:val="18"/>
          <w:szCs w:val="18"/>
        </w:rPr>
        <w:t>本企业重要的合营或联营企业详见附注九、</w:t>
      </w:r>
      <w:r>
        <w:rPr>
          <w:rFonts w:ascii="Times New Roman" w:hAnsi="Times New Roman" w:cs="Times New Roman" w:eastAsia="Times New Roman" w:hint="default"/>
          <w:sz w:val="18"/>
          <w:szCs w:val="18"/>
        </w:rPr>
        <w:t>2</w:t>
      </w:r>
      <w:r>
        <w:rPr>
          <w:rFonts w:ascii="宋体" w:hAnsi="宋体" w:cs="宋体" w:eastAsia="宋体" w:hint="default"/>
          <w:sz w:val="18"/>
          <w:szCs w:val="18"/>
        </w:rPr>
        <w:t>。 </w:t>
      </w:r>
      <w:bookmarkStart w:name="4、其他关联方情况" w:id="343"/>
      <w:bookmarkEnd w:id="343"/>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2"/>
        <w:rPr>
          <w:rFonts w:ascii="宋体" w:hAnsi="宋体" w:cs="宋体" w:eastAsia="宋体" w:hint="default"/>
          <w:b/>
          <w:bCs/>
          <w:sz w:val="3"/>
          <w:szCs w:val="3"/>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斯隆新产品投资有限公司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亚晟发展集团有限公司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深圳市博讯投资有限公司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深圳市中洲创业投资有限公司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寰泰发展有限公司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卓泰实业有限公司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深圳市博通思创咨询有限公司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宏泰实业有限公司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博远企业有限公司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深圳市博通智能科技有限公司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深圳市博通思创咨询有限公司持股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北京易路易通科技有限公司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深圳市博通思创咨询有限公司持股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的联营企业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四川铁慧科技有限公司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深圳市博通思创咨询有限公司持股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仝文定</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张晔</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财务负责人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于雪磊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本公司监事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郁小娇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本公司监事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徐宁</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本公司监事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王洪莉</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实际控制人刘丹之亲属</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万波</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本公司高管</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张玉洁</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本公司高管</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李宏盼</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监事徐宁配偶</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bookmarkStart w:name="5、关联交易情况" w:id="344"/>
      <w:bookmarkEnd w:id="344"/>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购销商品、提供和接受劳务的关联交易" w:id="345"/>
      <w:bookmarkEnd w:id="345"/>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5"/>
        <w:gridCol w:w="1452"/>
        <w:gridCol w:w="1709"/>
        <w:gridCol w:w="1707"/>
        <w:gridCol w:w="1706"/>
      </w:tblGrid>
      <w:tr>
        <w:trPr>
          <w:trHeight w:val="403"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上海芝柯智能科技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设备配件和服务 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8,690,457.33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0" w:right="0"/>
              <w:jc w:val="left"/>
              <w:rPr>
                <w:rFonts w:ascii="Times New Roman" w:hAnsi="Times New Roman" w:cs="Times New Roman" w:eastAsia="Times New Roman" w:hint="default"/>
                <w:sz w:val="18"/>
                <w:szCs w:val="18"/>
              </w:rPr>
            </w:pPr>
            <w:r>
              <w:rPr>
                <w:rFonts w:ascii="Times New Roman"/>
                <w:sz w:val="18"/>
              </w:rPr>
              <w:t>10,000,000.00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6,712,150.40</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北京易路易通科技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9"/>
              <w:jc w:val="left"/>
              <w:rPr>
                <w:rFonts w:ascii="宋体" w:hAnsi="宋体" w:cs="宋体" w:eastAsia="宋体" w:hint="default"/>
                <w:sz w:val="18"/>
                <w:szCs w:val="18"/>
              </w:rPr>
            </w:pPr>
            <w:r>
              <w:rPr>
                <w:rFonts w:ascii="宋体" w:hAnsi="宋体" w:cs="宋体" w:eastAsia="宋体" w:hint="default"/>
                <w:sz w:val="18"/>
                <w:szCs w:val="18"/>
              </w:rPr>
              <w:t>设备配件和服务 费</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643,396.23</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深圳市天眼智通科 技有限公司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设备配件</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210,517.24</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8,900,974.57</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7,355,546.63</w:t>
            </w:r>
          </w:p>
        </w:tc>
      </w:tr>
    </w:tbl>
    <w:p>
      <w:pPr>
        <w:pStyle w:val="BodyText"/>
        <w:spacing w:line="240" w:lineRule="auto" w:before="49"/>
        <w:ind w:right="1133"/>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上海芝柯智能科技有限公司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设备配件</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242,431.03</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深圳市天眼智通科技有限公司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设备配件</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3,820.51</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深圳市天眼智通科技有限公司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99,884.61</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北京易路易通科技有限公司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设备配件</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123,570.34</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212,284.47</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四川铁慧科技有限公司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设备配件</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14,772,024.60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2,293,827.58</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14,895,594.9</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2,852,248.20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关联租赁情况" w:id="346"/>
      <w:bookmarkEnd w:id="346"/>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本公司作为承租方：</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王洪莉</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8" w:right="0"/>
              <w:jc w:val="left"/>
              <w:rPr>
                <w:rFonts w:ascii="Times New Roman" w:hAnsi="Times New Roman" w:cs="Times New Roman" w:eastAsia="Times New Roman" w:hint="default"/>
                <w:sz w:val="18"/>
                <w:szCs w:val="18"/>
              </w:rPr>
            </w:pPr>
            <w:r>
              <w:rPr>
                <w:rFonts w:ascii="Times New Roman"/>
                <w:sz w:val="18"/>
              </w:rPr>
              <w:t>294,000.00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8" w:right="0"/>
              <w:jc w:val="left"/>
              <w:rPr>
                <w:rFonts w:ascii="Times New Roman" w:hAnsi="Times New Roman" w:cs="Times New Roman" w:eastAsia="Times New Roman" w:hint="default"/>
                <w:sz w:val="18"/>
                <w:szCs w:val="18"/>
              </w:rPr>
            </w:pPr>
            <w:r>
              <w:rPr>
                <w:rFonts w:ascii="Times New Roman"/>
                <w:sz w:val="18"/>
              </w:rPr>
              <w:t>294,000.00</w:t>
            </w:r>
          </w:p>
        </w:tc>
      </w:tr>
    </w:tbl>
    <w:p>
      <w:pPr>
        <w:pStyle w:val="BodyText"/>
        <w:spacing w:line="240" w:lineRule="auto" w:before="49"/>
        <w:ind w:right="0"/>
        <w:jc w:val="both"/>
      </w:pPr>
      <w:r>
        <w:rPr/>
        <w:t>关联租赁情况说明</w:t>
      </w:r>
    </w:p>
    <w:p>
      <w:pPr>
        <w:spacing w:line="240" w:lineRule="auto" w:before="10"/>
        <w:rPr>
          <w:rFonts w:ascii="宋体" w:hAnsi="宋体" w:cs="宋体" w:eastAsia="宋体" w:hint="default"/>
          <w:sz w:val="17"/>
          <w:szCs w:val="17"/>
        </w:rPr>
      </w:pPr>
    </w:p>
    <w:p>
      <w:pPr>
        <w:pStyle w:val="BodyText"/>
        <w:spacing w:line="300" w:lineRule="auto"/>
        <w:ind w:right="1124" w:firstLine="420"/>
        <w:jc w:val="left"/>
      </w:pPr>
      <w:r>
        <w:rPr>
          <w:rFonts w:ascii="Times New Roman" w:hAnsi="Times New Roman" w:cs="Times New Roman" w:eastAsia="Times New Roman" w:hint="default"/>
        </w:rPr>
        <w:t>1</w:t>
      </w:r>
      <w:r>
        <w:rPr/>
        <w:t>）本公司与王洪莉签订房屋租赁合同，王洪莉将其位于北京西城区西直门外大街</w:t>
      </w:r>
      <w:r>
        <w:rPr>
          <w:rFonts w:ascii="Times New Roman" w:hAnsi="Times New Roman" w:cs="Times New Roman" w:eastAsia="Times New Roman" w:hint="default"/>
        </w:rPr>
        <w:t>1</w:t>
      </w:r>
      <w:r>
        <w:rPr/>
        <w:t>号嘉茂大厦</w:t>
      </w:r>
      <w:r>
        <w:rPr>
          <w:rFonts w:ascii="Times New Roman" w:hAnsi="Times New Roman" w:cs="Times New Roman" w:eastAsia="Times New Roman" w:hint="default"/>
        </w:rPr>
        <w:t>16</w:t>
      </w:r>
      <w:r>
        <w:rPr/>
        <w:t>层</w:t>
      </w:r>
      <w:r>
        <w:rPr>
          <w:rFonts w:ascii="Times New Roman" w:hAnsi="Times New Roman" w:cs="Times New Roman" w:eastAsia="Times New Roman" w:hint="default"/>
        </w:rPr>
        <w:t>C9</w:t>
      </w:r>
      <w:r>
        <w:rPr/>
        <w:t>室租赁给本公司 使用，租赁期自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日止，租赁期间租金的市场价格为每月租金</w:t>
      </w:r>
      <w:r>
        <w:rPr>
          <w:rFonts w:ascii="Times New Roman" w:hAnsi="Times New Roman" w:cs="Times New Roman" w:eastAsia="Times New Roman" w:hint="default"/>
        </w:rPr>
        <w:t>24,500.00</w:t>
      </w:r>
      <w:r>
        <w:rPr/>
        <w:t>元。</w:t>
      </w:r>
    </w:p>
    <w:p>
      <w:pPr>
        <w:spacing w:line="240" w:lineRule="auto" w:before="12"/>
        <w:rPr>
          <w:rFonts w:ascii="宋体" w:hAnsi="宋体" w:cs="宋体" w:eastAsia="宋体" w:hint="default"/>
          <w:sz w:val="12"/>
          <w:szCs w:val="12"/>
        </w:rPr>
      </w:pPr>
    </w:p>
    <w:p>
      <w:pPr>
        <w:pStyle w:val="BodyText"/>
        <w:spacing w:line="300" w:lineRule="auto"/>
        <w:ind w:right="1124" w:firstLine="420"/>
        <w:jc w:val="left"/>
      </w:pPr>
      <w:r>
        <w:rPr>
          <w:rFonts w:ascii="Times New Roman" w:hAnsi="Times New Roman" w:cs="Times New Roman" w:eastAsia="Times New Roman" w:hint="default"/>
        </w:rPr>
        <w:t>2</w:t>
      </w:r>
      <w:r>
        <w:rPr/>
        <w:t>）本公司与王洪莉签订房屋租赁合同，王洪莉将其位于北京西城区西直门外大街</w:t>
      </w:r>
      <w:r>
        <w:rPr>
          <w:rFonts w:ascii="Times New Roman" w:hAnsi="Times New Roman" w:cs="Times New Roman" w:eastAsia="Times New Roman" w:hint="default"/>
        </w:rPr>
        <w:t>1</w:t>
      </w:r>
      <w:r>
        <w:rPr/>
        <w:t>号嘉茂大厦</w:t>
      </w:r>
      <w:r>
        <w:rPr>
          <w:rFonts w:ascii="Times New Roman" w:hAnsi="Times New Roman" w:cs="Times New Roman" w:eastAsia="Times New Roman" w:hint="default"/>
        </w:rPr>
        <w:t>16</w:t>
      </w:r>
      <w:r>
        <w:rPr/>
        <w:t>层</w:t>
      </w:r>
      <w:r>
        <w:rPr>
          <w:rFonts w:ascii="Times New Roman" w:hAnsi="Times New Roman" w:cs="Times New Roman" w:eastAsia="Times New Roman" w:hint="default"/>
        </w:rPr>
        <w:t>C9</w:t>
      </w:r>
      <w:r>
        <w:rPr/>
        <w:t>室租赁给本公司 使用，租赁期自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日止，租赁期间租金的市场价格为每月租金</w:t>
      </w:r>
      <w:r>
        <w:rPr>
          <w:rFonts w:ascii="Times New Roman" w:hAnsi="Times New Roman" w:cs="Times New Roman" w:eastAsia="Times New Roman" w:hint="default"/>
        </w:rPr>
        <w:t>24,500.00</w:t>
      </w:r>
      <w:r>
        <w:rPr/>
        <w:t>元。</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bookmarkStart w:name="（4）关联担保情况" w:id="347"/>
      <w:bookmarkEnd w:id="347"/>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关联担保情况说明</w:t>
      </w:r>
    </w:p>
    <w:p>
      <w:pPr>
        <w:pStyle w:val="BodyText"/>
        <w:spacing w:line="240" w:lineRule="auto" w:before="117"/>
        <w:ind w:left="513" w:right="0"/>
        <w:jc w:val="left"/>
        <w:rPr>
          <w:rFonts w:ascii="Times New Roman" w:hAnsi="Times New Roman" w:cs="Times New Roman" w:eastAsia="Times New Roman" w:hint="default"/>
        </w:rPr>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日，本公司与中国银行股份有限公司深圳高新区支行重新签署了编号为</w:t>
      </w:r>
      <w:r>
        <w:rPr>
          <w:rFonts w:ascii="Times New Roman" w:hAnsi="Times New Roman" w:cs="Times New Roman" w:eastAsia="Times New Roman" w:hint="default"/>
        </w:rPr>
        <w:t>“2018</w:t>
      </w:r>
      <w:r>
        <w:rPr/>
        <w:t>圳中银高额协字第</w:t>
      </w:r>
      <w:r>
        <w:rPr>
          <w:rFonts w:ascii="Times New Roman" w:hAnsi="Times New Roman" w:cs="Times New Roman" w:eastAsia="Times New Roman" w:hint="default"/>
        </w:rPr>
        <w:t>160060</w:t>
      </w:r>
      <w:r>
        <w:rPr/>
        <w:t>号</w:t>
      </w:r>
      <w:r>
        <w:rPr>
          <w:rFonts w:ascii="Times New Roman" w:hAnsi="Times New Roman" w:cs="Times New Roman" w:eastAsia="Times New Roman" w:hint="default"/>
        </w:rPr>
        <w:t>”</w:t>
      </w:r>
    </w:p>
    <w:p>
      <w:pPr>
        <w:pStyle w:val="BodyText"/>
        <w:spacing w:line="307" w:lineRule="auto" w:before="63"/>
        <w:ind w:right="1128"/>
        <w:jc w:val="both"/>
      </w:pPr>
      <w:r>
        <w:rPr>
          <w:spacing w:val="-3"/>
        </w:rPr>
        <w:t>《授信额度协议》，根据该协议，该行向本公司提供人民币</w:t>
      </w:r>
      <w:r>
        <w:rPr>
          <w:rFonts w:ascii="Times New Roman" w:hAnsi="Times New Roman" w:cs="Times New Roman" w:eastAsia="Times New Roman" w:hint="default"/>
          <w:spacing w:val="-3"/>
        </w:rPr>
        <w:t>8,000</w:t>
      </w:r>
      <w:r>
        <w:rPr>
          <w:spacing w:val="-3"/>
        </w:rPr>
        <w:t>万元的综合授信额度，授信期限自</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14</w:t>
      </w:r>
      <w:r>
        <w:rPr>
          <w:spacing w:val="-3"/>
        </w:rPr>
        <w:t>日起至</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日止。截至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w:t>
      </w:r>
      <w:r>
        <w:rPr>
          <w:rFonts w:ascii="Times New Roman" w:hAnsi="Times New Roman" w:cs="Times New Roman" w:eastAsia="Times New Roman" w:hint="default"/>
        </w:rPr>
        <w:t>“2017</w:t>
      </w:r>
      <w:r>
        <w:rPr/>
        <w:t>圳中银高额协字第</w:t>
      </w:r>
      <w:r>
        <w:rPr>
          <w:rFonts w:ascii="Times New Roman" w:hAnsi="Times New Roman" w:cs="Times New Roman" w:eastAsia="Times New Roman" w:hint="default"/>
        </w:rPr>
        <w:t>0000174</w:t>
      </w:r>
      <w:r>
        <w:rPr/>
        <w:t>号</w:t>
      </w:r>
      <w:r>
        <w:rPr>
          <w:rFonts w:ascii="Times New Roman" w:hAnsi="Times New Roman" w:cs="Times New Roman" w:eastAsia="Times New Roman" w:hint="default"/>
        </w:rPr>
        <w:t>”</w:t>
      </w:r>
      <w:r>
        <w:rPr/>
        <w:t>的《授信额度协议》项下已发生的授信余额，视</w:t>
      </w:r>
      <w:r>
        <w:rPr>
          <w:spacing w:val="-71"/>
        </w:rPr>
        <w:t> </w:t>
      </w:r>
      <w:r>
        <w:rPr>
          <w:spacing w:val="-71"/>
        </w:rPr>
      </w:r>
      <w:r>
        <w:rPr>
          <w:spacing w:val="-2"/>
        </w:rPr>
        <w:t>为占用本协议项下发生的授信。本公司实际控制人郭颂、刘丹以及子公司优博讯软件公司分别与中国银行股份有限公司深圳</w:t>
      </w:r>
      <w:r>
        <w:rPr>
          <w:spacing w:val="-63"/>
        </w:rPr>
        <w:t> </w:t>
      </w:r>
      <w:r>
        <w:rPr>
          <w:spacing w:val="-63"/>
        </w:rPr>
      </w:r>
      <w:r>
        <w:rPr>
          <w:spacing w:val="-2"/>
        </w:rPr>
        <w:t>高新区支行签订了编号为：</w:t>
      </w:r>
      <w:r>
        <w:rPr>
          <w:rFonts w:ascii="Times New Roman" w:hAnsi="Times New Roman" w:cs="Times New Roman" w:eastAsia="Times New Roman" w:hint="default"/>
          <w:spacing w:val="-2"/>
        </w:rPr>
        <w:t>2018</w:t>
      </w:r>
      <w:r>
        <w:rPr>
          <w:spacing w:val="-2"/>
        </w:rPr>
        <w:t>圳中银高司保字第</w:t>
      </w:r>
      <w:r>
        <w:rPr>
          <w:rFonts w:ascii="Times New Roman" w:hAnsi="Times New Roman" w:cs="Times New Roman" w:eastAsia="Times New Roman" w:hint="default"/>
          <w:spacing w:val="-2"/>
        </w:rPr>
        <w:t>0074</w:t>
      </w:r>
      <w:r>
        <w:rPr>
          <w:spacing w:val="-2"/>
        </w:rPr>
        <w:t>号、</w:t>
      </w:r>
      <w:r>
        <w:rPr>
          <w:rFonts w:ascii="Times New Roman" w:hAnsi="Times New Roman" w:cs="Times New Roman" w:eastAsia="Times New Roman" w:hint="default"/>
          <w:spacing w:val="-2"/>
        </w:rPr>
        <w:t>2018</w:t>
      </w:r>
      <w:r>
        <w:rPr>
          <w:spacing w:val="-2"/>
        </w:rPr>
        <w:t>圳中银高司保字第</w:t>
      </w:r>
      <w:r>
        <w:rPr>
          <w:rFonts w:ascii="Times New Roman" w:hAnsi="Times New Roman" w:cs="Times New Roman" w:eastAsia="Times New Roman" w:hint="default"/>
          <w:spacing w:val="-2"/>
        </w:rPr>
        <w:t>0075</w:t>
      </w:r>
      <w:r>
        <w:rPr>
          <w:spacing w:val="-2"/>
        </w:rPr>
        <w:t>号、</w:t>
      </w:r>
      <w:r>
        <w:rPr>
          <w:rFonts w:ascii="Times New Roman" w:hAnsi="Times New Roman" w:cs="Times New Roman" w:eastAsia="Times New Roman" w:hint="default"/>
          <w:spacing w:val="-2"/>
        </w:rPr>
        <w:t>2018</w:t>
      </w:r>
      <w:r>
        <w:rPr>
          <w:spacing w:val="-2"/>
        </w:rPr>
        <w:t>圳中银高司保字第</w:t>
      </w:r>
      <w:r>
        <w:rPr>
          <w:rFonts w:ascii="Times New Roman" w:hAnsi="Times New Roman" w:cs="Times New Roman" w:eastAsia="Times New Roman" w:hint="default"/>
          <w:spacing w:val="-2"/>
        </w:rPr>
        <w:t>0073</w:t>
      </w:r>
      <w:r>
        <w:rPr>
          <w:spacing w:val="-2"/>
        </w:rPr>
        <w:t>号的</w:t>
      </w:r>
    </w:p>
    <w:p>
      <w:pPr>
        <w:pStyle w:val="BodyText"/>
        <w:spacing w:line="240" w:lineRule="auto" w:before="7"/>
        <w:ind w:right="0"/>
        <w:jc w:val="both"/>
      </w:pPr>
      <w:r>
        <w:rPr/>
        <w:t>《最高额保证合同》，对前述授信协议提供连带责任保证担保。</w:t>
      </w:r>
    </w:p>
    <w:p>
      <w:pPr>
        <w:pStyle w:val="BodyText"/>
        <w:spacing w:line="240" w:lineRule="auto" w:before="115"/>
        <w:ind w:left="513" w:right="1133"/>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日，本公司与招商银行股份有限公司深圳分行签署了合同编号为</w:t>
      </w:r>
      <w:r>
        <w:rPr>
          <w:rFonts w:ascii="Times New Roman" w:hAnsi="Times New Roman" w:cs="Times New Roman" w:eastAsia="Times New Roman" w:hint="default"/>
        </w:rPr>
        <w:t>“755XY2018009976”</w:t>
      </w:r>
      <w:r>
        <w:rPr/>
        <w:t>的《授信协议》，根</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0"/>
        <w:jc w:val="both"/>
      </w:pPr>
      <w:r>
        <w:rPr>
          <w:spacing w:val="-2"/>
        </w:rPr>
        <w:t>据该合同，招商银行股份有限公司深圳分行为本公司提供人民币</w:t>
      </w:r>
      <w:r>
        <w:rPr>
          <w:rFonts w:ascii="Times New Roman" w:hAnsi="Times New Roman" w:cs="Times New Roman" w:eastAsia="Times New Roman" w:hint="default"/>
          <w:spacing w:val="-2"/>
        </w:rPr>
        <w:t>1</w:t>
      </w:r>
      <w:r>
        <w:rPr>
          <w:spacing w:val="-2"/>
        </w:rPr>
        <w:t>亿元的基本授信额度，授信期限自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21</w:t>
      </w:r>
      <w:r>
        <w:rPr>
          <w:spacing w:val="-2"/>
        </w:rPr>
        <w:t>日起至</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日止。本公司实际控制人郭颂、刘丹分别与招商银行股份有限公司深圳分行签署编号为：</w:t>
      </w:r>
      <w:r>
        <w:rPr>
          <w:rFonts w:ascii="Times New Roman" w:hAnsi="Times New Roman" w:cs="Times New Roman" w:eastAsia="Times New Roman" w:hint="default"/>
        </w:rPr>
        <w:t>755XY201800997602</w:t>
      </w:r>
      <w:r>
        <w:rPr/>
        <w:t>号、</w:t>
      </w:r>
      <w:r>
        <w:rPr>
          <w:spacing w:val="-83"/>
        </w:rPr>
        <w:t> </w:t>
      </w:r>
      <w:r>
        <w:rPr>
          <w:rFonts w:ascii="Times New Roman" w:hAnsi="Times New Roman" w:cs="Times New Roman" w:eastAsia="Times New Roman" w:hint="default"/>
        </w:rPr>
        <w:t>755XY201800997601</w:t>
      </w:r>
      <w:r>
        <w:rPr/>
        <w:t>号的《最高额不可撤销担保书》，对前述授信协议提供保证担保。</w:t>
      </w:r>
    </w:p>
    <w:p>
      <w:pPr>
        <w:pStyle w:val="BodyText"/>
        <w:spacing w:line="240" w:lineRule="auto" w:before="53"/>
        <w:ind w:left="513"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日，本公司与兴业银行股份有限公司深圳分行签署了合同编号为</w:t>
      </w:r>
      <w:r>
        <w:rPr>
          <w:rFonts w:ascii="Times New Roman" w:hAnsi="Times New Roman" w:cs="Times New Roman" w:eastAsia="Times New Roman" w:hint="default"/>
        </w:rPr>
        <w:t>“</w:t>
      </w:r>
      <w:r>
        <w:rPr/>
        <w:t>兴银深蛇口授信字（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1023</w:t>
      </w:r>
      <w:r>
        <w:rPr/>
        <w:t>号</w:t>
      </w:r>
      <w:r>
        <w:rPr>
          <w:rFonts w:ascii="Times New Roman" w:hAnsi="Times New Roman" w:cs="Times New Roman" w:eastAsia="Times New Roman" w:hint="default"/>
        </w:rPr>
        <w:t>”</w:t>
      </w:r>
      <w:r>
        <w:rPr/>
        <w:t>的</w:t>
      </w:r>
    </w:p>
    <w:p>
      <w:pPr>
        <w:pStyle w:val="BodyText"/>
        <w:spacing w:line="300" w:lineRule="auto" w:before="63"/>
        <w:ind w:right="1130"/>
        <w:jc w:val="both"/>
      </w:pPr>
      <w:r>
        <w:rPr/>
        <w:t>《基本额度授信合同》，根据该协议，兴业银行股份有限公司深圳分行向本公司提供人民币</w:t>
      </w:r>
      <w:r>
        <w:rPr>
          <w:rFonts w:ascii="Times New Roman" w:hAnsi="Times New Roman" w:cs="Times New Roman" w:eastAsia="Times New Roman" w:hint="default"/>
        </w:rPr>
        <w:t>8,000</w:t>
      </w:r>
      <w:r>
        <w:rPr/>
        <w:t>万元综合授信额度，额度</w:t>
      </w:r>
      <w:r>
        <w:rPr>
          <w:spacing w:val="-40"/>
        </w:rPr>
        <w:t> </w:t>
      </w:r>
      <w:r>
        <w:rPr>
          <w:spacing w:val="-40"/>
        </w:rPr>
      </w:r>
      <w:r>
        <w:rPr>
          <w:spacing w:val="-2"/>
        </w:rPr>
        <w:t>使用期限自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4</w:t>
      </w:r>
      <w:r>
        <w:rPr>
          <w:spacing w:val="-2"/>
        </w:rPr>
        <w:t>日起至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4</w:t>
      </w:r>
      <w:r>
        <w:rPr>
          <w:spacing w:val="-2"/>
        </w:rPr>
        <w:t>日止。本公司实际控制人郭颂、刘丹分别与兴业银行股份有限公司深圳分行签署了</w:t>
      </w:r>
      <w:r>
        <w:rPr>
          <w:spacing w:val="-57"/>
        </w:rPr>
        <w:t> </w:t>
      </w:r>
      <w:r>
        <w:rPr>
          <w:spacing w:val="-57"/>
        </w:rPr>
      </w:r>
      <w:r>
        <w:rPr/>
        <w:t>编号为：兴银深蛇口授信（保证）字（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1023A</w:t>
      </w:r>
      <w:r>
        <w:rPr/>
        <w:t>号、兴银深蛇口授信（保证）字（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1023B</w:t>
      </w:r>
      <w:r>
        <w:rPr/>
        <w:t>号的《最高额保证</w:t>
      </w:r>
      <w:r>
        <w:rPr>
          <w:spacing w:val="-69"/>
        </w:rPr>
        <w:t> </w:t>
      </w:r>
      <w:r>
        <w:rPr>
          <w:spacing w:val="-69"/>
        </w:rPr>
      </w:r>
      <w:r>
        <w:rPr/>
        <w:t>合同》，对前述授信合同提供保证担保。</w:t>
      </w:r>
    </w:p>
    <w:p>
      <w:pPr>
        <w:pStyle w:val="BodyText"/>
        <w:spacing w:line="300" w:lineRule="auto" w:before="70"/>
        <w:ind w:right="1131" w:firstLine="360"/>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3</w:t>
      </w:r>
      <w:r>
        <w:rPr>
          <w:spacing w:val="-1"/>
        </w:rPr>
        <w:t>日，浙商银行股份有限公司深圳分行向本公司提供人民币</w:t>
      </w:r>
      <w:r>
        <w:rPr>
          <w:rFonts w:ascii="Times New Roman" w:hAnsi="Times New Roman" w:cs="Times New Roman" w:eastAsia="Times New Roman" w:hint="default"/>
          <w:spacing w:val="-1"/>
        </w:rPr>
        <w:t>12,000</w:t>
      </w:r>
      <w:r>
        <w:rPr>
          <w:spacing w:val="-1"/>
        </w:rPr>
        <w:t>万元综合授信额度，授信期限自</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3</w:t>
      </w:r>
      <w:r>
        <w:rPr>
          <w:rFonts w:ascii="Times New Roman" w:hAnsi="Times New Roman" w:cs="Times New Roman" w:eastAsia="Times New Roman" w:hint="default"/>
        </w:rPr>
        <w:t> </w:t>
      </w:r>
      <w:r>
        <w:rPr/>
        <w:t>日起至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日止，本公司实际控制人郭颂、刘丹与浙商银行股份有限公司深圳分行签署编号为：（</w:t>
      </w:r>
      <w:r>
        <w:rPr>
          <w:rFonts w:ascii="Times New Roman" w:hAnsi="Times New Roman" w:cs="Times New Roman" w:eastAsia="Times New Roman" w:hint="default"/>
        </w:rPr>
        <w:t>584300</w:t>
      </w:r>
      <w:r>
        <w:rPr/>
        <w:t>）浙商银</w:t>
      </w:r>
      <w:r>
        <w:rPr>
          <w:spacing w:val="-86"/>
        </w:rPr>
        <w:t> </w:t>
      </w:r>
      <w:r>
        <w:rPr>
          <w:spacing w:val="-86"/>
        </w:rPr>
      </w:r>
      <w:r>
        <w:rPr/>
        <w:t>高保字（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07031</w:t>
      </w:r>
      <w:r>
        <w:rPr/>
        <w:t>号《最高额保证合同》，对前述授信提供保证担保。</w:t>
      </w:r>
    </w:p>
    <w:p>
      <w:pPr>
        <w:pStyle w:val="BodyText"/>
        <w:spacing w:line="240" w:lineRule="auto" w:before="53"/>
        <w:ind w:left="513"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日，宁波银行股份有限公司深圳分行向本公司提供人民币</w:t>
      </w:r>
      <w:r>
        <w:rPr>
          <w:rFonts w:ascii="Times New Roman" w:hAnsi="Times New Roman" w:cs="Times New Roman" w:eastAsia="Times New Roman" w:hint="default"/>
        </w:rPr>
        <w:t>8,000</w:t>
      </w:r>
      <w:r>
        <w:rPr/>
        <w:t>万元的综合授信额度，授信期限自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p>
    <w:p>
      <w:pPr>
        <w:pStyle w:val="BodyText"/>
        <w:spacing w:line="240" w:lineRule="auto" w:before="63"/>
        <w:ind w:right="0"/>
        <w:jc w:val="both"/>
        <w:rPr>
          <w:rFonts w:ascii="Times New Roman" w:hAnsi="Times New Roman" w:cs="Times New Roman" w:eastAsia="Times New Roman" w:hint="default"/>
        </w:rPr>
      </w:pPr>
      <w:r>
        <w:rPr>
          <w:rFonts w:ascii="Times New Roman" w:hAnsi="Times New Roman" w:cs="Times New Roman" w:eastAsia="Times New Roman" w:hint="default"/>
        </w:rPr>
        <w:t>8</w:t>
      </w:r>
      <w:r>
        <w:rPr/>
        <w:t>日起至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日止，本公司实际控制人郭颂、刘丹与宁波银行股份有限公司深圳分行签署编号为：</w:t>
      </w:r>
      <w:r>
        <w:rPr>
          <w:rFonts w:ascii="Times New Roman" w:hAnsi="Times New Roman" w:cs="Times New Roman" w:eastAsia="Times New Roman" w:hint="default"/>
        </w:rPr>
        <w:t>07300KB20188694</w:t>
      </w:r>
    </w:p>
    <w:p>
      <w:pPr>
        <w:pStyle w:val="BodyText"/>
        <w:spacing w:line="240" w:lineRule="auto" w:before="63"/>
        <w:ind w:right="0"/>
        <w:jc w:val="both"/>
      </w:pPr>
      <w:r>
        <w:rPr/>
        <w:t>《最高额保证合同》，对前述授信提供保证担保。</w:t>
      </w:r>
    </w:p>
    <w:p>
      <w:pPr>
        <w:pStyle w:val="BodyText"/>
        <w:spacing w:line="300" w:lineRule="auto" w:before="117"/>
        <w:ind w:right="1128"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日，本公司与广发银行股份有限公司深圳分行重新签署了合同编号为</w:t>
      </w:r>
      <w:r>
        <w:rPr>
          <w:rFonts w:ascii="Times New Roman" w:hAnsi="Times New Roman" w:cs="Times New Roman" w:eastAsia="Times New Roman" w:hint="default"/>
        </w:rPr>
        <w:t>“</w:t>
      </w:r>
      <w:r>
        <w:rPr/>
        <w:t>（</w:t>
      </w:r>
      <w:r>
        <w:rPr>
          <w:rFonts w:ascii="Times New Roman" w:hAnsi="Times New Roman" w:cs="Times New Roman" w:eastAsia="Times New Roman" w:hint="default"/>
        </w:rPr>
        <w:t>2018</w:t>
      </w:r>
      <w:r>
        <w:rPr/>
        <w:t>）深银综授额字第</w:t>
      </w:r>
      <w:r>
        <w:rPr>
          <w:rFonts w:ascii="Times New Roman" w:hAnsi="Times New Roman" w:cs="Times New Roman" w:eastAsia="Times New Roman" w:hint="default"/>
        </w:rPr>
        <w:t>000220</w:t>
      </w:r>
      <w:r>
        <w:rPr/>
        <w:t>号</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的《授信额度合同》，根据该合同，广发银行股份有限公司深圳分行向本公司提供人民币</w:t>
      </w:r>
      <w:r>
        <w:rPr>
          <w:rFonts w:ascii="Times New Roman" w:hAnsi="Times New Roman" w:cs="Times New Roman" w:eastAsia="Times New Roman" w:hint="default"/>
        </w:rPr>
        <w:t>8,000</w:t>
      </w:r>
      <w:r>
        <w:rPr/>
        <w:t>万元基本授信额度，授信期</w:t>
      </w:r>
      <w:r>
        <w:rPr>
          <w:spacing w:val="-40"/>
        </w:rPr>
        <w:t> </w:t>
      </w:r>
      <w:r>
        <w:rPr>
          <w:spacing w:val="-40"/>
        </w:rPr>
      </w:r>
      <w:r>
        <w:rPr>
          <w:spacing w:val="-2"/>
        </w:rPr>
        <w:t>限自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13</w:t>
      </w:r>
      <w:r>
        <w:rPr>
          <w:spacing w:val="-2"/>
        </w:rPr>
        <w:t>日起至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12</w:t>
      </w:r>
      <w:r>
        <w:rPr>
          <w:spacing w:val="-2"/>
        </w:rPr>
        <w:t>日止。本公司实际控制人郭颂、刘丹以及子公司优博讯软件公司共同与广发银行股份有</w:t>
      </w:r>
      <w:r>
        <w:rPr>
          <w:spacing w:val="-58"/>
        </w:rPr>
        <w:t> </w:t>
      </w:r>
      <w:r>
        <w:rPr>
          <w:spacing w:val="-58"/>
        </w:rPr>
      </w:r>
      <w:r>
        <w:rPr/>
        <w:t>限公司深圳分行签署了编号为：（</w:t>
      </w:r>
      <w:r>
        <w:rPr>
          <w:rFonts w:ascii="Times New Roman" w:hAnsi="Times New Roman" w:cs="Times New Roman" w:eastAsia="Times New Roman" w:hint="default"/>
        </w:rPr>
        <w:t>2018</w:t>
      </w:r>
      <w:r>
        <w:rPr/>
        <w:t>）深银综授额字第</w:t>
      </w:r>
      <w:r>
        <w:rPr>
          <w:rFonts w:ascii="Times New Roman" w:hAnsi="Times New Roman" w:cs="Times New Roman" w:eastAsia="Times New Roman" w:hint="default"/>
        </w:rPr>
        <w:t>000220</w:t>
      </w:r>
      <w:r>
        <w:rPr/>
        <w:t>号</w:t>
      </w:r>
      <w:r>
        <w:rPr>
          <w:rFonts w:ascii="Times New Roman" w:hAnsi="Times New Roman" w:cs="Times New Roman" w:eastAsia="Times New Roman" w:hint="default"/>
        </w:rPr>
        <w:t>-</w:t>
      </w:r>
      <w:r>
        <w:rPr/>
        <w:t>担保</w:t>
      </w:r>
      <w:r>
        <w:rPr>
          <w:rFonts w:ascii="Times New Roman" w:hAnsi="Times New Roman" w:cs="Times New Roman" w:eastAsia="Times New Roman" w:hint="default"/>
        </w:rPr>
        <w:t>01</w:t>
      </w:r>
      <w:r>
        <w:rPr/>
        <w:t>的《最高额保证合同》，对前述授信合同提供最</w:t>
      </w:r>
      <w:r>
        <w:rPr>
          <w:spacing w:val="-59"/>
        </w:rPr>
        <w:t> </w:t>
      </w:r>
      <w:r>
        <w:rPr>
          <w:spacing w:val="-59"/>
        </w:rPr>
      </w:r>
      <w:r>
        <w:rPr>
          <w:spacing w:val="-5"/>
        </w:rPr>
        <w:t>高债权额</w:t>
      </w:r>
      <w:r>
        <w:rPr>
          <w:rFonts w:ascii="Times New Roman" w:hAnsi="Times New Roman" w:cs="Times New Roman" w:eastAsia="Times New Roman" w:hint="default"/>
          <w:spacing w:val="-5"/>
        </w:rPr>
        <w:t>4,000</w:t>
      </w:r>
      <w:r>
        <w:rPr>
          <w:spacing w:val="-5"/>
        </w:rPr>
        <w:t>万元的保证担保；同时，本公司与广发银行股份有限公司深圳分行签署了编号为（</w:t>
      </w:r>
      <w:r>
        <w:rPr>
          <w:rFonts w:ascii="Times New Roman" w:hAnsi="Times New Roman" w:cs="Times New Roman" w:eastAsia="Times New Roman" w:hint="default"/>
          <w:spacing w:val="-5"/>
        </w:rPr>
        <w:t>2018</w:t>
      </w:r>
      <w:r>
        <w:rPr>
          <w:spacing w:val="-5"/>
        </w:rPr>
        <w:t>）深银综授额字第</w:t>
      </w:r>
      <w:r>
        <w:rPr>
          <w:rFonts w:ascii="Times New Roman" w:hAnsi="Times New Roman" w:cs="Times New Roman" w:eastAsia="Times New Roman" w:hint="default"/>
          <w:spacing w:val="-5"/>
        </w:rPr>
        <w:t>000220</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号</w:t>
      </w:r>
      <w:r>
        <w:rPr>
          <w:rFonts w:ascii="Times New Roman" w:hAnsi="Times New Roman" w:cs="Times New Roman" w:eastAsia="Times New Roman" w:hint="default"/>
        </w:rPr>
        <w:t>-</w:t>
      </w:r>
      <w:r>
        <w:rPr/>
        <w:t>担保</w:t>
      </w:r>
      <w:r>
        <w:rPr>
          <w:rFonts w:ascii="Times New Roman" w:hAnsi="Times New Roman" w:cs="Times New Roman" w:eastAsia="Times New Roman" w:hint="default"/>
        </w:rPr>
        <w:t>03</w:t>
      </w:r>
      <w:r>
        <w:rPr/>
        <w:t>的《最高额权利质押合同》，对前述授信提供质押担保。</w:t>
      </w:r>
    </w:p>
    <w:p>
      <w:pPr>
        <w:pStyle w:val="BodyText"/>
        <w:spacing w:line="300" w:lineRule="auto" w:before="51"/>
        <w:ind w:right="1043"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日，本公司与中信银行股份有限公司深圳分行签署了合同编号为</w:t>
      </w:r>
      <w:r>
        <w:rPr>
          <w:rFonts w:ascii="Times New Roman" w:hAnsi="Times New Roman" w:cs="Times New Roman" w:eastAsia="Times New Roman" w:hint="default"/>
        </w:rPr>
        <w:t>“</w:t>
      </w:r>
      <w:r>
        <w:rPr/>
        <w:t>（</w:t>
      </w:r>
      <w:r>
        <w:rPr>
          <w:rFonts w:ascii="Times New Roman" w:hAnsi="Times New Roman" w:cs="Times New Roman" w:eastAsia="Times New Roman" w:hint="default"/>
        </w:rPr>
        <w:t>2018</w:t>
      </w:r>
      <w:r>
        <w:rPr/>
        <w:t>）深银大鹏综字第</w:t>
      </w:r>
      <w:r>
        <w:rPr>
          <w:rFonts w:ascii="Times New Roman" w:hAnsi="Times New Roman" w:cs="Times New Roman" w:eastAsia="Times New Roman" w:hint="default"/>
        </w:rPr>
        <w:t>0003</w:t>
      </w:r>
      <w:r>
        <w:rPr/>
        <w:t>号</w:t>
      </w:r>
      <w:r>
        <w:rPr>
          <w:rFonts w:ascii="Times New Roman" w:hAnsi="Times New Roman" w:cs="Times New Roman" w:eastAsia="Times New Roman" w:hint="default"/>
        </w:rPr>
        <w:t>”</w:t>
      </w:r>
      <w:r>
        <w:rPr/>
        <w:t>的《综 合授信合同》，根据该协议，中信银行股份有限公司深圳分行向本公司提供人民币</w:t>
      </w:r>
      <w:r>
        <w:rPr>
          <w:rFonts w:ascii="Times New Roman" w:hAnsi="Times New Roman" w:cs="Times New Roman" w:eastAsia="Times New Roman" w:hint="default"/>
        </w:rPr>
        <w:t>8,000</w:t>
      </w:r>
      <w:r>
        <w:rPr/>
        <w:t>万元综合授信额度，额度使用期限</w:t>
      </w:r>
      <w:r>
        <w:rPr>
          <w:spacing w:val="-40"/>
        </w:rPr>
        <w:t> </w:t>
      </w:r>
      <w:r>
        <w:rPr>
          <w:spacing w:val="-40"/>
        </w:rPr>
      </w:r>
      <w:r>
        <w:rPr>
          <w:spacing w:val="-3"/>
        </w:rPr>
        <w:t>自</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16</w:t>
      </w:r>
      <w:r>
        <w:rPr>
          <w:spacing w:val="-3"/>
        </w:rPr>
        <w:t>日起至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17</w:t>
      </w:r>
      <w:r>
        <w:rPr>
          <w:spacing w:val="-3"/>
        </w:rPr>
        <w:t>日止。本公司实际控制人郭颂、刘丹分别与中信银行股份有限公司深圳分行签署了编号为：</w:t>
      </w:r>
    </w:p>
    <w:p>
      <w:pPr>
        <w:pStyle w:val="BodyText"/>
        <w:spacing w:line="300" w:lineRule="auto" w:before="13"/>
        <w:ind w:right="1131"/>
        <w:jc w:val="both"/>
      </w:pPr>
      <w:r>
        <w:rPr>
          <w:spacing w:val="-2"/>
        </w:rPr>
        <w:t>（</w:t>
      </w:r>
      <w:r>
        <w:rPr>
          <w:rFonts w:ascii="Times New Roman" w:hAnsi="Times New Roman" w:cs="Times New Roman" w:eastAsia="Times New Roman" w:hint="default"/>
          <w:spacing w:val="-2"/>
        </w:rPr>
        <w:t>2018</w:t>
      </w:r>
      <w:r>
        <w:rPr>
          <w:spacing w:val="-2"/>
        </w:rPr>
        <w:t>）深银大鹏额保字第</w:t>
      </w:r>
      <w:r>
        <w:rPr>
          <w:rFonts w:ascii="Times New Roman" w:hAnsi="Times New Roman" w:cs="Times New Roman" w:eastAsia="Times New Roman" w:hint="default"/>
          <w:spacing w:val="-2"/>
        </w:rPr>
        <w:t>0003</w:t>
      </w:r>
      <w:r>
        <w:rPr>
          <w:spacing w:val="-2"/>
        </w:rPr>
        <w:t>号和（</w:t>
      </w:r>
      <w:r>
        <w:rPr>
          <w:rFonts w:ascii="Times New Roman" w:hAnsi="Times New Roman" w:cs="Times New Roman" w:eastAsia="Times New Roman" w:hint="default"/>
          <w:spacing w:val="-2"/>
        </w:rPr>
        <w:t>2018</w:t>
      </w:r>
      <w:r>
        <w:rPr>
          <w:spacing w:val="-2"/>
        </w:rPr>
        <w:t>）深银大鹏额保字第</w:t>
      </w:r>
      <w:r>
        <w:rPr>
          <w:rFonts w:ascii="Times New Roman" w:hAnsi="Times New Roman" w:cs="Times New Roman" w:eastAsia="Times New Roman" w:hint="default"/>
          <w:spacing w:val="-2"/>
        </w:rPr>
        <w:t>0002</w:t>
      </w:r>
      <w:r>
        <w:rPr>
          <w:spacing w:val="-2"/>
        </w:rPr>
        <w:t>号的《最高额保证合同》，对前述授信合同提供保证担</w:t>
      </w:r>
      <w:r>
        <w:rPr>
          <w:spacing w:val="-61"/>
        </w:rPr>
        <w:t> </w:t>
      </w:r>
      <w:r>
        <w:rPr>
          <w:spacing w:val="-61"/>
        </w:rPr>
      </w:r>
      <w:r>
        <w:rPr/>
        <w:t>保。</w:t>
      </w:r>
    </w:p>
    <w:p>
      <w:pPr>
        <w:pStyle w:val="BodyText"/>
        <w:spacing w:line="240" w:lineRule="auto" w:before="72"/>
        <w:ind w:left="513"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日，本公司与中国农业银行股份有限公司前海分行签署了合同编号为</w:t>
      </w:r>
      <w:r>
        <w:rPr>
          <w:rFonts w:ascii="Times New Roman" w:hAnsi="Times New Roman" w:cs="Times New Roman" w:eastAsia="Times New Roman" w:hint="default"/>
        </w:rPr>
        <w:t>“</w:t>
      </w:r>
      <w:r>
        <w:rPr/>
        <w:t>（</w:t>
      </w:r>
      <w:r>
        <w:rPr>
          <w:rFonts w:ascii="Times New Roman" w:hAnsi="Times New Roman" w:cs="Times New Roman" w:eastAsia="Times New Roman" w:hint="default"/>
        </w:rPr>
        <w:t>2018</w:t>
      </w:r>
      <w:r>
        <w:rPr/>
        <w:t>）农银综授字（</w:t>
      </w:r>
      <w:r>
        <w:rPr>
          <w:rFonts w:ascii="Times New Roman" w:hAnsi="Times New Roman" w:cs="Times New Roman" w:eastAsia="Times New Roman" w:hint="default"/>
        </w:rPr>
        <w:t>410137</w:t>
      </w:r>
      <w:r>
        <w:rPr/>
        <w:t>）第</w:t>
      </w:r>
    </w:p>
    <w:p>
      <w:pPr>
        <w:pStyle w:val="BodyText"/>
        <w:spacing w:line="300" w:lineRule="auto" w:before="63"/>
        <w:ind w:right="1129"/>
        <w:jc w:val="both"/>
      </w:pPr>
      <w:r>
        <w:rPr>
          <w:rFonts w:ascii="Times New Roman" w:hAnsi="Times New Roman" w:cs="Times New Roman" w:eastAsia="Times New Roman" w:hint="default"/>
        </w:rPr>
        <w:t>011</w:t>
      </w:r>
      <w:r>
        <w:rPr/>
        <w:t>号</w:t>
      </w:r>
      <w:r>
        <w:rPr>
          <w:rFonts w:ascii="Times New Roman" w:hAnsi="Times New Roman" w:cs="Times New Roman" w:eastAsia="Times New Roman" w:hint="default"/>
        </w:rPr>
        <w:t>”</w:t>
      </w:r>
      <w:r>
        <w:rPr/>
        <w:t>的《最高额综合授信合同》，根据该协议，中国农业银行股份有限公司前海分行向本公司提供人民币</w:t>
      </w:r>
      <w:r>
        <w:rPr>
          <w:rFonts w:ascii="Times New Roman" w:hAnsi="Times New Roman" w:cs="Times New Roman" w:eastAsia="Times New Roman" w:hint="default"/>
        </w:rPr>
        <w:t>5,000</w:t>
      </w:r>
      <w:r>
        <w:rPr/>
        <w:t>万元综合</w:t>
      </w:r>
      <w:r>
        <w:rPr>
          <w:spacing w:val="-32"/>
        </w:rPr>
        <w:t> </w:t>
      </w:r>
      <w:r>
        <w:rPr>
          <w:spacing w:val="-32"/>
        </w:rPr>
      </w:r>
      <w:r>
        <w:rPr>
          <w:spacing w:val="-2"/>
        </w:rPr>
        <w:t>授信额度，额度使用期限自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5</w:t>
      </w:r>
      <w:r>
        <w:rPr>
          <w:spacing w:val="-2"/>
        </w:rPr>
        <w:t>日起至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5</w:t>
      </w:r>
      <w:r>
        <w:rPr>
          <w:spacing w:val="-2"/>
        </w:rPr>
        <w:t>日止。本公司实际控制人郭颂、刘丹以及子公司优博讯软件公司与</w:t>
      </w:r>
      <w:r>
        <w:rPr>
          <w:spacing w:val="-60"/>
        </w:rPr>
        <w:t> </w:t>
      </w:r>
      <w:r>
        <w:rPr>
          <w:spacing w:val="-60"/>
        </w:rPr>
      </w:r>
      <w:r>
        <w:rPr/>
        <w:t>中国农业银行股份有限公司前海分行共同签署了编号为：</w:t>
      </w:r>
      <w:r>
        <w:rPr>
          <w:rFonts w:ascii="Times New Roman" w:hAnsi="Times New Roman" w:cs="Times New Roman" w:eastAsia="Times New Roman" w:hint="default"/>
        </w:rPr>
        <w:t>81100520180001184</w:t>
      </w:r>
      <w:r>
        <w:rPr/>
        <w:t>的《最高额保证合同》，对前述授信合同提供</w:t>
      </w:r>
      <w:r>
        <w:rPr>
          <w:spacing w:val="-87"/>
        </w:rPr>
        <w:t> </w:t>
      </w:r>
      <w:r>
        <w:rPr>
          <w:spacing w:val="-87"/>
        </w:rPr>
      </w:r>
      <w:r>
        <w:rPr/>
        <w:t>保证担保。</w:t>
      </w:r>
    </w:p>
    <w:p>
      <w:pPr>
        <w:pStyle w:val="BodyText"/>
        <w:spacing w:line="300" w:lineRule="auto" w:before="72"/>
        <w:ind w:right="1040"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日，本公司与</w:t>
      </w:r>
      <w:r>
        <w:rPr>
          <w:rFonts w:ascii="Times New Roman" w:hAnsi="Times New Roman" w:cs="Times New Roman" w:eastAsia="Times New Roman" w:hint="default"/>
        </w:rPr>
        <w:t>Oversea-Chinese</w:t>
      </w:r>
      <w:r>
        <w:rPr>
          <w:rFonts w:ascii="Times New Roman" w:hAnsi="Times New Roman" w:cs="Times New Roman" w:eastAsia="Times New Roman" w:hint="default"/>
          <w:spacing w:val="-17"/>
        </w:rPr>
        <w:t> </w:t>
      </w:r>
      <w:r>
        <w:rPr>
          <w:rFonts w:ascii="Times New Roman" w:hAnsi="Times New Roman" w:cs="Times New Roman" w:eastAsia="Times New Roman" w:hint="default"/>
        </w:rPr>
        <w:t>Banking</w:t>
      </w:r>
      <w:r>
        <w:rPr>
          <w:rFonts w:ascii="Times New Roman" w:hAnsi="Times New Roman" w:cs="Times New Roman" w:eastAsia="Times New Roman" w:hint="default"/>
          <w:spacing w:val="-17"/>
        </w:rPr>
        <w:t> </w:t>
      </w:r>
      <w:r>
        <w:rPr>
          <w:rFonts w:ascii="Times New Roman" w:hAnsi="Times New Roman" w:cs="Times New Roman" w:eastAsia="Times New Roman" w:hint="default"/>
        </w:rPr>
        <w:t>Corporation</w:t>
      </w:r>
      <w:r>
        <w:rPr>
          <w:rFonts w:ascii="Times New Roman" w:hAnsi="Times New Roman" w:cs="Times New Roman" w:eastAsia="Times New Roman" w:hint="default"/>
          <w:spacing w:val="-17"/>
        </w:rPr>
        <w:t> </w:t>
      </w:r>
      <w:r>
        <w:rPr>
          <w:rFonts w:ascii="Times New Roman" w:hAnsi="Times New Roman" w:cs="Times New Roman" w:eastAsia="Times New Roman" w:hint="default"/>
        </w:rPr>
        <w:t>Limited</w:t>
      </w:r>
      <w:r>
        <w:rPr/>
        <w:t>签署编号为</w:t>
      </w:r>
      <w:r>
        <w:rPr>
          <w:rFonts w:ascii="Times New Roman" w:hAnsi="Times New Roman" w:cs="Times New Roman" w:eastAsia="Times New Roman" w:hint="default"/>
        </w:rPr>
        <w:t>EB/090/17</w:t>
      </w:r>
      <w:r>
        <w:rPr/>
        <w:t>的银行授信函，授信额度为 </w:t>
      </w:r>
      <w:r>
        <w:rPr>
          <w:spacing w:val="-2"/>
        </w:rPr>
        <w:t>欧元</w:t>
      </w:r>
      <w:r>
        <w:rPr>
          <w:rFonts w:ascii="Times New Roman" w:hAnsi="Times New Roman" w:cs="Times New Roman" w:eastAsia="Times New Roman" w:hint="default"/>
          <w:spacing w:val="-2"/>
        </w:rPr>
        <w:t>9,000,000.00</w:t>
      </w:r>
      <w:r>
        <w:rPr>
          <w:spacing w:val="-2"/>
        </w:rPr>
        <w:t>元。</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w:t>
      </w:r>
      <w:r>
        <w:rPr>
          <w:spacing w:val="-2"/>
        </w:rPr>
        <w:t>日，本公司与宁波银行股份有限公司深圳分行签订编号为</w:t>
      </w:r>
      <w:r>
        <w:rPr>
          <w:rFonts w:ascii="Times New Roman" w:hAnsi="Times New Roman" w:cs="Times New Roman" w:eastAsia="Times New Roman" w:hint="default"/>
          <w:spacing w:val="-2"/>
        </w:rPr>
        <w:t>“07300BH20178137”</w:t>
      </w:r>
      <w:r>
        <w:rPr>
          <w:spacing w:val="-2"/>
        </w:rPr>
        <w:t>的《开立保函</w:t>
      </w:r>
      <w:r>
        <w:rPr>
          <w:spacing w:val="-40"/>
        </w:rPr>
        <w:t> </w:t>
      </w:r>
      <w:r>
        <w:rPr>
          <w:spacing w:val="-40"/>
        </w:rPr>
      </w:r>
      <w:r>
        <w:rPr/>
        <w:t>协议》，并以美元</w:t>
      </w:r>
      <w:r>
        <w:rPr>
          <w:rFonts w:ascii="Times New Roman" w:hAnsi="Times New Roman" w:cs="Times New Roman" w:eastAsia="Times New Roman" w:hint="default"/>
        </w:rPr>
        <w:t>2,000,000.00</w:t>
      </w:r>
      <w:r>
        <w:rPr/>
        <w:t>元保证金质押给宁波银行股份有限公司深圳分行，为前述授信提供保证。在前述银行授信函</w:t>
      </w:r>
      <w:r>
        <w:rPr>
          <w:spacing w:val="-48"/>
        </w:rPr>
        <w:t> </w:t>
      </w:r>
      <w:r>
        <w:rPr>
          <w:spacing w:val="-48"/>
        </w:rPr>
      </w:r>
      <w:r>
        <w:rPr/>
        <w:t>下，本公司于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日向</w:t>
      </w:r>
      <w:r>
        <w:rPr>
          <w:rFonts w:ascii="Times New Roman" w:hAnsi="Times New Roman" w:cs="Times New Roman" w:eastAsia="Times New Roman" w:hint="default"/>
        </w:rPr>
        <w:t>Oversea-Chinese</w:t>
      </w:r>
      <w:r>
        <w:rPr>
          <w:rFonts w:ascii="Times New Roman" w:hAnsi="Times New Roman" w:cs="Times New Roman" w:eastAsia="Times New Roman" w:hint="default"/>
          <w:spacing w:val="-14"/>
        </w:rPr>
        <w:t> </w:t>
      </w:r>
      <w:r>
        <w:rPr>
          <w:rFonts w:ascii="Times New Roman" w:hAnsi="Times New Roman" w:cs="Times New Roman" w:eastAsia="Times New Roman" w:hint="default"/>
        </w:rPr>
        <w:t>Banking</w:t>
      </w:r>
      <w:r>
        <w:rPr>
          <w:rFonts w:ascii="Times New Roman" w:hAnsi="Times New Roman" w:cs="Times New Roman" w:eastAsia="Times New Roman" w:hint="default"/>
          <w:spacing w:val="-14"/>
        </w:rPr>
        <w:t> </w:t>
      </w:r>
      <w:r>
        <w:rPr>
          <w:rFonts w:ascii="Times New Roman" w:hAnsi="Times New Roman" w:cs="Times New Roman" w:eastAsia="Times New Roman" w:hint="default"/>
        </w:rPr>
        <w:t>Corporation</w:t>
      </w:r>
      <w:r>
        <w:rPr>
          <w:rFonts w:ascii="Times New Roman" w:hAnsi="Times New Roman" w:cs="Times New Roman" w:eastAsia="Times New Roman" w:hint="default"/>
          <w:spacing w:val="-11"/>
        </w:rPr>
        <w:t> </w:t>
      </w:r>
      <w:r>
        <w:rPr>
          <w:rFonts w:ascii="Times New Roman" w:hAnsi="Times New Roman" w:cs="Times New Roman" w:eastAsia="Times New Roman" w:hint="default"/>
        </w:rPr>
        <w:t>Limited</w:t>
      </w:r>
      <w:r>
        <w:rPr/>
        <w:t>取得了欧元</w:t>
      </w:r>
      <w:r>
        <w:rPr>
          <w:rFonts w:ascii="Times New Roman" w:hAnsi="Times New Roman" w:cs="Times New Roman" w:eastAsia="Times New Roman" w:hint="default"/>
        </w:rPr>
        <w:t>7,149,000.00</w:t>
      </w:r>
      <w:r>
        <w:rPr/>
        <w:t>元的借款，该借款于</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日到期。</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日，本公司与</w:t>
      </w:r>
      <w:r>
        <w:rPr>
          <w:rFonts w:ascii="Times New Roman" w:hAnsi="Times New Roman" w:cs="Times New Roman" w:eastAsia="Times New Roman" w:hint="default"/>
        </w:rPr>
        <w:t>Oversea-</w:t>
      </w:r>
      <w:r>
        <w:rPr>
          <w:rFonts w:ascii="Times New Roman" w:hAnsi="Times New Roman" w:cs="Times New Roman" w:eastAsia="Times New Roman" w:hint="default"/>
        </w:rPr>
        <w:t>Chinese</w:t>
      </w:r>
      <w:r>
        <w:rPr>
          <w:rFonts w:ascii="Times New Roman" w:hAnsi="Times New Roman" w:cs="Times New Roman" w:eastAsia="Times New Roman" w:hint="default"/>
          <w:spacing w:val="-14"/>
        </w:rPr>
        <w:t> </w:t>
      </w:r>
      <w:r>
        <w:rPr>
          <w:rFonts w:ascii="Times New Roman" w:hAnsi="Times New Roman" w:cs="Times New Roman" w:eastAsia="Times New Roman" w:hint="default"/>
        </w:rPr>
        <w:t>Banking</w:t>
      </w:r>
      <w:r>
        <w:rPr>
          <w:rFonts w:ascii="Times New Roman" w:hAnsi="Times New Roman" w:cs="Times New Roman" w:eastAsia="Times New Roman" w:hint="default"/>
          <w:spacing w:val="-14"/>
        </w:rPr>
        <w:t> </w:t>
      </w:r>
      <w:r>
        <w:rPr>
          <w:rFonts w:ascii="Times New Roman" w:hAnsi="Times New Roman" w:cs="Times New Roman" w:eastAsia="Times New Roman" w:hint="default"/>
        </w:rPr>
        <w:t>Corporation</w:t>
      </w:r>
      <w:r>
        <w:rPr>
          <w:rFonts w:ascii="Times New Roman" w:hAnsi="Times New Roman" w:cs="Times New Roman" w:eastAsia="Times New Roman" w:hint="default"/>
          <w:spacing w:val="-11"/>
        </w:rPr>
        <w:t> </w:t>
      </w:r>
      <w:r>
        <w:rPr>
          <w:rFonts w:ascii="Times New Roman" w:hAnsi="Times New Roman" w:cs="Times New Roman" w:eastAsia="Times New Roman" w:hint="default"/>
        </w:rPr>
        <w:t>Limited“</w:t>
      </w:r>
      <w:r>
        <w:rPr/>
        <w:t>签署编号为</w:t>
      </w:r>
      <w:r>
        <w:rPr>
          <w:rFonts w:ascii="Times New Roman" w:hAnsi="Times New Roman" w:cs="Times New Roman" w:eastAsia="Times New Roman" w:hint="default"/>
        </w:rPr>
        <w:t>EB/093/18”</w:t>
      </w:r>
      <w:r>
        <w:rPr/>
        <w:t>的银行授信函， </w:t>
      </w:r>
      <w:r>
        <w:rPr>
          <w:spacing w:val="-4"/>
        </w:rPr>
        <w:t>将前述贷款期限延长</w:t>
      </w:r>
      <w:r>
        <w:rPr>
          <w:rFonts w:ascii="Times New Roman" w:hAnsi="Times New Roman" w:cs="Times New Roman" w:eastAsia="Times New Roman" w:hint="default"/>
          <w:spacing w:val="-4"/>
        </w:rPr>
        <w:t>12</w:t>
      </w:r>
      <w:r>
        <w:rPr>
          <w:spacing w:val="-4"/>
        </w:rPr>
        <w:t>个月。并且，本公司于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8</w:t>
      </w:r>
      <w:r>
        <w:rPr>
          <w:spacing w:val="-4"/>
        </w:rPr>
        <w:t>日与宁波银行股份有限公司深圳分行签署《国际保函修改申请书》、</w:t>
      </w:r>
    </w:p>
    <w:p>
      <w:pPr>
        <w:pStyle w:val="BodyText"/>
        <w:spacing w:line="300" w:lineRule="auto" w:before="13"/>
        <w:ind w:right="1130"/>
        <w:jc w:val="both"/>
      </w:pPr>
      <w:r>
        <w:rPr>
          <w:spacing w:val="-5"/>
        </w:rPr>
        <w:t>《开立保函补充协议》，将原保函有效期展期至</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8</w:t>
      </w:r>
      <w:r>
        <w:rPr>
          <w:spacing w:val="-5"/>
        </w:rPr>
        <w:t>月</w:t>
      </w:r>
      <w:r>
        <w:rPr>
          <w:rFonts w:ascii="Times New Roman" w:hAnsi="Times New Roman" w:cs="Times New Roman" w:eastAsia="Times New Roman" w:hint="default"/>
          <w:spacing w:val="-5"/>
        </w:rPr>
        <w:t>15</w:t>
      </w:r>
      <w:r>
        <w:rPr>
          <w:spacing w:val="-5"/>
        </w:rPr>
        <w:t>日。</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7</w:t>
      </w:r>
      <w:r>
        <w:rPr>
          <w:spacing w:val="-5"/>
        </w:rPr>
        <w:t>月</w:t>
      </w:r>
      <w:r>
        <w:rPr>
          <w:rFonts w:ascii="Times New Roman" w:hAnsi="Times New Roman" w:cs="Times New Roman" w:eastAsia="Times New Roman" w:hint="default"/>
          <w:spacing w:val="-5"/>
        </w:rPr>
        <w:t>5</w:t>
      </w:r>
      <w:r>
        <w:rPr>
          <w:spacing w:val="-5"/>
        </w:rPr>
        <w:t>日，本公司与</w:t>
      </w:r>
      <w:r>
        <w:rPr>
          <w:rFonts w:ascii="Times New Roman" w:hAnsi="Times New Roman" w:cs="Times New Roman" w:eastAsia="Times New Roman" w:hint="default"/>
          <w:spacing w:val="-5"/>
        </w:rPr>
        <w:t>Oversea-Chinese </w:t>
      </w:r>
      <w:r>
        <w:rPr>
          <w:rFonts w:ascii="Times New Roman" w:hAnsi="Times New Roman" w:cs="Times New Roman" w:eastAsia="Times New Roman" w:hint="default"/>
        </w:rPr>
        <w:t>Banking Corporation</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rFonts w:ascii="Times New Roman" w:hAnsi="Times New Roman" w:cs="Times New Roman" w:eastAsia="Times New Roman" w:hint="default"/>
        </w:rPr>
        <w:t>Limited“</w:t>
      </w:r>
      <w:r>
        <w:rPr/>
        <w:t>签署编号为</w:t>
      </w:r>
      <w:r>
        <w:rPr>
          <w:rFonts w:ascii="Times New Roman" w:hAnsi="Times New Roman" w:cs="Times New Roman" w:eastAsia="Times New Roman" w:hint="default"/>
        </w:rPr>
        <w:t>EB/061/19”</w:t>
      </w:r>
      <w:r>
        <w:rPr/>
        <w:t>的银行授信函，将前述贷款期限延迟至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t>日，本公司与宁波银行</w:t>
      </w:r>
      <w:r>
        <w:rPr>
          <w:spacing w:val="-74"/>
        </w:rPr>
        <w:t> </w:t>
      </w:r>
      <w:r>
        <w:rPr>
          <w:spacing w:val="-74"/>
        </w:rPr>
      </w:r>
      <w:r>
        <w:rPr/>
        <w:t>股份有限公司深圳分行签署《开立保函补充协议》，将原保函有效期展期至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日。本公司实际控制人郭颂、刘丹</w:t>
      </w:r>
      <w:r>
        <w:rPr>
          <w:spacing w:val="-85"/>
        </w:rPr>
        <w:t> </w:t>
      </w:r>
      <w:r>
        <w:rPr>
          <w:spacing w:val="-85"/>
        </w:rPr>
      </w:r>
      <w:r>
        <w:rPr>
          <w:spacing w:val="-1"/>
        </w:rPr>
        <w:t>与宁波银行股份有限公司深圳分行签订了编号为</w:t>
      </w:r>
      <w:r>
        <w:rPr>
          <w:rFonts w:ascii="Times New Roman" w:hAnsi="Times New Roman" w:cs="Times New Roman" w:eastAsia="Times New Roman" w:hint="default"/>
          <w:spacing w:val="-1"/>
        </w:rPr>
        <w:t>“073300KB199H465A”</w:t>
      </w:r>
      <w:r>
        <w:rPr>
          <w:spacing w:val="-1"/>
        </w:rPr>
        <w:t>的《最高额保证合同》，为本公司提供连带责任保证</w:t>
      </w:r>
      <w:r>
        <w:rPr>
          <w:spacing w:val="-64"/>
        </w:rPr>
        <w:t> </w:t>
      </w:r>
      <w:r>
        <w:rPr>
          <w:spacing w:val="-64"/>
        </w:rPr>
      </w:r>
      <w:r>
        <w:rPr/>
        <w:t>担保。</w:t>
      </w:r>
    </w:p>
    <w:p>
      <w:pPr>
        <w:pStyle w:val="BodyText"/>
        <w:spacing w:line="300" w:lineRule="auto" w:before="70"/>
        <w:ind w:right="1124" w:firstLine="360"/>
        <w:jc w:val="left"/>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4</w:t>
      </w:r>
      <w:r>
        <w:rPr>
          <w:spacing w:val="-1"/>
        </w:rPr>
        <w:t>日，本公司与招商银行股份有限公司深圳分行签署了编号为</w:t>
      </w:r>
      <w:r>
        <w:rPr>
          <w:rFonts w:ascii="Times New Roman" w:hAnsi="Times New Roman" w:cs="Times New Roman" w:eastAsia="Times New Roman" w:hint="default"/>
          <w:spacing w:val="-1"/>
        </w:rPr>
        <w:t>“755XY2019007077”</w:t>
      </w:r>
      <w:r>
        <w:rPr>
          <w:spacing w:val="-1"/>
        </w:rPr>
        <w:t>的《授信额度协议》，根据</w:t>
      </w:r>
      <w:r>
        <w:rPr/>
        <w:t> 该协议，该行向本公司提供人民币</w:t>
      </w:r>
      <w:r>
        <w:rPr>
          <w:rFonts w:ascii="Times New Roman" w:hAnsi="Times New Roman" w:cs="Times New Roman" w:eastAsia="Times New Roman" w:hint="default"/>
        </w:rPr>
        <w:t>1</w:t>
      </w:r>
      <w:r>
        <w:rPr/>
        <w:t>亿元的授信额度，授信期限自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日起至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7</w:t>
      </w:r>
      <w:r>
        <w:rPr/>
        <w:t>日止。本公司实际控制人郭</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3"/>
        <w:jc w:val="left"/>
      </w:pPr>
      <w:r>
        <w:rPr/>
        <w:t>颂、刘丹分别与招商银行股份有限公司深圳分行签订了编号为</w:t>
      </w:r>
      <w:r>
        <w:rPr>
          <w:rFonts w:ascii="Times New Roman" w:hAnsi="Times New Roman" w:cs="Times New Roman" w:eastAsia="Times New Roman" w:hint="default"/>
        </w:rPr>
        <w:t>“755XY201900707701”</w:t>
      </w:r>
      <w:r>
        <w:rPr/>
        <w:t>以及</w:t>
      </w:r>
      <w:r>
        <w:rPr>
          <w:rFonts w:ascii="Times New Roman" w:hAnsi="Times New Roman" w:cs="Times New Roman" w:eastAsia="Times New Roman" w:hint="default"/>
        </w:rPr>
        <w:t>“755XY201900707702” </w:t>
      </w:r>
      <w:r>
        <w:rPr/>
        <w:t>的《最高</w:t>
      </w:r>
      <w:r>
        <w:rPr>
          <w:spacing w:val="-48"/>
        </w:rPr>
        <w:t> </w:t>
      </w:r>
      <w:r>
        <w:rPr>
          <w:spacing w:val="-48"/>
        </w:rPr>
      </w:r>
      <w:r>
        <w:rPr/>
        <w:t>额不可撤销担保书》，对前述授信协议提供连带责任保证担保。</w:t>
      </w:r>
    </w:p>
    <w:p>
      <w:pPr>
        <w:pStyle w:val="BodyText"/>
        <w:spacing w:line="300" w:lineRule="auto" w:before="72"/>
        <w:ind w:right="1131" w:firstLine="36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26</w:t>
      </w:r>
      <w:r>
        <w:rPr>
          <w:spacing w:val="-2"/>
        </w:rPr>
        <w:t>日，本公司与中国银行股份有限公司深圳高新区支行签署了编号为</w:t>
      </w:r>
      <w:r>
        <w:rPr>
          <w:rFonts w:ascii="Times New Roman" w:hAnsi="Times New Roman" w:cs="Times New Roman" w:eastAsia="Times New Roman" w:hint="default"/>
          <w:spacing w:val="-2"/>
        </w:rPr>
        <w:t>“2019</w:t>
      </w:r>
      <w:r>
        <w:rPr>
          <w:spacing w:val="-2"/>
        </w:rPr>
        <w:t>圳中银高额协字第</w:t>
      </w:r>
      <w:r>
        <w:rPr>
          <w:rFonts w:ascii="Times New Roman" w:hAnsi="Times New Roman" w:cs="Times New Roman" w:eastAsia="Times New Roman" w:hint="default"/>
          <w:spacing w:val="-2"/>
        </w:rPr>
        <w:t>160071</w:t>
      </w:r>
      <w:r>
        <w:rPr>
          <w:spacing w:val="-2"/>
        </w:rPr>
        <w:t>号</w:t>
      </w:r>
      <w:r>
        <w:rPr>
          <w:rFonts w:ascii="Times New Roman" w:hAnsi="Times New Roman" w:cs="Times New Roman" w:eastAsia="Times New Roman" w:hint="default"/>
          <w:spacing w:val="-2"/>
        </w:rPr>
        <w:t>”</w:t>
      </w:r>
      <w:r>
        <w:rPr>
          <w:spacing w:val="-2"/>
        </w:rPr>
        <w:t>《授</w:t>
      </w:r>
      <w:r>
        <w:rPr/>
        <w:t> 信额度协议》，根据该协议，该行向本公司提供人民币</w:t>
      </w:r>
      <w:r>
        <w:rPr>
          <w:rFonts w:ascii="Times New Roman" w:hAnsi="Times New Roman" w:cs="Times New Roman" w:eastAsia="Times New Roman" w:hint="default"/>
        </w:rPr>
        <w:t>8,000</w:t>
      </w:r>
      <w:r>
        <w:rPr/>
        <w:t>万元的综合授信额度，授信期限自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日起至</w:t>
      </w:r>
      <w:r>
        <w:rPr>
          <w:rFonts w:ascii="Times New Roman" w:hAnsi="Times New Roman" w:cs="Times New Roman" w:eastAsia="Times New Roman" w:hint="default"/>
        </w:rPr>
        <w:t>2020</w:t>
      </w:r>
      <w:r>
        <w:rPr/>
        <w:t>年</w:t>
      </w:r>
      <w:r>
        <w:rPr>
          <w:spacing w:val="-44"/>
        </w:rPr>
        <w:t>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日止。本公司之子公司优博讯软件公司与中国银行股份有限公司深圳高新区支行签订了编号为</w:t>
      </w:r>
      <w:r>
        <w:rPr>
          <w:rFonts w:ascii="Times New Roman" w:hAnsi="Times New Roman" w:cs="Times New Roman" w:eastAsia="Times New Roman" w:hint="default"/>
        </w:rPr>
        <w:t>“2019</w:t>
      </w:r>
      <w:r>
        <w:rPr/>
        <w:t>圳中银高司保字</w:t>
      </w:r>
      <w:r>
        <w:rPr>
          <w:spacing w:val="-75"/>
        </w:rPr>
        <w:t> </w:t>
      </w:r>
      <w:r>
        <w:rPr/>
        <w:t>第</w:t>
      </w:r>
      <w:r>
        <w:rPr>
          <w:rFonts w:ascii="Times New Roman" w:hAnsi="Times New Roman" w:cs="Times New Roman" w:eastAsia="Times New Roman" w:hint="default"/>
        </w:rPr>
        <w:t>0081</w:t>
      </w:r>
      <w:r>
        <w:rPr/>
        <w:t>号</w:t>
      </w:r>
      <w:r>
        <w:rPr>
          <w:rFonts w:ascii="Times New Roman" w:hAnsi="Times New Roman" w:cs="Times New Roman" w:eastAsia="Times New Roman" w:hint="default"/>
        </w:rPr>
        <w:t>”</w:t>
      </w:r>
      <w:r>
        <w:rPr/>
        <w:t>的《最高额保证合同》，对前述授信协议提供连带责任保证担保。</w:t>
      </w:r>
    </w:p>
    <w:p>
      <w:pPr>
        <w:pStyle w:val="BodyText"/>
        <w:spacing w:line="300" w:lineRule="auto" w:before="51"/>
        <w:ind w:right="1126"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日，本公司与中国民生银行股份有限公司深圳分行签署了编号为</w:t>
      </w:r>
      <w:r>
        <w:rPr>
          <w:rFonts w:ascii="Times New Roman" w:hAnsi="Times New Roman" w:cs="Times New Roman" w:eastAsia="Times New Roman" w:hint="default"/>
        </w:rPr>
        <w:t>“</w:t>
      </w:r>
      <w:r>
        <w:rPr/>
        <w:t>公授信字第宝安</w:t>
      </w:r>
      <w:r>
        <w:rPr>
          <w:rFonts w:ascii="Times New Roman" w:hAnsi="Times New Roman" w:cs="Times New Roman" w:eastAsia="Times New Roman" w:hint="default"/>
        </w:rPr>
        <w:t>19011</w:t>
      </w:r>
      <w:r>
        <w:rPr/>
        <w:t>号</w:t>
      </w:r>
      <w:r>
        <w:rPr>
          <w:rFonts w:ascii="Times New Roman" w:hAnsi="Times New Roman" w:cs="Times New Roman" w:eastAsia="Times New Roman" w:hint="default"/>
        </w:rPr>
        <w:t>”</w:t>
      </w:r>
      <w:r>
        <w:rPr/>
        <w:t>《综合授信合</w:t>
      </w:r>
      <w:r>
        <w:rPr>
          <w:spacing w:val="2"/>
        </w:rPr>
        <w:t> </w:t>
      </w:r>
      <w:r>
        <w:rPr/>
        <w:t>同》，根据该协议，该行向本公司提供人民币</w:t>
      </w:r>
      <w:r>
        <w:rPr>
          <w:rFonts w:ascii="Times New Roman" w:hAnsi="Times New Roman" w:cs="Times New Roman" w:eastAsia="Times New Roman" w:hint="default"/>
        </w:rPr>
        <w:t>1</w:t>
      </w:r>
      <w:r>
        <w:rPr/>
        <w:t>亿元的综合授信额度，授信期限自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日止。本</w:t>
      </w:r>
      <w:r>
        <w:rPr>
          <w:spacing w:val="-87"/>
        </w:rPr>
        <w:t> </w:t>
      </w:r>
      <w:r>
        <w:rPr/>
        <w:t>公司实际控制人郭颂、刘丹与中国民生银行股份有限公司深圳分行签订了编号为</w:t>
      </w:r>
      <w:r>
        <w:rPr>
          <w:rFonts w:ascii="Times New Roman" w:hAnsi="Times New Roman" w:cs="Times New Roman" w:eastAsia="Times New Roman" w:hint="default"/>
        </w:rPr>
        <w:t>“</w:t>
      </w:r>
      <w:r>
        <w:rPr/>
        <w:t>公授信字第宝安</w:t>
      </w:r>
      <w:r>
        <w:rPr>
          <w:rFonts w:ascii="Times New Roman" w:hAnsi="Times New Roman" w:cs="Times New Roman" w:eastAsia="Times New Roman" w:hint="default"/>
        </w:rPr>
        <w:t>19011</w:t>
      </w:r>
      <w:r>
        <w:rPr/>
        <w:t>号</w:t>
      </w:r>
      <w:r>
        <w:rPr>
          <w:rFonts w:ascii="Times New Roman" w:hAnsi="Times New Roman" w:cs="Times New Roman" w:eastAsia="Times New Roman" w:hint="default"/>
        </w:rPr>
        <w:t>”</w:t>
      </w:r>
      <w:r>
        <w:rPr/>
        <w:t>的《最高额担保</w:t>
      </w:r>
      <w:r>
        <w:rPr>
          <w:spacing w:val="-63"/>
        </w:rPr>
        <w:t> </w:t>
      </w:r>
      <w:r>
        <w:rPr>
          <w:spacing w:val="-63"/>
        </w:rPr>
      </w:r>
      <w:r>
        <w:rPr/>
        <w:t>合同》，对前述授信协议提供连带责任保证担保。</w:t>
      </w:r>
    </w:p>
    <w:p>
      <w:pPr>
        <w:pStyle w:val="BodyText"/>
        <w:spacing w:line="300" w:lineRule="auto" w:before="72"/>
        <w:ind w:right="1128" w:firstLine="360"/>
        <w:jc w:val="both"/>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20</w:t>
      </w:r>
      <w:r>
        <w:rPr>
          <w:spacing w:val="-1"/>
        </w:rPr>
        <w:t>日，本公司与上海浦东发展银行股份有限公司深圳分行签署了编号为</w:t>
      </w:r>
      <w:r>
        <w:rPr>
          <w:rFonts w:ascii="Times New Roman" w:hAnsi="Times New Roman" w:cs="Times New Roman" w:eastAsia="Times New Roman" w:hint="default"/>
          <w:spacing w:val="-1"/>
        </w:rPr>
        <w:t>“BC2019052900000238”</w:t>
      </w:r>
      <w:r>
        <w:rPr>
          <w:spacing w:val="-1"/>
        </w:rPr>
        <w:t>的《融资额度</w:t>
      </w:r>
      <w:r>
        <w:rPr/>
        <w:t> </w:t>
      </w:r>
      <w:r>
        <w:rPr>
          <w:spacing w:val="-2"/>
        </w:rPr>
        <w:t>协议》，根据该协议，该行向本公司提供人民币</w:t>
      </w:r>
      <w:r>
        <w:rPr>
          <w:rFonts w:ascii="Times New Roman" w:hAnsi="Times New Roman" w:cs="Times New Roman" w:eastAsia="Times New Roman" w:hint="default"/>
          <w:spacing w:val="-2"/>
        </w:rPr>
        <w:t>9,000.00</w:t>
      </w:r>
      <w:r>
        <w:rPr>
          <w:spacing w:val="-2"/>
        </w:rPr>
        <w:t>万元的融资额度，额度使用期限自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20</w:t>
      </w:r>
      <w:r>
        <w:rPr>
          <w:spacing w:val="-2"/>
        </w:rPr>
        <w:t>日起至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rFonts w:ascii="Times New Roman" w:hAnsi="Times New Roman" w:cs="Times New Roman" w:eastAsia="Times New Roman" w:hint="default"/>
          <w:spacing w:val="-6"/>
        </w:rPr>
        <w:t> </w:t>
      </w:r>
      <w:r>
        <w:rPr>
          <w:spacing w:val="-2"/>
        </w:rPr>
        <w:t>日止。本公司实际控制人郭颂、刘丹与上海浦东发展银行股份有限公司深圳分行签订了编号为</w:t>
      </w:r>
      <w:r>
        <w:rPr>
          <w:rFonts w:ascii="Times New Roman" w:hAnsi="Times New Roman" w:cs="Times New Roman" w:eastAsia="Times New Roman" w:hint="default"/>
          <w:spacing w:val="-2"/>
        </w:rPr>
        <w:t>“ZB7917201900000056”</w:t>
      </w:r>
      <w:r>
        <w:rPr>
          <w:spacing w:val="-2"/>
        </w:rPr>
        <w:t>的《最</w:t>
      </w:r>
      <w:r>
        <w:rPr>
          <w:spacing w:val="-80"/>
        </w:rPr>
        <w:t> </w:t>
      </w:r>
      <w:r>
        <w:rPr>
          <w:spacing w:val="-80"/>
        </w:rPr>
      </w:r>
      <w:r>
        <w:rPr/>
        <w:t>高额保证合同》，对前述授信协议提供连带责任保证担保。</w:t>
      </w:r>
    </w:p>
    <w:p>
      <w:pPr>
        <w:pStyle w:val="BodyText"/>
        <w:spacing w:line="300" w:lineRule="auto" w:before="72"/>
        <w:ind w:right="1042"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日，本公司之子公司优博讯软件公司、优金支付公司、武汉市优博讯软件公司分别与中国工商银行股份有 </w:t>
      </w:r>
      <w:r>
        <w:rPr>
          <w:spacing w:val="-2"/>
        </w:rPr>
        <w:t>限公司深圳高新园支行签订了编号为</w:t>
      </w:r>
      <w:r>
        <w:rPr>
          <w:rFonts w:ascii="Times New Roman" w:hAnsi="Times New Roman" w:cs="Times New Roman" w:eastAsia="Times New Roman" w:hint="default"/>
          <w:spacing w:val="-2"/>
        </w:rPr>
        <w:t>“0400000919</w:t>
      </w:r>
      <w:r>
        <w:rPr>
          <w:rFonts w:ascii="Times New Roman" w:hAnsi="Times New Roman" w:cs="Times New Roman" w:eastAsia="Times New Roman" w:hint="default"/>
          <w:spacing w:val="-2"/>
        </w:rPr>
        <w:t>-2019</w:t>
      </w:r>
      <w:r>
        <w:rPr>
          <w:spacing w:val="-2"/>
        </w:rPr>
        <w:t>年高新（保）字</w:t>
      </w:r>
      <w:r>
        <w:rPr>
          <w:rFonts w:ascii="Times New Roman" w:hAnsi="Times New Roman" w:cs="Times New Roman" w:eastAsia="Times New Roman" w:hint="default"/>
          <w:spacing w:val="-2"/>
        </w:rPr>
        <w:t>0054</w:t>
      </w:r>
      <w:r>
        <w:rPr>
          <w:spacing w:val="-2"/>
        </w:rPr>
        <w:t>号</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“0400000919</w:t>
      </w:r>
      <w:r>
        <w:rPr>
          <w:rFonts w:ascii="Times New Roman" w:hAnsi="Times New Roman" w:cs="Times New Roman" w:eastAsia="Times New Roman" w:hint="default"/>
          <w:spacing w:val="-2"/>
        </w:rPr>
        <w:t>-2019</w:t>
      </w:r>
      <w:r>
        <w:rPr>
          <w:spacing w:val="-2"/>
        </w:rPr>
        <w:t>年高新（保）字</w:t>
      </w:r>
      <w:r>
        <w:rPr>
          <w:rFonts w:ascii="Times New Roman" w:hAnsi="Times New Roman" w:cs="Times New Roman" w:eastAsia="Times New Roman" w:hint="default"/>
          <w:spacing w:val="-2"/>
        </w:rPr>
        <w:t>0055</w:t>
      </w:r>
      <w:r>
        <w:rPr>
          <w:spacing w:val="-2"/>
        </w:rPr>
        <w:t>号</w:t>
      </w:r>
      <w:r>
        <w:rPr>
          <w:rFonts w:ascii="Times New Roman" w:hAnsi="Times New Roman" w:cs="Times New Roman" w:eastAsia="Times New Roman" w:hint="default"/>
          <w:spacing w:val="-2"/>
        </w:rPr>
        <w:t>”</w:t>
      </w:r>
      <w:r>
        <w:rPr>
          <w:spacing w:val="-2"/>
        </w:rPr>
        <w:t>、</w:t>
      </w:r>
      <w:r>
        <w:rPr>
          <w:spacing w:val="-27"/>
        </w:rPr>
        <w:t> </w:t>
      </w:r>
      <w:r>
        <w:rPr>
          <w:rFonts w:ascii="Times New Roman" w:hAnsi="Times New Roman" w:cs="Times New Roman" w:eastAsia="Times New Roman" w:hint="default"/>
          <w:spacing w:val="-7"/>
        </w:rPr>
        <w:t>“0400000919</w:t>
      </w:r>
      <w:r>
        <w:rPr>
          <w:rFonts w:ascii="Times New Roman" w:hAnsi="Times New Roman" w:cs="Times New Roman" w:eastAsia="Times New Roman" w:hint="default"/>
          <w:spacing w:val="-7"/>
        </w:rPr>
        <w:t>-2019</w:t>
      </w:r>
      <w:r>
        <w:rPr>
          <w:spacing w:val="-7"/>
        </w:rPr>
        <w:t>年高新（保）字</w:t>
      </w:r>
      <w:r>
        <w:rPr>
          <w:rFonts w:ascii="Times New Roman" w:hAnsi="Times New Roman" w:cs="Times New Roman" w:eastAsia="Times New Roman" w:hint="default"/>
          <w:spacing w:val="-7"/>
        </w:rPr>
        <w:t>0056</w:t>
      </w:r>
      <w:r>
        <w:rPr>
          <w:spacing w:val="-7"/>
        </w:rPr>
        <w:t>号</w:t>
      </w:r>
      <w:r>
        <w:rPr>
          <w:rFonts w:ascii="Times New Roman" w:hAnsi="Times New Roman" w:cs="Times New Roman" w:eastAsia="Times New Roman" w:hint="default"/>
          <w:spacing w:val="-7"/>
        </w:rPr>
        <w:t>”</w:t>
      </w:r>
      <w:r>
        <w:rPr>
          <w:spacing w:val="-7"/>
        </w:rPr>
        <w:t>《最高额保证合同》，为自</w:t>
      </w:r>
      <w:r>
        <w:rPr>
          <w:rFonts w:ascii="Times New Roman" w:hAnsi="Times New Roman" w:cs="Times New Roman" w:eastAsia="Times New Roman" w:hint="default"/>
          <w:spacing w:val="-7"/>
        </w:rPr>
        <w:t>2019</w:t>
      </w:r>
      <w:r>
        <w:rPr>
          <w:spacing w:val="-7"/>
        </w:rPr>
        <w:t>年</w:t>
      </w:r>
      <w:r>
        <w:rPr>
          <w:rFonts w:ascii="Times New Roman" w:hAnsi="Times New Roman" w:cs="Times New Roman" w:eastAsia="Times New Roman" w:hint="default"/>
          <w:spacing w:val="-7"/>
        </w:rPr>
        <w:t>10</w:t>
      </w:r>
      <w:r>
        <w:rPr>
          <w:spacing w:val="-7"/>
        </w:rPr>
        <w:t>月</w:t>
      </w:r>
      <w:r>
        <w:rPr>
          <w:rFonts w:ascii="Times New Roman" w:hAnsi="Times New Roman" w:cs="Times New Roman" w:eastAsia="Times New Roman" w:hint="default"/>
          <w:spacing w:val="-7"/>
        </w:rPr>
        <w:t>22</w:t>
      </w:r>
      <w:r>
        <w:rPr>
          <w:spacing w:val="-7"/>
        </w:rPr>
        <w:t>日起至</w:t>
      </w:r>
      <w:r>
        <w:rPr>
          <w:rFonts w:ascii="Times New Roman" w:hAnsi="Times New Roman" w:cs="Times New Roman" w:eastAsia="Times New Roman" w:hint="default"/>
          <w:spacing w:val="-7"/>
        </w:rPr>
        <w:t>2022</w:t>
      </w:r>
      <w:r>
        <w:rPr>
          <w:spacing w:val="-7"/>
        </w:rPr>
        <w:t>年</w:t>
      </w:r>
      <w:r>
        <w:rPr>
          <w:rFonts w:ascii="Times New Roman" w:hAnsi="Times New Roman" w:cs="Times New Roman" w:eastAsia="Times New Roman" w:hint="default"/>
          <w:spacing w:val="-7"/>
        </w:rPr>
        <w:t>10</w:t>
      </w:r>
      <w:r>
        <w:rPr>
          <w:spacing w:val="-7"/>
        </w:rPr>
        <w:t>月</w:t>
      </w:r>
      <w:r>
        <w:rPr>
          <w:rFonts w:ascii="Times New Roman" w:hAnsi="Times New Roman" w:cs="Times New Roman" w:eastAsia="Times New Roman" w:hint="default"/>
          <w:spacing w:val="-7"/>
        </w:rPr>
        <w:t>22</w:t>
      </w:r>
      <w:r>
        <w:rPr>
          <w:spacing w:val="-7"/>
        </w:rPr>
        <w:t>日止，在人民币</w:t>
      </w:r>
      <w:r>
        <w:rPr>
          <w:rFonts w:ascii="Times New Roman" w:hAnsi="Times New Roman" w:cs="Times New Roman" w:eastAsia="Times New Roman" w:hint="default"/>
          <w:spacing w:val="-7"/>
        </w:rPr>
        <w:t>13,000.00</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t>万元的最高余额内提供连带责任保证担保。</w:t>
      </w:r>
    </w:p>
    <w:p>
      <w:pPr>
        <w:spacing w:line="240" w:lineRule="auto" w:before="7"/>
        <w:rPr>
          <w:rFonts w:ascii="宋体" w:hAnsi="宋体" w:cs="宋体" w:eastAsia="宋体" w:hint="default"/>
          <w:sz w:val="23"/>
          <w:szCs w:val="23"/>
        </w:rPr>
      </w:pPr>
    </w:p>
    <w:p>
      <w:pPr>
        <w:pStyle w:val="Heading3"/>
        <w:spacing w:line="240" w:lineRule="auto"/>
        <w:ind w:right="1133"/>
        <w:jc w:val="left"/>
        <w:rPr>
          <w:b w:val="0"/>
          <w:bCs w:val="0"/>
        </w:rPr>
      </w:pPr>
      <w:bookmarkStart w:name="（5）其他关联交易" w:id="348"/>
      <w:bookmarkEnd w:id="348"/>
      <w:r>
        <w:rPr>
          <w:b w:val="0"/>
          <w:bCs w:val="0"/>
        </w:rPr>
      </w:r>
      <w:r>
        <w:rPr/>
        <w:t>（</w:t>
      </w:r>
      <w:r>
        <w:rPr>
          <w:rFonts w:ascii="Times New Roman" w:hAnsi="Times New Roman" w:cs="Times New Roman" w:eastAsia="Times New Roman" w:hint="default"/>
        </w:rPr>
        <w:t>5</w:t>
      </w:r>
      <w:r>
        <w:rPr/>
        <w:t>）其他关联交易</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0" w:firstLine="360"/>
        <w:jc w:val="left"/>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25</w:t>
      </w:r>
      <w:r>
        <w:rPr>
          <w:spacing w:val="-3"/>
        </w:rPr>
        <w:t>日，本公司与上海清科创业投资管理有限公司（以下简称</w:t>
      </w:r>
      <w:r>
        <w:rPr>
          <w:rFonts w:ascii="Times New Roman" w:hAnsi="Times New Roman" w:cs="Times New Roman" w:eastAsia="Times New Roman" w:hint="default"/>
          <w:spacing w:val="-3"/>
        </w:rPr>
        <w:t>“</w:t>
      </w:r>
      <w:r>
        <w:rPr>
          <w:spacing w:val="-3"/>
        </w:rPr>
        <w:t>上海清科</w:t>
      </w:r>
      <w:r>
        <w:rPr>
          <w:rFonts w:ascii="Times New Roman" w:hAnsi="Times New Roman" w:cs="Times New Roman" w:eastAsia="Times New Roman" w:hint="default"/>
          <w:spacing w:val="-3"/>
        </w:rPr>
        <w:t>”</w:t>
      </w:r>
      <w:r>
        <w:rPr>
          <w:spacing w:val="-3"/>
        </w:rPr>
        <w:t>）、深圳市博通思创咨询有限公司（以</w:t>
      </w:r>
      <w:r>
        <w:rPr/>
        <w:t> </w:t>
      </w:r>
      <w:r>
        <w:rPr>
          <w:spacing w:val="-3"/>
        </w:rPr>
        <w:t>下简称</w:t>
      </w:r>
      <w:r>
        <w:rPr>
          <w:rFonts w:ascii="Times New Roman" w:hAnsi="Times New Roman" w:cs="Times New Roman" w:eastAsia="Times New Roman" w:hint="default"/>
          <w:spacing w:val="-3"/>
        </w:rPr>
        <w:t>“</w:t>
      </w:r>
      <w:r>
        <w:rPr>
          <w:spacing w:val="-3"/>
        </w:rPr>
        <w:t>博通思创</w:t>
      </w:r>
      <w:r>
        <w:rPr>
          <w:rFonts w:ascii="Times New Roman" w:hAnsi="Times New Roman" w:cs="Times New Roman" w:eastAsia="Times New Roman" w:hint="default"/>
          <w:spacing w:val="-3"/>
        </w:rPr>
        <w:t>”</w:t>
      </w:r>
      <w:r>
        <w:rPr>
          <w:spacing w:val="-3"/>
        </w:rPr>
        <w:t>）签署《杭州清科优博讯投资管理合伙企业（有限合伙）合伙协议》（以下简称</w:t>
      </w:r>
      <w:r>
        <w:rPr>
          <w:rFonts w:ascii="Times New Roman" w:hAnsi="Times New Roman" w:cs="Times New Roman" w:eastAsia="Times New Roman" w:hint="default"/>
          <w:spacing w:val="-3"/>
        </w:rPr>
        <w:t>“</w:t>
      </w:r>
      <w:r>
        <w:rPr>
          <w:spacing w:val="-3"/>
        </w:rPr>
        <w:t>合伙协议</w:t>
      </w:r>
      <w:r>
        <w:rPr>
          <w:rFonts w:ascii="Times New Roman" w:hAnsi="Times New Roman" w:cs="Times New Roman" w:eastAsia="Times New Roman" w:hint="default"/>
          <w:spacing w:val="-3"/>
        </w:rPr>
        <w:t>”</w:t>
      </w:r>
      <w:r>
        <w:rPr>
          <w:spacing w:val="-3"/>
        </w:rPr>
        <w:t>或</w:t>
      </w:r>
      <w:r>
        <w:rPr>
          <w:rFonts w:ascii="Times New Roman" w:hAnsi="Times New Roman" w:cs="Times New Roman" w:eastAsia="Times New Roman" w:hint="default"/>
          <w:spacing w:val="-3"/>
        </w:rPr>
        <w:t>“</w:t>
      </w:r>
      <w:r>
        <w:rPr>
          <w:spacing w:val="-3"/>
        </w:rPr>
        <w:t>本协议</w:t>
      </w:r>
      <w:r>
        <w:rPr>
          <w:rFonts w:ascii="Times New Roman" w:hAnsi="Times New Roman" w:cs="Times New Roman" w:eastAsia="Times New Roman" w:hint="default"/>
          <w:spacing w:val="-3"/>
        </w:rPr>
        <w:t>”</w:t>
      </w:r>
      <w:r>
        <w:rPr>
          <w:spacing w:val="-3"/>
        </w:rPr>
        <w:t>），</w:t>
      </w:r>
      <w:r>
        <w:rPr>
          <w:spacing w:val="-50"/>
        </w:rPr>
        <w:t> </w:t>
      </w:r>
      <w:r>
        <w:rPr/>
        <w:t>共同投资设立杭州清科优博讯投资管理合伙企业（有限合伙）（以下简称</w:t>
      </w:r>
      <w:r>
        <w:rPr>
          <w:rFonts w:ascii="Times New Roman" w:hAnsi="Times New Roman" w:cs="Times New Roman" w:eastAsia="Times New Roman" w:hint="default"/>
        </w:rPr>
        <w:t>“</w:t>
      </w:r>
      <w:r>
        <w:rPr/>
        <w:t>产业基金</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合伙企业</w:t>
      </w:r>
      <w:r>
        <w:rPr>
          <w:rFonts w:ascii="Times New Roman" w:hAnsi="Times New Roman" w:cs="Times New Roman" w:eastAsia="Times New Roman" w:hint="default"/>
        </w:rPr>
        <w:t>”</w:t>
      </w:r>
      <w:r>
        <w:rPr/>
        <w:t>）。产业基金的目标总认 </w:t>
      </w:r>
      <w:r>
        <w:rPr>
          <w:spacing w:val="-2"/>
        </w:rPr>
        <w:t>缴出资额为人民币</w:t>
      </w:r>
      <w:r>
        <w:rPr>
          <w:rFonts w:ascii="Times New Roman" w:hAnsi="Times New Roman" w:cs="Times New Roman" w:eastAsia="Times New Roman" w:hint="default"/>
          <w:spacing w:val="-2"/>
        </w:rPr>
        <w:t>2.05</w:t>
      </w:r>
      <w:r>
        <w:rPr>
          <w:spacing w:val="-2"/>
        </w:rPr>
        <w:t>亿元，其中本公司作为有限合伙人以自有资金认缴出资</w:t>
      </w:r>
      <w:r>
        <w:rPr>
          <w:rFonts w:ascii="Times New Roman" w:hAnsi="Times New Roman" w:cs="Times New Roman" w:eastAsia="Times New Roman" w:hint="default"/>
          <w:spacing w:val="-2"/>
        </w:rPr>
        <w:t>6,000</w:t>
      </w:r>
      <w:r>
        <w:rPr>
          <w:spacing w:val="-2"/>
        </w:rPr>
        <w:t>万元，博通思创作为有限合伙人认缴出资</w:t>
      </w:r>
      <w:r>
        <w:rPr>
          <w:spacing w:val="-58"/>
        </w:rPr>
        <w:t> </w:t>
      </w:r>
      <w:r>
        <w:rPr>
          <w:spacing w:val="-58"/>
        </w:rPr>
      </w:r>
      <w:r>
        <w:rPr>
          <w:rFonts w:ascii="Times New Roman" w:hAnsi="Times New Roman" w:cs="Times New Roman" w:eastAsia="Times New Roman" w:hint="default"/>
        </w:rPr>
        <w:t>1.4</w:t>
      </w:r>
      <w:r>
        <w:rPr/>
        <w:t>亿元，上海清科作为普通合伙人认缴出资</w:t>
      </w:r>
      <w:r>
        <w:rPr>
          <w:rFonts w:ascii="Times New Roman" w:hAnsi="Times New Roman" w:cs="Times New Roman" w:eastAsia="Times New Roman" w:hint="default"/>
        </w:rPr>
        <w:t>500</w:t>
      </w:r>
      <w:r>
        <w:rPr/>
        <w:t>万元。截止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日，本公司尚未出资。</w:t>
      </w:r>
    </w:p>
    <w:p>
      <w:pPr>
        <w:pStyle w:val="BodyText"/>
        <w:spacing w:line="300" w:lineRule="auto" w:before="53"/>
        <w:ind w:right="1128"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日，公司召开第三届董事会第八次会议审议通过了《关于向公司参股子公司提供财务资助的议案》，同意 </w:t>
      </w:r>
      <w:r>
        <w:rPr>
          <w:spacing w:val="-2"/>
        </w:rPr>
        <w:t>公司向持股</w:t>
      </w:r>
      <w:r>
        <w:rPr>
          <w:rFonts w:ascii="Times New Roman" w:hAnsi="Times New Roman" w:cs="Times New Roman" w:eastAsia="Times New Roman" w:hint="default"/>
          <w:spacing w:val="-2"/>
        </w:rPr>
        <w:t>20%</w:t>
      </w:r>
      <w:r>
        <w:rPr>
          <w:spacing w:val="-2"/>
        </w:rPr>
        <w:t>的参股子公司中世顺科技（北京）股份有限公司（以下简称</w:t>
      </w:r>
      <w:r>
        <w:rPr>
          <w:rFonts w:ascii="Times New Roman" w:hAnsi="Times New Roman" w:cs="Times New Roman" w:eastAsia="Times New Roman" w:hint="default"/>
          <w:spacing w:val="-2"/>
        </w:rPr>
        <w:t>“</w:t>
      </w:r>
      <w:r>
        <w:rPr>
          <w:spacing w:val="-2"/>
        </w:rPr>
        <w:t>中世顺</w:t>
      </w:r>
      <w:r>
        <w:rPr>
          <w:rFonts w:ascii="Times New Roman" w:hAnsi="Times New Roman" w:cs="Times New Roman" w:eastAsia="Times New Roman" w:hint="default"/>
          <w:spacing w:val="-2"/>
        </w:rPr>
        <w:t>”</w:t>
      </w:r>
      <w:r>
        <w:rPr>
          <w:spacing w:val="-2"/>
        </w:rPr>
        <w:t>）提供人民币</w:t>
      </w:r>
      <w:r>
        <w:rPr>
          <w:rFonts w:ascii="Times New Roman" w:hAnsi="Times New Roman" w:cs="Times New Roman" w:eastAsia="Times New Roman" w:hint="default"/>
          <w:spacing w:val="-2"/>
        </w:rPr>
        <w:t>2,000</w:t>
      </w:r>
      <w:r>
        <w:rPr>
          <w:spacing w:val="-2"/>
        </w:rPr>
        <w:t>万元的财务资助，资</w:t>
      </w:r>
      <w:r>
        <w:rPr>
          <w:spacing w:val="-53"/>
        </w:rPr>
        <w:t> </w:t>
      </w:r>
      <w:r>
        <w:rPr>
          <w:spacing w:val="-53"/>
        </w:rPr>
      </w:r>
      <w:r>
        <w:rPr/>
        <w:t>助期限为</w:t>
      </w:r>
      <w:r>
        <w:rPr>
          <w:rFonts w:ascii="Times New Roman" w:hAnsi="Times New Roman" w:cs="Times New Roman" w:eastAsia="Times New Roman" w:hint="default"/>
        </w:rPr>
        <w:t>9</w:t>
      </w:r>
      <w:r>
        <w:rPr/>
        <w:t>个月，中世顺按照</w:t>
      </w:r>
      <w:r>
        <w:rPr>
          <w:rFonts w:ascii="Times New Roman" w:hAnsi="Times New Roman" w:cs="Times New Roman" w:eastAsia="Times New Roman" w:hint="default"/>
        </w:rPr>
        <w:t>6%</w:t>
      </w:r>
      <w:r>
        <w:rPr/>
        <w:t>的年利率向公司支付资金占用费。截止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日，中世顺向公司借款</w:t>
      </w:r>
      <w:r>
        <w:rPr>
          <w:rFonts w:ascii="Times New Roman" w:hAnsi="Times New Roman" w:cs="Times New Roman" w:eastAsia="Times New Roman" w:hint="default"/>
        </w:rPr>
        <w:t>300</w:t>
      </w:r>
      <w:r>
        <w:rPr/>
        <w:t>万元，并已</w:t>
      </w:r>
      <w:r>
        <w:rPr>
          <w:spacing w:val="-56"/>
        </w:rPr>
        <w:t> </w:t>
      </w:r>
      <w:r>
        <w:rPr>
          <w:spacing w:val="-56"/>
        </w:rPr>
      </w:r>
      <w:r>
        <w:rPr/>
        <w:t>归还。</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bookmarkStart w:name="6、关联方应收应付款项" w:id="349"/>
      <w:bookmarkEnd w:id="349"/>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应收项目" w:id="350"/>
      <w:bookmarkEnd w:id="350"/>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四川铁慧科技有限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10,425,800.00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521,290.00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2,652,320.00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132,616.00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郁小娇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1,412.10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李宏盼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9,800.00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2）应付项目" w:id="351"/>
      <w:bookmarkEnd w:id="351"/>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上海芝柯智能科技有限公司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389,913.72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102,670.45</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深圳市天眼智通科技有限公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244,200.00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北京易路易通科技有限公司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407,547.17</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仝文定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1,816.78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1,816.78</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十一、承诺及或有事项" w:id="352"/>
      <w:bookmarkEnd w:id="352"/>
      <w:r>
        <w:rPr>
          <w:b w:val="0"/>
          <w:bCs w:val="0"/>
        </w:rPr>
      </w:r>
      <w:r>
        <w:rPr/>
        <w:t>十一、承诺及或有事项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重要承诺事项" w:id="353"/>
      <w:bookmarkEnd w:id="353"/>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资产负债表日存在的重要承诺</w:t>
      </w:r>
    </w:p>
    <w:p>
      <w:pPr>
        <w:pStyle w:val="BodyText"/>
        <w:spacing w:line="300" w:lineRule="auto" w:before="117"/>
        <w:ind w:right="1124"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w:t>
      </w:r>
      <w:r>
        <w:rPr>
          <w:spacing w:val="-2"/>
        </w:rPr>
        <w:t>日，本公司与天眼智通（香港）有限公司（以下简称</w:t>
      </w:r>
      <w:r>
        <w:rPr>
          <w:rFonts w:ascii="Times New Roman" w:hAnsi="Times New Roman" w:cs="Times New Roman" w:eastAsia="Times New Roman" w:hint="default"/>
          <w:spacing w:val="-2"/>
        </w:rPr>
        <w:t>“</w:t>
      </w:r>
      <w:r>
        <w:rPr>
          <w:spacing w:val="-2"/>
        </w:rPr>
        <w:t>天眼智通香港</w:t>
      </w:r>
      <w:r>
        <w:rPr>
          <w:rFonts w:ascii="Times New Roman" w:hAnsi="Times New Roman" w:cs="Times New Roman" w:eastAsia="Times New Roman" w:hint="default"/>
          <w:spacing w:val="-2"/>
        </w:rPr>
        <w:t>”</w:t>
      </w:r>
      <w:r>
        <w:rPr>
          <w:spacing w:val="-2"/>
        </w:rPr>
        <w:t>）签署了《关于合资经营深圳市天眼智</w:t>
      </w:r>
      <w:r>
        <w:rPr/>
        <w:t> 通科技有限公司之合资合同》，本公司认缴出资人民币</w:t>
      </w:r>
      <w:r>
        <w:rPr>
          <w:rFonts w:ascii="Times New Roman" w:hAnsi="Times New Roman" w:cs="Times New Roman" w:eastAsia="Times New Roman" w:hint="default"/>
        </w:rPr>
        <w:t>1,000.00</w:t>
      </w:r>
      <w:r>
        <w:rPr/>
        <w:t>万元，占深圳市天眼智通科技有限公司注册资本的</w:t>
      </w:r>
      <w:r>
        <w:rPr>
          <w:rFonts w:ascii="Times New Roman" w:hAnsi="Times New Roman" w:cs="Times New Roman" w:eastAsia="Times New Roman" w:hint="default"/>
        </w:rPr>
        <w:t>40.00%</w:t>
      </w:r>
      <w:r>
        <w:rPr/>
        <w:t>。 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日已支付人民币</w:t>
      </w:r>
      <w:r>
        <w:rPr>
          <w:rFonts w:ascii="Times New Roman" w:hAnsi="Times New Roman" w:cs="Times New Roman" w:eastAsia="Times New Roman" w:hint="default"/>
        </w:rPr>
        <w:t>300.00</w:t>
      </w:r>
      <w:r>
        <w:rPr/>
        <w:t>万元。</w:t>
      </w:r>
    </w:p>
    <w:p>
      <w:pPr>
        <w:pStyle w:val="BodyText"/>
        <w:spacing w:line="300" w:lineRule="auto" w:before="13"/>
        <w:ind w:right="0" w:firstLine="360"/>
        <w:jc w:val="left"/>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25</w:t>
      </w:r>
      <w:r>
        <w:rPr>
          <w:spacing w:val="-3"/>
        </w:rPr>
        <w:t>日，本公司与上海清科创业投资管理有限公司（以下简称</w:t>
      </w:r>
      <w:r>
        <w:rPr>
          <w:rFonts w:ascii="Times New Roman" w:hAnsi="Times New Roman" w:cs="Times New Roman" w:eastAsia="Times New Roman" w:hint="default"/>
          <w:spacing w:val="-3"/>
        </w:rPr>
        <w:t>“</w:t>
      </w:r>
      <w:r>
        <w:rPr>
          <w:spacing w:val="-3"/>
        </w:rPr>
        <w:t>上海清科</w:t>
      </w:r>
      <w:r>
        <w:rPr>
          <w:rFonts w:ascii="Times New Roman" w:hAnsi="Times New Roman" w:cs="Times New Roman" w:eastAsia="Times New Roman" w:hint="default"/>
          <w:spacing w:val="-3"/>
        </w:rPr>
        <w:t>”</w:t>
      </w:r>
      <w:r>
        <w:rPr>
          <w:spacing w:val="-3"/>
        </w:rPr>
        <w:t>）、深圳市博通思创咨询有限公司（以</w:t>
      </w:r>
      <w:r>
        <w:rPr/>
        <w:t> </w:t>
      </w:r>
      <w:r>
        <w:rPr>
          <w:spacing w:val="-3"/>
        </w:rPr>
        <w:t>下简称</w:t>
      </w:r>
      <w:r>
        <w:rPr>
          <w:rFonts w:ascii="Times New Roman" w:hAnsi="Times New Roman" w:cs="Times New Roman" w:eastAsia="Times New Roman" w:hint="default"/>
          <w:spacing w:val="-3"/>
        </w:rPr>
        <w:t>“</w:t>
      </w:r>
      <w:r>
        <w:rPr>
          <w:spacing w:val="-3"/>
        </w:rPr>
        <w:t>博通思创</w:t>
      </w:r>
      <w:r>
        <w:rPr>
          <w:rFonts w:ascii="Times New Roman" w:hAnsi="Times New Roman" w:cs="Times New Roman" w:eastAsia="Times New Roman" w:hint="default"/>
          <w:spacing w:val="-3"/>
        </w:rPr>
        <w:t>”</w:t>
      </w:r>
      <w:r>
        <w:rPr>
          <w:spacing w:val="-3"/>
        </w:rPr>
        <w:t>）签署《杭州清科优博讯投资管理合伙企业（有限合伙）合伙协议》（以下简称</w:t>
      </w:r>
      <w:r>
        <w:rPr>
          <w:rFonts w:ascii="Times New Roman" w:hAnsi="Times New Roman" w:cs="Times New Roman" w:eastAsia="Times New Roman" w:hint="default"/>
          <w:spacing w:val="-3"/>
        </w:rPr>
        <w:t>“</w:t>
      </w:r>
      <w:r>
        <w:rPr>
          <w:spacing w:val="-3"/>
        </w:rPr>
        <w:t>合伙协议</w:t>
      </w:r>
      <w:r>
        <w:rPr>
          <w:rFonts w:ascii="Times New Roman" w:hAnsi="Times New Roman" w:cs="Times New Roman" w:eastAsia="Times New Roman" w:hint="default"/>
          <w:spacing w:val="-3"/>
        </w:rPr>
        <w:t>”</w:t>
      </w:r>
      <w:r>
        <w:rPr>
          <w:spacing w:val="-3"/>
        </w:rPr>
        <w:t>或</w:t>
      </w:r>
      <w:r>
        <w:rPr>
          <w:rFonts w:ascii="Times New Roman" w:hAnsi="Times New Roman" w:cs="Times New Roman" w:eastAsia="Times New Roman" w:hint="default"/>
          <w:spacing w:val="-3"/>
        </w:rPr>
        <w:t>“</w:t>
      </w:r>
      <w:r>
        <w:rPr>
          <w:spacing w:val="-3"/>
        </w:rPr>
        <w:t>本协议</w:t>
      </w:r>
      <w:r>
        <w:rPr>
          <w:rFonts w:ascii="Times New Roman" w:hAnsi="Times New Roman" w:cs="Times New Roman" w:eastAsia="Times New Roman" w:hint="default"/>
          <w:spacing w:val="-3"/>
        </w:rPr>
        <w:t>”</w:t>
      </w:r>
      <w:r>
        <w:rPr>
          <w:spacing w:val="-3"/>
        </w:rPr>
        <w:t>），</w:t>
      </w:r>
      <w:r>
        <w:rPr>
          <w:spacing w:val="-50"/>
        </w:rPr>
        <w:t> </w:t>
      </w:r>
      <w:r>
        <w:rPr/>
        <w:t>共同投资设立杭州清科优博讯投资管理合伙企业（有限合伙）（以下简称</w:t>
      </w:r>
      <w:r>
        <w:rPr>
          <w:rFonts w:ascii="Times New Roman" w:hAnsi="Times New Roman" w:cs="Times New Roman" w:eastAsia="Times New Roman" w:hint="default"/>
        </w:rPr>
        <w:t>“</w:t>
      </w:r>
      <w:r>
        <w:rPr/>
        <w:t>产业基金</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合伙企业</w:t>
      </w:r>
      <w:r>
        <w:rPr>
          <w:rFonts w:ascii="Times New Roman" w:hAnsi="Times New Roman" w:cs="Times New Roman" w:eastAsia="Times New Roman" w:hint="default"/>
        </w:rPr>
        <w:t>”</w:t>
      </w:r>
      <w:r>
        <w:rPr/>
        <w:t>）。产业基金的目标总认 </w:t>
      </w:r>
      <w:r>
        <w:rPr>
          <w:spacing w:val="-2"/>
        </w:rPr>
        <w:t>缴出资额为人民币</w:t>
      </w:r>
      <w:r>
        <w:rPr>
          <w:rFonts w:ascii="Times New Roman" w:hAnsi="Times New Roman" w:cs="Times New Roman" w:eastAsia="Times New Roman" w:hint="default"/>
          <w:spacing w:val="-2"/>
        </w:rPr>
        <w:t>2.05</w:t>
      </w:r>
      <w:r>
        <w:rPr>
          <w:spacing w:val="-2"/>
        </w:rPr>
        <w:t>亿元，其中本公司作为有限合伙人以自有资金认缴出资</w:t>
      </w:r>
      <w:r>
        <w:rPr>
          <w:rFonts w:ascii="Times New Roman" w:hAnsi="Times New Roman" w:cs="Times New Roman" w:eastAsia="Times New Roman" w:hint="default"/>
          <w:spacing w:val="-2"/>
        </w:rPr>
        <w:t>6,000</w:t>
      </w:r>
      <w:r>
        <w:rPr>
          <w:spacing w:val="-2"/>
        </w:rPr>
        <w:t>万元，博通思创作为有限合伙人认缴出资</w:t>
      </w:r>
      <w:r>
        <w:rPr>
          <w:spacing w:val="-58"/>
        </w:rPr>
        <w:t> </w:t>
      </w:r>
      <w:r>
        <w:rPr>
          <w:spacing w:val="-58"/>
        </w:rPr>
      </w:r>
      <w:r>
        <w:rPr>
          <w:rFonts w:ascii="Times New Roman" w:hAnsi="Times New Roman" w:cs="Times New Roman" w:eastAsia="Times New Roman" w:hint="default"/>
        </w:rPr>
        <w:t>1.4</w:t>
      </w:r>
      <w:r>
        <w:rPr/>
        <w:t>亿元，上海清科作为普通合伙人认缴出资</w:t>
      </w:r>
      <w:r>
        <w:rPr>
          <w:rFonts w:ascii="Times New Roman" w:hAnsi="Times New Roman" w:cs="Times New Roman" w:eastAsia="Times New Roman" w:hint="default"/>
        </w:rPr>
        <w:t>500</w:t>
      </w:r>
      <w:r>
        <w:rPr/>
        <w:t>万元。截止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日，本公司尚未出资。</w:t>
      </w:r>
    </w:p>
    <w:p>
      <w:pPr>
        <w:pStyle w:val="BodyText"/>
        <w:spacing w:line="240" w:lineRule="auto" w:before="13"/>
        <w:ind w:left="513" w:right="1133"/>
        <w:jc w:val="left"/>
      </w:pPr>
      <w:r>
        <w:rPr/>
        <w:t>除存在上述承诺事项外，截止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日，本公司无其他应披露未披露的重大承诺事项。</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或有事项" w:id="354"/>
      <w:bookmarkEnd w:id="354"/>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资产负债表日存在的重要或有事项" w:id="355"/>
      <w:bookmarkEnd w:id="355"/>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28" w:firstLine="360"/>
        <w:jc w:val="both"/>
      </w:pPr>
      <w:r>
        <w:rPr/>
        <w:t>未决诉讼：本公司与苏州安可信通信技术有限公司（以下简称</w:t>
      </w:r>
      <w:r>
        <w:rPr>
          <w:rFonts w:ascii="Times New Roman" w:hAnsi="Times New Roman" w:cs="Times New Roman" w:eastAsia="Times New Roman" w:hint="default"/>
        </w:rPr>
        <w:t>“</w:t>
      </w:r>
      <w:r>
        <w:rPr/>
        <w:t>安可信</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日签订《技术开发（委托）合 </w:t>
      </w:r>
      <w:r>
        <w:rPr>
          <w:spacing w:val="-2"/>
        </w:rPr>
        <w:t>同》，本公司已按时支付</w:t>
      </w:r>
      <w:r>
        <w:rPr>
          <w:rFonts w:ascii="Times New Roman" w:hAnsi="Times New Roman" w:cs="Times New Roman" w:eastAsia="Times New Roman" w:hint="default"/>
          <w:spacing w:val="-2"/>
        </w:rPr>
        <w:t>2018</w:t>
      </w:r>
      <w:r>
        <w:rPr>
          <w:spacing w:val="-2"/>
        </w:rPr>
        <w:t>年前三个季度款项，四季度起，本公司认为安可信未按照合同约定完全履行合同义务，故未支</w:t>
      </w:r>
      <w:r>
        <w:rPr>
          <w:spacing w:val="-64"/>
        </w:rPr>
        <w:t> </w:t>
      </w:r>
      <w:r>
        <w:rPr>
          <w:spacing w:val="-64"/>
        </w:rPr>
      </w:r>
      <w:r>
        <w:rPr/>
        <w:t>付四季度服务开发费。但安可信仍坚持每季度向公司催收相应款项，公司于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月明确提出双方早已不存在合同约定的</w:t>
      </w:r>
      <w:r>
        <w:rPr>
          <w:spacing w:val="-85"/>
        </w:rPr>
        <w:t> </w:t>
      </w:r>
      <w:r>
        <w:rPr>
          <w:spacing w:val="-85"/>
        </w:rPr>
      </w:r>
      <w:r>
        <w:rPr>
          <w:spacing w:val="-3"/>
        </w:rPr>
        <w:t>技术开发合作，故应终止合同。</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月安可信以本公司违约拖欠服务费为由起诉至深圳市中级人民法院，涉案金额</w:t>
      </w:r>
      <w:r>
        <w:rPr>
          <w:rFonts w:ascii="Times New Roman" w:hAnsi="Times New Roman" w:cs="Times New Roman" w:eastAsia="Times New Roman" w:hint="default"/>
          <w:spacing w:val="-3"/>
        </w:rPr>
        <w:t>434.69</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t>万元。该案于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日进行庭前质证，截止目前该项诉讼事项尚在进行中。</w:t>
      </w:r>
    </w:p>
    <w:p>
      <w:pPr>
        <w:pStyle w:val="BodyText"/>
        <w:spacing w:line="240" w:lineRule="auto" w:before="13"/>
        <w:ind w:left="513" w:right="1133"/>
        <w:jc w:val="left"/>
      </w:pPr>
      <w:r>
        <w:rPr/>
        <w:t>除存在上述或有事项外，截止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日，本公司无其他应披露未披露的重要或有事项。</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十二、资产负债表日后事项" w:id="356"/>
      <w:bookmarkEnd w:id="356"/>
      <w:r>
        <w:rPr>
          <w:b w:val="0"/>
          <w:bCs w:val="0"/>
        </w:rPr>
      </w:r>
      <w:r>
        <w:rPr/>
        <w:t>十二、资产负债表日后事项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1、 重要的非调整事项" w:id="357"/>
      <w:bookmarkEnd w:id="357"/>
      <w:r>
        <w:rPr>
          <w:b w:val="0"/>
          <w:bCs w:val="0"/>
        </w:rPr>
      </w:r>
      <w:r>
        <w:rPr>
          <w:rFonts w:ascii="Times New Roman" w:hAnsi="Times New Roman" w:cs="Times New Roman" w:eastAsia="Times New Roman" w:hint="default"/>
        </w:rPr>
        <w:t>1</w:t>
      </w:r>
      <w:r>
        <w:rPr/>
        <w:t>、</w:t>
      </w:r>
      <w:r>
        <w:rPr>
          <w:spacing w:val="1"/>
        </w:rPr>
        <w:t> </w:t>
      </w:r>
      <w:r>
        <w:rPr/>
        <w:t>重要的非调整事项</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130" w:firstLine="360"/>
        <w:jc w:val="both"/>
      </w:pPr>
      <w:r>
        <w:rPr/>
        <w:t>新型冠状病毒感染的肺炎疫情</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新冠疫情</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月在全国爆发，国家政府相继出台了人员隔离、交通管 </w:t>
      </w:r>
      <w:r>
        <w:rPr>
          <w:spacing w:val="-2"/>
        </w:rPr>
        <w:t>制等新冠疫情防控措施。新冠疫情及相应的防控措施对本公司的正常生产经营造成了一定的暂时性影响。本公司受新冠疫情</w:t>
      </w:r>
      <w:r>
        <w:rPr>
          <w:spacing w:val="-63"/>
        </w:rPr>
        <w:t> </w:t>
      </w:r>
      <w:r>
        <w:rPr>
          <w:spacing w:val="-63"/>
        </w:rPr>
      </w:r>
      <w:r>
        <w:rPr>
          <w:spacing w:val="-2"/>
        </w:rPr>
        <w:t>的影响程度将取决于疫情防控的情况、持续时间以及政府各项防控措施的实施。本公司将持续关注新冠疫情的发展情况，并</w:t>
      </w:r>
    </w:p>
    <w:p>
      <w:pPr>
        <w:spacing w:after="0" w:line="309" w:lineRule="auto"/>
        <w:jc w:val="both"/>
        <w:sectPr>
          <w:footerReference w:type="default" r:id="rId59"/>
          <w:pgSz w:w="11910" w:h="16840"/>
          <w:pgMar w:footer="980" w:header="745"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及时评估和积极应对该疫情对公司财务状况和经营成果的影响。截止至本报告报出日，尚未发现重大不利影响。</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利润分配情况" w:id="358"/>
      <w:bookmarkEnd w:id="358"/>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10,337,700.13</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 非公开发行股票情况" w:id="359"/>
      <w:bookmarkEnd w:id="359"/>
      <w:r>
        <w:rPr>
          <w:b w:val="0"/>
          <w:bCs w:val="0"/>
        </w:rPr>
      </w:r>
      <w:r>
        <w:rPr>
          <w:rFonts w:ascii="Times New Roman" w:hAnsi="Times New Roman" w:cs="Times New Roman" w:eastAsia="Times New Roman" w:hint="default"/>
        </w:rPr>
        <w:t>3</w:t>
      </w:r>
      <w:r>
        <w:rPr/>
        <w:t>、</w:t>
      </w:r>
      <w:r>
        <w:rPr>
          <w:spacing w:val="1"/>
        </w:rPr>
        <w:t> </w:t>
      </w:r>
      <w:r>
        <w:rPr/>
        <w:t>非公开发行股票情况</w:t>
      </w:r>
      <w:r>
        <w:rPr>
          <w:b w:val="0"/>
          <w:bCs w:val="0"/>
        </w:rPr>
      </w:r>
    </w:p>
    <w:p>
      <w:pPr>
        <w:spacing w:line="240" w:lineRule="auto" w:before="4"/>
        <w:rPr>
          <w:rFonts w:ascii="宋体" w:hAnsi="宋体" w:cs="宋体" w:eastAsia="宋体" w:hint="default"/>
          <w:b/>
          <w:bCs/>
          <w:sz w:val="26"/>
          <w:szCs w:val="26"/>
        </w:rPr>
      </w:pPr>
    </w:p>
    <w:p>
      <w:pPr>
        <w:pStyle w:val="BodyText"/>
        <w:spacing w:line="304" w:lineRule="auto"/>
        <w:ind w:right="1128" w:firstLine="360"/>
        <w:jc w:val="both"/>
      </w:pPr>
      <w:r>
        <w:rPr>
          <w:spacing w:val="-2"/>
        </w:rPr>
        <w:t>（</w:t>
      </w:r>
      <w:r>
        <w:rPr>
          <w:rFonts w:ascii="Times New Roman" w:hAnsi="Times New Roman" w:cs="Times New Roman" w:eastAsia="Times New Roman" w:hint="default"/>
          <w:spacing w:val="-2"/>
        </w:rPr>
        <w:t>1</w:t>
      </w:r>
      <w:r>
        <w:rPr>
          <w:spacing w:val="-2"/>
        </w:rPr>
        <w:t>）根据本公司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13</w:t>
      </w:r>
      <w:r>
        <w:rPr>
          <w:spacing w:val="-2"/>
        </w:rPr>
        <w:t>日召开的第三届董事会第四次会议决议、</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31</w:t>
      </w:r>
      <w:r>
        <w:rPr>
          <w:spacing w:val="-2"/>
        </w:rPr>
        <w:t>日召开的第三届董事会第十一次会</w:t>
      </w:r>
      <w:r>
        <w:rPr/>
        <w:t> 议决议、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日召开的</w:t>
      </w:r>
      <w:r>
        <w:rPr>
          <w:rFonts w:ascii="Times New Roman" w:hAnsi="Times New Roman" w:cs="Times New Roman" w:eastAsia="Times New Roman" w:hint="default"/>
        </w:rPr>
        <w:t>2019</w:t>
      </w:r>
      <w:r>
        <w:rPr/>
        <w:t>年第一次临时股东大会决议，并经中国证券监督管理委员会以证监许可［</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2150</w:t>
      </w:r>
      <w:r>
        <w:rPr/>
        <w:t>号</w:t>
      </w:r>
      <w:r>
        <w:rPr>
          <w:spacing w:val="-87"/>
        </w:rPr>
        <w:t> </w:t>
      </w:r>
      <w:r>
        <w:rPr>
          <w:spacing w:val="-2"/>
        </w:rPr>
        <w:t>文《关于核准深圳市优博讯科技股份有限公司向陈建辉等发行股份购买资产并募集配套资金的批复》的核准，同意本公司非</w:t>
      </w:r>
      <w:r>
        <w:rPr>
          <w:spacing w:val="-66"/>
        </w:rPr>
        <w:t> </w:t>
      </w:r>
      <w:r>
        <w:rPr>
          <w:spacing w:val="-66"/>
        </w:rPr>
      </w:r>
      <w:r>
        <w:rPr>
          <w:spacing w:val="-1"/>
        </w:rPr>
        <w:t>公开发行股份募集配套资金不超过</w:t>
      </w:r>
      <w:r>
        <w:rPr>
          <w:rFonts w:ascii="Times New Roman" w:hAnsi="Times New Roman" w:cs="Times New Roman" w:eastAsia="Times New Roman" w:hint="default"/>
          <w:spacing w:val="-1"/>
        </w:rPr>
        <w:t>35,000</w:t>
      </w:r>
      <w:r>
        <w:rPr>
          <w:spacing w:val="-1"/>
        </w:rPr>
        <w:t>万元。经本公司聘请的主承销商东兴证券股份有限公司发行及询价确认，本公司于</w:t>
      </w:r>
      <w:r>
        <w:rPr>
          <w:spacing w:val="-72"/>
        </w:rPr>
        <w:t> </w:t>
      </w:r>
      <w:r>
        <w:rPr>
          <w:spacing w:val="-72"/>
        </w:rPr>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10</w:t>
      </w:r>
      <w:r>
        <w:rPr>
          <w:spacing w:val="-2"/>
        </w:rPr>
        <w:t>日非公开发行人民币普通股股票</w:t>
      </w:r>
      <w:r>
        <w:rPr>
          <w:rFonts w:ascii="Times New Roman" w:hAnsi="Times New Roman" w:cs="Times New Roman" w:eastAsia="Times New Roman" w:hint="default"/>
          <w:spacing w:val="-2"/>
        </w:rPr>
        <w:t>10,387,812</w:t>
      </w:r>
      <w:r>
        <w:rPr>
          <w:spacing w:val="-2"/>
        </w:rPr>
        <w:t>股，每股面值</w:t>
      </w:r>
      <w:r>
        <w:rPr>
          <w:rFonts w:ascii="Times New Roman" w:hAnsi="Times New Roman" w:cs="Times New Roman" w:eastAsia="Times New Roman" w:hint="default"/>
          <w:spacing w:val="-2"/>
        </w:rPr>
        <w:t>1.00</w:t>
      </w:r>
      <w:r>
        <w:rPr>
          <w:spacing w:val="-2"/>
        </w:rPr>
        <w:t>元，每股发行价格</w:t>
      </w:r>
      <w:r>
        <w:rPr>
          <w:rFonts w:ascii="Times New Roman" w:hAnsi="Times New Roman" w:cs="Times New Roman" w:eastAsia="Times New Roman" w:hint="default"/>
          <w:spacing w:val="-2"/>
        </w:rPr>
        <w:t>14.44</w:t>
      </w:r>
      <w:r>
        <w:rPr>
          <w:spacing w:val="-2"/>
        </w:rPr>
        <w:t>元，合计募集资金总额人民</w:t>
      </w:r>
      <w:r>
        <w:rPr>
          <w:spacing w:val="-46"/>
        </w:rPr>
        <w:t> </w:t>
      </w:r>
      <w:r>
        <w:rPr>
          <w:spacing w:val="-46"/>
        </w:rPr>
      </w:r>
      <w:r>
        <w:rPr/>
        <w:t>币</w:t>
      </w:r>
      <w:r>
        <w:rPr>
          <w:rFonts w:ascii="Times New Roman" w:hAnsi="Times New Roman" w:cs="Times New Roman" w:eastAsia="Times New Roman" w:hint="default"/>
        </w:rPr>
        <w:t>150,000,005.28</w:t>
      </w:r>
      <w:r>
        <w:rPr/>
        <w:t>元，发行后注册资本变更为</w:t>
      </w:r>
      <w:r>
        <w:rPr>
          <w:rFonts w:ascii="Times New Roman" w:hAnsi="Times New Roman" w:cs="Times New Roman" w:eastAsia="Times New Roman" w:hint="default"/>
        </w:rPr>
        <w:t>323,053,129.00</w:t>
      </w:r>
      <w:r>
        <w:rPr/>
        <w:t>元，股本变更为</w:t>
      </w:r>
      <w:r>
        <w:rPr>
          <w:rFonts w:ascii="Times New Roman" w:hAnsi="Times New Roman" w:cs="Times New Roman" w:eastAsia="Times New Roman" w:hint="default"/>
        </w:rPr>
        <w:t>323,053,129</w:t>
      </w:r>
      <w:r>
        <w:rPr/>
        <w:t>股。</w:t>
      </w:r>
    </w:p>
    <w:p>
      <w:pPr>
        <w:pStyle w:val="BodyText"/>
        <w:spacing w:line="300" w:lineRule="auto" w:before="9"/>
        <w:ind w:right="1134" w:firstLine="360"/>
        <w:jc w:val="both"/>
      </w:pPr>
      <w:r>
        <w:rPr/>
        <w:t>（</w:t>
      </w:r>
      <w:r>
        <w:rPr>
          <w:rFonts w:ascii="Times New Roman" w:hAnsi="Times New Roman" w:cs="Times New Roman" w:eastAsia="Times New Roman" w:hint="default"/>
        </w:rPr>
        <w:t>2</w:t>
      </w:r>
      <w:r>
        <w:rPr/>
        <w:t>）根据本公司</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日第三届董事会第十七会议、</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日召开的</w:t>
      </w:r>
      <w:r>
        <w:rPr>
          <w:rFonts w:ascii="Times New Roman" w:hAnsi="Times New Roman" w:cs="Times New Roman" w:eastAsia="Times New Roman" w:hint="default"/>
        </w:rPr>
        <w:t>2020</w:t>
      </w:r>
      <w:r>
        <w:rPr/>
        <w:t>年第二次临时股东大会，决议通 过关于本公司非公开发行 </w:t>
      </w:r>
      <w:r>
        <w:rPr>
          <w:rFonts w:ascii="Times New Roman" w:hAnsi="Times New Roman" w:cs="Times New Roman" w:eastAsia="Times New Roman" w:hint="default"/>
        </w:rPr>
        <w:t>A </w:t>
      </w:r>
      <w:r>
        <w:rPr/>
        <w:t>股股票的相关议案。本次非公开发行</w:t>
      </w:r>
      <w:r>
        <w:rPr>
          <w:spacing w:val="-30"/>
        </w:rPr>
        <w:t> </w:t>
      </w:r>
      <w:r>
        <w:rPr>
          <w:rFonts w:ascii="Times New Roman" w:hAnsi="Times New Roman" w:cs="Times New Roman" w:eastAsia="Times New Roman" w:hint="default"/>
        </w:rPr>
        <w:t>A</w:t>
      </w:r>
      <w:r>
        <w:rPr/>
        <w:t>股股票的特定对象为</w:t>
      </w:r>
      <w:r>
        <w:rPr>
          <w:rFonts w:ascii="Times New Roman" w:hAnsi="Times New Roman" w:cs="Times New Roman" w:eastAsia="Times New Roman" w:hint="default"/>
        </w:rPr>
        <w:t>33</w:t>
      </w:r>
      <w:r>
        <w:rPr/>
        <w:t>名符合中国证监会规定的特定对 象，发行价格为</w:t>
      </w:r>
      <w:r>
        <w:rPr>
          <w:rFonts w:ascii="Times New Roman" w:hAnsi="Times New Roman" w:cs="Times New Roman" w:eastAsia="Times New Roman" w:hint="default"/>
        </w:rPr>
        <w:t>13.67</w:t>
      </w:r>
      <w:r>
        <w:rPr/>
        <w:t>元</w:t>
      </w:r>
      <w:r>
        <w:rPr>
          <w:rFonts w:ascii="Times New Roman" w:hAnsi="Times New Roman" w:cs="Times New Roman" w:eastAsia="Times New Roman" w:hint="default"/>
        </w:rPr>
        <w:t>/</w:t>
      </w:r>
      <w:r>
        <w:rPr/>
        <w:t>股。全部特定发行对象均以现金方式认购本公司本次非公开发行的股份，自本次非公开发行完成之 </w:t>
      </w:r>
      <w:r>
        <w:rPr>
          <w:spacing w:val="-1"/>
        </w:rPr>
        <w:t>日起</w:t>
      </w:r>
      <w:r>
        <w:rPr>
          <w:rFonts w:ascii="Times New Roman" w:hAnsi="Times New Roman" w:cs="Times New Roman" w:eastAsia="Times New Roman" w:hint="default"/>
          <w:spacing w:val="-1"/>
        </w:rPr>
        <w:t>18</w:t>
      </w:r>
      <w:r>
        <w:rPr>
          <w:spacing w:val="-1"/>
        </w:rPr>
        <w:t>个月内不得转让。本次非公开发行</w:t>
      </w:r>
      <w:r>
        <w:rPr>
          <w:rFonts w:ascii="Times New Roman" w:hAnsi="Times New Roman" w:cs="Times New Roman" w:eastAsia="Times New Roman" w:hint="default"/>
          <w:spacing w:val="-1"/>
        </w:rPr>
        <w:t>A</w:t>
      </w:r>
      <w:r>
        <w:rPr>
          <w:spacing w:val="-1"/>
        </w:rPr>
        <w:t>股股票募集资金不超过</w:t>
      </w:r>
      <w:r>
        <w:rPr>
          <w:rFonts w:ascii="Times New Roman" w:hAnsi="Times New Roman" w:cs="Times New Roman" w:eastAsia="Times New Roman" w:hint="default"/>
          <w:spacing w:val="-1"/>
        </w:rPr>
        <w:t>40,260.00</w:t>
      </w:r>
      <w:r>
        <w:rPr>
          <w:spacing w:val="-1"/>
        </w:rPr>
        <w:t>万元，募集资金扣除发行费用后拟全部用于补充</w:t>
      </w:r>
      <w:r>
        <w:rPr>
          <w:spacing w:val="-70"/>
        </w:rPr>
        <w:t> </w:t>
      </w:r>
      <w:r>
        <w:rPr>
          <w:spacing w:val="-70"/>
        </w:rPr>
      </w:r>
      <w:r>
        <w:rPr/>
        <w:t>本公司流动资金。</w:t>
      </w:r>
    </w:p>
    <w:p>
      <w:pPr>
        <w:pStyle w:val="BodyText"/>
        <w:spacing w:line="316" w:lineRule="auto" w:before="31"/>
        <w:ind w:right="1132" w:firstLine="360"/>
        <w:jc w:val="both"/>
      </w:pPr>
      <w:r>
        <w:rPr>
          <w:spacing w:val="-2"/>
        </w:rPr>
        <w:t>本次非公开发行股票募集资金投资项目尚需履行的批准程序包括：中国证监会核准本次非公开发行股票以及其他可能涉</w:t>
      </w:r>
      <w:r>
        <w:rPr/>
        <w:t> 及的批准程序。上述审批事项能否取得存在不确定性，最终取得批准或核准的时间亦存在不确定性。</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bookmarkStart w:name="4、 关于子公司内部股权转让事项" w:id="360"/>
      <w:bookmarkEnd w:id="360"/>
      <w:r>
        <w:rPr>
          <w:b w:val="0"/>
          <w:bCs w:val="0"/>
        </w:rPr>
      </w:r>
      <w:r>
        <w:rPr>
          <w:rFonts w:ascii="Times New Roman" w:hAnsi="Times New Roman" w:cs="Times New Roman" w:eastAsia="Times New Roman" w:hint="default"/>
        </w:rPr>
        <w:t>4</w:t>
      </w:r>
      <w:r>
        <w:rPr/>
        <w:t>、</w:t>
      </w:r>
      <w:r>
        <w:rPr>
          <w:spacing w:val="-1"/>
        </w:rPr>
        <w:t> </w:t>
      </w:r>
      <w:r>
        <w:rPr/>
        <w:t>关于子公司内部股权转让事项</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1133" w:firstLine="360"/>
        <w:jc w:val="both"/>
      </w:pPr>
      <w:r>
        <w:rPr>
          <w:spacing w:val="-2"/>
        </w:rPr>
        <w:t>为更好的整合公司业务，发挥协同效应，最大限度地提升业务优势，提高管理和运营效率，从而更好地完成公司的战略</w:t>
      </w:r>
      <w:r>
        <w:rPr/>
        <w:t> 布局，本公司之全资子公司佳博科技公司将其持有的智汇网络</w:t>
      </w:r>
      <w:r>
        <w:rPr>
          <w:rFonts w:ascii="Times New Roman" w:hAnsi="Times New Roman" w:cs="Times New Roman" w:eastAsia="Times New Roman" w:hint="default"/>
        </w:rPr>
        <w:t>100%</w:t>
      </w:r>
      <w:r>
        <w:rPr/>
        <w:t>股权转让给本公司，本公司以自有资金人民币</w:t>
      </w:r>
      <w:r>
        <w:rPr>
          <w:spacing w:val="24"/>
        </w:rPr>
        <w:t> </w:t>
      </w:r>
      <w:r>
        <w:rPr>
          <w:rFonts w:ascii="Times New Roman" w:hAnsi="Times New Roman" w:cs="Times New Roman" w:eastAsia="Times New Roman" w:hint="default"/>
        </w:rPr>
        <w:t>1,205.00</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万元受让上述股权。该事项已经本公司</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w:t>
      </w:r>
      <w:r>
        <w:rPr/>
        <w:t>日召开的第三届董事会第十九次会议审议通过。</w:t>
      </w:r>
    </w:p>
    <w:p>
      <w:pPr>
        <w:spacing w:line="240" w:lineRule="auto" w:before="10"/>
        <w:rPr>
          <w:rFonts w:ascii="宋体" w:hAnsi="宋体" w:cs="宋体" w:eastAsia="宋体" w:hint="default"/>
          <w:sz w:val="21"/>
          <w:szCs w:val="21"/>
        </w:rPr>
      </w:pPr>
    </w:p>
    <w:p>
      <w:pPr>
        <w:pStyle w:val="Heading3"/>
        <w:spacing w:line="240" w:lineRule="auto"/>
        <w:ind w:right="1133"/>
        <w:jc w:val="left"/>
        <w:rPr>
          <w:b w:val="0"/>
          <w:bCs w:val="0"/>
        </w:rPr>
      </w:pPr>
      <w:bookmarkStart w:name="5、 向参股子公司提供财务资助暨关联交易事项" w:id="361"/>
      <w:bookmarkEnd w:id="361"/>
      <w:r>
        <w:rPr>
          <w:b w:val="0"/>
          <w:bCs w:val="0"/>
        </w:rPr>
      </w:r>
      <w:r>
        <w:rPr>
          <w:rFonts w:ascii="Times New Roman" w:hAnsi="Times New Roman" w:cs="Times New Roman" w:eastAsia="Times New Roman" w:hint="default"/>
        </w:rPr>
        <w:t>5</w:t>
      </w:r>
      <w:r>
        <w:rPr/>
        <w:t>、</w:t>
      </w:r>
      <w:r>
        <w:rPr>
          <w:spacing w:val="-1"/>
        </w:rPr>
        <w:t> </w:t>
      </w:r>
      <w:r>
        <w:rPr/>
        <w:t>向参股子公司提供财务资助暨关联交易事项</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0" w:firstLine="360"/>
        <w:jc w:val="left"/>
      </w:pPr>
      <w:r>
        <w:rPr>
          <w:spacing w:val="-2"/>
        </w:rPr>
        <w:t>本公司于</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20</w:t>
      </w:r>
      <w:r>
        <w:rPr>
          <w:spacing w:val="-2"/>
        </w:rPr>
        <w:t>日召开第三届董事会第十六次会议，审议通过了《关于向公司参股子公司提供财务资助的议案》，</w:t>
      </w:r>
      <w:r>
        <w:rPr/>
        <w:t> 同意本公司在董事会审议通过后的</w:t>
      </w:r>
      <w:r>
        <w:rPr>
          <w:rFonts w:ascii="Times New Roman" w:hAnsi="Times New Roman" w:cs="Times New Roman" w:eastAsia="Times New Roman" w:hint="default"/>
        </w:rPr>
        <w:t>12</w:t>
      </w:r>
      <w:r>
        <w:rPr/>
        <w:t>个月内，向持股</w:t>
      </w:r>
      <w:r>
        <w:rPr>
          <w:rFonts w:ascii="Times New Roman" w:hAnsi="Times New Roman" w:cs="Times New Roman" w:eastAsia="Times New Roman" w:hint="default"/>
        </w:rPr>
        <w:t>20%</w:t>
      </w:r>
      <w:r>
        <w:rPr/>
        <w:t>的参股子公司中世顺科技（北京）股份有限公司（以下简称</w:t>
      </w:r>
      <w:r>
        <w:rPr>
          <w:rFonts w:ascii="Times New Roman" w:hAnsi="Times New Roman" w:cs="Times New Roman" w:eastAsia="Times New Roman" w:hint="default"/>
        </w:rPr>
        <w:t>“</w:t>
      </w:r>
      <w:r>
        <w:rPr/>
        <w:t>中世 顺</w:t>
      </w:r>
      <w:r>
        <w:rPr>
          <w:rFonts w:ascii="Times New Roman" w:hAnsi="Times New Roman" w:cs="Times New Roman" w:eastAsia="Times New Roman" w:hint="default"/>
        </w:rPr>
        <w:t>”</w:t>
      </w:r>
      <w:r>
        <w:rPr/>
        <w:t>）提供累计不超过人民币</w:t>
      </w:r>
      <w:r>
        <w:rPr>
          <w:rFonts w:ascii="Times New Roman" w:hAnsi="Times New Roman" w:cs="Times New Roman" w:eastAsia="Times New Roman" w:hint="default"/>
        </w:rPr>
        <w:t>2,000</w:t>
      </w:r>
      <w:r>
        <w:rPr/>
        <w:t>万元的财务资助，中世顺按照</w:t>
      </w:r>
      <w:r>
        <w:rPr>
          <w:rFonts w:ascii="Times New Roman" w:hAnsi="Times New Roman" w:cs="Times New Roman" w:eastAsia="Times New Roman" w:hint="default"/>
        </w:rPr>
        <w:t>6%</w:t>
      </w:r>
      <w:r>
        <w:rPr/>
        <w:t>的年利率向本公司支付资金占用费。</w:t>
      </w:r>
    </w:p>
    <w:p>
      <w:pPr>
        <w:spacing w:line="240" w:lineRule="auto" w:before="6"/>
        <w:rPr>
          <w:rFonts w:ascii="宋体" w:hAnsi="宋体" w:cs="宋体" w:eastAsia="宋体" w:hint="default"/>
          <w:sz w:val="20"/>
          <w:szCs w:val="20"/>
        </w:rPr>
      </w:pPr>
    </w:p>
    <w:p>
      <w:pPr>
        <w:pStyle w:val="Heading2"/>
        <w:spacing w:line="240" w:lineRule="auto"/>
        <w:ind w:right="1133"/>
        <w:jc w:val="left"/>
        <w:rPr>
          <w:b w:val="0"/>
          <w:bCs w:val="0"/>
        </w:rPr>
      </w:pPr>
      <w:bookmarkStart w:name="十三、其他重要事项" w:id="362"/>
      <w:bookmarkEnd w:id="362"/>
      <w:r>
        <w:rPr>
          <w:b w:val="0"/>
          <w:bCs w:val="0"/>
        </w:rPr>
      </w:r>
      <w:r>
        <w:rPr/>
        <w:t>十三、其他重要事项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其他" w:id="363"/>
      <w:bookmarkEnd w:id="363"/>
      <w:r>
        <w:rPr>
          <w:b w:val="0"/>
          <w:bCs w:val="0"/>
        </w:rPr>
      </w:r>
      <w:r>
        <w:rPr>
          <w:rFonts w:ascii="Times New Roman" w:hAnsi="Times New Roman" w:cs="Times New Roman" w:eastAsia="Times New Roman" w:hint="default"/>
        </w:rPr>
        <w:t>1</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3" w:right="1129"/>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佳博科技公司子公司拟注销事项</w:t>
      </w:r>
      <w:r>
        <w:rPr>
          <w:w w:val="99"/>
        </w:rPr>
        <w:t> </w:t>
      </w:r>
      <w:r>
        <w:rPr>
          <w:spacing w:val="-2"/>
        </w:rPr>
        <w:t>根据</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18</w:t>
      </w:r>
      <w:r>
        <w:rPr>
          <w:spacing w:val="-2"/>
        </w:rPr>
        <w:t>日董事会决议，佳博科技根据生产制造流程和各个子公司生产经营业务合作关系的特点，决定将七家</w:t>
      </w:r>
    </w:p>
    <w:p>
      <w:pPr>
        <w:pStyle w:val="BodyText"/>
        <w:spacing w:line="316" w:lineRule="auto" w:before="13"/>
        <w:ind w:right="1129"/>
        <w:jc w:val="left"/>
      </w:pPr>
      <w:r>
        <w:rPr>
          <w:spacing w:val="-2"/>
        </w:rPr>
        <w:t>全资子公司和两家控股子公司整合成为浩盛标签、智汇网络、佳博网络三家主力公司；并对其进行停业清算，其中珠海宝盈</w:t>
      </w:r>
      <w:r>
        <w:rPr>
          <w:spacing w:val="-64"/>
        </w:rPr>
        <w:t> </w:t>
      </w:r>
      <w:r>
        <w:rPr>
          <w:spacing w:val="-64"/>
        </w:rPr>
      </w:r>
      <w:r>
        <w:rPr>
          <w:spacing w:val="-2"/>
        </w:rPr>
        <w:t>商用设备有限公司、珠海瑞柏精密科技有限公司、珠海盛汇信息科技有限公司、珠海楷仕商用设备有限公司、珠海合威科技</w:t>
      </w:r>
    </w:p>
    <w:p>
      <w:pPr>
        <w:spacing w:after="0" w:line="316" w:lineRule="auto"/>
        <w:jc w:val="left"/>
        <w:sectPr>
          <w:footerReference w:type="default" r:id="rId60"/>
          <w:pgSz w:w="11910" w:h="16840"/>
          <w:pgMar w:footer="980" w:header="745" w:top="1060" w:bottom="1160" w:left="980" w:right="0"/>
          <w:pgNumType w:start="201"/>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有限公司已于</w:t>
      </w:r>
      <w:r>
        <w:rPr>
          <w:rFonts w:ascii="Times New Roman" w:hAnsi="Times New Roman" w:cs="Times New Roman" w:eastAsia="Times New Roman" w:hint="default"/>
        </w:rPr>
        <w:t>2019</w:t>
      </w:r>
      <w:r>
        <w:rPr/>
        <w:t>年完成注销程序，珠海盛源信息科技有限公司已进入注销程序。</w:t>
      </w:r>
    </w:p>
    <w:p>
      <w:pPr>
        <w:pStyle w:val="BodyText"/>
        <w:spacing w:line="300" w:lineRule="auto" w:before="63"/>
        <w:ind w:left="513"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重要股东股权质押情况</w:t>
      </w:r>
      <w:r>
        <w:rPr>
          <w:w w:val="99"/>
        </w:rPr>
        <w:t> </w:t>
      </w:r>
      <w:r>
        <w:rPr>
          <w:spacing w:val="-1"/>
        </w:rPr>
        <w:t>截止</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rFonts w:ascii="Times New Roman" w:hAnsi="Times New Roman" w:cs="Times New Roman" w:eastAsia="Times New Roman" w:hint="default"/>
          <w:spacing w:val="-1"/>
        </w:rPr>
        <w:t>,</w:t>
      </w:r>
      <w:r>
        <w:rPr>
          <w:spacing w:val="-1"/>
        </w:rPr>
        <w:t>本公司之股东深圳市中洲创业投资有限公司持有本公司无限售流通股</w:t>
      </w:r>
      <w:r>
        <w:rPr>
          <w:rFonts w:ascii="Times New Roman" w:hAnsi="Times New Roman" w:cs="Times New Roman" w:eastAsia="Times New Roman" w:hint="default"/>
          <w:spacing w:val="-1"/>
        </w:rPr>
        <w:t>10,885,100</w:t>
      </w:r>
      <w:r>
        <w:rPr>
          <w:spacing w:val="-1"/>
        </w:rPr>
        <w:t>股，占本公司总股</w:t>
      </w:r>
    </w:p>
    <w:p>
      <w:pPr>
        <w:pStyle w:val="BodyText"/>
        <w:spacing w:line="300" w:lineRule="auto" w:before="13"/>
        <w:ind w:left="513" w:right="1133" w:hanging="361"/>
        <w:jc w:val="left"/>
      </w:pPr>
      <w:r>
        <w:rPr/>
        <w:t>本的</w:t>
      </w:r>
      <w:r>
        <w:rPr>
          <w:rFonts w:ascii="Times New Roman" w:hAnsi="Times New Roman" w:cs="Times New Roman" w:eastAsia="Times New Roman" w:hint="default"/>
        </w:rPr>
        <w:t>3.48%</w:t>
      </w:r>
      <w:r>
        <w:rPr/>
        <w:t>。深圳市中洲创业投资有限公司共质押其持有的本公司股份</w:t>
      </w:r>
      <w:r>
        <w:rPr>
          <w:rFonts w:ascii="Times New Roman" w:hAnsi="Times New Roman" w:cs="Times New Roman" w:eastAsia="Times New Roman" w:hint="default"/>
        </w:rPr>
        <w:t>7,600,000</w:t>
      </w:r>
      <w:r>
        <w:rPr/>
        <w:t>股，占本公司总股本的</w:t>
      </w:r>
      <w:r>
        <w:rPr>
          <w:rFonts w:ascii="Times New Roman" w:hAnsi="Times New Roman" w:cs="Times New Roman" w:eastAsia="Times New Roman" w:hint="default"/>
        </w:rPr>
        <w:t>2.43%</w:t>
      </w:r>
      <w:r>
        <w:rPr/>
        <w:t>。 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本公司之股东香港优博讯科技控股集团有限公司持有本公司无限售流通股</w:t>
      </w:r>
      <w:r>
        <w:rPr>
          <w:rFonts w:ascii="Times New Roman" w:hAnsi="Times New Roman" w:cs="Times New Roman" w:eastAsia="Times New Roman" w:hint="default"/>
        </w:rPr>
        <w:t>140,049,000</w:t>
      </w:r>
      <w:r>
        <w:rPr/>
        <w:t>股，占本公</w:t>
      </w:r>
    </w:p>
    <w:p>
      <w:pPr>
        <w:pStyle w:val="BodyText"/>
        <w:spacing w:line="240" w:lineRule="auto" w:before="13"/>
        <w:ind w:right="0"/>
        <w:jc w:val="left"/>
      </w:pPr>
      <w:r>
        <w:rPr/>
        <w:t>司总股本的</w:t>
      </w:r>
      <w:r>
        <w:rPr>
          <w:rFonts w:ascii="Times New Roman" w:hAnsi="Times New Roman" w:cs="Times New Roman" w:eastAsia="Times New Roman" w:hint="default"/>
        </w:rPr>
        <w:t>44.79%</w:t>
      </w:r>
      <w:r>
        <w:rPr/>
        <w:t>。香港优博讯科技控股集团有限公司共质押其持有的本公司股份</w:t>
      </w:r>
      <w:r>
        <w:rPr>
          <w:rFonts w:ascii="Times New Roman" w:hAnsi="Times New Roman" w:cs="Times New Roman" w:eastAsia="Times New Roman" w:hint="default"/>
        </w:rPr>
        <w:t>20,500,000</w:t>
      </w:r>
      <w:r>
        <w:rPr/>
        <w:t>股，占本公司总股本的</w:t>
      </w:r>
      <w:r>
        <w:rPr>
          <w:rFonts w:ascii="Times New Roman" w:hAnsi="Times New Roman" w:cs="Times New Roman" w:eastAsia="Times New Roman" w:hint="default"/>
        </w:rPr>
        <w:t>6.56%</w:t>
      </w:r>
      <w:r>
        <w:rPr/>
        <w:t>。</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十四、母公司财务报表主要项目注释" w:id="364"/>
      <w:bookmarkEnd w:id="364"/>
      <w:r>
        <w:rPr>
          <w:b w:val="0"/>
          <w:bCs w:val="0"/>
        </w:rPr>
      </w:r>
      <w:r>
        <w:rPr/>
        <w:t>十四、母公司财务报表主要项目注释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应收账款" w:id="365"/>
      <w:bookmarkEnd w:id="365"/>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应收账款分类披露" w:id="366"/>
      <w:bookmarkEnd w:id="36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4"/>
        <w:gridCol w:w="761"/>
        <w:gridCol w:w="763"/>
        <w:gridCol w:w="790"/>
        <w:gridCol w:w="775"/>
        <w:gridCol w:w="797"/>
        <w:gridCol w:w="800"/>
        <w:gridCol w:w="790"/>
        <w:gridCol w:w="931"/>
      </w:tblGrid>
      <w:tr>
        <w:trPr>
          <w:trHeight w:val="398"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8"/>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7,397,41</w:t>
            </w:r>
          </w:p>
          <w:p>
            <w:pPr>
              <w:pStyle w:val="TableParagraph"/>
              <w:spacing w:line="240" w:lineRule="auto" w:before="105"/>
              <w:ind w:left="421" w:right="0"/>
              <w:jc w:val="left"/>
              <w:rPr>
                <w:rFonts w:ascii="Times New Roman" w:hAnsi="Times New Roman" w:cs="Times New Roman" w:eastAsia="Times New Roman" w:hint="default"/>
                <w:sz w:val="18"/>
                <w:szCs w:val="18"/>
              </w:rPr>
            </w:pPr>
            <w:r>
              <w:rPr>
                <w:rFonts w:ascii="Times New Roman"/>
                <w:sz w:val="18"/>
              </w:rPr>
              <w:t>7.28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7,384,67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4.28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99.83%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12,743.00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5,376,499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5,376,499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4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210,050,</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437.99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96.60%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11,885,6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70.04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198,164,7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67.95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275,542,2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51.72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98.09%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15,936,27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0.16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259,605,98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1.56</w:t>
            </w:r>
          </w:p>
        </w:tc>
      </w:tr>
      <w:tr>
        <w:trPr>
          <w:trHeight w:val="40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其中：账龄组合</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164,802,</w:t>
            </w:r>
          </w:p>
          <w:p>
            <w:pPr>
              <w:pStyle w:val="TableParagraph"/>
              <w:spacing w:line="240" w:lineRule="auto" w:before="105"/>
              <w:ind w:left="227" w:right="0"/>
              <w:jc w:val="center"/>
              <w:rPr>
                <w:rFonts w:ascii="Times New Roman" w:hAnsi="Times New Roman" w:cs="Times New Roman" w:eastAsia="Times New Roman" w:hint="default"/>
                <w:sz w:val="18"/>
                <w:szCs w:val="18"/>
              </w:rPr>
            </w:pPr>
            <w:r>
              <w:rPr>
                <w:rFonts w:ascii="Times New Roman"/>
                <w:sz w:val="18"/>
              </w:rPr>
              <w:t>793.21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75.79%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11,885,6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70.04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152,917,1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23.17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257,686,6</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71.26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91.73%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15,936,27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0.16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241,750,40</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1.10</w:t>
            </w:r>
          </w:p>
        </w:tc>
      </w:tr>
      <w:tr>
        <w:trPr>
          <w:trHeight w:val="715"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45,247,6</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44.78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20.81%</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45,247,64</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4.78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17,855,58</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0.46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6.36%</w:t>
            </w: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17,855,580.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217,447,</w:t>
            </w:r>
          </w:p>
          <w:p>
            <w:pPr>
              <w:pStyle w:val="TableParagraph"/>
              <w:spacing w:line="240" w:lineRule="auto" w:before="105"/>
              <w:ind w:left="227" w:right="0"/>
              <w:jc w:val="center"/>
              <w:rPr>
                <w:rFonts w:ascii="Times New Roman" w:hAnsi="Times New Roman" w:cs="Times New Roman" w:eastAsia="Times New Roman" w:hint="default"/>
                <w:sz w:val="18"/>
                <w:szCs w:val="18"/>
              </w:rPr>
            </w:pPr>
            <w:r>
              <w:rPr>
                <w:rFonts w:ascii="Times New Roman"/>
                <w:sz w:val="18"/>
              </w:rPr>
              <w:t>855.27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19,270,3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44.32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198,177,5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10.95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280,918,7</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50.76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21,312,76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9.20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259,605,98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1.56</w:t>
            </w:r>
          </w:p>
        </w:tc>
      </w:tr>
    </w:tbl>
    <w:p>
      <w:pPr>
        <w:pStyle w:val="BodyText"/>
        <w:spacing w:line="240" w:lineRule="auto" w:before="49"/>
        <w:ind w:right="1133"/>
        <w:jc w:val="left"/>
      </w:pPr>
      <w:r>
        <w:rPr/>
        <w:t>按单项计提坏账准备：</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208"/>
        <w:gridCol w:w="1133"/>
        <w:gridCol w:w="1136"/>
        <w:gridCol w:w="4184"/>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4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165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4" w:right="77"/>
              <w:jc w:val="left"/>
              <w:rPr>
                <w:rFonts w:ascii="宋体" w:hAnsi="宋体" w:cs="宋体" w:eastAsia="宋体" w:hint="default"/>
                <w:sz w:val="18"/>
                <w:szCs w:val="18"/>
              </w:rPr>
            </w:pPr>
            <w:r>
              <w:rPr>
                <w:rFonts w:ascii="宋体" w:hAnsi="宋体" w:cs="宋体" w:eastAsia="宋体" w:hint="default"/>
                <w:sz w:val="18"/>
                <w:szCs w:val="18"/>
              </w:rPr>
              <w:t>北京全峰快递有限责任 公司</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2,423,199.04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2,423,199.04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56" w:right="0"/>
              <w:jc w:val="left"/>
              <w:rPr>
                <w:rFonts w:ascii="Times New Roman" w:hAnsi="Times New Roman" w:cs="Times New Roman" w:eastAsia="Times New Roman" w:hint="default"/>
                <w:sz w:val="18"/>
                <w:szCs w:val="18"/>
              </w:rPr>
            </w:pPr>
            <w:r>
              <w:rPr>
                <w:rFonts w:ascii="Times New Roman"/>
                <w:sz w:val="18"/>
              </w:rPr>
              <w:t>100.00%</w:t>
            </w:r>
          </w:p>
        </w:tc>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0"/>
              <w:jc w:val="both"/>
              <w:rPr>
                <w:rFonts w:ascii="宋体" w:hAnsi="宋体" w:cs="宋体" w:eastAsia="宋体" w:hint="default"/>
                <w:sz w:val="18"/>
                <w:szCs w:val="18"/>
              </w:rPr>
            </w:pPr>
            <w:r>
              <w:rPr>
                <w:rFonts w:ascii="宋体" w:hAnsi="宋体" w:cs="宋体" w:eastAsia="宋体" w:hint="default"/>
                <w:spacing w:val="-4"/>
                <w:sz w:val="18"/>
                <w:szCs w:val="18"/>
              </w:rPr>
              <w:t>根据北京市朝阳区人民法院（</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0105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13945 </w:t>
            </w:r>
            <w:r>
              <w:rPr>
                <w:rFonts w:ascii="宋体" w:hAnsi="宋体" w:cs="宋体" w:eastAsia="宋体" w:hint="default"/>
                <w:spacing w:val="-1"/>
                <w:sz w:val="18"/>
                <w:szCs w:val="18"/>
              </w:rPr>
              <w:t>号执行裁定书，未发现北京全峰快递有限责任公司有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足额可供执行的财产，北京市朝阳区人民法院已对北</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京全峰快递有限责任公司采取限制消费措施，同时裁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定终结执行程序，本公司预计无法收回。</w:t>
            </w:r>
          </w:p>
        </w:tc>
      </w:tr>
    </w:tbl>
    <w:p>
      <w:pPr>
        <w:spacing w:after="0" w:line="312"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208"/>
        <w:gridCol w:w="1133"/>
        <w:gridCol w:w="1136"/>
        <w:gridCol w:w="4184"/>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东峡大通（北京）管理 咨询有限公司</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2,699,300.00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2,699,300.00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pacing w:val="-1"/>
                <w:sz w:val="18"/>
                <w:szCs w:val="18"/>
              </w:rPr>
              <w:t>经营状况不善，被多家公司起诉，法院判决赔偿仍无</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力偿还债务，本公司预计无法收回。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广州零质量投资有限公 司</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43,960.00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43,960.00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pacing w:val="-1"/>
                <w:sz w:val="18"/>
                <w:szCs w:val="18"/>
              </w:rPr>
              <w:t>财务状况不良，已进入破产清算程序，本公司预计无</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法收回。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上海敏哲电子科技有限 公司</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94,927.01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94,927.01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公司多次催缴，未能收回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德邦物流股份有限公司</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1,178,230.23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1,165,487.23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98.92%</w:t>
            </w:r>
          </w:p>
        </w:tc>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pacing w:val="-1"/>
                <w:sz w:val="18"/>
                <w:szCs w:val="18"/>
              </w:rPr>
              <w:t>时间较长，涉及其子公司较多，人员更迭，难以核对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确认。</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广州太乙信息科技有限 公司</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680,301.00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680,301.00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对方公司人员更迭，款项难以追回。</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用友网络科技股份有限 公司上海分公司</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277,500.00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277,500.00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帮客户做技术开发，后期项目停止，款项难以收回。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7,397,417.28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7,384,674.28</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按组合计提坏账准备：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153,284,921.95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7,664,246.10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4,361,871.88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348,949.75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2,629,604.49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525,920.90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1,973,618.84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986,809.42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965,160.89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772,128.71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1,587,615.16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1,587,615.16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164,802,793.21</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11,885,670.04</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right="8774"/>
        <w:jc w:val="left"/>
      </w:pPr>
      <w:r>
        <w:rPr/>
        <w:pict>
          <v:shape style="position:absolute;margin-left:57.599998pt;margin-top:35.281696pt;width:480.5pt;height:156.9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82"/>
                    <w:gridCol w:w="2458"/>
                    <w:gridCol w:w="2256"/>
                    <w:gridCol w:w="2192"/>
                  </w:tblGrid>
                  <w:tr>
                    <w:trPr>
                      <w:trHeight w:val="346" w:hRule="exact"/>
                    </w:trPr>
                    <w:tc>
                      <w:tcPr>
                        <w:tcW w:w="268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6906"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8" w:hRule="exact"/>
                    </w:trPr>
                    <w:tc>
                      <w:tcPr>
                        <w:tcW w:w="2682" w:type="dxa"/>
                        <w:vMerge/>
                        <w:tcBorders>
                          <w:left w:val="single" w:sz="6" w:space="0" w:color="000000"/>
                          <w:bottom w:val="single" w:sz="6" w:space="0" w:color="000000"/>
                          <w:right w:val="single" w:sz="6" w:space="0" w:color="000000"/>
                        </w:tcBorders>
                        <w:shd w:val="clear" w:color="auto" w:fill="D9D9D9"/>
                      </w:tcPr>
                      <w:p>
                        <w:pPr/>
                      </w:p>
                    </w:tc>
                    <w:tc>
                      <w:tcPr>
                        <w:tcW w:w="24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2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1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73"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6" w:hRule="exact"/>
                    </w:trPr>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239,845,980.60</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11,992,299.03</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5.00</w:t>
                        </w:r>
                      </w:p>
                    </w:tc>
                  </w:tr>
                  <w:tr>
                    <w:trPr>
                      <w:trHeight w:val="349" w:hRule="exact"/>
                    </w:trPr>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10,207,070.44</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816,565.64</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8.00</w:t>
                        </w:r>
                      </w:p>
                    </w:tc>
                  </w:tr>
                  <w:tr>
                    <w:trPr>
                      <w:trHeight w:val="348" w:hRule="exact"/>
                    </w:trPr>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4,266,928.57</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853,385.71</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20.00</w:t>
                        </w:r>
                      </w:p>
                    </w:tc>
                  </w:tr>
                  <w:tr>
                    <w:trPr>
                      <w:trHeight w:val="346" w:hRule="exact"/>
                    </w:trPr>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1,584,646.68</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792,323.34</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50.00</w:t>
                        </w:r>
                      </w:p>
                    </w:tc>
                  </w:tr>
                  <w:tr>
                    <w:trPr>
                      <w:trHeight w:val="348" w:hRule="exact"/>
                    </w:trPr>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1,501,742.65</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1,201,394.12</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80.00</w:t>
                        </w:r>
                      </w:p>
                    </w:tc>
                  </w:tr>
                  <w:tr>
                    <w:trPr>
                      <w:trHeight w:val="346" w:hRule="exact"/>
                    </w:trPr>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280,302.32</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280,302.32</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8" w:hRule="exact"/>
                    </w:trPr>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257,686,671.26</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15,936,270.16</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6.18</w:t>
                        </w:r>
                      </w:p>
                    </w:tc>
                  </w:tr>
                </w:tbl>
                <w:p>
                  <w:pPr/>
                </w:p>
              </w:txbxContent>
            </v:textbox>
            <w10:wrap type="none"/>
          </v:shape>
        </w:pict>
      </w:r>
      <w:r>
        <w:rPr/>
        <w:t>确定该组合依据的说明： 续：</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240" w:lineRule="auto" w:before="44"/>
        <w:ind w:right="1133"/>
        <w:jc w:val="left"/>
      </w:pPr>
      <w:r>
        <w:rPr/>
        <w:t>内部往来</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629"/>
        <w:gridCol w:w="6981"/>
      </w:tblGrid>
      <w:tr>
        <w:trPr>
          <w:trHeight w:val="348" w:hRule="exact"/>
        </w:trPr>
        <w:tc>
          <w:tcPr>
            <w:tcW w:w="26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69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629"/>
        <w:gridCol w:w="2484"/>
        <w:gridCol w:w="2278"/>
        <w:gridCol w:w="2218"/>
      </w:tblGrid>
      <w:tr>
        <w:trPr>
          <w:trHeight w:val="348" w:hRule="exact"/>
        </w:trPr>
        <w:tc>
          <w:tcPr>
            <w:tcW w:w="2629"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24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2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2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8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6" w:hRule="exact"/>
        </w:trPr>
        <w:tc>
          <w:tcPr>
            <w:tcW w:w="2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45,247,644.78</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8" w:hRule="exact"/>
        </w:trPr>
        <w:tc>
          <w:tcPr>
            <w:tcW w:w="2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45,247,644.78</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pStyle w:val="BodyText"/>
        <w:spacing w:line="240" w:lineRule="auto" w:before="8"/>
        <w:ind w:right="1133"/>
        <w:jc w:val="left"/>
      </w:pPr>
      <w:r>
        <w:rPr/>
        <w:t>续：</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694"/>
        <w:gridCol w:w="2467"/>
        <w:gridCol w:w="2266"/>
        <w:gridCol w:w="2204"/>
      </w:tblGrid>
      <w:tr>
        <w:trPr>
          <w:trHeight w:val="348" w:hRule="exact"/>
        </w:trPr>
        <w:tc>
          <w:tcPr>
            <w:tcW w:w="2694"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6937"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6" w:hRule="exact"/>
        </w:trPr>
        <w:tc>
          <w:tcPr>
            <w:tcW w:w="2694" w:type="dxa"/>
            <w:vMerge/>
            <w:tcBorders>
              <w:left w:val="single" w:sz="6" w:space="0" w:color="000000"/>
              <w:bottom w:val="single" w:sz="6" w:space="0" w:color="000000"/>
              <w:right w:val="single" w:sz="6" w:space="0" w:color="000000"/>
            </w:tcBorders>
            <w:shd w:val="clear" w:color="auto" w:fill="D9D9D9"/>
          </w:tcPr>
          <w:p>
            <w:pPr/>
          </w:p>
        </w:tc>
        <w:tc>
          <w:tcPr>
            <w:tcW w:w="24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2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2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78"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8"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17,855,580.46</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8"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17,855,580.46</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pStyle w:val="BodyText"/>
        <w:spacing w:line="240" w:lineRule="auto" w:before="49"/>
        <w:ind w:right="1133"/>
        <w:jc w:val="left"/>
      </w:pPr>
      <w:r>
        <w:rPr/>
        <w:t>如是按照预期信用损失一般模型计提应收账款坏账准备，请参照其他应收款的披露方式披露坏账准备的相关信息：</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1133"/>
        <w:jc w:val="left"/>
        <w:rPr>
          <w:b w:val="0"/>
          <w:bCs w:val="0"/>
        </w:rPr>
      </w:pPr>
      <w:bookmarkStart w:name="（2）按账龄披露的应收账款" w:id="367"/>
      <w:bookmarkEnd w:id="367"/>
      <w:r>
        <w:rPr>
          <w:b w:val="0"/>
          <w:bCs w:val="0"/>
        </w:rPr>
      </w:r>
      <w:r>
        <w:rPr/>
        <w:t>（</w:t>
      </w:r>
      <w:r>
        <w:rPr>
          <w:rFonts w:ascii="Times New Roman" w:hAnsi="Times New Roman" w:cs="Times New Roman" w:eastAsia="Times New Roman" w:hint="default"/>
        </w:rPr>
        <w:t>2</w:t>
      </w:r>
      <w:r>
        <w:rPr/>
        <w:t>）按账龄披露的应收账款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1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00"/>
        <w:gridCol w:w="3204"/>
        <w:gridCol w:w="3202"/>
      </w:tblGrid>
      <w:tr>
        <w:trPr>
          <w:trHeight w:val="336" w:hRule="exact"/>
        </w:trPr>
        <w:tc>
          <w:tcPr>
            <w:tcW w:w="32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right="1414"/>
              <w:jc w:val="right"/>
              <w:rPr>
                <w:rFonts w:ascii="宋体" w:hAnsi="宋体" w:cs="宋体" w:eastAsia="宋体" w:hint="default"/>
                <w:sz w:val="18"/>
                <w:szCs w:val="18"/>
              </w:rPr>
            </w:pPr>
            <w:r>
              <w:rPr>
                <w:rFonts w:ascii="宋体" w:hAnsi="宋体" w:cs="宋体" w:eastAsia="宋体" w:hint="default"/>
                <w:sz w:val="18"/>
                <w:szCs w:val="18"/>
              </w:rPr>
              <w:t>账龄</w:t>
            </w:r>
          </w:p>
        </w:tc>
        <w:tc>
          <w:tcPr>
            <w:tcW w:w="32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年以内</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pacing w:val="-1"/>
                <w:sz w:val="18"/>
              </w:rPr>
              <w:t>198,534,814.73</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257,702,014.55</w:t>
            </w:r>
          </w:p>
        </w:tc>
      </w:tr>
      <w:tr>
        <w:trPr>
          <w:trHeight w:val="350"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Arial" w:hAnsi="Arial" w:cs="Arial" w:eastAsia="Arial" w:hint="default"/>
                <w:w w:val="95"/>
                <w:sz w:val="18"/>
                <w:szCs w:val="18"/>
              </w:rPr>
              <w:t>1</w:t>
            </w:r>
            <w:r>
              <w:rPr>
                <w:rFonts w:ascii="宋体" w:hAnsi="宋体" w:cs="宋体" w:eastAsia="宋体" w:hint="default"/>
                <w:w w:val="95"/>
                <w:sz w:val="18"/>
                <w:szCs w:val="18"/>
              </w:rPr>
              <w:t>－</w:t>
            </w:r>
            <w:r>
              <w:rPr>
                <w:rFonts w:ascii="Arial" w:hAnsi="Arial" w:cs="Arial" w:eastAsia="Arial" w:hint="default"/>
                <w:w w:val="95"/>
                <w:sz w:val="18"/>
                <w:szCs w:val="18"/>
              </w:rPr>
              <w:t>2</w:t>
            </w:r>
            <w:r>
              <w:rPr>
                <w:rFonts w:ascii="Arial" w:hAnsi="Arial" w:cs="Arial" w:eastAsia="Arial" w:hint="default"/>
                <w:spacing w:val="-11"/>
                <w:w w:val="95"/>
                <w:sz w:val="18"/>
                <w:szCs w:val="18"/>
              </w:rPr>
              <w:t> </w:t>
            </w:r>
            <w:r>
              <w:rPr>
                <w:rFonts w:ascii="宋体" w:hAnsi="宋体" w:cs="宋体" w:eastAsia="宋体" w:hint="default"/>
                <w:w w:val="95"/>
                <w:sz w:val="18"/>
                <w:szCs w:val="18"/>
              </w:rPr>
              <w:t>年</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4,467,708.89</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13,020,400.44</w:t>
            </w:r>
          </w:p>
        </w:tc>
      </w:tr>
      <w:tr>
        <w:trPr>
          <w:trHeight w:val="350"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Arial" w:hAnsi="Arial" w:cs="Arial" w:eastAsia="Arial" w:hint="default"/>
                <w:w w:val="95"/>
                <w:sz w:val="18"/>
                <w:szCs w:val="18"/>
              </w:rPr>
              <w:t>2</w:t>
            </w:r>
            <w:r>
              <w:rPr>
                <w:rFonts w:ascii="宋体" w:hAnsi="宋体" w:cs="宋体" w:eastAsia="宋体" w:hint="default"/>
                <w:w w:val="95"/>
                <w:sz w:val="18"/>
                <w:szCs w:val="18"/>
              </w:rPr>
              <w:t>－</w:t>
            </w:r>
            <w:r>
              <w:rPr>
                <w:rFonts w:ascii="Arial" w:hAnsi="Arial" w:cs="Arial" w:eastAsia="Arial" w:hint="default"/>
                <w:w w:val="95"/>
                <w:sz w:val="18"/>
                <w:szCs w:val="18"/>
              </w:rPr>
              <w:t>3</w:t>
            </w:r>
            <w:r>
              <w:rPr>
                <w:rFonts w:ascii="Arial" w:hAnsi="Arial" w:cs="Arial" w:eastAsia="Arial" w:hint="default"/>
                <w:spacing w:val="-11"/>
                <w:w w:val="95"/>
                <w:sz w:val="18"/>
                <w:szCs w:val="18"/>
              </w:rPr>
              <w:t> </w:t>
            </w:r>
            <w:r>
              <w:rPr>
                <w:rFonts w:ascii="宋体" w:hAnsi="宋体" w:cs="宋体" w:eastAsia="宋体" w:hint="default"/>
                <w:w w:val="95"/>
                <w:sz w:val="18"/>
                <w:szCs w:val="18"/>
              </w:rPr>
              <w:t>年</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5,610,764.49</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4,828,172.61</w:t>
            </w:r>
          </w:p>
        </w:tc>
      </w:tr>
      <w:tr>
        <w:trPr>
          <w:trHeight w:val="350"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Arial" w:hAnsi="Arial" w:cs="Arial" w:eastAsia="Arial" w:hint="default"/>
                <w:w w:val="95"/>
                <w:sz w:val="18"/>
                <w:szCs w:val="18"/>
              </w:rPr>
              <w:t>3</w:t>
            </w:r>
            <w:r>
              <w:rPr>
                <w:rFonts w:ascii="宋体" w:hAnsi="宋体" w:cs="宋体" w:eastAsia="宋体" w:hint="default"/>
                <w:w w:val="95"/>
                <w:sz w:val="18"/>
                <w:szCs w:val="18"/>
              </w:rPr>
              <w:t>－</w:t>
            </w:r>
            <w:r>
              <w:rPr>
                <w:rFonts w:ascii="Arial" w:hAnsi="Arial" w:cs="Arial" w:eastAsia="Arial" w:hint="default"/>
                <w:w w:val="95"/>
                <w:sz w:val="18"/>
                <w:szCs w:val="18"/>
              </w:rPr>
              <w:t>4</w:t>
            </w:r>
            <w:r>
              <w:rPr>
                <w:rFonts w:ascii="Arial" w:hAnsi="Arial" w:cs="Arial" w:eastAsia="Arial" w:hint="default"/>
                <w:spacing w:val="-11"/>
                <w:w w:val="95"/>
                <w:sz w:val="18"/>
                <w:szCs w:val="18"/>
              </w:rPr>
              <w:t> </w:t>
            </w:r>
            <w:r>
              <w:rPr>
                <w:rFonts w:ascii="宋体" w:hAnsi="宋体" w:cs="宋体" w:eastAsia="宋体" w:hint="default"/>
                <w:w w:val="95"/>
                <w:sz w:val="18"/>
                <w:szCs w:val="18"/>
              </w:rPr>
              <w:t>年</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4,280,281.11</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3,586,118.19</w:t>
            </w:r>
          </w:p>
        </w:tc>
      </w:tr>
      <w:tr>
        <w:trPr>
          <w:trHeight w:val="350"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Arial" w:hAnsi="Arial" w:cs="Arial" w:eastAsia="Arial" w:hint="default"/>
                <w:w w:val="95"/>
                <w:sz w:val="18"/>
                <w:szCs w:val="18"/>
              </w:rPr>
              <w:t>4</w:t>
            </w:r>
            <w:r>
              <w:rPr>
                <w:rFonts w:ascii="宋体" w:hAnsi="宋体" w:cs="宋体" w:eastAsia="宋体" w:hint="default"/>
                <w:w w:val="95"/>
                <w:sz w:val="18"/>
                <w:szCs w:val="18"/>
              </w:rPr>
              <w:t>－</w:t>
            </w:r>
            <w:r>
              <w:rPr>
                <w:rFonts w:ascii="Arial" w:hAnsi="Arial" w:cs="Arial" w:eastAsia="Arial" w:hint="default"/>
                <w:w w:val="95"/>
                <w:sz w:val="18"/>
                <w:szCs w:val="18"/>
              </w:rPr>
              <w:t>5</w:t>
            </w:r>
            <w:r>
              <w:rPr>
                <w:rFonts w:ascii="Arial" w:hAnsi="Arial" w:cs="Arial" w:eastAsia="Arial" w:hint="default"/>
                <w:spacing w:val="-11"/>
                <w:w w:val="95"/>
                <w:sz w:val="18"/>
                <w:szCs w:val="18"/>
              </w:rPr>
              <w:t> </w:t>
            </w:r>
            <w:r>
              <w:rPr>
                <w:rFonts w:ascii="宋体" w:hAnsi="宋体" w:cs="宋体" w:eastAsia="宋体" w:hint="default"/>
                <w:w w:val="95"/>
                <w:sz w:val="18"/>
                <w:szCs w:val="18"/>
              </w:rPr>
              <w:t>年</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2,966,670.89</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1,501,742.65</w:t>
            </w:r>
          </w:p>
        </w:tc>
      </w:tr>
      <w:tr>
        <w:trPr>
          <w:trHeight w:val="350"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23"/>
                <w:sz w:val="18"/>
                <w:szCs w:val="18"/>
              </w:rPr>
              <w:t> </w:t>
            </w:r>
            <w:r>
              <w:rPr>
                <w:rFonts w:ascii="宋体" w:hAnsi="宋体" w:cs="宋体" w:eastAsia="宋体" w:hint="default"/>
                <w:sz w:val="18"/>
                <w:szCs w:val="18"/>
              </w:rPr>
              <w:t>年以上</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1,587,615.16</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280,302.32</w:t>
            </w:r>
          </w:p>
        </w:tc>
      </w:tr>
      <w:tr>
        <w:trPr>
          <w:trHeight w:val="348"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414"/>
              <w:jc w:val="right"/>
              <w:rPr>
                <w:rFonts w:ascii="宋体" w:hAnsi="宋体" w:cs="宋体" w:eastAsia="宋体" w:hint="default"/>
                <w:sz w:val="18"/>
                <w:szCs w:val="18"/>
              </w:rPr>
            </w:pPr>
            <w:r>
              <w:rPr>
                <w:rFonts w:ascii="宋体" w:hAnsi="宋体" w:cs="宋体" w:eastAsia="宋体" w:hint="default"/>
                <w:sz w:val="18"/>
                <w:szCs w:val="18"/>
              </w:rPr>
              <w:t>小计</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217,447,855.27</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280,918,750.76</w:t>
            </w:r>
          </w:p>
        </w:tc>
      </w:tr>
      <w:tr>
        <w:trPr>
          <w:trHeight w:val="350"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减：坏账准备</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19,270,344.32</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21,312,769.20</w:t>
            </w:r>
          </w:p>
        </w:tc>
      </w:tr>
      <w:tr>
        <w:trPr>
          <w:trHeight w:val="350"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414"/>
              <w:jc w:val="righ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198,177,510.95</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259,605,981.56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本期计提、收回或转回的坏账准备情况" w:id="368"/>
      <w:bookmarkEnd w:id="368"/>
      <w:r>
        <w:rPr>
          <w:b w:val="0"/>
          <w:bCs w:val="0"/>
        </w:rPr>
      </w:r>
      <w:r>
        <w:rPr/>
        <w:t>（</w:t>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单项计提预期信 用损失的应收账 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5,376,499.04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2,008,175.24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7,384,674.28</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按组合计提预期 信用损失的应收 账款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15,936,270.16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3,747,423.12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303,177.00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11,885,670.04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21,312,769.20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2,008,175.24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3,747,423.12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303,177.00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19,270,344.32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4）本期实际核销的应收账款情况" w:id="369"/>
      <w:bookmarkEnd w:id="369"/>
      <w:r>
        <w:rPr>
          <w:b w:val="0"/>
          <w:bCs w:val="0"/>
        </w:rPr>
      </w:r>
      <w:r>
        <w:rPr/>
        <w:t>（</w:t>
      </w:r>
      <w:r>
        <w:rPr>
          <w:rFonts w:ascii="Times New Roman" w:hAnsi="Times New Roman" w:cs="Times New Roman" w:eastAsia="Times New Roman" w:hint="default"/>
        </w:rPr>
        <w:t>4</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303,177.00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按欠款方归集的期末余额前五名的应收账款情况" w:id="370"/>
      <w:bookmarkEnd w:id="370"/>
      <w:r>
        <w:rPr>
          <w:b w:val="0"/>
          <w:bCs w:val="0"/>
        </w:rPr>
      </w:r>
      <w:r>
        <w:rPr/>
        <w:t>（</w:t>
      </w:r>
      <w:r>
        <w:rPr>
          <w:rFonts w:ascii="Times New Roman" w:hAnsi="Times New Roman" w:cs="Times New Roman" w:eastAsia="Times New Roman" w:hint="default"/>
        </w:rPr>
        <w:t>5</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36,375,909.89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1,818,795.49</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21,509,736.24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1,075,486.81</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16,615,348.85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16,228,592.50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13,467,444.72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673,372.24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104,197,032.20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47.91%</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6）因金融资产转移而终止确认的应收账款" w:id="371"/>
      <w:bookmarkEnd w:id="371"/>
      <w:r>
        <w:rPr>
          <w:b w:val="0"/>
          <w:bCs w:val="0"/>
        </w:rPr>
      </w:r>
      <w:r>
        <w:rPr/>
        <w:t>（</w:t>
      </w:r>
      <w:r>
        <w:rPr>
          <w:rFonts w:ascii="Times New Roman" w:hAnsi="Times New Roman" w:cs="Times New Roman" w:eastAsia="Times New Roman" w:hint="default"/>
        </w:rPr>
        <w:t>6</w:t>
      </w:r>
      <w:r>
        <w:rPr/>
        <w:t>）因金融资产转移而终止确认的应收账款</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1716"/>
        <w:gridCol w:w="2725"/>
        <w:gridCol w:w="2084"/>
        <w:gridCol w:w="3049"/>
      </w:tblGrid>
      <w:tr>
        <w:trPr>
          <w:trHeight w:val="346" w:hRule="exact"/>
        </w:trPr>
        <w:tc>
          <w:tcPr>
            <w:tcW w:w="17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542"/>
              <w:jc w:val="right"/>
              <w:rPr>
                <w:rFonts w:ascii="宋体" w:hAnsi="宋体" w:cs="宋体" w:eastAsia="宋体" w:hint="default"/>
                <w:sz w:val="18"/>
                <w:szCs w:val="18"/>
              </w:rPr>
            </w:pPr>
            <w:r>
              <w:rPr>
                <w:rFonts w:ascii="宋体" w:hAnsi="宋体" w:cs="宋体" w:eastAsia="宋体" w:hint="default"/>
                <w:sz w:val="18"/>
                <w:szCs w:val="18"/>
              </w:rPr>
              <w:t>金融资产转移的方式</w:t>
            </w:r>
          </w:p>
        </w:tc>
        <w:tc>
          <w:tcPr>
            <w:tcW w:w="20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25" w:right="0"/>
              <w:jc w:val="left"/>
              <w:rPr>
                <w:rFonts w:ascii="宋体" w:hAnsi="宋体" w:cs="宋体" w:eastAsia="宋体" w:hint="default"/>
                <w:sz w:val="18"/>
                <w:szCs w:val="18"/>
              </w:rPr>
            </w:pPr>
            <w:r>
              <w:rPr>
                <w:rFonts w:ascii="宋体" w:hAnsi="宋体" w:cs="宋体" w:eastAsia="宋体" w:hint="default"/>
                <w:sz w:val="18"/>
                <w:szCs w:val="18"/>
              </w:rPr>
              <w:t>本年度终止确认金额</w:t>
            </w:r>
          </w:p>
        </w:tc>
        <w:tc>
          <w:tcPr>
            <w:tcW w:w="30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347"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r>
        <w:trPr>
          <w:trHeight w:val="348"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43"/>
              <w:jc w:val="right"/>
              <w:rPr>
                <w:rFonts w:ascii="宋体" w:hAnsi="宋体" w:cs="宋体" w:eastAsia="宋体" w:hint="default"/>
                <w:sz w:val="18"/>
                <w:szCs w:val="18"/>
              </w:rPr>
            </w:pPr>
            <w:r>
              <w:rPr>
                <w:rFonts w:ascii="宋体" w:hAnsi="宋体" w:cs="宋体" w:eastAsia="宋体" w:hint="default"/>
                <w:sz w:val="18"/>
                <w:szCs w:val="18"/>
              </w:rPr>
              <w:t>不附追索权的应收账款保理</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175,607,251.29</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-5,266,833.50</w:t>
            </w:r>
          </w:p>
        </w:tc>
      </w:tr>
      <w:tr>
        <w:trPr>
          <w:trHeight w:val="348"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25" w:type="dxa"/>
            <w:tcBorders>
              <w:top w:val="single" w:sz="6" w:space="0" w:color="000000"/>
              <w:left w:val="single" w:sz="6" w:space="0" w:color="000000"/>
              <w:bottom w:val="single" w:sz="6" w:space="0" w:color="000000"/>
              <w:right w:val="single" w:sz="6" w:space="0" w:color="000000"/>
            </w:tcBorders>
          </w:tcPr>
          <w:p>
            <w:pP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175,607,251.29</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-5,266,833.50</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bookmarkStart w:name="2、 其他应收款" w:id="372"/>
      <w:bookmarkEnd w:id="372"/>
      <w:r>
        <w:rPr>
          <w:b w:val="0"/>
          <w:bCs w:val="0"/>
        </w:rPr>
      </w:r>
      <w:r>
        <w:rPr>
          <w:rFonts w:ascii="Times New Roman" w:hAnsi="Times New Roman" w:cs="Times New Roman" w:eastAsia="Times New Roman" w:hint="default"/>
        </w:rPr>
        <w:t>2</w:t>
      </w:r>
      <w:r>
        <w:rPr/>
        <w:t>、</w:t>
      </w:r>
      <w:r>
        <w:rPr>
          <w:spacing w:val="2"/>
        </w:rPr>
        <w:t> </w:t>
      </w:r>
      <w:r>
        <w:rPr/>
        <w:t>其他应收款</w:t>
      </w:r>
      <w:r>
        <w:rPr>
          <w:b w:val="0"/>
          <w:bCs w:val="0"/>
        </w:rPr>
      </w:r>
    </w:p>
    <w:p>
      <w:pPr>
        <w:spacing w:line="240" w:lineRule="auto" w:before="13"/>
        <w:rPr>
          <w:rFonts w:ascii="宋体" w:hAnsi="宋体" w:cs="宋体" w:eastAsia="宋体" w:hint="default"/>
          <w:b/>
          <w:bCs/>
          <w:sz w:val="26"/>
          <w:szCs w:val="26"/>
        </w:rPr>
      </w:pPr>
    </w:p>
    <w:tbl>
      <w:tblPr>
        <w:tblW w:w="0" w:type="auto"/>
        <w:jc w:val="left"/>
        <w:tblInd w:w="150" w:type="dxa"/>
        <w:tblLayout w:type="fixed"/>
        <w:tblCellMar>
          <w:top w:w="0" w:type="dxa"/>
          <w:left w:w="0" w:type="dxa"/>
          <w:bottom w:w="0" w:type="dxa"/>
          <w:right w:w="0" w:type="dxa"/>
        </w:tblCellMar>
        <w:tblLook w:val="01E0"/>
      </w:tblPr>
      <w:tblGrid>
        <w:gridCol w:w="2475"/>
        <w:gridCol w:w="2041"/>
        <w:gridCol w:w="2513"/>
        <w:gridCol w:w="2511"/>
      </w:tblGrid>
      <w:tr>
        <w:trPr>
          <w:trHeight w:val="312" w:hRule="exact"/>
        </w:trPr>
        <w:tc>
          <w:tcPr>
            <w:tcW w:w="24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65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5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5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708" w:right="0"/>
              <w:jc w:val="left"/>
              <w:rPr>
                <w:rFonts w:ascii="宋体" w:hAnsi="宋体" w:cs="宋体" w:eastAsia="宋体" w:hint="default"/>
                <w:sz w:val="18"/>
                <w:szCs w:val="18"/>
              </w:rPr>
            </w:pPr>
            <w:r>
              <w:rPr>
                <w:rFonts w:ascii="宋体" w:hAnsi="宋体" w:cs="宋体" w:eastAsia="宋体" w:hint="default"/>
                <w:sz w:val="18"/>
                <w:szCs w:val="18"/>
              </w:rPr>
              <w:t>上期期末余额</w:t>
            </w:r>
          </w:p>
        </w:tc>
      </w:tr>
      <w:tr>
        <w:trPr>
          <w:trHeight w:val="362" w:hRule="exact"/>
        </w:trPr>
        <w:tc>
          <w:tcPr>
            <w:tcW w:w="2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right"/>
              <w:rPr>
                <w:rFonts w:ascii="Times New Roman" w:hAnsi="Times New Roman" w:cs="Times New Roman" w:eastAsia="Times New Roman" w:hint="default"/>
                <w:sz w:val="18"/>
                <w:szCs w:val="18"/>
              </w:rPr>
            </w:pPr>
            <w:r>
              <w:rPr>
                <w:rFonts w:ascii="Times New Roman"/>
                <w:spacing w:val="-1"/>
                <w:sz w:val="18"/>
              </w:rPr>
              <w:t>418,002.87</w:t>
            </w:r>
          </w:p>
        </w:tc>
      </w:tr>
      <w:tr>
        <w:trPr>
          <w:trHeight w:val="348" w:hRule="exact"/>
        </w:trPr>
        <w:tc>
          <w:tcPr>
            <w:tcW w:w="2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8" w:hRule="exact"/>
        </w:trPr>
        <w:tc>
          <w:tcPr>
            <w:tcW w:w="2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52,451,148.61</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15,041,361.95</w:t>
            </w:r>
          </w:p>
        </w:tc>
        <w:tc>
          <w:tcPr>
            <w:tcW w:w="2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15,041,361.95</w:t>
            </w:r>
          </w:p>
        </w:tc>
      </w:tr>
      <w:tr>
        <w:trPr>
          <w:trHeight w:val="346" w:hRule="exact"/>
        </w:trPr>
        <w:tc>
          <w:tcPr>
            <w:tcW w:w="2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52,451,148.61</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15,041,361.95</w:t>
            </w:r>
          </w:p>
        </w:tc>
        <w:tc>
          <w:tcPr>
            <w:tcW w:w="2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15,459,364.82</w:t>
            </w:r>
          </w:p>
        </w:tc>
      </w:tr>
    </w:tbl>
    <w:p>
      <w:pPr>
        <w:spacing w:line="319" w:lineRule="auto" w:before="8"/>
        <w:ind w:left="152" w:right="9489" w:firstLine="0"/>
        <w:jc w:val="left"/>
        <w:rPr>
          <w:rFonts w:ascii="宋体" w:hAnsi="宋体" w:cs="宋体" w:eastAsia="宋体" w:hint="default"/>
          <w:sz w:val="18"/>
          <w:szCs w:val="18"/>
        </w:rPr>
      </w:pPr>
      <w:r>
        <w:rPr>
          <w:rFonts w:ascii="宋体" w:hAnsi="宋体" w:cs="宋体" w:eastAsia="宋体" w:hint="default"/>
          <w:b/>
          <w:bCs/>
          <w:sz w:val="18"/>
          <w:szCs w:val="18"/>
        </w:rPr>
        <w:t>（一）应收利息</w:t>
      </w:r>
      <w:r>
        <w:rPr>
          <w:rFonts w:ascii="宋体" w:hAnsi="宋体" w:cs="宋体" w:eastAsia="宋体" w:hint="default"/>
          <w:b/>
          <w:bCs/>
          <w:w w:val="99"/>
          <w:sz w:val="18"/>
          <w:szCs w:val="18"/>
        </w:rPr>
        <w:t> </w:t>
      </w:r>
      <w:r>
        <w:rPr>
          <w:rFonts w:ascii="宋体" w:hAnsi="宋体" w:cs="宋体" w:eastAsia="宋体" w:hint="default"/>
          <w:sz w:val="18"/>
          <w:szCs w:val="18"/>
        </w:rPr>
        <w:t>应收利息分类</w:t>
      </w:r>
    </w:p>
    <w:tbl>
      <w:tblPr>
        <w:tblW w:w="0" w:type="auto"/>
        <w:jc w:val="left"/>
        <w:tblInd w:w="150" w:type="dxa"/>
        <w:tblLayout w:type="fixed"/>
        <w:tblCellMar>
          <w:top w:w="0" w:type="dxa"/>
          <w:left w:w="0" w:type="dxa"/>
          <w:bottom w:w="0" w:type="dxa"/>
          <w:right w:w="0" w:type="dxa"/>
        </w:tblCellMar>
        <w:tblLook w:val="01E0"/>
      </w:tblPr>
      <w:tblGrid>
        <w:gridCol w:w="2235"/>
        <w:gridCol w:w="2269"/>
        <w:gridCol w:w="2573"/>
        <w:gridCol w:w="2571"/>
      </w:tblGrid>
      <w:tr>
        <w:trPr>
          <w:trHeight w:val="348" w:hRule="exact"/>
        </w:trPr>
        <w:tc>
          <w:tcPr>
            <w:tcW w:w="22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57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737" w:right="0"/>
              <w:jc w:val="left"/>
              <w:rPr>
                <w:rFonts w:ascii="宋体" w:hAnsi="宋体" w:cs="宋体" w:eastAsia="宋体" w:hint="default"/>
                <w:sz w:val="18"/>
                <w:szCs w:val="18"/>
              </w:rPr>
            </w:pPr>
            <w:r>
              <w:rPr>
                <w:rFonts w:ascii="宋体" w:hAnsi="宋体" w:cs="宋体" w:eastAsia="宋体" w:hint="default"/>
                <w:sz w:val="18"/>
                <w:szCs w:val="18"/>
              </w:rPr>
              <w:t>上期期末余额</w:t>
            </w:r>
          </w:p>
        </w:tc>
      </w:tr>
      <w:tr>
        <w:trPr>
          <w:trHeight w:val="348"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418,002.87</w:t>
            </w:r>
          </w:p>
        </w:tc>
      </w:tr>
      <w:tr>
        <w:trPr>
          <w:trHeight w:val="346"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418,002.87</w:t>
            </w:r>
          </w:p>
        </w:tc>
      </w:tr>
    </w:tbl>
    <w:p>
      <w:pPr>
        <w:spacing w:line="316" w:lineRule="auto" w:before="17"/>
        <w:ind w:left="152" w:right="9308" w:firstLine="0"/>
        <w:jc w:val="left"/>
        <w:rPr>
          <w:rFonts w:ascii="宋体" w:hAnsi="宋体" w:cs="宋体" w:eastAsia="宋体" w:hint="default"/>
          <w:sz w:val="18"/>
          <w:szCs w:val="18"/>
        </w:rPr>
      </w:pPr>
      <w:r>
        <w:rPr>
          <w:rFonts w:ascii="宋体" w:hAnsi="宋体" w:cs="宋体" w:eastAsia="宋体" w:hint="default"/>
          <w:b/>
          <w:bCs/>
          <w:sz w:val="18"/>
          <w:szCs w:val="18"/>
        </w:rPr>
        <w:t>（二）其他应收款</w:t>
      </w:r>
      <w:r>
        <w:rPr>
          <w:rFonts w:ascii="宋体" w:hAnsi="宋体" w:cs="宋体" w:eastAsia="宋体" w:hint="default"/>
          <w:b/>
          <w:bCs/>
          <w:w w:val="99"/>
          <w:sz w:val="18"/>
          <w:szCs w:val="18"/>
        </w:rPr>
        <w:t> </w:t>
      </w:r>
      <w:r>
        <w:rPr>
          <w:rFonts w:ascii="宋体" w:hAnsi="宋体" w:cs="宋体" w:eastAsia="宋体" w:hint="default"/>
          <w:sz w:val="18"/>
          <w:szCs w:val="18"/>
        </w:rPr>
        <w:t>按账龄披露</w:t>
      </w:r>
    </w:p>
    <w:tbl>
      <w:tblPr>
        <w:tblW w:w="0" w:type="auto"/>
        <w:jc w:val="left"/>
        <w:tblInd w:w="160" w:type="dxa"/>
        <w:tblLayout w:type="fixed"/>
        <w:tblCellMar>
          <w:top w:w="0" w:type="dxa"/>
          <w:left w:w="0" w:type="dxa"/>
          <w:bottom w:w="0" w:type="dxa"/>
          <w:right w:w="0" w:type="dxa"/>
        </w:tblCellMar>
        <w:tblLook w:val="01E0"/>
      </w:tblPr>
      <w:tblGrid>
        <w:gridCol w:w="3253"/>
        <w:gridCol w:w="3274"/>
        <w:gridCol w:w="3085"/>
      </w:tblGrid>
      <w:tr>
        <w:trPr>
          <w:trHeight w:val="348" w:hRule="exact"/>
        </w:trPr>
        <w:tc>
          <w:tcPr>
            <w:tcW w:w="32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2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8" w:hRule="exact"/>
        </w:trPr>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50,966,498.68</w:t>
            </w:r>
          </w:p>
        </w:tc>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035" w:right="0"/>
              <w:jc w:val="left"/>
              <w:rPr>
                <w:rFonts w:ascii="Times New Roman" w:hAnsi="Times New Roman" w:cs="Times New Roman" w:eastAsia="Times New Roman" w:hint="default"/>
                <w:sz w:val="18"/>
                <w:szCs w:val="18"/>
              </w:rPr>
            </w:pPr>
            <w:r>
              <w:rPr>
                <w:rFonts w:ascii="Times New Roman"/>
                <w:sz w:val="18"/>
              </w:rPr>
              <w:t>13,386,053.01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253"/>
        <w:gridCol w:w="3274"/>
        <w:gridCol w:w="3085"/>
      </w:tblGrid>
      <w:tr>
        <w:trPr>
          <w:trHeight w:val="348" w:hRule="exact"/>
        </w:trPr>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947,620.53</w:t>
            </w:r>
          </w:p>
        </w:tc>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1,418,814.10</w:t>
            </w:r>
          </w:p>
        </w:tc>
      </w:tr>
      <w:tr>
        <w:trPr>
          <w:trHeight w:val="346" w:hRule="exact"/>
        </w:trPr>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1,182,347.00</w:t>
            </w:r>
          </w:p>
        </w:tc>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422,975.37</w:t>
            </w:r>
          </w:p>
        </w:tc>
      </w:tr>
      <w:tr>
        <w:trPr>
          <w:trHeight w:val="348" w:hRule="exact"/>
        </w:trPr>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409,122.00</w:t>
            </w:r>
          </w:p>
        </w:tc>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160,695.00</w:t>
            </w:r>
          </w:p>
        </w:tc>
      </w:tr>
      <w:tr>
        <w:trPr>
          <w:trHeight w:val="346" w:hRule="exact"/>
        </w:trPr>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160,695.00</w:t>
            </w:r>
          </w:p>
        </w:tc>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81,256.00</w:t>
            </w:r>
          </w:p>
        </w:tc>
      </w:tr>
      <w:tr>
        <w:trPr>
          <w:trHeight w:val="348" w:hRule="exact"/>
        </w:trPr>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92,300.00</w:t>
            </w:r>
          </w:p>
        </w:tc>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11,300.00</w:t>
            </w:r>
          </w:p>
        </w:tc>
      </w:tr>
      <w:tr>
        <w:trPr>
          <w:trHeight w:val="346" w:hRule="exact"/>
        </w:trPr>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53,758,583.21</w:t>
            </w:r>
          </w:p>
        </w:tc>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15,481,093.48</w:t>
            </w:r>
          </w:p>
        </w:tc>
      </w:tr>
      <w:tr>
        <w:trPr>
          <w:trHeight w:val="348" w:hRule="exact"/>
        </w:trPr>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减：坏账准备</w:t>
            </w:r>
          </w:p>
        </w:tc>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1,307,434.60</w:t>
            </w:r>
          </w:p>
        </w:tc>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439,731.53</w:t>
            </w:r>
          </w:p>
        </w:tc>
      </w:tr>
      <w:tr>
        <w:trPr>
          <w:trHeight w:val="348" w:hRule="exact"/>
        </w:trPr>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52,451,148.61</w:t>
            </w:r>
          </w:p>
        </w:tc>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15,041,361.95</w:t>
            </w:r>
          </w:p>
        </w:tc>
      </w:tr>
    </w:tbl>
    <w:p>
      <w:pPr>
        <w:pStyle w:val="BodyText"/>
        <w:spacing w:line="240" w:lineRule="auto" w:before="8"/>
        <w:ind w:right="1133"/>
        <w:jc w:val="left"/>
      </w:pPr>
      <w:r>
        <w:rPr/>
        <w:t>其他应收款按款项性质分类情况</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224"/>
        <w:gridCol w:w="3341"/>
        <w:gridCol w:w="3068"/>
      </w:tblGrid>
      <w:tr>
        <w:trPr>
          <w:trHeight w:val="346" w:hRule="exact"/>
        </w:trPr>
        <w:tc>
          <w:tcPr>
            <w:tcW w:w="32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3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8" w:hRule="exact"/>
        </w:trPr>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3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39,571,727.58</w:t>
            </w:r>
          </w:p>
        </w:tc>
        <w:tc>
          <w:tcPr>
            <w:tcW w:w="3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11,686,472.46</w:t>
            </w:r>
          </w:p>
        </w:tc>
      </w:tr>
      <w:tr>
        <w:trPr>
          <w:trHeight w:val="349" w:hRule="exact"/>
        </w:trPr>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代扣代缴款</w:t>
            </w:r>
          </w:p>
        </w:tc>
        <w:tc>
          <w:tcPr>
            <w:tcW w:w="3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245,022.59</w:t>
            </w:r>
          </w:p>
        </w:tc>
        <w:tc>
          <w:tcPr>
            <w:tcW w:w="3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212,837.02</w:t>
            </w:r>
          </w:p>
        </w:tc>
      </w:tr>
      <w:tr>
        <w:trPr>
          <w:trHeight w:val="346" w:hRule="exact"/>
        </w:trPr>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2,975,586.59</w:t>
            </w:r>
          </w:p>
        </w:tc>
        <w:tc>
          <w:tcPr>
            <w:tcW w:w="3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1,894,360.00</w:t>
            </w:r>
          </w:p>
        </w:tc>
      </w:tr>
      <w:tr>
        <w:trPr>
          <w:trHeight w:val="348" w:hRule="exact"/>
        </w:trPr>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1,259,319.19</w:t>
            </w:r>
          </w:p>
        </w:tc>
        <w:tc>
          <w:tcPr>
            <w:tcW w:w="3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1,289,417.48</w:t>
            </w:r>
          </w:p>
        </w:tc>
      </w:tr>
      <w:tr>
        <w:trPr>
          <w:trHeight w:val="346" w:hRule="exact"/>
        </w:trPr>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897,871.19</w:t>
            </w:r>
          </w:p>
        </w:tc>
        <w:tc>
          <w:tcPr>
            <w:tcW w:w="3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350,530.40</w:t>
            </w:r>
          </w:p>
        </w:tc>
      </w:tr>
      <w:tr>
        <w:trPr>
          <w:trHeight w:val="348" w:hRule="exact"/>
        </w:trPr>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3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8,401,918.06</w:t>
            </w:r>
          </w:p>
        </w:tc>
        <w:tc>
          <w:tcPr>
            <w:tcW w:w="3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r>
      <w:tr>
        <w:trPr>
          <w:trHeight w:val="348" w:hRule="exact"/>
        </w:trPr>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407,138.01</w:t>
            </w:r>
          </w:p>
        </w:tc>
        <w:tc>
          <w:tcPr>
            <w:tcW w:w="3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47,476.12</w:t>
            </w:r>
          </w:p>
        </w:tc>
      </w:tr>
      <w:tr>
        <w:trPr>
          <w:trHeight w:val="346" w:hRule="exact"/>
        </w:trPr>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53,758,583.21</w:t>
            </w:r>
          </w:p>
        </w:tc>
        <w:tc>
          <w:tcPr>
            <w:tcW w:w="3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15,481,093.48</w:t>
            </w:r>
          </w:p>
        </w:tc>
      </w:tr>
    </w:tbl>
    <w:p>
      <w:pPr>
        <w:pStyle w:val="BodyText"/>
        <w:spacing w:line="240" w:lineRule="auto" w:before="8"/>
        <w:ind w:right="1133"/>
        <w:jc w:val="left"/>
      </w:pPr>
      <w:r>
        <w:rPr/>
        <w:t>按坏账准备计提方法分类披露</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508"/>
        <w:gridCol w:w="1755"/>
        <w:gridCol w:w="958"/>
        <w:gridCol w:w="1603"/>
        <w:gridCol w:w="1112"/>
        <w:gridCol w:w="1661"/>
      </w:tblGrid>
      <w:tr>
        <w:trPr>
          <w:trHeight w:val="348" w:hRule="exact"/>
        </w:trPr>
        <w:tc>
          <w:tcPr>
            <w:tcW w:w="250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7089" w:type="dxa"/>
            <w:gridSpan w:val="5"/>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8" w:hRule="exact"/>
        </w:trPr>
        <w:tc>
          <w:tcPr>
            <w:tcW w:w="2508" w:type="dxa"/>
            <w:vMerge/>
            <w:tcBorders>
              <w:left w:val="single" w:sz="6" w:space="0" w:color="000000"/>
              <w:right w:val="single" w:sz="6" w:space="0" w:color="000000"/>
            </w:tcBorders>
            <w:shd w:val="clear" w:color="auto" w:fill="D9D9D9"/>
          </w:tcPr>
          <w:p>
            <w:pPr/>
          </w:p>
        </w:tc>
        <w:tc>
          <w:tcPr>
            <w:tcW w:w="2713"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15"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661"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7"/>
              <w:ind w:left="463" w:right="0"/>
              <w:jc w:val="left"/>
              <w:rPr>
                <w:rFonts w:ascii="宋体" w:hAnsi="宋体" w:cs="宋体" w:eastAsia="宋体" w:hint="default"/>
                <w:sz w:val="18"/>
                <w:szCs w:val="18"/>
              </w:rPr>
            </w:pPr>
            <w:r>
              <w:rPr>
                <w:rFonts w:ascii="宋体" w:hAnsi="宋体" w:cs="宋体" w:eastAsia="宋体" w:hint="default"/>
                <w:sz w:val="18"/>
                <w:szCs w:val="18"/>
              </w:rPr>
              <w:t>账面价值</w:t>
            </w:r>
          </w:p>
          <w:p>
            <w:pPr>
              <w:pStyle w:val="TableParagraph"/>
              <w:spacing w:line="240" w:lineRule="auto" w:before="113"/>
              <w:ind w:left="-109"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46" w:hRule="exact"/>
        </w:trPr>
        <w:tc>
          <w:tcPr>
            <w:tcW w:w="2508" w:type="dxa"/>
            <w:vMerge/>
            <w:tcBorders>
              <w:left w:val="single" w:sz="6" w:space="0" w:color="000000"/>
              <w:bottom w:val="single" w:sz="6" w:space="0" w:color="000000"/>
              <w:right w:val="single" w:sz="6" w:space="0" w:color="000000"/>
            </w:tcBorders>
            <w:shd w:val="clear" w:color="auto" w:fill="D9D9D9"/>
          </w:tcPr>
          <w:p>
            <w:pPr/>
          </w:p>
        </w:tc>
        <w:tc>
          <w:tcPr>
            <w:tcW w:w="175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right="36"/>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6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left="2" w:right="0"/>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计提比例（</w:t>
            </w:r>
            <w:r>
              <w:rPr>
                <w:rFonts w:ascii="Times New Roman" w:hAnsi="Times New Roman" w:cs="Times New Roman" w:eastAsia="Times New Roman" w:hint="default"/>
                <w:spacing w:val="-9"/>
                <w:sz w:val="18"/>
                <w:szCs w:val="18"/>
              </w:rPr>
              <w:t>%</w:t>
            </w:r>
          </w:p>
        </w:tc>
        <w:tc>
          <w:tcPr>
            <w:tcW w:w="1661" w:type="dxa"/>
            <w:vMerge/>
            <w:tcBorders>
              <w:left w:val="single" w:sz="6" w:space="0" w:color="000000"/>
              <w:bottom w:val="single" w:sz="6" w:space="0" w:color="000000"/>
              <w:right w:val="single" w:sz="6" w:space="0" w:color="000000"/>
            </w:tcBorders>
            <w:shd w:val="clear" w:color="auto" w:fill="D9D9D9"/>
          </w:tcPr>
          <w:p>
            <w:pPr/>
          </w:p>
        </w:tc>
      </w:tr>
      <w:tr>
        <w:trPr>
          <w:trHeight w:val="660"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11"/>
                <w:sz w:val="18"/>
                <w:szCs w:val="18"/>
              </w:rPr>
              <w:t>单项计提预期信用损失的其他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应收款</w:t>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658"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pacing w:val="11"/>
                <w:sz w:val="18"/>
                <w:szCs w:val="18"/>
              </w:rPr>
              <w:t>按组合计提预期信用损失的其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他应收款</w:t>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53,758,583.21</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1,307,434.60</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2.43</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52,451,148.61</w:t>
            </w:r>
          </w:p>
        </w:tc>
      </w:tr>
      <w:tr>
        <w:trPr>
          <w:trHeight w:val="348"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其中：账龄组合</w:t>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14,186,855.63</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26.39</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1,307,434.60</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9.22</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12,879,421.03</w:t>
            </w:r>
          </w:p>
        </w:tc>
      </w:tr>
      <w:tr>
        <w:trPr>
          <w:trHeight w:val="346"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39,571,727.58</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73.61</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39,571,727.58</w:t>
            </w:r>
          </w:p>
        </w:tc>
      </w:tr>
      <w:tr>
        <w:trPr>
          <w:trHeight w:val="348"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53,758,583.21</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1,307,434.60</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2.43</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52,451,148.61</w:t>
            </w:r>
          </w:p>
        </w:tc>
      </w:tr>
    </w:tbl>
    <w:p>
      <w:pPr>
        <w:pStyle w:val="BodyText"/>
        <w:spacing w:line="240" w:lineRule="auto" w:before="8"/>
        <w:ind w:right="1133"/>
        <w:jc w:val="left"/>
      </w:pPr>
      <w:r>
        <w:rPr/>
        <w:t>续：</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516"/>
        <w:gridCol w:w="1762"/>
        <w:gridCol w:w="958"/>
        <w:gridCol w:w="1481"/>
        <w:gridCol w:w="1241"/>
        <w:gridCol w:w="1668"/>
      </w:tblGrid>
      <w:tr>
        <w:trPr>
          <w:trHeight w:val="372" w:hRule="exact"/>
        </w:trPr>
        <w:tc>
          <w:tcPr>
            <w:tcW w:w="251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7110" w:type="dxa"/>
            <w:gridSpan w:val="5"/>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70" w:hRule="exact"/>
        </w:trPr>
        <w:tc>
          <w:tcPr>
            <w:tcW w:w="2516" w:type="dxa"/>
            <w:vMerge/>
            <w:tcBorders>
              <w:left w:val="single" w:sz="6" w:space="0" w:color="000000"/>
              <w:right w:val="single" w:sz="6" w:space="0" w:color="000000"/>
            </w:tcBorders>
            <w:shd w:val="clear" w:color="auto" w:fill="D9D9D9"/>
          </w:tcPr>
          <w:p>
            <w:pPr/>
          </w:p>
        </w:tc>
        <w:tc>
          <w:tcPr>
            <w:tcW w:w="2720"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22"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66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7"/>
              <w:ind w:left="46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72" w:hRule="exact"/>
        </w:trPr>
        <w:tc>
          <w:tcPr>
            <w:tcW w:w="2516" w:type="dxa"/>
            <w:vMerge/>
            <w:tcBorders>
              <w:left w:val="single" w:sz="6" w:space="0" w:color="000000"/>
              <w:bottom w:val="single" w:sz="6" w:space="0" w:color="000000"/>
              <w:right w:val="single" w:sz="6" w:space="0" w:color="000000"/>
            </w:tcBorders>
            <w:shd w:val="clear" w:color="auto" w:fill="D9D9D9"/>
          </w:tcPr>
          <w:p>
            <w:pPr/>
          </w:p>
        </w:tc>
        <w:tc>
          <w:tcPr>
            <w:tcW w:w="17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36"/>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4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8"/>
              <w:jc w:val="right"/>
              <w:rPr>
                <w:rFonts w:ascii="宋体" w:hAnsi="宋体" w:cs="宋体" w:eastAsia="宋体" w:hint="default"/>
                <w:sz w:val="18"/>
                <w:szCs w:val="18"/>
              </w:rPr>
            </w:pPr>
            <w:r>
              <w:rPr>
                <w:rFonts w:ascii="宋体" w:hAnsi="宋体" w:cs="宋体" w:eastAsia="宋体" w:hint="default"/>
                <w:spacing w:val="-1"/>
                <w:sz w:val="18"/>
                <w:szCs w:val="18"/>
              </w:rPr>
              <w:t>计提比例（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668" w:type="dxa"/>
            <w:vMerge/>
            <w:tcBorders>
              <w:left w:val="single" w:sz="6" w:space="0" w:color="000000"/>
              <w:bottom w:val="single" w:sz="6" w:space="0" w:color="000000"/>
              <w:right w:val="single" w:sz="6" w:space="0" w:color="000000"/>
            </w:tcBorders>
            <w:shd w:val="clear" w:color="auto" w:fill="D9D9D9"/>
          </w:tcPr>
          <w:p>
            <w:pPr/>
          </w:p>
        </w:tc>
      </w:tr>
      <w:tr>
        <w:trPr>
          <w:trHeight w:val="660" w:hRule="exact"/>
        </w:trPr>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pacing w:val="11"/>
                <w:sz w:val="18"/>
                <w:szCs w:val="18"/>
              </w:rPr>
              <w:t>单项计提预期信用损失的其他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应收款</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658" w:hRule="exact"/>
        </w:trPr>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pacing w:val="11"/>
                <w:sz w:val="18"/>
                <w:szCs w:val="18"/>
              </w:rPr>
              <w:t>按组合计提预期信用损失的其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他应收款</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15,481,093.48</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439,731.53</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2.84</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15,041,361.95</w:t>
            </w:r>
          </w:p>
        </w:tc>
      </w:tr>
      <w:tr>
        <w:trPr>
          <w:trHeight w:val="372" w:hRule="exact"/>
        </w:trPr>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其中：账龄组合</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3,794,621.02</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24.51</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439,731.53</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11.59</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3,354,889.49</w:t>
            </w:r>
          </w:p>
        </w:tc>
      </w:tr>
      <w:tr>
        <w:trPr>
          <w:trHeight w:val="370" w:hRule="exact"/>
        </w:trPr>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11,686,472.46</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75.49</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11,686,472.46</w:t>
            </w:r>
          </w:p>
        </w:tc>
      </w:tr>
      <w:tr>
        <w:trPr>
          <w:trHeight w:val="372" w:hRule="exact"/>
        </w:trPr>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15,481,093.48</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439,731.53</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2.84</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15,041,361.95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其他应收款坏账准备计提情况</w:t>
      </w:r>
    </w:p>
    <w:p>
      <w:pPr>
        <w:spacing w:line="240" w:lineRule="auto" w:before="3"/>
        <w:rPr>
          <w:rFonts w:ascii="宋体" w:hAnsi="宋体" w:cs="宋体" w:eastAsia="宋体" w:hint="default"/>
          <w:sz w:val="5"/>
          <w:szCs w:val="5"/>
        </w:rPr>
      </w:pPr>
    </w:p>
    <w:tbl>
      <w:tblPr>
        <w:tblW w:w="0" w:type="auto"/>
        <w:jc w:val="left"/>
        <w:tblInd w:w="150" w:type="dxa"/>
        <w:tblLayout w:type="fixed"/>
        <w:tblCellMar>
          <w:top w:w="0" w:type="dxa"/>
          <w:left w:w="0" w:type="dxa"/>
          <w:bottom w:w="0" w:type="dxa"/>
          <w:right w:w="0" w:type="dxa"/>
        </w:tblCellMar>
        <w:tblLook w:val="01E0"/>
      </w:tblPr>
      <w:tblGrid>
        <w:gridCol w:w="1774"/>
        <w:gridCol w:w="1549"/>
        <w:gridCol w:w="2297"/>
        <w:gridCol w:w="2401"/>
        <w:gridCol w:w="1598"/>
      </w:tblGrid>
      <w:tr>
        <w:trPr>
          <w:trHeight w:val="348" w:hRule="exact"/>
        </w:trPr>
        <w:tc>
          <w:tcPr>
            <w:tcW w:w="1774"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8"/>
              <w:ind w:left="52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left="405"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2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4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59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658" w:hRule="exact"/>
        </w:trPr>
        <w:tc>
          <w:tcPr>
            <w:tcW w:w="1774" w:type="dxa"/>
            <w:vMerge/>
            <w:tcBorders>
              <w:left w:val="single" w:sz="6" w:space="0" w:color="000000"/>
              <w:bottom w:val="single" w:sz="6" w:space="0" w:color="000000"/>
              <w:right w:val="single" w:sz="6" w:space="0" w:color="000000"/>
            </w:tcBorders>
            <w:shd w:val="clear" w:color="auto" w:fill="D9D9D9"/>
          </w:tcPr>
          <w:p>
            <w:pPr/>
          </w:p>
        </w:tc>
        <w:tc>
          <w:tcPr>
            <w:tcW w:w="15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0" w:lineRule="auto" w:before="17"/>
              <w:ind w:left="496" w:right="44" w:hanging="452"/>
              <w:jc w:val="left"/>
              <w:rPr>
                <w:rFonts w:ascii="宋体" w:hAnsi="宋体" w:cs="宋体" w:eastAsia="宋体" w:hint="default"/>
                <w:sz w:val="18"/>
                <w:szCs w:val="18"/>
              </w:rPr>
            </w:pPr>
            <w:r>
              <w:rPr>
                <w:rFonts w:ascii="宋体" w:hAnsi="宋体" w:cs="宋体" w:eastAsia="宋体" w:hint="default"/>
                <w:sz w:val="18"/>
                <w:szCs w:val="18"/>
              </w:rPr>
              <w:t>未来</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个月预期信 用损失</w:t>
            </w:r>
          </w:p>
        </w:tc>
        <w:tc>
          <w:tcPr>
            <w:tcW w:w="22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0" w:lineRule="auto" w:before="17"/>
              <w:ind w:left="573" w:right="26"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整个存续期预期信用损失</w:t>
            </w:r>
            <w:r>
              <w:rPr>
                <w:rFonts w:ascii="Times New Roman" w:hAnsi="Times New Roman" w:cs="Times New Roman" w:eastAsia="Times New Roman" w:hint="default"/>
                <w:sz w:val="18"/>
                <w:szCs w:val="18"/>
              </w:rPr>
              <w:t>(</w:t>
            </w:r>
            <w:r>
              <w:rPr>
                <w:rFonts w:ascii="宋体" w:hAnsi="宋体" w:cs="宋体" w:eastAsia="宋体" w:hint="default"/>
                <w:sz w:val="18"/>
                <w:szCs w:val="18"/>
              </w:rPr>
              <w:t>未 发生信用减值</w:t>
            </w:r>
            <w:r>
              <w:rPr>
                <w:rFonts w:ascii="Times New Roman" w:hAnsi="Times New Roman" w:cs="Times New Roman" w:eastAsia="Times New Roman" w:hint="default"/>
                <w:sz w:val="18"/>
                <w:szCs w:val="18"/>
              </w:rPr>
              <w:t>)</w:t>
            </w:r>
          </w:p>
        </w:tc>
        <w:tc>
          <w:tcPr>
            <w:tcW w:w="24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0" w:lineRule="auto" w:before="17"/>
              <w:ind w:left="623" w:right="79"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整个存续期预期信用损失</w:t>
            </w:r>
            <w:r>
              <w:rPr>
                <w:rFonts w:ascii="Times New Roman" w:hAnsi="Times New Roman" w:cs="Times New Roman" w:eastAsia="Times New Roman" w:hint="default"/>
                <w:sz w:val="18"/>
                <w:szCs w:val="18"/>
              </w:rPr>
              <w:t>(</w:t>
            </w:r>
            <w:r>
              <w:rPr>
                <w:rFonts w:ascii="宋体" w:hAnsi="宋体" w:cs="宋体" w:eastAsia="宋体" w:hint="default"/>
                <w:sz w:val="18"/>
                <w:szCs w:val="18"/>
              </w:rPr>
              <w:t>已 发生信用减值</w:t>
            </w:r>
            <w:r>
              <w:rPr>
                <w:rFonts w:ascii="Times New Roman" w:hAnsi="Times New Roman" w:cs="Times New Roman" w:eastAsia="Times New Roman" w:hint="default"/>
                <w:sz w:val="18"/>
                <w:szCs w:val="18"/>
              </w:rPr>
              <w:t>)</w:t>
            </w:r>
          </w:p>
        </w:tc>
        <w:tc>
          <w:tcPr>
            <w:tcW w:w="1598" w:type="dxa"/>
            <w:vMerge/>
            <w:tcBorders>
              <w:left w:val="single" w:sz="6" w:space="0" w:color="000000"/>
              <w:bottom w:val="single" w:sz="6" w:space="0" w:color="000000"/>
              <w:right w:val="single" w:sz="6" w:space="0" w:color="000000"/>
            </w:tcBorders>
            <w:shd w:val="clear" w:color="auto" w:fill="D9D9D9"/>
          </w:tcPr>
          <w:p>
            <w:pPr/>
          </w:p>
        </w:tc>
      </w:tr>
      <w:tr>
        <w:trPr>
          <w:trHeight w:val="348" w:hRule="exact"/>
        </w:trPr>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439,731.53</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439,731.53</w:t>
            </w:r>
          </w:p>
        </w:tc>
      </w:tr>
      <w:tr>
        <w:trPr>
          <w:trHeight w:val="346" w:hRule="exact"/>
        </w:trPr>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875,703.07</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875,703.07</w:t>
            </w:r>
          </w:p>
        </w:tc>
      </w:tr>
      <w:tr>
        <w:trPr>
          <w:trHeight w:val="348" w:hRule="exact"/>
        </w:trPr>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8,000.00</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8,000.00</w:t>
            </w:r>
          </w:p>
        </w:tc>
      </w:tr>
      <w:tr>
        <w:trPr>
          <w:trHeight w:val="348" w:hRule="exact"/>
        </w:trPr>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1,307,434.60</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1,307,434.60</w:t>
            </w:r>
          </w:p>
        </w:tc>
      </w:tr>
    </w:tbl>
    <w:p>
      <w:pPr>
        <w:spacing w:line="240" w:lineRule="auto" w:before="1"/>
        <w:rPr>
          <w:rFonts w:ascii="宋体" w:hAnsi="宋体" w:cs="宋体" w:eastAsia="宋体" w:hint="default"/>
          <w:sz w:val="21"/>
          <w:szCs w:val="21"/>
        </w:rPr>
      </w:pPr>
    </w:p>
    <w:p>
      <w:pPr>
        <w:pStyle w:val="BodyText"/>
        <w:spacing w:line="240" w:lineRule="auto" w:before="44"/>
        <w:ind w:right="1133"/>
        <w:jc w:val="left"/>
      </w:pPr>
      <w:r>
        <w:rPr/>
        <w:t>按欠款方归集的期末余额前五名的其他应收款</w:t>
      </w:r>
    </w:p>
    <w:p>
      <w:pPr>
        <w:spacing w:line="240" w:lineRule="auto" w:before="8"/>
        <w:rPr>
          <w:rFonts w:ascii="宋体" w:hAnsi="宋体" w:cs="宋体" w:eastAsia="宋体" w:hint="default"/>
          <w:sz w:val="5"/>
          <w:szCs w:val="5"/>
        </w:rPr>
      </w:pPr>
    </w:p>
    <w:tbl>
      <w:tblPr>
        <w:tblW w:w="0" w:type="auto"/>
        <w:jc w:val="left"/>
        <w:tblInd w:w="150" w:type="dxa"/>
        <w:tblLayout w:type="fixed"/>
        <w:tblCellMar>
          <w:top w:w="0" w:type="dxa"/>
          <w:left w:w="0" w:type="dxa"/>
          <w:bottom w:w="0" w:type="dxa"/>
          <w:right w:w="0" w:type="dxa"/>
        </w:tblCellMar>
        <w:tblLook w:val="01E0"/>
      </w:tblPr>
      <w:tblGrid>
        <w:gridCol w:w="2520"/>
        <w:gridCol w:w="1489"/>
        <w:gridCol w:w="1774"/>
        <w:gridCol w:w="1123"/>
        <w:gridCol w:w="1121"/>
        <w:gridCol w:w="1591"/>
      </w:tblGrid>
      <w:tr>
        <w:trPr>
          <w:trHeight w:val="965" w:hRule="exact"/>
        </w:trPr>
        <w:tc>
          <w:tcPr>
            <w:tcW w:w="25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5"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5"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17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52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2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1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9" w:lineRule="auto" w:before="13"/>
              <w:ind w:left="11" w:right="14"/>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占其他应收款 期末余额的比 例</w:t>
            </w:r>
            <w:r>
              <w:rPr>
                <w:rFonts w:ascii="Times New Roman" w:hAnsi="Times New Roman" w:cs="Times New Roman" w:eastAsia="Times New Roman" w:hint="default"/>
                <w:sz w:val="18"/>
                <w:szCs w:val="18"/>
              </w:rPr>
              <w:t>(%)</w:t>
            </w:r>
          </w:p>
        </w:tc>
        <w:tc>
          <w:tcPr>
            <w:tcW w:w="15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3"/>
              <w:ind w:left="429" w:right="425"/>
              <w:jc w:val="left"/>
              <w:rPr>
                <w:rFonts w:ascii="宋体" w:hAnsi="宋体" w:cs="宋体" w:eastAsia="宋体" w:hint="default"/>
                <w:sz w:val="18"/>
                <w:szCs w:val="18"/>
              </w:rPr>
            </w:pPr>
            <w:r>
              <w:rPr>
                <w:rFonts w:ascii="宋体" w:hAnsi="宋体" w:cs="宋体" w:eastAsia="宋体" w:hint="default"/>
                <w:sz w:val="18"/>
                <w:szCs w:val="18"/>
              </w:rPr>
              <w:t>坏账准备 期末余额</w:t>
            </w:r>
          </w:p>
        </w:tc>
      </w:tr>
      <w:tr>
        <w:trPr>
          <w:trHeight w:val="348" w:hRule="exact"/>
        </w:trPr>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Urovo Technology</w:t>
            </w:r>
            <w:r>
              <w:rPr>
                <w:rFonts w:ascii="Times New Roman"/>
                <w:spacing w:val="-12"/>
                <w:sz w:val="18"/>
              </w:rPr>
              <w:t> </w:t>
            </w:r>
            <w:r>
              <w:rPr>
                <w:rFonts w:ascii="Times New Roman"/>
                <w:sz w:val="18"/>
              </w:rPr>
              <w:t>Limited</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内部往来</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32,470,784.33</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60.40</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6" w:hRule="exact"/>
        </w:trPr>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深圳江南正鼎公司</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内部往来</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4,963,145.30</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9.23</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8" w:hRule="exact"/>
        </w:trPr>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武汉优博讯软件公司</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内部往来</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2,015,300.34</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3.75</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8" w:hRule="exact"/>
        </w:trPr>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深圳市公安局</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807,010.00</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1.50</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161,402.00</w:t>
            </w:r>
          </w:p>
        </w:tc>
      </w:tr>
      <w:tr>
        <w:trPr>
          <w:trHeight w:val="658" w:hRule="exact"/>
        </w:trPr>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pacing w:val="11"/>
                <w:sz w:val="18"/>
                <w:szCs w:val="18"/>
              </w:rPr>
              <w:t>中国石化国际事业有限公司北</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京招标中心</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600,000.00</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1.12</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348" w:hRule="exact"/>
        </w:trPr>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9" w:type="dxa"/>
            <w:tcBorders>
              <w:top w:val="single" w:sz="6" w:space="0" w:color="000000"/>
              <w:left w:val="single" w:sz="6" w:space="0" w:color="000000"/>
              <w:bottom w:val="single" w:sz="6" w:space="0" w:color="000000"/>
              <w:right w:val="single" w:sz="6" w:space="0" w:color="000000"/>
            </w:tcBorders>
          </w:tcPr>
          <w:p>
            <w:pP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40,856,239.97</w:t>
            </w:r>
          </w:p>
        </w:tc>
        <w:tc>
          <w:tcPr>
            <w:tcW w:w="1123"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76.00</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191,402.00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长期股权投资" w:id="373"/>
      <w:bookmarkEnd w:id="373"/>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980,506,755.53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76,829,513.89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903,677,241.64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164,274,345.50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164,274,345.50</w:t>
            </w:r>
          </w:p>
        </w:tc>
      </w:tr>
      <w:tr>
        <w:trPr>
          <w:trHeight w:val="71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54,150,229.62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2,018,488.10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52,131,741.52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49,842,461.80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49,842,461.80</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1,034,656,985.15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78,848,001.99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955,808,983.16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214,116,807.30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214,116,807.30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对子公司投资" w:id="374"/>
      <w:bookmarkEnd w:id="374"/>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3"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4"/>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4"/>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1"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深圳正达资讯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27,037,666.13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27,037,666.13</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深圳江南正鼎 信息公司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16,041,093.43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16,041,093.43</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优博讯软件公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香港优博讯公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1,691,875.14</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1,691,875.14</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优金支付公司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武汉优博讯软 件公司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瑞柏泰公司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832,410.03</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76,829,513.89</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36,202,896.14</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76,829,513.89</w:t>
            </w: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马来西亚优博 讯公司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3,710.80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3,710.80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云栖公司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佳博科技公司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815,000,000.0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815,000,000.00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164,274,345.5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816,232,410.0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76,829,513.89</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903,677,241.64</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76,829,513.89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对联营、合营企业投资" w:id="375"/>
      <w:bookmarkEnd w:id="375"/>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上海芝柯 智能科技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19,811,45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2.97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2,700,297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1,375,000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21,136,75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0.24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中世顺科 </w:t>
            </w:r>
            <w:r>
              <w:rPr>
                <w:rFonts w:ascii="宋体" w:hAnsi="宋体" w:cs="宋体" w:eastAsia="宋体" w:hint="default"/>
                <w:spacing w:val="-18"/>
                <w:sz w:val="18"/>
                <w:szCs w:val="18"/>
              </w:rPr>
              <w:t>技（北京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股份有限 公司</w:t>
            </w:r>
          </w:p>
        </w:tc>
        <w:tc>
          <w:tcPr>
            <w:tcW w:w="79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27,983,98</w:t>
            </w:r>
          </w:p>
          <w:p>
            <w:pPr>
              <w:pStyle w:val="TableParagraph"/>
              <w:spacing w:line="240" w:lineRule="auto" w:before="103"/>
              <w:ind w:left="439" w:right="0"/>
              <w:jc w:val="left"/>
              <w:rPr>
                <w:rFonts w:ascii="Times New Roman" w:hAnsi="Times New Roman" w:cs="Times New Roman" w:eastAsia="Times New Roman" w:hint="default"/>
                <w:sz w:val="18"/>
                <w:szCs w:val="18"/>
              </w:rPr>
            </w:pPr>
            <w:r>
              <w:rPr>
                <w:rFonts w:ascii="Times New Roman"/>
                <w:sz w:val="18"/>
              </w:rPr>
              <w:t>2.83</w:t>
            </w:r>
          </w:p>
          <w:p>
            <w:pPr>
              <w:pStyle w:val="TableParagraph"/>
              <w:spacing w:line="240" w:lineRule="auto" w:before="0"/>
              <w:ind w:right="0"/>
              <w:jc w:val="left"/>
              <w:rPr>
                <w:rFonts w:ascii="宋体" w:hAnsi="宋体" w:cs="宋体" w:eastAsia="宋体" w:hint="default"/>
                <w:sz w:val="24"/>
                <w:szCs w:val="24"/>
              </w:rPr>
            </w:pPr>
          </w:p>
          <w:p>
            <w:pPr>
              <w:pStyle w:val="TableParagraph"/>
              <w:spacing w:line="350" w:lineRule="exact"/>
              <w:ind w:left="12" w:right="-29"/>
              <w:jc w:val="left"/>
              <w:rPr>
                <w:rFonts w:ascii="宋体" w:hAnsi="宋体" w:cs="宋体" w:eastAsia="宋体" w:hint="default"/>
                <w:sz w:val="20"/>
                <w:szCs w:val="20"/>
              </w:rPr>
            </w:pPr>
            <w:r>
              <w:rPr>
                <w:rFonts w:ascii="宋体" w:hAnsi="宋体" w:cs="宋体" w:eastAsia="宋体" w:hint="default"/>
                <w:position w:val="-6"/>
                <w:sz w:val="20"/>
                <w:szCs w:val="20"/>
              </w:rPr>
              <w:pict>
                <v:group style="width:37.1pt;height:17.55pt;mso-position-horizontal-relative:char;mso-position-vertical-relative:line" coordorigin="0,0" coordsize="742,351">
                  <v:group style="position:absolute;left:0;top:0;width:742;height:351" coordorigin="0,0" coordsize="742,351">
                    <v:shape style="position:absolute;left:0;top:0;width:742;height:351" coordorigin="0,0" coordsize="742,351" path="m0,350l742,350,742,0,0,0,0,350xe" filled="true" fillcolor="#ffffff" stroked="false">
                      <v:path arrowok="t"/>
                      <v:fill type="solid"/>
                    </v:shape>
                  </v:group>
                </v:group>
              </w:pict>
            </w:r>
            <w:r>
              <w:rPr>
                <w:rFonts w:ascii="宋体" w:hAnsi="宋体" w:cs="宋体" w:eastAsia="宋体" w:hint="default"/>
                <w:position w:val="-6"/>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3,011,008</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30,994,99</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1.28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深圳市天 眼智通科 技有限公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2,047,026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-28,537.9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2,018,488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2,018,488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.10</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49,842,46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1.80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5,682,767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1,375,000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2,018,488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52,131,74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2,018,488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71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49,842,46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1.80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5,682,767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1,375,000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2,018,488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52,131,74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2,018,488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营业收入和营业成本" w:id="376"/>
      <w:bookmarkEnd w:id="376"/>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921,536,007.02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781,734,754.77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883,097,307.40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755,846,679.77</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644,651.13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648,708.96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568,443.50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438,931.49</w:t>
            </w:r>
          </w:p>
        </w:tc>
      </w:tr>
      <w:tr>
        <w:trPr>
          <w:trHeight w:val="404"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922,180,658.15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782,383,463.73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883,665,750.90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756,285,611.26</w:t>
            </w:r>
          </w:p>
        </w:tc>
      </w:tr>
    </w:tbl>
    <w:p>
      <w:pPr>
        <w:pStyle w:val="BodyText"/>
        <w:spacing w:line="240" w:lineRule="auto" w:before="49"/>
        <w:ind w:right="1133"/>
        <w:jc w:val="left"/>
      </w:pPr>
      <w:r>
        <w:rPr/>
        <w:t>是否已执行新收入准则</w:t>
      </w:r>
    </w:p>
    <w:p>
      <w:pPr>
        <w:pStyle w:val="BodyText"/>
        <w:spacing w:line="340" w:lineRule="auto" w:before="115"/>
        <w:ind w:right="98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w:t>
      </w:r>
    </w:p>
    <w:p>
      <w:pPr>
        <w:pStyle w:val="Heading4"/>
        <w:spacing w:line="240" w:lineRule="auto" w:before="39"/>
        <w:ind w:right="1133"/>
        <w:jc w:val="left"/>
        <w:rPr>
          <w:b w:val="0"/>
          <w:bCs w:val="0"/>
        </w:rPr>
      </w:pPr>
      <w:r>
        <w:rPr/>
        <w:t>主营业务（分产品）</w:t>
      </w:r>
      <w:r>
        <w:rPr>
          <w:b w:val="0"/>
          <w:bCs w:val="0"/>
        </w:rPr>
      </w:r>
    </w:p>
    <w:p>
      <w:pPr>
        <w:spacing w:line="240" w:lineRule="auto" w:before="3"/>
        <w:rPr>
          <w:rFonts w:ascii="宋体" w:hAnsi="宋体" w:cs="宋体" w:eastAsia="宋体" w:hint="default"/>
          <w:b/>
          <w:bCs/>
          <w:sz w:val="5"/>
          <w:szCs w:val="5"/>
        </w:rPr>
      </w:pPr>
    </w:p>
    <w:tbl>
      <w:tblPr>
        <w:tblW w:w="0" w:type="auto"/>
        <w:jc w:val="left"/>
        <w:tblInd w:w="258" w:type="dxa"/>
        <w:tblLayout w:type="fixed"/>
        <w:tblCellMar>
          <w:top w:w="0" w:type="dxa"/>
          <w:left w:w="0" w:type="dxa"/>
          <w:bottom w:w="0" w:type="dxa"/>
          <w:right w:w="0" w:type="dxa"/>
        </w:tblCellMar>
        <w:tblLook w:val="01E0"/>
      </w:tblPr>
      <w:tblGrid>
        <w:gridCol w:w="1580"/>
        <w:gridCol w:w="2146"/>
        <w:gridCol w:w="1930"/>
        <w:gridCol w:w="1942"/>
        <w:gridCol w:w="1879"/>
      </w:tblGrid>
      <w:tr>
        <w:trPr>
          <w:trHeight w:val="348" w:hRule="exact"/>
        </w:trPr>
        <w:tc>
          <w:tcPr>
            <w:tcW w:w="158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20"/>
              <w:ind w:left="422"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4076"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1"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6" w:hRule="exact"/>
        </w:trPr>
        <w:tc>
          <w:tcPr>
            <w:tcW w:w="1580" w:type="dxa"/>
            <w:vMerge/>
            <w:tcBorders>
              <w:left w:val="single" w:sz="6" w:space="0" w:color="000000"/>
              <w:bottom w:val="single" w:sz="6" w:space="0" w:color="000000"/>
              <w:right w:val="single" w:sz="6" w:space="0" w:color="000000"/>
            </w:tcBorders>
            <w:shd w:val="clear" w:color="auto" w:fill="D9D9D9"/>
          </w:tcPr>
          <w:p>
            <w:pPr/>
          </w:p>
        </w:tc>
        <w:tc>
          <w:tcPr>
            <w:tcW w:w="21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70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9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60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73"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48" w:hRule="exact"/>
        </w:trPr>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设备销售</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862,684,019.14</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743,165,243.43</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842,242,076.02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725,081,997.72</w:t>
            </w:r>
          </w:p>
        </w:tc>
      </w:tr>
      <w:tr>
        <w:trPr>
          <w:trHeight w:val="348" w:hRule="exact"/>
        </w:trPr>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配件销售</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32,066,753.55</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18,443,122.35</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25,057,519.97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19,840,502.24</w:t>
            </w:r>
          </w:p>
        </w:tc>
      </w:tr>
      <w:tr>
        <w:trPr>
          <w:trHeight w:val="346" w:hRule="exact"/>
        </w:trPr>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304,247.79</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103,773.58</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8" w:hRule="exact"/>
        </w:trPr>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开发及服务</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3,967,796.10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408,075.47</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3,219,496.96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6" w:hRule="exact"/>
        </w:trPr>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贸易商品</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22,513,190.44</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19,614,539.94</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12,578,214.45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10,924,179.81</w:t>
            </w:r>
          </w:p>
        </w:tc>
      </w:tr>
      <w:tr>
        <w:trPr>
          <w:trHeight w:val="348" w:hRule="exact"/>
        </w:trPr>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921,536,007.02</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781,734,754.77</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883,097,307.40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755,846,679.77</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1133"/>
        <w:jc w:val="left"/>
        <w:rPr>
          <w:b w:val="0"/>
          <w:bCs w:val="0"/>
        </w:rPr>
      </w:pPr>
      <w:bookmarkStart w:name="5、投资收益" w:id="377"/>
      <w:bookmarkEnd w:id="377"/>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36,987,000.00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57,395,000.00</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5,682,767.82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6,642,077.16</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1,309,238.98</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42,669,767.82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65,346,316.14</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十五、补充资料" w:id="378"/>
      <w:bookmarkEnd w:id="378"/>
      <w:r>
        <w:rPr>
          <w:b w:val="0"/>
          <w:bCs w:val="0"/>
        </w:rPr>
      </w:r>
      <w:r>
        <w:rPr/>
        <w:t>十五、补充资料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当期非经常性损益明细表" w:id="379"/>
      <w:bookmarkEnd w:id="379"/>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6924"/>
        <w:gridCol w:w="1430"/>
        <w:gridCol w:w="1205"/>
      </w:tblGrid>
      <w:tr>
        <w:trPr>
          <w:trHeight w:val="402"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-201,115.85</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计入当期损益的政府补助（与企业业务密切相关，按照国家统一标准定额或定量享受的 政府补助除外）</w:t>
            </w:r>
          </w:p>
        </w:tc>
        <w:tc>
          <w:tcPr>
            <w:tcW w:w="1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9,351,072.26</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 w:right="6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除同公司正常经营业务相关的有效套期保值业务外，持有交易性金融资产、衍生金融资 产、交易性金融负债、衍生金融负债产生的公允价值变动损益，以及处置交易性金融资 产、衍生金融资产、交易性金融负债、衍生金融负债和其他债权投资取得的投资收益</w:t>
            </w:r>
          </w:p>
        </w:tc>
        <w:tc>
          <w:tcPr>
            <w:tcW w:w="1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24,266,563.96</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-5,177,418.56</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662,046.74</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170,488.69</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30"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27,406,566.38</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净资产收益率及每股收益" w:id="380"/>
      <w:bookmarkEnd w:id="380"/>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2"/>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0.18</w:t>
            </w:r>
          </w:p>
        </w:tc>
      </w:tr>
      <w:tr>
        <w:trPr>
          <w:trHeight w:val="713"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3365" w:right="1133"/>
        <w:jc w:val="left"/>
        <w:rPr>
          <w:b w:val="0"/>
          <w:bCs w:val="0"/>
        </w:rPr>
      </w:pPr>
      <w:bookmarkStart w:name="第十三节备查文件目录" w:id="381"/>
      <w:bookmarkEnd w:id="381"/>
      <w:r>
        <w:rPr>
          <w:b w:val="0"/>
          <w:bCs w:val="0"/>
        </w:rPr>
      </w:r>
      <w:bookmarkStart w:name="_bookmark12" w:id="382"/>
      <w:bookmarkEnd w:id="382"/>
      <w:r>
        <w:rPr>
          <w:b w:val="0"/>
          <w:bCs w:val="0"/>
        </w:rPr>
      </w:r>
      <w:r>
        <w:rPr/>
        <w:t>第十三节备查文件目录</w:t>
      </w:r>
      <w:r>
        <w:rPr>
          <w:b w:val="0"/>
          <w:bCs w:val="0"/>
        </w:rPr>
      </w:r>
    </w:p>
    <w:p>
      <w:pPr>
        <w:spacing w:line="240" w:lineRule="auto" w:before="9"/>
        <w:rPr>
          <w:rFonts w:ascii="宋体" w:hAnsi="宋体" w:cs="宋体" w:eastAsia="宋体" w:hint="default"/>
          <w:b/>
          <w:bCs/>
          <w:sz w:val="42"/>
          <w:szCs w:val="42"/>
        </w:rPr>
      </w:pPr>
    </w:p>
    <w:p>
      <w:pPr>
        <w:pStyle w:val="BodyText"/>
        <w:spacing w:line="240" w:lineRule="auto"/>
        <w:ind w:right="1133"/>
        <w:jc w:val="left"/>
      </w:pPr>
      <w:r>
        <w:rPr/>
        <w:t>一、载有董事长</w:t>
      </w:r>
      <w:r>
        <w:rPr>
          <w:rFonts w:ascii="Times New Roman" w:hAnsi="Times New Roman" w:cs="Times New Roman" w:eastAsia="Times New Roman" w:hint="default"/>
        </w:rPr>
        <w:t>GUO</w:t>
      </w:r>
      <w:r>
        <w:rPr>
          <w:rFonts w:ascii="Times New Roman" w:hAnsi="Times New Roman" w:cs="Times New Roman" w:eastAsia="Times New Roman" w:hint="default"/>
          <w:spacing w:val="-5"/>
        </w:rPr>
        <w:t> </w:t>
      </w:r>
      <w:r>
        <w:rPr>
          <w:rFonts w:ascii="Times New Roman" w:hAnsi="Times New Roman" w:cs="Times New Roman" w:eastAsia="Times New Roman" w:hint="default"/>
        </w:rPr>
        <w:t>SONG</w:t>
      </w:r>
      <w:r>
        <w:rPr/>
        <w:t>签名并盖有公章的《</w:t>
      </w:r>
      <w:r>
        <w:rPr>
          <w:rFonts w:ascii="Times New Roman" w:hAnsi="Times New Roman" w:cs="Times New Roman" w:eastAsia="Times New Roman" w:hint="default"/>
        </w:rPr>
        <w:t>2019</w:t>
      </w:r>
      <w:r>
        <w:rPr/>
        <w:t>年年度报告》文件原件；</w:t>
      </w:r>
    </w:p>
    <w:p>
      <w:pPr>
        <w:pStyle w:val="BodyText"/>
        <w:spacing w:line="309" w:lineRule="auto" w:before="63"/>
        <w:ind w:right="1899"/>
        <w:jc w:val="left"/>
      </w:pPr>
      <w:r>
        <w:rPr/>
        <w:t>二、载有公司负责人</w:t>
      </w:r>
      <w:r>
        <w:rPr>
          <w:rFonts w:ascii="Times New Roman" w:hAnsi="Times New Roman" w:cs="Times New Roman" w:eastAsia="Times New Roman" w:hint="default"/>
        </w:rPr>
        <w:t>GUO SONG</w:t>
      </w:r>
      <w:r>
        <w:rPr/>
        <w:t>、主管会计工作负责人</w:t>
      </w:r>
      <w:r>
        <w:rPr>
          <w:rFonts w:ascii="Times New Roman" w:hAnsi="Times New Roman" w:cs="Times New Roman" w:eastAsia="Times New Roman" w:hint="default"/>
        </w:rPr>
        <w:t>LIU</w:t>
      </w:r>
      <w:r>
        <w:rPr>
          <w:rFonts w:ascii="Times New Roman" w:hAnsi="Times New Roman" w:cs="Times New Roman" w:eastAsia="Times New Roman" w:hint="default"/>
          <w:spacing w:val="-5"/>
        </w:rPr>
        <w:t> </w:t>
      </w:r>
      <w:r>
        <w:rPr>
          <w:rFonts w:ascii="Times New Roman" w:hAnsi="Times New Roman" w:cs="Times New Roman" w:eastAsia="Times New Roman" w:hint="default"/>
        </w:rPr>
        <w:t>DAN</w:t>
      </w:r>
      <w:r>
        <w:rPr/>
        <w:t>、会计机构负责人张晔签名并盖章的财务报表。 三、载有大华会计师事务所盖章、注册会计师陈葆华、周灵芝签名并盖章的审计报告原件。 四、报告期内在中国证监会指定网站上公开披露过的所有公司文件的正本及公告的原稿。</w:t>
      </w:r>
    </w:p>
    <w:p>
      <w:pPr>
        <w:pStyle w:val="BodyText"/>
        <w:spacing w:line="316" w:lineRule="auto" w:before="24"/>
        <w:ind w:right="7694"/>
        <w:jc w:val="left"/>
      </w:pPr>
      <w:r>
        <w:rPr/>
        <w:t>五、其他相关资料。 以上备查文件的备置地点：公司证券部</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60" w:lineRule="auto"/>
        <w:ind w:left="7786" w:right="1131" w:hanging="514"/>
        <w:jc w:val="right"/>
        <w:rPr>
          <w:rFonts w:ascii="Times New Roman" w:hAnsi="Times New Roman" w:cs="Times New Roman" w:eastAsia="Times New Roman" w:hint="default"/>
        </w:rPr>
      </w:pPr>
      <w:r>
        <w:rPr/>
        <w:t>深圳市优博讯科技股份有限公司 法定代表人：</w:t>
      </w:r>
      <w:r>
        <w:rPr>
          <w:rFonts w:ascii="Times New Roman" w:hAnsi="Times New Roman" w:cs="Times New Roman" w:eastAsia="Times New Roman" w:hint="default"/>
        </w:rPr>
        <w:t>GUO</w:t>
      </w:r>
      <w:r>
        <w:rPr>
          <w:rFonts w:ascii="Times New Roman" w:hAnsi="Times New Roman" w:cs="Times New Roman" w:eastAsia="Times New Roman" w:hint="default"/>
          <w:spacing w:val="-2"/>
        </w:rPr>
        <w:t> </w:t>
      </w:r>
      <w:r>
        <w:rPr>
          <w:rFonts w:ascii="Times New Roman" w:hAnsi="Times New Roman" w:cs="Times New Roman" w:eastAsia="Times New Roman" w:hint="default"/>
        </w:rPr>
        <w:t>SONG</w:t>
      </w:r>
    </w:p>
    <w:p>
      <w:pPr>
        <w:pStyle w:val="BodyText"/>
        <w:spacing w:line="240" w:lineRule="auto" w:before="1"/>
        <w:ind w:left="0" w:right="1128"/>
        <w:jc w:val="right"/>
      </w:pP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w:t>
      </w:r>
    </w:p>
    <w:sectPr>
      <w:pgSz w:w="11910" w:h="16840"/>
      <w:pgMar w:header="745" w:footer="980"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21616" type="#_x0000_t75" stroked="false">
          <v:imagedata r:id="rId1" o:title=""/>
        </v:shape>
      </w:pict>
    </w:r>
    <w:r>
      <w:rPr/>
      <w:pict>
        <v:shape style="position:absolute;margin-left:533.099976pt;margin-top:795.637939pt;width:6.5pt;height:11pt;mso-position-horizontal-relative:page;mso-position-vertical-relative:page;z-index:-122159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21568" type="#_x0000_t75" stroked="false">
          <v:imagedata r:id="rId1" o:title=""/>
        </v:shape>
      </w:pict>
    </w:r>
    <w:r>
      <w:rPr/>
      <w:pict>
        <v:shape style="position:absolute;margin-left:527.659973pt;margin-top:781.933899pt;width:13.15pt;height:11pt;mso-position-horizontal-relative:page;mso-position-vertical-relative:page;z-index:-12215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21520" type="#_x0000_t75" stroked="false">
          <v:imagedata r:id="rId1" o:title=""/>
        </v:shape>
      </w:pict>
    </w:r>
    <w:r>
      <w:rPr/>
      <w:pict>
        <v:shape style="position:absolute;margin-left:524.099976pt;margin-top:781.933899pt;width:15.7pt;height:11pt;mso-position-horizontal-relative:page;mso-position-vertical-relative:page;z-index:-122149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21472" type="#_x0000_t75" stroked="false">
          <v:imagedata r:id="rId1" o:title=""/>
        </v:shape>
      </w:pict>
    </w:r>
    <w:r>
      <w:rPr/>
      <w:pict>
        <v:shape style="position:absolute;margin-left:523.099976pt;margin-top:781.933899pt;width:17.7pt;height:11pt;mso-position-horizontal-relative:page;mso-position-vertical-relative:page;z-index:-12214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21424" type="#_x0000_t75" stroked="false">
          <v:imagedata r:id="rId1" o:title=""/>
        </v:shape>
      </w:pict>
    </w:r>
    <w:r>
      <w:rPr/>
      <w:pict>
        <v:shape style="position:absolute;margin-left:523.460022pt;margin-top:781.933899pt;width:17.3pt;height:11pt;mso-position-horizontal-relative:page;mso-position-vertical-relative:page;z-index:-12214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21376" type="#_x0000_t75" stroked="false">
          <v:imagedata r:id="rId1" o:title=""/>
        </v:shape>
      </w:pict>
    </w:r>
    <w:r>
      <w:rPr/>
      <w:pict>
        <v:shape style="position:absolute;margin-left:523.099976pt;margin-top:781.933899pt;width:17.7pt;height:11pt;mso-position-horizontal-relative:page;mso-position-vertical-relative:page;z-index:-12213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21328" type="#_x0000_t75" stroked="false">
          <v:imagedata r:id="rId1" o:title=""/>
        </v:shape>
      </w:pict>
    </w:r>
    <w:r>
      <w:rPr/>
      <w:pict>
        <v:shape style="position:absolute;margin-left:524.099976pt;margin-top:781.933899pt;width:15.7pt;height:11pt;mso-position-horizontal-relative:page;mso-position-vertical-relative:page;z-index:-122130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21280" type="#_x0000_t75" stroked="false">
          <v:imagedata r:id="rId1" o:title=""/>
        </v:shape>
      </w:pict>
    </w:r>
    <w:r>
      <w:rPr/>
      <w:pict>
        <v:shape style="position:absolute;margin-left:523.099976pt;margin-top:781.933899pt;width:17.7pt;height:11pt;mso-position-horizontal-relative:page;mso-position-vertical-relative:page;z-index:-12212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70007pt;margin-top:36.265610pt;width:213.75pt;height:11.5pt;mso-position-horizontal-relative:page;mso-position-vertical-relative:page;z-index:-1221640" type="#_x0000_t202" filled="false" stroked="false">
          <v:textbox inset="0,0,0,0">
            <w:txbxContent>
              <w:p>
                <w:pPr>
                  <w:pStyle w:val="BodyText"/>
                  <w:spacing w:line="214" w:lineRule="exact"/>
                  <w:ind w:left="20" w:right="0"/>
                  <w:jc w:val="left"/>
                </w:pPr>
                <w:r>
                  <w:rPr/>
                  <w:t>深圳市优博讯科技股份有限公司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94"/>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495"/>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spacing w:before="19"/>
      <w:ind w:left="51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urovo.com/" TargetMode="External"/><Relationship Id="rId10" Type="http://schemas.openxmlformats.org/officeDocument/2006/relationships/hyperlink" Target="mailto:info@urovo.com" TargetMode="External"/><Relationship Id="rId11" Type="http://schemas.openxmlformats.org/officeDocument/2006/relationships/hyperlink" Target="mailto:liuzhen@urovo.com" TargetMode="External"/><Relationship Id="rId12" Type="http://schemas.openxmlformats.org/officeDocument/2006/relationships/hyperlink" Target="mailto:teng.wang@urovo.com" TargetMode="External"/><Relationship Id="rId13" Type="http://schemas.openxmlformats.org/officeDocument/2006/relationships/hyperlink" Target="http://www.cninfo.com.cn/" TargetMode="External"/><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image" Target="media/image15.jpeg"/><Relationship Id="rId27" Type="http://schemas.openxmlformats.org/officeDocument/2006/relationships/image" Target="media/image16.jpeg"/><Relationship Id="rId28" Type="http://schemas.openxmlformats.org/officeDocument/2006/relationships/image" Target="media/image17.jpeg"/><Relationship Id="rId29" Type="http://schemas.openxmlformats.org/officeDocument/2006/relationships/image" Target="media/image18.jpeg"/><Relationship Id="rId30" Type="http://schemas.openxmlformats.org/officeDocument/2006/relationships/image" Target="media/image19.jpeg"/><Relationship Id="rId31" Type="http://schemas.openxmlformats.org/officeDocument/2006/relationships/image" Target="media/image20.jpe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jpeg"/><Relationship Id="rId36" Type="http://schemas.openxmlformats.org/officeDocument/2006/relationships/image" Target="media/image25.png"/><Relationship Id="rId37" Type="http://schemas.openxmlformats.org/officeDocument/2006/relationships/image" Target="media/image26.jpeg"/><Relationship Id="rId38" Type="http://schemas.openxmlformats.org/officeDocument/2006/relationships/image" Target="media/image27.png"/><Relationship Id="rId39" Type="http://schemas.openxmlformats.org/officeDocument/2006/relationships/image" Target="media/image28.jpeg"/><Relationship Id="rId40" Type="http://schemas.openxmlformats.org/officeDocument/2006/relationships/image" Target="media/image29.jpeg"/><Relationship Id="rId41" Type="http://schemas.openxmlformats.org/officeDocument/2006/relationships/image" Target="media/image30.jpeg"/><Relationship Id="rId42" Type="http://schemas.openxmlformats.org/officeDocument/2006/relationships/image" Target="media/image31.jpeg"/><Relationship Id="rId43" Type="http://schemas.openxmlformats.org/officeDocument/2006/relationships/image" Target="media/image32.jpeg"/><Relationship Id="rId44" Type="http://schemas.openxmlformats.org/officeDocument/2006/relationships/image" Target="media/image33.jpeg"/><Relationship Id="rId45" Type="http://schemas.openxmlformats.org/officeDocument/2006/relationships/image" Target="media/image34.jpe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jpeg"/><Relationship Id="rId49" Type="http://schemas.openxmlformats.org/officeDocument/2006/relationships/image" Target="media/image38.jpeg"/><Relationship Id="rId50" Type="http://schemas.openxmlformats.org/officeDocument/2006/relationships/image" Target="media/image39.png"/><Relationship Id="rId51" Type="http://schemas.openxmlformats.org/officeDocument/2006/relationships/image" Target="media/image40.jpeg"/><Relationship Id="rId52" Type="http://schemas.openxmlformats.org/officeDocument/2006/relationships/hyperlink" Target="http://static.cninfo.com.cn/finalpage/201" TargetMode="External"/><Relationship Id="rId53" Type="http://schemas.openxmlformats.org/officeDocument/2006/relationships/hyperlink" Target="http://static.cninfo.com.cn/finalpage/2" TargetMode="External"/><Relationship Id="rId54" Type="http://schemas.openxmlformats.org/officeDocument/2006/relationships/image" Target="media/image41.jpeg"/><Relationship Id="rId55" Type="http://schemas.openxmlformats.org/officeDocument/2006/relationships/footer" Target="footer3.xml"/><Relationship Id="rId56" Type="http://schemas.openxmlformats.org/officeDocument/2006/relationships/footer" Target="footer4.xml"/><Relationship Id="rId57" Type="http://schemas.openxmlformats.org/officeDocument/2006/relationships/footer" Target="footer5.xml"/><Relationship Id="rId58" Type="http://schemas.openxmlformats.org/officeDocument/2006/relationships/footer" Target="footer6.xml"/><Relationship Id="rId59" Type="http://schemas.openxmlformats.org/officeDocument/2006/relationships/footer" Target="footer7.xml"/><Relationship Id="rId60"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深圳市优博讯科技股份有限公司</dc:creator>
  <dc:title>深圳市优博讯科技股份有限公司2019年年度报告全文</dc:title>
  <dcterms:created xsi:type="dcterms:W3CDTF">2020-05-19T03:38:09Z</dcterms:created>
  <dcterms:modified xsi:type="dcterms:W3CDTF">2020-05-19T03:38:09Z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2020-04-14T00:00:00Z</vt:filetime>
  </property>
  <property fmtid="{D5CDD505-2E9C-101B-9397-08002B2CF9AE}" pid="3" name="Creator">
    <vt:lpwstr>Microsoft® Office Word 2007</vt:lpwstr>
  </property>
  <property fmtid="{D5CDD505-2E9C-101B-9397-08002B2CF9AE}" pid="4" name="LastSaved">
    <vt:filetime>2020-05-18T00:00:00Z</vt:filetime>
  </property>
</Properties>
</file>