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5"/>
          <w:szCs w:val="25"/>
        </w:rPr>
      </w:pPr>
    </w:p>
    <w:p>
      <w:pPr>
        <w:spacing w:line="1275" w:lineRule="exact"/>
        <w:ind w:left="484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5"/>
          <w:sz w:val="20"/>
          <w:szCs w:val="20"/>
        </w:rPr>
        <w:drawing>
          <wp:inline distT="0" distB="0" distL="0" distR="0">
            <wp:extent cx="1409229" cy="809625"/>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409229" cy="809625"/>
                    </a:xfrm>
                    <a:prstGeom prst="rect">
                      <a:avLst/>
                    </a:prstGeom>
                  </pic:spPr>
                </pic:pic>
              </a:graphicData>
            </a:graphic>
          </wp:inline>
        </w:drawing>
      </w:r>
      <w:r>
        <w:rPr>
          <w:rFonts w:ascii="Times New Roman" w:hAnsi="Times New Roman" w:cs="Times New Roman" w:eastAsia="Times New Roman" w:hint="default"/>
          <w:position w:val="-25"/>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0"/>
          <w:szCs w:val="20"/>
        </w:rPr>
      </w:pPr>
    </w:p>
    <w:p>
      <w:pPr>
        <w:spacing w:line="460" w:lineRule="exact" w:before="0"/>
        <w:ind w:left="2861" w:right="2861" w:firstLine="0"/>
        <w:jc w:val="center"/>
        <w:rPr>
          <w:rFonts w:ascii="宋体" w:hAnsi="宋体" w:cs="宋体" w:eastAsia="宋体" w:hint="default"/>
          <w:sz w:val="36"/>
          <w:szCs w:val="36"/>
        </w:rPr>
      </w:pPr>
      <w:r>
        <w:rPr>
          <w:rFonts w:ascii="宋体" w:hAnsi="宋体" w:cs="宋体" w:eastAsia="宋体" w:hint="default"/>
          <w:b/>
          <w:bCs/>
          <w:sz w:val="36"/>
          <w:szCs w:val="36"/>
        </w:rPr>
        <w:t>深圳市今天国际物流技术股份有限公司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2860" w:right="286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6"/>
        <w:rPr>
          <w:rFonts w:ascii="宋体" w:hAnsi="宋体" w:cs="宋体" w:eastAsia="宋体" w:hint="default"/>
          <w:b/>
          <w:bCs/>
          <w:sz w:val="29"/>
          <w:szCs w:val="29"/>
        </w:rPr>
      </w:pPr>
    </w:p>
    <w:p>
      <w:pPr>
        <w:pStyle w:val="Heading2"/>
        <w:spacing w:line="240" w:lineRule="auto"/>
        <w:ind w:left="2861" w:right="2861"/>
        <w:jc w:val="center"/>
        <w:rPr>
          <w:rFonts w:ascii="Times New Roman" w:hAnsi="Times New Roman" w:cs="Times New Roman" w:eastAsia="Times New Roman" w:hint="default"/>
          <w:b w:val="0"/>
          <w:bCs w:val="0"/>
        </w:rPr>
      </w:pPr>
      <w:r>
        <w:rPr/>
        <w:t>公告编号：</w:t>
      </w:r>
      <w:r>
        <w:rPr>
          <w:rFonts w:ascii="Times New Roman" w:hAnsi="Times New Roman" w:cs="Times New Roman" w:eastAsia="Times New Roman" w:hint="default"/>
        </w:rPr>
        <w:t>2018-008</w:t>
      </w:r>
      <w:r>
        <w:rPr>
          <w:rFonts w:ascii="Times New Roman" w:hAnsi="Times New Roman" w:cs="Times New Roman" w:eastAsia="Times New Roman" w:hint="default"/>
          <w:b w:val="0"/>
          <w:bCs w:val="0"/>
        </w:rPr>
      </w: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4"/>
        <w:rPr>
          <w:rFonts w:ascii="Times New Roman" w:hAnsi="Times New Roman" w:cs="Times New Roman" w:eastAsia="Times New Roman" w:hint="default"/>
          <w:b/>
          <w:bCs/>
          <w:sz w:val="35"/>
          <w:szCs w:val="35"/>
        </w:rPr>
      </w:pPr>
    </w:p>
    <w:p>
      <w:pPr>
        <w:spacing w:before="0"/>
        <w:ind w:left="2861" w:right="286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0" w:right="0"/>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3785" w:right="0"/>
        <w:jc w:val="left"/>
        <w:rPr>
          <w:b w:val="0"/>
          <w:bCs w:val="0"/>
        </w:rPr>
      </w:pPr>
      <w:bookmarkStart w:name="第一节 重要提示、目录和释义" w:id="1"/>
      <w:bookmarkEnd w:id="1"/>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pStyle w:val="Heading2"/>
        <w:spacing w:line="477" w:lineRule="auto" w:before="245"/>
        <w:ind w:right="1139" w:firstLine="482"/>
        <w:jc w:val="both"/>
        <w:rPr>
          <w:b w:val="0"/>
          <w:bCs w:val="0"/>
        </w:rPr>
      </w:pPr>
      <w:r>
        <w:rPr>
          <w:w w:val="95"/>
        </w:rPr>
        <w:t>公司董事会、监事会及董事、监事、高级管理人员保证年度报告内容的真实、准确、完</w:t>
      </w:r>
      <w:r>
        <w:rPr>
          <w:w w:val="99"/>
        </w:rPr>
        <w:t> </w:t>
      </w:r>
      <w:r>
        <w:rPr/>
        <w:t>整，不存在虚假记载、误导性陈述或重大遗漏，并承担个别和连带的法律责任。</w:t>
      </w:r>
      <w:r>
        <w:rPr>
          <w:b w:val="0"/>
          <w:bCs w:val="0"/>
        </w:rPr>
      </w:r>
    </w:p>
    <w:p>
      <w:pPr>
        <w:pStyle w:val="Heading2"/>
        <w:spacing w:line="451" w:lineRule="auto" w:before="172"/>
        <w:ind w:right="1127" w:firstLine="482"/>
        <w:jc w:val="both"/>
        <w:rPr>
          <w:b w:val="0"/>
          <w:bCs w:val="0"/>
        </w:rPr>
      </w:pPr>
      <w:r>
        <w:rPr>
          <w:spacing w:val="2"/>
        </w:rPr>
        <w:t>公司负责人邵健伟、主管会计工作负责人张永清及会计机构负责人</w:t>
      </w:r>
      <w:r>
        <w:rPr>
          <w:rFonts w:ascii="Times New Roman" w:hAnsi="Times New Roman" w:cs="Times New Roman" w:eastAsia="Times New Roman" w:hint="default"/>
          <w:spacing w:val="2"/>
        </w:rPr>
        <w:t>(</w:t>
      </w:r>
      <w:r>
        <w:rPr>
          <w:spacing w:val="2"/>
        </w:rPr>
        <w:t>会计主管人员</w:t>
      </w:r>
      <w:r>
        <w:rPr>
          <w:rFonts w:ascii="Times New Roman" w:hAnsi="Times New Roman" w:cs="Times New Roman" w:eastAsia="Times New Roman" w:hint="default"/>
          <w:spacing w:val="2"/>
        </w:rPr>
        <w:t>)</w:t>
      </w:r>
      <w:r>
        <w:rPr>
          <w:spacing w:val="2"/>
        </w:rPr>
        <w:t>蓝国</w:t>
      </w:r>
      <w:r>
        <w:rPr>
          <w:spacing w:val="2"/>
          <w:w w:val="99"/>
        </w:rPr>
        <w:t> </w:t>
      </w:r>
      <w:r>
        <w:rPr/>
        <w:t>斌声明：保证年度报告中财务报告的真实、准确、完整。</w:t>
      </w:r>
      <w:r>
        <w:rPr>
          <w:b w:val="0"/>
          <w:bCs w:val="0"/>
        </w:rPr>
      </w:r>
    </w:p>
    <w:p>
      <w:pPr>
        <w:pStyle w:val="Heading2"/>
        <w:spacing w:line="552" w:lineRule="auto" w:before="198"/>
        <w:ind w:left="1616" w:right="0"/>
        <w:jc w:val="left"/>
        <w:rPr>
          <w:b w:val="0"/>
          <w:bCs w:val="0"/>
        </w:rPr>
      </w:pPr>
      <w:r>
        <w:rPr/>
        <w:t>所有董事均已出席了审议本报告的董事会会议。</w:t>
      </w:r>
      <w:r>
        <w:rPr>
          <w:w w:val="99"/>
        </w:rPr>
        <w:t> </w:t>
      </w:r>
      <w:r>
        <w:rPr>
          <w:w w:val="95"/>
        </w:rPr>
        <w:t>本年度报告所涉及的发展战略及未来计划等前瞻性陈述，不构成公司对投资者的实质承</w:t>
      </w:r>
      <w:r>
        <w:rPr>
          <w:b w:val="0"/>
          <w:bCs w:val="0"/>
        </w:rPr>
      </w:r>
    </w:p>
    <w:p>
      <w:pPr>
        <w:pStyle w:val="Heading2"/>
        <w:spacing w:line="477" w:lineRule="auto"/>
        <w:ind w:right="0"/>
        <w:jc w:val="left"/>
        <w:rPr>
          <w:b w:val="0"/>
          <w:bCs w:val="0"/>
        </w:rPr>
      </w:pPr>
      <w:r>
        <w:rPr>
          <w:w w:val="95"/>
        </w:rPr>
        <w:t>诺。投资者及相关人士均应当对此保持足够的风险认识，并且应当理解计划、预测与承诺之</w:t>
      </w:r>
      <w:r>
        <w:rPr>
          <w:spacing w:val="99"/>
          <w:w w:val="95"/>
        </w:rPr>
        <w:t> </w:t>
      </w:r>
      <w:r>
        <w:rPr/>
        <w:t>间的差异。本公司请投资者认真阅读本年度报告全文，并特别注意下列风险因素：</w:t>
      </w:r>
      <w:r>
        <w:rPr>
          <w:b w:val="0"/>
          <w:bCs w:val="0"/>
        </w:rPr>
      </w:r>
    </w:p>
    <w:p>
      <w:pPr>
        <w:pStyle w:val="Heading2"/>
        <w:spacing w:line="520" w:lineRule="auto" w:before="173"/>
        <w:ind w:left="1616" w:right="0"/>
        <w:jc w:val="left"/>
        <w:rPr>
          <w:b w:val="0"/>
          <w:bCs w:val="0"/>
        </w:rPr>
      </w:pPr>
      <w:r>
        <w:rPr>
          <w:rFonts w:ascii="Times New Roman" w:hAnsi="Times New Roman" w:cs="Times New Roman" w:eastAsia="Times New Roman" w:hint="default"/>
        </w:rPr>
        <w:t>1</w:t>
      </w:r>
      <w:r>
        <w:rPr/>
        <w:t>、经营业绩波动的风险</w:t>
      </w:r>
      <w:r>
        <w:rPr>
          <w:w w:val="99"/>
        </w:rPr>
        <w:t> </w:t>
      </w:r>
      <w:r>
        <w:rPr>
          <w:w w:val="95"/>
        </w:rPr>
        <w:t>公司单个项目金额较高、实施周期较长，大项目的收入确认对当期营业收入影响较大；</w:t>
      </w:r>
      <w:r>
        <w:rPr>
          <w:b w:val="0"/>
          <w:bCs w:val="0"/>
        </w:rPr>
      </w:r>
    </w:p>
    <w:p>
      <w:pPr>
        <w:pStyle w:val="Heading2"/>
        <w:spacing w:line="477" w:lineRule="auto" w:before="29"/>
        <w:ind w:right="0"/>
        <w:jc w:val="left"/>
        <w:rPr>
          <w:b w:val="0"/>
          <w:bCs w:val="0"/>
        </w:rPr>
      </w:pPr>
      <w:r>
        <w:rPr/>
        <w:t>若受到客户修改规划设计方案或土建、通风、供电、消防等工程未能如期完工的影响，项目</w:t>
      </w:r>
      <w:r>
        <w:rPr>
          <w:w w:val="99"/>
        </w:rPr>
        <w:t> </w:t>
      </w:r>
      <w:r>
        <w:rPr>
          <w:spacing w:val="-3"/>
          <w:w w:val="95"/>
        </w:rPr>
        <w:t>的收入确认时点具有不确定性。因此，公司可能出现某个季度由于可确认收入项目数量较少、</w:t>
      </w:r>
      <w:r>
        <w:rPr>
          <w:spacing w:val="9"/>
          <w:w w:val="95"/>
        </w:rPr>
        <w:t> </w:t>
      </w:r>
      <w:r>
        <w:rPr>
          <w:spacing w:val="9"/>
          <w:w w:val="95"/>
        </w:rPr>
      </w:r>
      <w:r>
        <w:rPr/>
        <w:t>金额较小而产生亏损；或者某个季度可确认收入项目数量较多、金额较大而使当季度业绩大</w:t>
      </w:r>
      <w:r>
        <w:rPr>
          <w:w w:val="99"/>
        </w:rPr>
        <w:t> </w:t>
      </w:r>
      <w:r>
        <w:rPr/>
        <w:t>幅提升等情形。</w:t>
      </w:r>
      <w:r>
        <w:rPr>
          <w:b w:val="0"/>
          <w:bCs w:val="0"/>
        </w:rPr>
      </w:r>
    </w:p>
    <w:p>
      <w:pPr>
        <w:pStyle w:val="Heading2"/>
        <w:spacing w:line="240" w:lineRule="auto" w:before="172"/>
        <w:ind w:left="1616" w:right="0"/>
        <w:jc w:val="left"/>
        <w:rPr>
          <w:b w:val="0"/>
          <w:bCs w:val="0"/>
        </w:rPr>
      </w:pPr>
      <w:r>
        <w:rPr>
          <w:rFonts w:ascii="Times New Roman" w:hAnsi="Times New Roman" w:cs="Times New Roman" w:eastAsia="Times New Roman" w:hint="default"/>
        </w:rPr>
        <w:t>2</w:t>
      </w:r>
      <w:r>
        <w:rPr/>
        <w:t>、应收账款回收风险</w:t>
      </w:r>
      <w:r>
        <w:rPr>
          <w:b w:val="0"/>
          <w:bCs w:val="0"/>
        </w:rPr>
      </w:r>
    </w:p>
    <w:p>
      <w:pPr>
        <w:spacing w:line="240" w:lineRule="auto" w:before="12"/>
        <w:rPr>
          <w:rFonts w:ascii="宋体" w:hAnsi="宋体" w:cs="宋体" w:eastAsia="宋体" w:hint="default"/>
          <w:b/>
          <w:bCs/>
          <w:sz w:val="29"/>
          <w:szCs w:val="29"/>
        </w:rPr>
      </w:pPr>
    </w:p>
    <w:p>
      <w:pPr>
        <w:pStyle w:val="Heading2"/>
        <w:spacing w:line="458" w:lineRule="auto"/>
        <w:ind w:right="1085" w:firstLine="482"/>
        <w:jc w:val="both"/>
        <w:rPr>
          <w:b w:val="0"/>
          <w:bCs w:val="0"/>
        </w:rPr>
      </w:pPr>
      <w:r>
        <w:rPr/>
        <w:t>公司 </w:t>
      </w:r>
      <w:r>
        <w:rPr>
          <w:rFonts w:ascii="Times New Roman" w:hAnsi="Times New Roman" w:cs="Times New Roman" w:eastAsia="Times New Roman" w:hint="default"/>
        </w:rPr>
        <w:t>2015-2017 </w:t>
      </w:r>
      <w:r>
        <w:rPr/>
        <w:t>年近三年应收账款余额逐年增加，分别是 </w:t>
      </w:r>
      <w:r>
        <w:rPr>
          <w:rFonts w:ascii="Times New Roman" w:hAnsi="Times New Roman" w:cs="Times New Roman" w:eastAsia="Times New Roman" w:hint="default"/>
        </w:rPr>
        <w:t>35,128.50 </w:t>
      </w:r>
      <w:r>
        <w:rPr/>
        <w:t>万元、</w:t>
      </w:r>
      <w:r>
        <w:rPr>
          <w:rFonts w:ascii="Times New Roman" w:hAnsi="Times New Roman" w:cs="Times New Roman" w:eastAsia="Times New Roman" w:hint="default"/>
        </w:rPr>
        <w:t>41,730.65</w:t>
      </w:r>
      <w:r>
        <w:rPr>
          <w:rFonts w:ascii="Times New Roman" w:hAnsi="Times New Roman" w:cs="Times New Roman" w:eastAsia="Times New Roman" w:hint="default"/>
          <w:spacing w:val="-23"/>
        </w:rPr>
        <w:t> </w:t>
      </w:r>
      <w:r>
        <w:rPr/>
        <w:t>万</w:t>
      </w:r>
      <w:r>
        <w:rPr>
          <w:w w:val="99"/>
        </w:rPr>
        <w:t> </w:t>
      </w:r>
      <w:r>
        <w:rPr/>
        <w:t>元、 </w:t>
      </w:r>
      <w:r>
        <w:rPr>
          <w:rFonts w:ascii="Times New Roman" w:hAnsi="Times New Roman" w:cs="Times New Roman" w:eastAsia="Times New Roman" w:hint="default"/>
        </w:rPr>
        <w:t>48,654.87 </w:t>
      </w:r>
      <w:r>
        <w:rPr/>
        <w:t>万元，占总资产比例分别为</w:t>
      </w:r>
      <w:r>
        <w:rPr>
          <w:spacing w:val="-79"/>
        </w:rPr>
        <w:t> </w:t>
      </w:r>
      <w:r>
        <w:rPr>
          <w:rFonts w:ascii="Times New Roman" w:hAnsi="Times New Roman" w:cs="Times New Roman" w:eastAsia="Times New Roman" w:hint="default"/>
        </w:rPr>
        <w:t>44.05%</w:t>
      </w:r>
      <w:r>
        <w:rPr/>
        <w:t>、</w:t>
      </w:r>
      <w:r>
        <w:rPr>
          <w:rFonts w:ascii="Times New Roman" w:hAnsi="Times New Roman" w:cs="Times New Roman" w:eastAsia="Times New Roman" w:hint="default"/>
        </w:rPr>
        <w:t>35.95%</w:t>
      </w:r>
      <w:r>
        <w:rPr/>
        <w:t>、</w:t>
      </w:r>
      <w:r>
        <w:rPr>
          <w:rFonts w:ascii="Times New Roman" w:hAnsi="Times New Roman" w:cs="Times New Roman" w:eastAsia="Times New Roman" w:hint="default"/>
        </w:rPr>
        <w:t>37.4%</w:t>
      </w:r>
      <w:r>
        <w:rPr/>
        <w:t>。应收账款余额较大，</w:t>
      </w:r>
      <w:r>
        <w:rPr>
          <w:w w:val="99"/>
        </w:rPr>
        <w:t> </w:t>
      </w:r>
      <w:r>
        <w:rPr/>
        <w:t>主要与公司智能系统集成项目分阶段收款模式相关。按主要合同约定的收款模式，在项目确</w:t>
      </w:r>
      <w:r>
        <w:rPr>
          <w:w w:val="99"/>
        </w:rPr>
        <w:t> </w:t>
      </w:r>
      <w:r>
        <w:rPr/>
        <w:t>认收入时，公司通常已累计收取合同金额</w:t>
      </w:r>
      <w:r>
        <w:rPr>
          <w:spacing w:val="26"/>
        </w:rPr>
        <w:t> </w:t>
      </w:r>
      <w:r>
        <w:rPr>
          <w:rFonts w:ascii="Times New Roman" w:hAnsi="Times New Roman" w:cs="Times New Roman" w:eastAsia="Times New Roman" w:hint="default"/>
        </w:rPr>
        <w:t>60%-75%</w:t>
      </w:r>
      <w:r>
        <w:rPr/>
        <w:t>款项。因此，公司智能系统项目确认收</w:t>
      </w:r>
      <w:r>
        <w:rPr>
          <w:b w:val="0"/>
          <w:bCs w:val="0"/>
        </w:rPr>
      </w:r>
    </w:p>
    <w:p>
      <w:pPr>
        <w:spacing w:after="0" w:line="458" w:lineRule="auto"/>
        <w:jc w:val="both"/>
        <w:sectPr>
          <w:footerReference w:type="default" r:id="rId8"/>
          <w:pgSz w:w="11910" w:h="16840"/>
          <w:pgMar w:footer="979" w:header="747" w:top="1060" w:bottom="1160" w:left="0" w:right="0"/>
          <w:pgNumType w:start="2"/>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pStyle w:val="Heading2"/>
        <w:spacing w:line="463" w:lineRule="auto" w:before="171"/>
        <w:ind w:right="1131"/>
        <w:jc w:val="both"/>
        <w:rPr>
          <w:b w:val="0"/>
          <w:bCs w:val="0"/>
        </w:rPr>
      </w:pPr>
      <w:r>
        <w:rPr/>
        <w:t>入后，尚有</w:t>
      </w:r>
      <w:r>
        <w:rPr>
          <w:spacing w:val="23"/>
        </w:rPr>
        <w:t> </w:t>
      </w:r>
      <w:r>
        <w:rPr>
          <w:rFonts w:ascii="Times New Roman" w:hAnsi="Times New Roman" w:cs="Times New Roman" w:eastAsia="Times New Roman" w:hint="default"/>
        </w:rPr>
        <w:t>20%-30%</w:t>
      </w:r>
      <w:r>
        <w:rPr/>
        <w:t>左右的款项待项目终验后向客户收取。智能系统项目的商业运行时间</w:t>
      </w:r>
      <w:r>
        <w:rPr>
          <w:spacing w:val="-117"/>
        </w:rPr>
        <w:t> </w:t>
      </w:r>
      <w:r>
        <w:rPr>
          <w:spacing w:val="-117"/>
        </w:rPr>
      </w:r>
      <w:r>
        <w:rPr/>
        <w:t>通常为</w:t>
      </w:r>
      <w:r>
        <w:rPr>
          <w:spacing w:val="-52"/>
        </w:rPr>
        <w:t> </w:t>
      </w:r>
      <w:r>
        <w:rPr>
          <w:rFonts w:ascii="Times New Roman" w:hAnsi="Times New Roman" w:cs="Times New Roman" w:eastAsia="Times New Roman" w:hint="default"/>
        </w:rPr>
        <w:t>3-6</w:t>
      </w:r>
      <w:r>
        <w:rPr>
          <w:rFonts w:ascii="Times New Roman" w:hAnsi="Times New Roman" w:cs="Times New Roman" w:eastAsia="Times New Roman" w:hint="default"/>
          <w:spacing w:val="6"/>
        </w:rPr>
        <w:t> </w:t>
      </w:r>
      <w:r>
        <w:rPr/>
        <w:t>个月，且下游客户对外付款时需履行较严格的付款审批流程，导致期末应收账款</w:t>
      </w:r>
      <w:r>
        <w:rPr>
          <w:w w:val="99"/>
        </w:rPr>
        <w:t> </w:t>
      </w:r>
      <w:r>
        <w:rPr>
          <w:w w:val="95"/>
        </w:rPr>
        <w:t>余额较大。此外，项目终验后，客户仍保留合同金额 </w:t>
      </w:r>
      <w:r>
        <w:rPr>
          <w:rFonts w:ascii="Times New Roman" w:hAnsi="Times New Roman" w:cs="Times New Roman" w:eastAsia="Times New Roman" w:hint="default"/>
          <w:w w:val="95"/>
        </w:rPr>
        <w:t>10%</w:t>
      </w:r>
      <w:r>
        <w:rPr>
          <w:w w:val="95"/>
        </w:rPr>
        <w:t>左右的款项作为质保金，于项目质</w:t>
      </w:r>
      <w:r>
        <w:rPr>
          <w:spacing w:val="3"/>
          <w:w w:val="95"/>
        </w:rPr>
        <w:t> </w:t>
      </w:r>
      <w:r>
        <w:rPr>
          <w:spacing w:val="3"/>
          <w:w w:val="95"/>
        </w:rPr>
      </w:r>
      <w:r>
        <w:rPr/>
        <w:t>保期（质保期通常</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年）结束后支付，亦形成了公司应收账款。一方面，虽然公司的主要</w:t>
      </w:r>
      <w:r>
        <w:rPr>
          <w:w w:val="99"/>
        </w:rPr>
        <w:t> </w:t>
      </w:r>
      <w:r>
        <w:rPr>
          <w:w w:val="95"/>
        </w:rPr>
        <w:t>客户来自知名大中型企业，存在坏账的可能性较小，但由于受到客户终验进度、客户审计、</w:t>
      </w:r>
      <w:r>
        <w:rPr>
          <w:spacing w:val="101"/>
          <w:w w:val="95"/>
        </w:rPr>
        <w:t> </w:t>
      </w:r>
      <w:r>
        <w:rPr>
          <w:spacing w:val="101"/>
          <w:w w:val="95"/>
        </w:rPr>
      </w:r>
      <w:r>
        <w:rPr>
          <w:w w:val="95"/>
        </w:rPr>
        <w:t>预算以及经营情况的影响，可能会使账期延长。另一方面公司近年来积极向其他行业拓展，</w:t>
      </w:r>
      <w:r>
        <w:rPr>
          <w:spacing w:val="99"/>
          <w:w w:val="95"/>
        </w:rPr>
        <w:t> </w:t>
      </w:r>
      <w:r>
        <w:rPr>
          <w:w w:val="95"/>
        </w:rPr>
        <w:t>各行业的收款模式也存在多样化，新拓展行业的终验前期收款比例有所下降，而应收账款比</w:t>
      </w:r>
      <w:r>
        <w:rPr>
          <w:spacing w:val="99"/>
          <w:w w:val="95"/>
        </w:rPr>
        <w:t> </w:t>
      </w:r>
      <w:r>
        <w:rPr/>
        <w:t>例也会相应增长。</w:t>
      </w:r>
      <w:r>
        <w:rPr>
          <w:b w:val="0"/>
          <w:bCs w:val="0"/>
        </w:rPr>
      </w:r>
    </w:p>
    <w:p>
      <w:pPr>
        <w:pStyle w:val="Heading2"/>
        <w:spacing w:line="240" w:lineRule="auto" w:before="185"/>
        <w:ind w:left="1616" w:right="0"/>
        <w:jc w:val="left"/>
        <w:rPr>
          <w:b w:val="0"/>
          <w:bCs w:val="0"/>
        </w:rPr>
      </w:pPr>
      <w:r>
        <w:rPr>
          <w:spacing w:val="7"/>
        </w:rPr>
        <w:t>公司经本次董事会审议通过的利润分配预案为：以截至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rFonts w:ascii="Times New Roman" w:hAnsi="Times New Roman" w:cs="Times New Roman" w:eastAsia="Times New Roman" w:hint="default"/>
          <w:spacing w:val="37"/>
        </w:rPr>
        <w:t> </w:t>
      </w:r>
      <w:r>
        <w:rPr>
          <w:spacing w:val="8"/>
        </w:rPr>
        <w:t>的总股本</w:t>
      </w:r>
      <w:r>
        <w:rPr>
          <w:b w:val="0"/>
          <w:bCs w:val="0"/>
        </w:rPr>
      </w:r>
    </w:p>
    <w:p>
      <w:pPr>
        <w:spacing w:line="240" w:lineRule="auto" w:before="4"/>
        <w:rPr>
          <w:rFonts w:ascii="宋体" w:hAnsi="宋体" w:cs="宋体" w:eastAsia="宋体" w:hint="default"/>
          <w:b/>
          <w:bCs/>
          <w:sz w:val="22"/>
          <w:szCs w:val="22"/>
        </w:rPr>
      </w:pPr>
    </w:p>
    <w:p>
      <w:pPr>
        <w:pStyle w:val="Heading2"/>
        <w:spacing w:line="240" w:lineRule="auto"/>
        <w:ind w:left="1134" w:right="0"/>
        <w:jc w:val="both"/>
        <w:rPr>
          <w:b w:val="0"/>
          <w:bCs w:val="0"/>
        </w:rPr>
      </w:pPr>
      <w:r>
        <w:rPr>
          <w:rFonts w:ascii="Times New Roman" w:hAnsi="Times New Roman" w:cs="Times New Roman" w:eastAsia="Times New Roman" w:hint="default"/>
        </w:rPr>
        <w:t>15,402.96 </w:t>
      </w:r>
      <w:r>
        <w:rPr>
          <w:w w:val="99"/>
        </w:rPr>
        <w:t>万股为基数</w:t>
      </w:r>
      <w:r>
        <w:rPr>
          <w:spacing w:val="-88"/>
          <w:w w:val="99"/>
        </w:rPr>
        <w:t>，</w:t>
      </w:r>
      <w:r>
        <w:rPr>
          <w:w w:val="99"/>
        </w:rPr>
        <w:t>向全体股东每</w:t>
      </w:r>
      <w:r>
        <w:rPr>
          <w:spacing w:val="-58"/>
        </w:rPr>
        <w:t> </w:t>
      </w:r>
      <w:r>
        <w:rPr>
          <w:rFonts w:ascii="Times New Roman" w:hAnsi="Times New Roman" w:cs="Times New Roman" w:eastAsia="Times New Roman" w:hint="default"/>
        </w:rPr>
        <w:t>10 </w:t>
      </w:r>
      <w:r>
        <w:rPr>
          <w:w w:val="99"/>
        </w:rPr>
        <w:t>股派发现金红利</w:t>
      </w:r>
      <w:r>
        <w:rPr>
          <w:spacing w:val="-59"/>
        </w:rPr>
        <w:t> </w:t>
      </w:r>
      <w:r>
        <w:rPr>
          <w:rFonts w:ascii="Times New Roman" w:hAnsi="Times New Roman" w:cs="Times New Roman" w:eastAsia="Times New Roman" w:hint="default"/>
        </w:rPr>
        <w:t>3.00 </w:t>
      </w:r>
      <w:r>
        <w:rPr>
          <w:spacing w:val="-88"/>
          <w:w w:val="99"/>
        </w:rPr>
        <w:t>元</w:t>
      </w:r>
      <w:r>
        <w:rPr>
          <w:w w:val="99"/>
        </w:rPr>
        <w:t>（含税</w:t>
      </w:r>
      <w:r>
        <w:rPr>
          <w:spacing w:val="-119"/>
          <w:w w:val="99"/>
        </w:rPr>
        <w:t>）</w:t>
      </w:r>
      <w:r>
        <w:rPr>
          <w:spacing w:val="-88"/>
          <w:w w:val="99"/>
        </w:rPr>
        <w:t>，</w:t>
      </w:r>
      <w:r>
        <w:rPr>
          <w:w w:val="99"/>
        </w:rPr>
        <w:t>送红股</w:t>
      </w:r>
      <w:r>
        <w:rPr>
          <w:spacing w:val="-59"/>
        </w:rPr>
        <w:t> </w:t>
      </w:r>
      <w:r>
        <w:rPr>
          <w:rFonts w:ascii="Times New Roman" w:hAnsi="Times New Roman" w:cs="Times New Roman" w:eastAsia="Times New Roman" w:hint="default"/>
        </w:rPr>
        <w:t>0 </w:t>
      </w:r>
      <w:r>
        <w:rPr>
          <w:spacing w:val="-88"/>
          <w:w w:val="99"/>
        </w:rPr>
        <w:t>股</w:t>
      </w:r>
      <w:r>
        <w:rPr>
          <w:w w:val="99"/>
        </w:rPr>
        <w:t>（含税</w:t>
      </w:r>
      <w:r>
        <w:rPr>
          <w:spacing w:val="-120"/>
          <w:w w:val="99"/>
        </w:rPr>
        <w:t>）</w:t>
      </w:r>
      <w:r>
        <w:rPr>
          <w:w w:val="99"/>
        </w:rPr>
        <w:t>，</w:t>
      </w:r>
      <w:r>
        <w:rPr>
          <w:b w:val="0"/>
          <w:bCs w:val="0"/>
        </w:rPr>
      </w:r>
    </w:p>
    <w:p>
      <w:pPr>
        <w:spacing w:line="240" w:lineRule="auto" w:before="5"/>
        <w:rPr>
          <w:rFonts w:ascii="宋体" w:hAnsi="宋体" w:cs="宋体" w:eastAsia="宋体" w:hint="default"/>
          <w:b/>
          <w:bCs/>
          <w:sz w:val="22"/>
          <w:szCs w:val="22"/>
        </w:rPr>
      </w:pPr>
    </w:p>
    <w:p>
      <w:pPr>
        <w:pStyle w:val="Heading2"/>
        <w:spacing w:line="240" w:lineRule="auto"/>
        <w:ind w:right="0"/>
        <w:jc w:val="both"/>
        <w:rPr>
          <w:b w:val="0"/>
          <w:bCs w:val="0"/>
        </w:rPr>
      </w:pPr>
      <w:r>
        <w:rPr/>
        <w:t>以资本公积金向全体股东每</w:t>
      </w:r>
      <w:r>
        <w:rPr>
          <w:spacing w:val="-62"/>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股转增</w:t>
      </w:r>
      <w:r>
        <w:rPr>
          <w:spacing w:val="-63"/>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股。</w:t>
      </w:r>
      <w:r>
        <w:rPr>
          <w:b w:val="0"/>
          <w:bCs w:val="0"/>
        </w:rPr>
      </w:r>
    </w:p>
    <w:p>
      <w:pPr>
        <w:spacing w:after="0" w:line="240" w:lineRule="auto"/>
        <w:jc w:val="both"/>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3"/>
        <w:ind w:left="2861" w:right="2860"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2"/>
        <w:rPr>
          <w:rFonts w:ascii="宋体" w:hAnsi="宋体" w:cs="宋体" w:eastAsia="宋体" w:hint="default"/>
          <w:b/>
          <w:bCs/>
          <w:sz w:val="48"/>
          <w:szCs w:val="48"/>
        </w:rPr>
      </w:pPr>
    </w:p>
    <w:sdt>
      <w:sdtPr>
        <w:docPartObj>
          <w:docPartGallery w:val="Table of Contents"/>
          <w:docPartUnique/>
        </w:docPartObj>
      </w:sdtPr>
      <w:sdtEndPr/>
      <w:sdtContent>
        <w:p>
          <w:pPr>
            <w:pStyle w:val="TOC1"/>
            <w:tabs>
              <w:tab w:pos="10762"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9"/>
              </w:rPr>
              <w:t> </w:t>
            </w:r>
            <w:r>
              <w:rPr/>
              <w:t>重要提示、目录和释义</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9"/>
              </w:rPr>
              <w:t> </w:t>
            </w:r>
            <w:r>
              <w:rPr/>
              <w:t>公司简介和主要财务指标</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9"/>
              </w:rPr>
              <w:t> </w:t>
            </w:r>
            <w:r>
              <w:rPr/>
              <w:t>公司业务概要</w:t>
            </w:r>
            <w:r>
              <w:rPr>
                <w:rFonts w:ascii="Times New Roman" w:hAnsi="Times New Roman" w:cs="Times New Roman" w:eastAsia="Times New Roman" w:hint="default"/>
              </w:rPr>
              <w:tab/>
              <w:t>14</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9"/>
              </w:rPr>
              <w:t> </w:t>
            </w:r>
            <w:r>
              <w:rPr/>
              <w:t>经营情况讨论与分析</w:t>
            </w:r>
            <w:r>
              <w:rPr>
                <w:rFonts w:ascii="Times New Roman" w:hAnsi="Times New Roman" w:cs="Times New Roman" w:eastAsia="Times New Roman" w:hint="default"/>
              </w:rPr>
              <w:tab/>
              <w:t>32</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9"/>
              </w:rPr>
              <w:t> </w:t>
            </w:r>
            <w:r>
              <w:rPr/>
              <w:t>重要事项</w:t>
            </w:r>
            <w:r>
              <w:rPr>
                <w:rFonts w:ascii="Times New Roman" w:hAnsi="Times New Roman" w:cs="Times New Roman" w:eastAsia="Times New Roman" w:hint="default"/>
              </w:rPr>
              <w:tab/>
              <w:t>48</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9"/>
              </w:rPr>
              <w:t> </w:t>
            </w:r>
            <w:r>
              <w:rPr/>
              <w:t>股份变动及股东情况</w:t>
            </w:r>
            <w:r>
              <w:rPr>
                <w:rFonts w:ascii="Times New Roman" w:hAnsi="Times New Roman" w:cs="Times New Roman" w:eastAsia="Times New Roman" w:hint="default"/>
              </w:rPr>
              <w:tab/>
              <w:t>56</w:t>
            </w:r>
            <w:r>
              <w:rPr>
                <w:rFonts w:ascii="Times New Roman" w:hAnsi="Times New Roman" w:cs="Times New Roman" w:eastAsia="Times New Roman" w:hint="default"/>
                <w:b w:val="0"/>
                <w:bCs w:val="0"/>
              </w:rPr>
            </w:r>
          </w:hyperlink>
        </w:p>
        <w:p>
          <w:pPr>
            <w:pStyle w:val="TOC1"/>
            <w:tabs>
              <w:tab w:pos="10762" w:val="right" w:leader="dot"/>
            </w:tabs>
            <w:spacing w:line="240" w:lineRule="auto" w:before="316"/>
            <w:ind w:right="0"/>
            <w:jc w:val="left"/>
            <w:rPr>
              <w:rFonts w:ascii="Times New Roman" w:hAnsi="Times New Roman" w:cs="Times New Roman" w:eastAsia="Times New Roman" w:hint="default"/>
              <w:b w:val="0"/>
              <w:bCs w:val="0"/>
            </w:rPr>
          </w:pPr>
          <w:hyperlink w:history="true" w:anchor="_bookmark5">
            <w:r>
              <w:rPr/>
              <w:t>第七节</w:t>
            </w:r>
            <w:r>
              <w:rPr>
                <w:spacing w:val="-19"/>
              </w:rPr>
              <w:t> </w:t>
            </w:r>
            <w:r>
              <w:rPr/>
              <w:t>优先股相关情况</w:t>
            </w:r>
            <w:r>
              <w:rPr>
                <w:rFonts w:ascii="Times New Roman" w:hAnsi="Times New Roman" w:cs="Times New Roman" w:eastAsia="Times New Roman" w:hint="default"/>
              </w:rPr>
              <w:tab/>
              <w:t>56</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第八节</w:t>
            </w:r>
            <w:r>
              <w:rPr>
                <w:spacing w:val="-19"/>
              </w:rPr>
              <w:t> </w:t>
            </w:r>
            <w:r>
              <w:rPr/>
              <w:t>董事、监事、高级管理人员和员工情况</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第九节</w:t>
            </w:r>
            <w:r>
              <w:rPr>
                <w:spacing w:val="-19"/>
              </w:rPr>
              <w:t> </w:t>
            </w:r>
            <w:r>
              <w:rPr/>
              <w:t>公司治理</w:t>
            </w:r>
            <w:r>
              <w:rPr>
                <w:rFonts w:ascii="Times New Roman" w:hAnsi="Times New Roman" w:cs="Times New Roman" w:eastAsia="Times New Roman" w:hint="default"/>
              </w:rPr>
              <w:tab/>
              <w:t>64</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19"/>
              </w:rPr>
              <w:t> </w:t>
            </w:r>
            <w:r>
              <w:rPr/>
              <w:t>公司债券相关情况</w:t>
            </w:r>
            <w:r>
              <w:rPr>
                <w:rFonts w:ascii="Times New Roman" w:hAnsi="Times New Roman" w:cs="Times New Roman" w:eastAsia="Times New Roman" w:hint="default"/>
              </w:rPr>
              <w:tab/>
              <w:t>70</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第十一节</w:t>
            </w:r>
            <w:r>
              <w:rPr>
                <w:spacing w:val="-19"/>
              </w:rPr>
              <w:t> </w:t>
            </w:r>
            <w:r>
              <w:rPr/>
              <w:t>财务报告</w:t>
            </w:r>
            <w:r>
              <w:rPr>
                <w:rFonts w:ascii="Times New Roman" w:hAnsi="Times New Roman" w:cs="Times New Roman" w:eastAsia="Times New Roman" w:hint="default"/>
              </w:rPr>
              <w:tab/>
              <w:t>71</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第十二节</w:t>
            </w:r>
            <w:r>
              <w:rPr>
                <w:spacing w:val="-20"/>
              </w:rPr>
              <w:t> </w:t>
            </w:r>
            <w:r>
              <w:rPr/>
              <w:t>备查文件目录</w:t>
            </w:r>
            <w:r>
              <w:rPr>
                <w:rFonts w:ascii="Times New Roman" w:hAnsi="Times New Roman" w:cs="Times New Roman" w:eastAsia="Times New Roman" w:hint="default"/>
              </w:rPr>
              <w:tab/>
              <w:t>166</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7" w:footer="979" w:top="1060" w:bottom="1160" w:left="0" w:right="0"/>
        </w:sectPr>
      </w:pPr>
    </w:p>
    <w:p>
      <w:pPr>
        <w:spacing w:before="946"/>
        <w:ind w:left="2861" w:right="2860"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今天国际、本公司、公司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深圳市今天国际物流技术股份有限公司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保荐人、保荐机构、华林证券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华林证券股份有限公司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会计师事务所、注册会计师、立信</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 、交易所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同创智</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深圳市同创智软件技术有限公司，今天国际全资软件子公司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新阳物流</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广东新阳物流设备有限公司，曾为今天国际全资子公司，已出售</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今天香港</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今天国际物流科技有限公司（香港</w:t>
            </w:r>
            <w:r>
              <w:rPr>
                <w:rFonts w:ascii="宋体" w:hAnsi="宋体" w:cs="宋体" w:eastAsia="宋体" w:hint="default"/>
                <w:spacing w:val="-90"/>
                <w:sz w:val="18"/>
                <w:szCs w:val="18"/>
              </w:rPr>
              <w:t>）</w:t>
            </w:r>
            <w:r>
              <w:rPr>
                <w:rFonts w:ascii="宋体" w:hAnsi="宋体" w:cs="宋体" w:eastAsia="宋体" w:hint="default"/>
                <w:sz w:val="18"/>
                <w:szCs w:val="18"/>
              </w:rPr>
              <w:t>，今天国际全资子公司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机器人子公司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深圳市今天国际智能机器人有限公司，今天国际全资机器人子公司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安徽中烟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安徽中烟工业有限责任公司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福建中烟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福建中烟工业有限责任公司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湖北中烟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湖北中烟工业有限责任公司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广东中烟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广东中烟工业有限责任公司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贵州中烟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贵州中烟工业有限责任公司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宁德时代新能源</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宁德时代新能源科技股份有限公司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比亚迪</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比亚迪股份有限公司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珠海银隆</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珠海银隆新能源有限公司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西河卫浴</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福建西河卫浴科技有限公司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《深圳市今天国际物流技术股份有限公司公司章程》</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深圳市今天国际物流技术股份有限公司股东大会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深圳市今天国际物流技术股份有限公司董事会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深圳市今天国际物流技术股份有限公司监事会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亿元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亿元</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期末、本期末、报告期末</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624" w:right="0"/>
        <w:jc w:val="left"/>
        <w:rPr>
          <w:b w:val="0"/>
          <w:bCs w:val="0"/>
        </w:rPr>
      </w:pPr>
      <w:bookmarkStart w:name="第二节 公司简介和主要财务指标" w:id="2"/>
      <w:bookmarkEnd w:id="2"/>
      <w:r>
        <w:rPr>
          <w:b w:val="0"/>
          <w:bCs w:val="0"/>
        </w:rPr>
      </w:r>
      <w:bookmarkStart w:name="_bookmark0" w:id="3"/>
      <w:bookmarkEnd w:id="3"/>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pict>
          <v:group style="position:absolute;margin-left:172.339996pt;margin-top:114.735596pt;width:361.5pt;height:19.6pt;mso-position-horizontal-relative:page;mso-position-vertical-relative:paragraph;z-index:-881176" coordorigin="3447,2295" coordsize="7230,392">
            <v:shape style="position:absolute;left:3447;top:2295;width:7230;height:392" coordorigin="3447,2295" coordsize="7230,392" path="m3447,2686l10676,2686,10676,2295,3447,2295,3447,2686xe" filled="true" fillcolor="#ffffff" stroked="false">
              <v:path arrowok="t"/>
              <v:fill type="solid"/>
            </v:shape>
            <w10:wrap type="none"/>
          </v:group>
        </w:pict>
      </w:r>
      <w:bookmarkStart w:name="一、公司信息" w:id="4"/>
      <w:bookmarkEnd w:id="4"/>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今天国际</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300532</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深圳市今天国际物流技术股份有限公司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今天国际</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NEW</w:t>
            </w:r>
            <w:r>
              <w:rPr>
                <w:rFonts w:ascii="Times New Roman"/>
                <w:spacing w:val="-12"/>
                <w:sz w:val="18"/>
              </w:rPr>
              <w:t> </w:t>
            </w:r>
            <w:r>
              <w:rPr>
                <w:rFonts w:ascii="Times New Roman"/>
                <w:sz w:val="18"/>
              </w:rPr>
              <w:t>TREND</w:t>
            </w:r>
            <w:r>
              <w:rPr>
                <w:rFonts w:ascii="Times New Roman"/>
                <w:spacing w:val="-6"/>
                <w:sz w:val="18"/>
              </w:rPr>
              <w:t> </w:t>
            </w:r>
            <w:r>
              <w:rPr>
                <w:rFonts w:ascii="Times New Roman"/>
                <w:sz w:val="18"/>
              </w:rPr>
              <w:t>INTERNATIONAL</w:t>
            </w:r>
            <w:r>
              <w:rPr>
                <w:rFonts w:ascii="Times New Roman"/>
                <w:spacing w:val="-11"/>
                <w:sz w:val="18"/>
              </w:rPr>
              <w:t> </w:t>
            </w:r>
            <w:r>
              <w:rPr>
                <w:rFonts w:ascii="Times New Roman"/>
                <w:sz w:val="18"/>
              </w:rPr>
              <w:t>LOGIS-TECH</w:t>
            </w:r>
            <w:r>
              <w:rPr>
                <w:rFonts w:ascii="Times New Roman"/>
                <w:spacing w:val="-5"/>
                <w:sz w:val="18"/>
              </w:rPr>
              <w:t> </w:t>
            </w:r>
            <w:r>
              <w:rPr>
                <w:rFonts w:ascii="Times New Roman"/>
                <w:spacing w:val="-3"/>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NTI</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邵健伟</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深圳市罗湖区笋岗东路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宝安广场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r>
              <w:rPr>
                <w:rFonts w:ascii="Times New Roman" w:hAnsi="Times New Roman" w:cs="Times New Roman" w:eastAsia="Times New Roman" w:hint="default"/>
                <w:sz w:val="18"/>
                <w:szCs w:val="18"/>
              </w:rPr>
              <w:t>G</w:t>
            </w:r>
            <w:r>
              <w:rPr>
                <w:rFonts w:ascii="宋体" w:hAnsi="宋体" w:cs="宋体" w:eastAsia="宋体" w:hint="default"/>
                <w:sz w:val="18"/>
                <w:szCs w:val="18"/>
              </w:rPr>
              <w:t>、</w:t>
            </w:r>
            <w:r>
              <w:rPr>
                <w:rFonts w:ascii="Times New Roman" w:hAnsi="Times New Roman" w:cs="Times New Roman" w:eastAsia="Times New Roman" w:hint="default"/>
                <w:sz w:val="18"/>
                <w:szCs w:val="18"/>
              </w:rPr>
              <w:t>H</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518020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深圳市罗湖区笋岗东路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宝安广场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r>
              <w:rPr>
                <w:rFonts w:ascii="Times New Roman" w:hAnsi="Times New Roman" w:cs="Times New Roman" w:eastAsia="Times New Roman" w:hint="default"/>
                <w:sz w:val="18"/>
                <w:szCs w:val="18"/>
              </w:rPr>
              <w:t>G</w:t>
            </w:r>
            <w:r>
              <w:rPr>
                <w:rFonts w:ascii="宋体" w:hAnsi="宋体" w:cs="宋体" w:eastAsia="宋体" w:hint="default"/>
                <w:sz w:val="18"/>
                <w:szCs w:val="18"/>
              </w:rPr>
              <w:t>、</w:t>
            </w:r>
            <w:r>
              <w:rPr>
                <w:rFonts w:ascii="Times New Roman" w:hAnsi="Times New Roman" w:cs="Times New Roman" w:eastAsia="Times New Roman" w:hint="default"/>
                <w:sz w:val="18"/>
                <w:szCs w:val="18"/>
              </w:rPr>
              <w:t>H</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518020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http://www.nti56.com/</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info@nti56.com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二、联系人和联系方式" w:id="5"/>
      <w:bookmarkEnd w:id="5"/>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张永清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杨金平</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深圳市罗湖区笋岗东路宝安广场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座</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楼</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深圳市罗湖区笋岗东路宝安广场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座</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楼</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0755-82684590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0755-82684590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0755-25161166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0755-25161166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1">
              <w:r>
                <w:rPr>
                  <w:rFonts w:ascii="Times New Roman"/>
                  <w:sz w:val="18"/>
                </w:rPr>
                <w:t>zhyq@nti56.com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yjp@nti56.com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三、信息披露及备置地点" w:id="6"/>
      <w:bookmarkEnd w:id="6"/>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公司董事会办公室、深圳证券交易所</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四、其他有关资料" w:id="7"/>
      <w:bookmarkEnd w:id="7"/>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after="0" w:line="240" w:lineRule="auto"/>
        <w:jc w:val="lef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上海市南京东路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号新黄浦金融大厦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崔岩、付忠伟</w:t>
            </w:r>
          </w:p>
        </w:tc>
      </w:tr>
    </w:tbl>
    <w:p>
      <w:pPr>
        <w:pStyle w:val="BodyText"/>
        <w:spacing w:line="240" w:lineRule="auto" w:before="51"/>
        <w:ind w:left="1134" w:right="0"/>
        <w:jc w:val="left"/>
      </w:pPr>
      <w:r>
        <w:rPr/>
        <w:t>公司聘请的报告期内履行持续督导职责的保荐机构</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1027"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华林证券股份有限公司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3" w:right="20"/>
              <w:jc w:val="left"/>
              <w:rPr>
                <w:rFonts w:ascii="宋体" w:hAnsi="宋体" w:cs="宋体" w:eastAsia="宋体" w:hint="default"/>
                <w:sz w:val="18"/>
                <w:szCs w:val="18"/>
              </w:rPr>
            </w:pPr>
            <w:r>
              <w:rPr>
                <w:rFonts w:ascii="宋体" w:hAnsi="宋体" w:cs="宋体" w:eastAsia="宋体" w:hint="default"/>
                <w:sz w:val="18"/>
                <w:szCs w:val="18"/>
              </w:rPr>
              <w:t>西藏自治区拉萨市柳梧新区 察古大道</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号君泰国际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栋 一层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朱文瑾、赵桂荣</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1"/>
        <w:ind w:left="1134" w:right="0"/>
        <w:jc w:val="left"/>
      </w:pPr>
      <w:r>
        <w:rPr/>
        <w:t>公司聘请的报告期内履行持续督导职责的财务顾问</w:t>
      </w:r>
    </w:p>
    <w:p>
      <w:pPr>
        <w:pStyle w:val="BodyText"/>
        <w:spacing w:line="240" w:lineRule="auto" w:before="116"/>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五、主要会计数据和财务指标" w:id="8"/>
      <w:bookmarkEnd w:id="8"/>
      <w:r>
        <w:rPr>
          <w:b w:val="0"/>
          <w:bCs w:val="0"/>
        </w:rPr>
      </w:r>
      <w:r>
        <w:rPr/>
        <w:t>五、主要会计数据和财务指标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348" w:lineRule="auto" w:before="117"/>
        <w:ind w:right="9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追溯调整或重述原因 其他原因</w:t>
      </w:r>
    </w:p>
    <w:p>
      <w:pPr>
        <w:spacing w:line="240" w:lineRule="auto" w:before="0"/>
        <w:rPr>
          <w:rFonts w:ascii="宋体" w:hAnsi="宋体" w:cs="宋体" w:eastAsia="宋体" w:hint="default"/>
          <w:sz w:val="2"/>
          <w:szCs w:val="2"/>
        </w:rPr>
      </w:pPr>
    </w:p>
    <w:tbl>
      <w:tblPr>
        <w:tblW w:w="0" w:type="auto"/>
        <w:jc w:val="left"/>
        <w:tblInd w:w="1140" w:type="dxa"/>
        <w:tblLayout w:type="fixed"/>
        <w:tblCellMar>
          <w:top w:w="0" w:type="dxa"/>
          <w:left w:w="0" w:type="dxa"/>
          <w:bottom w:w="0" w:type="dxa"/>
          <w:right w:w="0" w:type="dxa"/>
        </w:tblCellMar>
        <w:tblLook w:val="01E0"/>
      </w:tblPr>
      <w:tblGrid>
        <w:gridCol w:w="2349"/>
        <w:gridCol w:w="1200"/>
        <w:gridCol w:w="1202"/>
        <w:gridCol w:w="1200"/>
        <w:gridCol w:w="1202"/>
        <w:gridCol w:w="1202"/>
        <w:gridCol w:w="1202"/>
      </w:tblGrid>
      <w:tr>
        <w:trPr>
          <w:trHeight w:val="161" w:hRule="exact"/>
        </w:trPr>
        <w:tc>
          <w:tcPr>
            <w:tcW w:w="2349" w:type="dxa"/>
            <w:vMerge w:val="restart"/>
            <w:tcBorders>
              <w:top w:val="single" w:sz="4" w:space="0" w:color="000000"/>
              <w:left w:val="single" w:sz="4" w:space="0" w:color="000000"/>
              <w:right w:val="single" w:sz="4" w:space="0" w:color="000000"/>
            </w:tcBorders>
            <w:shd w:val="clear" w:color="auto" w:fill="D2D2D2"/>
          </w:tcPr>
          <w:p>
            <w:pPr/>
          </w:p>
        </w:tc>
        <w:tc>
          <w:tcPr>
            <w:tcW w:w="1200" w:type="dxa"/>
            <w:vMerge w:val="restart"/>
            <w:tcBorders>
              <w:top w:val="single" w:sz="4" w:space="0" w:color="000000"/>
              <w:left w:val="single" w:sz="4" w:space="0" w:color="000000"/>
              <w:right w:val="single" w:sz="4" w:space="0" w:color="000000"/>
            </w:tcBorders>
            <w:shd w:val="clear" w:color="auto" w:fill="D2D2D2"/>
          </w:tcPr>
          <w:p>
            <w:pPr/>
          </w:p>
        </w:tc>
        <w:tc>
          <w:tcPr>
            <w:tcW w:w="240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0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506" w:right="53" w:hanging="450"/>
              <w:jc w:val="left"/>
              <w:rPr>
                <w:rFonts w:ascii="宋体" w:hAnsi="宋体" w:cs="宋体" w:eastAsia="宋体" w:hint="default"/>
                <w:sz w:val="18"/>
                <w:szCs w:val="18"/>
              </w:rPr>
            </w:pPr>
            <w:r>
              <w:rPr>
                <w:rFonts w:ascii="宋体" w:hAnsi="宋体" w:cs="宋体" w:eastAsia="宋体" w:hint="default"/>
                <w:sz w:val="18"/>
                <w:szCs w:val="18"/>
              </w:rPr>
              <w:t>本年比上年增 减</w:t>
            </w:r>
          </w:p>
        </w:tc>
        <w:tc>
          <w:tcPr>
            <w:tcW w:w="24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2" w:hRule="exact"/>
        </w:trPr>
        <w:tc>
          <w:tcPr>
            <w:tcW w:w="2349" w:type="dxa"/>
            <w:vMerge/>
            <w:tcBorders>
              <w:left w:val="single" w:sz="4" w:space="0" w:color="000000"/>
              <w:bottom w:val="nil" w:sz="6" w:space="0" w:color="auto"/>
              <w:right w:val="single" w:sz="4" w:space="0" w:color="000000"/>
            </w:tcBorders>
            <w:shd w:val="clear" w:color="auto" w:fill="D2D2D2"/>
          </w:tcPr>
          <w:p>
            <w:pPr/>
          </w:p>
        </w:tc>
        <w:tc>
          <w:tcPr>
            <w:tcW w:w="1200" w:type="dxa"/>
            <w:vMerge/>
            <w:tcBorders>
              <w:left w:val="single" w:sz="4" w:space="0" w:color="000000"/>
              <w:bottom w:val="nil" w:sz="6" w:space="0" w:color="auto"/>
              <w:right w:val="single" w:sz="4" w:space="0" w:color="000000"/>
            </w:tcBorders>
            <w:shd w:val="clear" w:color="auto" w:fill="D2D2D2"/>
          </w:tcPr>
          <w:p>
            <w:pPr/>
          </w:p>
        </w:tc>
        <w:tc>
          <w:tcPr>
            <w:tcW w:w="240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02" w:type="dxa"/>
            <w:vMerge/>
            <w:tcBorders>
              <w:left w:val="single" w:sz="4" w:space="0" w:color="000000"/>
              <w:right w:val="single" w:sz="4" w:space="0" w:color="000000"/>
            </w:tcBorders>
            <w:shd w:val="clear" w:color="auto" w:fill="D2D2D2"/>
          </w:tcPr>
          <w:p>
            <w:pPr/>
          </w:p>
        </w:tc>
        <w:tc>
          <w:tcPr>
            <w:tcW w:w="24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191" w:hRule="exact"/>
        </w:trPr>
        <w:tc>
          <w:tcPr>
            <w:tcW w:w="2349" w:type="dxa"/>
            <w:vMerge w:val="restart"/>
            <w:tcBorders>
              <w:top w:val="nil" w:sz="6" w:space="0" w:color="auto"/>
              <w:left w:val="single" w:sz="4" w:space="0" w:color="000000"/>
              <w:right w:val="single" w:sz="4" w:space="0" w:color="000000"/>
            </w:tcBorders>
            <w:shd w:val="clear" w:color="auto" w:fill="D2D2D2"/>
          </w:tcPr>
          <w:p>
            <w:pPr/>
          </w:p>
        </w:tc>
        <w:tc>
          <w:tcPr>
            <w:tcW w:w="12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2" w:type="dxa"/>
            <w:gridSpan w:val="2"/>
            <w:vMerge/>
            <w:tcBorders>
              <w:left w:val="single" w:sz="4" w:space="0" w:color="000000"/>
              <w:bottom w:val="nil" w:sz="6" w:space="0" w:color="auto"/>
              <w:right w:val="single" w:sz="4" w:space="0" w:color="000000"/>
            </w:tcBorders>
            <w:shd w:val="clear" w:color="auto" w:fill="D2D2D2"/>
          </w:tcPr>
          <w:p>
            <w:pPr/>
          </w:p>
        </w:tc>
        <w:tc>
          <w:tcPr>
            <w:tcW w:w="1202" w:type="dxa"/>
            <w:vMerge/>
            <w:tcBorders>
              <w:left w:val="single" w:sz="4" w:space="0" w:color="000000"/>
              <w:right w:val="single" w:sz="4" w:space="0" w:color="000000"/>
            </w:tcBorders>
            <w:shd w:val="clear" w:color="auto" w:fill="D2D2D2"/>
          </w:tcPr>
          <w:p>
            <w:pPr/>
          </w:p>
        </w:tc>
        <w:tc>
          <w:tcPr>
            <w:tcW w:w="2405" w:type="dxa"/>
            <w:gridSpan w:val="2"/>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2349" w:type="dxa"/>
            <w:vMerge/>
            <w:tcBorders>
              <w:left w:val="single" w:sz="4" w:space="0" w:color="000000"/>
              <w:bottom w:val="nil" w:sz="6" w:space="0" w:color="auto"/>
              <w:right w:val="single" w:sz="4" w:space="0" w:color="000000"/>
            </w:tcBorders>
            <w:shd w:val="clear" w:color="auto" w:fill="D2D2D2"/>
          </w:tcPr>
          <w:p>
            <w:pPr/>
          </w:p>
        </w:tc>
        <w:tc>
          <w:tcPr>
            <w:tcW w:w="1200" w:type="dxa"/>
            <w:vMerge/>
            <w:tcBorders>
              <w:left w:val="single" w:sz="4" w:space="0" w:color="000000"/>
              <w:bottom w:val="nil" w:sz="6" w:space="0" w:color="auto"/>
              <w:right w:val="single" w:sz="4" w:space="0" w:color="000000"/>
            </w:tcBorders>
            <w:shd w:val="clear" w:color="auto" w:fill="D2D2D2"/>
          </w:tcPr>
          <w:p>
            <w:pPr/>
          </w:p>
        </w:tc>
        <w:tc>
          <w:tcPr>
            <w:tcW w:w="240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c>
          <w:tcPr>
            <w:tcW w:w="24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23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2" w:hRule="exact"/>
        </w:trPr>
        <w:tc>
          <w:tcPr>
            <w:tcW w:w="2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569,617,745.01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398,637,531.94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398,637,531.94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42.89%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507,242,470.42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507,242,470.42</w:t>
            </w:r>
          </w:p>
        </w:tc>
      </w:tr>
      <w:tr>
        <w:trPr>
          <w:trHeight w:val="714" w:hRule="exact"/>
        </w:trPr>
        <w:tc>
          <w:tcPr>
            <w:tcW w:w="2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6"/>
              <w:jc w:val="left"/>
              <w:rPr>
                <w:rFonts w:ascii="宋体" w:hAnsi="宋体" w:cs="宋体" w:eastAsia="宋体" w:hint="default"/>
                <w:sz w:val="18"/>
                <w:szCs w:val="18"/>
              </w:rPr>
            </w:pPr>
            <w:r>
              <w:rPr>
                <w:rFonts w:ascii="宋体" w:hAnsi="宋体" w:cs="宋体" w:eastAsia="宋体" w:hint="default"/>
                <w:sz w:val="18"/>
                <w:szCs w:val="18"/>
              </w:rPr>
              <w:t>归属于上市公司股东的净利 润（元）</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93,204,793.30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54,640,292.85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54,640,292.85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70.58%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62,302,752.07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62,302,752.07</w:t>
            </w:r>
          </w:p>
        </w:tc>
      </w:tr>
      <w:tr>
        <w:trPr>
          <w:trHeight w:val="714" w:hRule="exact"/>
        </w:trPr>
        <w:tc>
          <w:tcPr>
            <w:tcW w:w="2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2"/>
              <w:jc w:val="left"/>
              <w:rPr>
                <w:rFonts w:ascii="宋体" w:hAnsi="宋体" w:cs="宋体" w:eastAsia="宋体" w:hint="default"/>
                <w:sz w:val="18"/>
                <w:szCs w:val="18"/>
              </w:rPr>
            </w:pPr>
            <w:r>
              <w:rPr>
                <w:rFonts w:ascii="宋体" w:hAnsi="宋体" w:cs="宋体" w:eastAsia="宋体" w:hint="default"/>
                <w:sz w:val="18"/>
                <w:szCs w:val="18"/>
              </w:rPr>
              <w:t>归属于上市公司股东的扣除 非经常性损益的净利润（元）</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81,116,980.56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49,331,187.42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49,331,187.42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64.43%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59,658,962.23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59,658,962.23</w:t>
            </w:r>
          </w:p>
        </w:tc>
      </w:tr>
      <w:tr>
        <w:trPr>
          <w:trHeight w:val="714" w:hRule="exact"/>
        </w:trPr>
        <w:tc>
          <w:tcPr>
            <w:tcW w:w="2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6"/>
              <w:jc w:val="left"/>
              <w:rPr>
                <w:rFonts w:ascii="宋体" w:hAnsi="宋体" w:cs="宋体" w:eastAsia="宋体" w:hint="default"/>
                <w:sz w:val="18"/>
                <w:szCs w:val="18"/>
              </w:rPr>
            </w:pPr>
            <w:r>
              <w:rPr>
                <w:rFonts w:ascii="宋体" w:hAnsi="宋体" w:cs="宋体" w:eastAsia="宋体" w:hint="default"/>
                <w:sz w:val="18"/>
                <w:szCs w:val="18"/>
              </w:rPr>
              <w:t>经营活动产生的现金流量净 额（元）</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-71,527.92</w:t>
            </w:r>
            <w:r>
              <w:rPr>
                <w:rFonts w:ascii="Times New Roman"/>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-1,549,029.33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-1,549,029.33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-95.38%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9,523,483.28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9,523,483.28</w:t>
            </w:r>
          </w:p>
        </w:tc>
      </w:tr>
      <w:tr>
        <w:trPr>
          <w:trHeight w:val="402" w:hRule="exact"/>
        </w:trPr>
        <w:tc>
          <w:tcPr>
            <w:tcW w:w="2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9"/>
              <w:jc w:val="right"/>
              <w:rPr>
                <w:rFonts w:ascii="Times New Roman" w:hAnsi="Times New Roman" w:cs="Times New Roman" w:eastAsia="Times New Roman" w:hint="default"/>
                <w:sz w:val="12"/>
                <w:szCs w:val="12"/>
              </w:rPr>
            </w:pPr>
            <w:r>
              <w:rPr>
                <w:rFonts w:ascii="Times New Roman"/>
                <w:sz w:val="18"/>
              </w:rPr>
              <w:t>0.41</w:t>
            </w:r>
            <w:r>
              <w:rPr>
                <w:rFonts w:ascii="Times New Roman"/>
                <w:color w:val="FF0000"/>
                <w:position w:val="8"/>
                <w:sz w:val="12"/>
              </w:rPr>
              <w:t>01</w:t>
            </w:r>
            <w:r>
              <w:rPr>
                <w:rFonts w:ascii="Times New Roman"/>
                <w:sz w:val="12"/>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48.78%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Times New Roman" w:hAnsi="Times New Roman" w:cs="Times New Roman" w:eastAsia="Times New Roman" w:hint="default"/>
                <w:sz w:val="12"/>
                <w:szCs w:val="12"/>
              </w:rPr>
            </w:pPr>
            <w:r>
              <w:rPr>
                <w:rFonts w:ascii="Times New Roman"/>
                <w:sz w:val="18"/>
              </w:rPr>
              <w:t>0.49</w:t>
            </w:r>
            <w:r>
              <w:rPr>
                <w:rFonts w:ascii="Times New Roman"/>
                <w:color w:val="FF0000"/>
                <w:position w:val="8"/>
                <w:sz w:val="12"/>
              </w:rPr>
              <w:t>02</w:t>
            </w:r>
            <w:r>
              <w:rPr>
                <w:rFonts w:ascii="Times New Roman"/>
                <w:sz w:val="12"/>
              </w:rPr>
            </w:r>
          </w:p>
        </w:tc>
      </w:tr>
      <w:tr>
        <w:trPr>
          <w:trHeight w:val="402" w:hRule="exact"/>
        </w:trPr>
        <w:tc>
          <w:tcPr>
            <w:tcW w:w="2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9"/>
              <w:jc w:val="right"/>
              <w:rPr>
                <w:rFonts w:ascii="Times New Roman" w:hAnsi="Times New Roman" w:cs="Times New Roman" w:eastAsia="Times New Roman" w:hint="default"/>
                <w:sz w:val="12"/>
                <w:szCs w:val="12"/>
              </w:rPr>
            </w:pPr>
            <w:r>
              <w:rPr>
                <w:rFonts w:ascii="Times New Roman"/>
                <w:sz w:val="18"/>
              </w:rPr>
              <w:t>0.41</w:t>
            </w:r>
            <w:r>
              <w:rPr>
                <w:rFonts w:ascii="Times New Roman"/>
                <w:color w:val="FF0000"/>
                <w:position w:val="8"/>
                <w:sz w:val="12"/>
              </w:rPr>
              <w:t>01</w:t>
            </w:r>
            <w:r>
              <w:rPr>
                <w:rFonts w:ascii="Times New Roman"/>
                <w:sz w:val="12"/>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48.78%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Times New Roman" w:hAnsi="Times New Roman" w:cs="Times New Roman" w:eastAsia="Times New Roman" w:hint="default"/>
                <w:sz w:val="12"/>
                <w:szCs w:val="12"/>
              </w:rPr>
            </w:pPr>
            <w:r>
              <w:rPr>
                <w:rFonts w:ascii="Times New Roman"/>
                <w:sz w:val="18"/>
              </w:rPr>
              <w:t>0.49</w:t>
            </w:r>
            <w:r>
              <w:rPr>
                <w:rFonts w:ascii="Times New Roman"/>
                <w:color w:val="FF0000"/>
                <w:position w:val="8"/>
                <w:sz w:val="12"/>
              </w:rPr>
              <w:t>02</w:t>
            </w:r>
            <w:r>
              <w:rPr>
                <w:rFonts w:ascii="Times New Roman"/>
                <w:sz w:val="12"/>
              </w:rPr>
            </w:r>
          </w:p>
        </w:tc>
      </w:tr>
      <w:tr>
        <w:trPr>
          <w:trHeight w:val="402" w:hRule="exact"/>
        </w:trPr>
        <w:tc>
          <w:tcPr>
            <w:tcW w:w="2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17.73%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17.73%</w:t>
            </w:r>
          </w:p>
        </w:tc>
      </w:tr>
      <w:tr>
        <w:trPr>
          <w:trHeight w:val="161" w:hRule="exact"/>
        </w:trPr>
        <w:tc>
          <w:tcPr>
            <w:tcW w:w="2349" w:type="dxa"/>
            <w:vMerge w:val="restart"/>
            <w:tcBorders>
              <w:top w:val="single" w:sz="4" w:space="0" w:color="000000"/>
              <w:left w:val="single" w:sz="4" w:space="0" w:color="000000"/>
              <w:right w:val="single" w:sz="4" w:space="0" w:color="000000"/>
            </w:tcBorders>
            <w:shd w:val="clear" w:color="auto" w:fill="D2D2D2"/>
          </w:tcPr>
          <w:p>
            <w:pPr/>
          </w:p>
        </w:tc>
        <w:tc>
          <w:tcPr>
            <w:tcW w:w="1200" w:type="dxa"/>
            <w:vMerge w:val="restart"/>
            <w:tcBorders>
              <w:top w:val="single" w:sz="4" w:space="0" w:color="000000"/>
              <w:left w:val="single" w:sz="4" w:space="0" w:color="000000"/>
              <w:right w:val="single" w:sz="4" w:space="0" w:color="000000"/>
            </w:tcBorders>
            <w:shd w:val="clear" w:color="auto" w:fill="D2D2D2"/>
          </w:tcPr>
          <w:p>
            <w:pPr/>
          </w:p>
        </w:tc>
        <w:tc>
          <w:tcPr>
            <w:tcW w:w="240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0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6" w:right="53" w:hanging="270"/>
              <w:jc w:val="left"/>
              <w:rPr>
                <w:rFonts w:ascii="宋体" w:hAnsi="宋体" w:cs="宋体" w:eastAsia="宋体" w:hint="default"/>
                <w:sz w:val="18"/>
                <w:szCs w:val="18"/>
              </w:rPr>
            </w:pPr>
            <w:r>
              <w:rPr>
                <w:rFonts w:ascii="宋体" w:hAnsi="宋体" w:cs="宋体" w:eastAsia="宋体" w:hint="default"/>
                <w:sz w:val="18"/>
                <w:szCs w:val="18"/>
              </w:rPr>
              <w:t>本年末比上年 末增减</w:t>
            </w:r>
          </w:p>
        </w:tc>
        <w:tc>
          <w:tcPr>
            <w:tcW w:w="24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2" w:hRule="exact"/>
        </w:trPr>
        <w:tc>
          <w:tcPr>
            <w:tcW w:w="2349" w:type="dxa"/>
            <w:vMerge/>
            <w:tcBorders>
              <w:left w:val="single" w:sz="4" w:space="0" w:color="000000"/>
              <w:bottom w:val="nil" w:sz="6" w:space="0" w:color="auto"/>
              <w:right w:val="single" w:sz="4" w:space="0" w:color="000000"/>
            </w:tcBorders>
            <w:shd w:val="clear" w:color="auto" w:fill="D2D2D2"/>
          </w:tcPr>
          <w:p>
            <w:pPr/>
          </w:p>
        </w:tc>
        <w:tc>
          <w:tcPr>
            <w:tcW w:w="1200" w:type="dxa"/>
            <w:vMerge/>
            <w:tcBorders>
              <w:left w:val="single" w:sz="4" w:space="0" w:color="000000"/>
              <w:bottom w:val="nil" w:sz="6" w:space="0" w:color="auto"/>
              <w:right w:val="single" w:sz="4" w:space="0" w:color="000000"/>
            </w:tcBorders>
            <w:shd w:val="clear" w:color="auto" w:fill="D2D2D2"/>
          </w:tcPr>
          <w:p>
            <w:pPr/>
          </w:p>
        </w:tc>
        <w:tc>
          <w:tcPr>
            <w:tcW w:w="240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202" w:type="dxa"/>
            <w:vMerge/>
            <w:tcBorders>
              <w:left w:val="single" w:sz="4" w:space="0" w:color="000000"/>
              <w:right w:val="single" w:sz="4" w:space="0" w:color="000000"/>
            </w:tcBorders>
            <w:shd w:val="clear" w:color="auto" w:fill="D2D2D2"/>
          </w:tcPr>
          <w:p>
            <w:pPr/>
          </w:p>
        </w:tc>
        <w:tc>
          <w:tcPr>
            <w:tcW w:w="24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191" w:hRule="exact"/>
        </w:trPr>
        <w:tc>
          <w:tcPr>
            <w:tcW w:w="2349" w:type="dxa"/>
            <w:vMerge w:val="restart"/>
            <w:tcBorders>
              <w:top w:val="nil" w:sz="6" w:space="0" w:color="auto"/>
              <w:left w:val="single" w:sz="4" w:space="0" w:color="000000"/>
              <w:right w:val="single" w:sz="4" w:space="0" w:color="000000"/>
            </w:tcBorders>
            <w:shd w:val="clear" w:color="auto" w:fill="D2D2D2"/>
          </w:tcPr>
          <w:p>
            <w:pPr/>
          </w:p>
        </w:tc>
        <w:tc>
          <w:tcPr>
            <w:tcW w:w="12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402" w:type="dxa"/>
            <w:gridSpan w:val="2"/>
            <w:vMerge/>
            <w:tcBorders>
              <w:left w:val="single" w:sz="4" w:space="0" w:color="000000"/>
              <w:bottom w:val="nil" w:sz="6" w:space="0" w:color="auto"/>
              <w:right w:val="single" w:sz="4" w:space="0" w:color="000000"/>
            </w:tcBorders>
            <w:shd w:val="clear" w:color="auto" w:fill="D2D2D2"/>
          </w:tcPr>
          <w:p>
            <w:pPr/>
          </w:p>
        </w:tc>
        <w:tc>
          <w:tcPr>
            <w:tcW w:w="1202" w:type="dxa"/>
            <w:vMerge/>
            <w:tcBorders>
              <w:left w:val="single" w:sz="4" w:space="0" w:color="000000"/>
              <w:right w:val="single" w:sz="4" w:space="0" w:color="000000"/>
            </w:tcBorders>
            <w:shd w:val="clear" w:color="auto" w:fill="D2D2D2"/>
          </w:tcPr>
          <w:p>
            <w:pPr/>
          </w:p>
        </w:tc>
        <w:tc>
          <w:tcPr>
            <w:tcW w:w="2405" w:type="dxa"/>
            <w:gridSpan w:val="2"/>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2349" w:type="dxa"/>
            <w:vMerge/>
            <w:tcBorders>
              <w:left w:val="single" w:sz="4" w:space="0" w:color="000000"/>
              <w:bottom w:val="nil" w:sz="6" w:space="0" w:color="auto"/>
              <w:right w:val="single" w:sz="4" w:space="0" w:color="000000"/>
            </w:tcBorders>
            <w:shd w:val="clear" w:color="auto" w:fill="D2D2D2"/>
          </w:tcPr>
          <w:p>
            <w:pPr/>
          </w:p>
        </w:tc>
        <w:tc>
          <w:tcPr>
            <w:tcW w:w="1200" w:type="dxa"/>
            <w:vMerge/>
            <w:tcBorders>
              <w:left w:val="single" w:sz="4" w:space="0" w:color="000000"/>
              <w:bottom w:val="nil" w:sz="6" w:space="0" w:color="auto"/>
              <w:right w:val="single" w:sz="4" w:space="0" w:color="000000"/>
            </w:tcBorders>
            <w:shd w:val="clear" w:color="auto" w:fill="D2D2D2"/>
          </w:tcPr>
          <w:p>
            <w:pPr/>
          </w:p>
        </w:tc>
        <w:tc>
          <w:tcPr>
            <w:tcW w:w="240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c>
          <w:tcPr>
            <w:tcW w:w="24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23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126" w:hRule="exact"/>
        </w:trPr>
        <w:tc>
          <w:tcPr>
            <w:tcW w:w="23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0" w:type="dxa"/>
            <w:vMerge w:val="restart"/>
            <w:tcBorders>
              <w:top w:val="single" w:sz="4" w:space="0" w:color="000000"/>
              <w:left w:val="single" w:sz="13" w:space="0" w:color="D2D2D2"/>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4" w:right="0"/>
              <w:jc w:val="left"/>
              <w:rPr>
                <w:rFonts w:ascii="Times New Roman" w:hAnsi="Times New Roman" w:cs="Times New Roman" w:eastAsia="Times New Roman" w:hint="default"/>
                <w:sz w:val="16"/>
                <w:szCs w:val="16"/>
              </w:rPr>
            </w:pPr>
            <w:r>
              <w:rPr>
                <w:rFonts w:ascii="Times New Roman"/>
                <w:sz w:val="16"/>
              </w:rPr>
              <w:t>1,300,873,384.06</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7" w:right="0"/>
              <w:jc w:val="left"/>
              <w:rPr>
                <w:rFonts w:ascii="Times New Roman" w:hAnsi="Times New Roman" w:cs="Times New Roman" w:eastAsia="Times New Roman" w:hint="default"/>
                <w:sz w:val="16"/>
                <w:szCs w:val="16"/>
              </w:rPr>
            </w:pPr>
            <w:r>
              <w:rPr>
                <w:rFonts w:ascii="Times New Roman"/>
                <w:sz w:val="16"/>
              </w:rPr>
              <w:t>1,160,780,992.99</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7" w:right="0"/>
              <w:jc w:val="left"/>
              <w:rPr>
                <w:rFonts w:ascii="Times New Roman" w:hAnsi="Times New Roman" w:cs="Times New Roman" w:eastAsia="Times New Roman" w:hint="default"/>
                <w:sz w:val="16"/>
                <w:szCs w:val="16"/>
              </w:rPr>
            </w:pPr>
            <w:r>
              <w:rPr>
                <w:rFonts w:ascii="Times New Roman"/>
                <w:sz w:val="16"/>
              </w:rPr>
              <w:t>1,160,780,992.99</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614" w:right="0"/>
              <w:jc w:val="left"/>
              <w:rPr>
                <w:rFonts w:ascii="Times New Roman" w:hAnsi="Times New Roman" w:cs="Times New Roman" w:eastAsia="Times New Roman" w:hint="default"/>
                <w:sz w:val="18"/>
                <w:szCs w:val="18"/>
              </w:rPr>
            </w:pPr>
            <w:r>
              <w:rPr>
                <w:rFonts w:ascii="Times New Roman"/>
                <w:sz w:val="18"/>
              </w:rPr>
              <w:t>12.07%</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797,506,743.43</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797,506,743.43</w:t>
            </w:r>
          </w:p>
        </w:tc>
      </w:tr>
      <w:tr>
        <w:trPr>
          <w:trHeight w:val="518" w:hRule="exact"/>
        </w:trPr>
        <w:tc>
          <w:tcPr>
            <w:tcW w:w="234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200" w:type="dxa"/>
            <w:vMerge/>
            <w:tcBorders>
              <w:left w:val="single" w:sz="13" w:space="0" w:color="D2D2D2"/>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r>
      <w:tr>
        <w:trPr>
          <w:trHeight w:val="715" w:hRule="exact"/>
        </w:trPr>
        <w:tc>
          <w:tcPr>
            <w:tcW w:w="2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6"/>
              <w:jc w:val="left"/>
              <w:rPr>
                <w:rFonts w:ascii="宋体" w:hAnsi="宋体" w:cs="宋体" w:eastAsia="宋体" w:hint="default"/>
                <w:sz w:val="18"/>
                <w:szCs w:val="18"/>
              </w:rPr>
            </w:pPr>
            <w:r>
              <w:rPr>
                <w:rFonts w:ascii="宋体" w:hAnsi="宋体" w:cs="宋体" w:eastAsia="宋体" w:hint="default"/>
                <w:sz w:val="18"/>
                <w:szCs w:val="18"/>
              </w:rPr>
              <w:t>归属于上市公司股东的净资 产（元）</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784,093,322.48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732,309,459.04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732,309,459.04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367,129,250.80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367,129,250.80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300" w:lineRule="auto" w:before="44"/>
        <w:ind w:left="1134" w:right="0"/>
        <w:jc w:val="left"/>
      </w:pPr>
      <w:r>
        <w:rPr/>
        <w:t>注：</w:t>
      </w:r>
      <w:r>
        <w:rPr>
          <w:rFonts w:ascii="Times New Roman" w:hAnsi="Times New Roman" w:cs="Times New Roman" w:eastAsia="Times New Roman" w:hint="default"/>
        </w:rPr>
        <w:t>01</w:t>
      </w:r>
      <w:r>
        <w:rPr>
          <w:rFonts w:ascii="Times New Roman" w:hAnsi="Times New Roman" w:cs="Times New Roman" w:eastAsia="Times New Roman" w:hint="default"/>
          <w:spacing w:val="7"/>
        </w:rPr>
        <w:t> </w:t>
      </w:r>
      <w:r>
        <w:rPr/>
        <w:t>报告期内资本公积转增股本而增加公司总股本，但不影响股东权益金额。根据企业会计准则的相关规定，按最新股 本调整并列报基本每股收益和稀释每股收益。</w:t>
      </w:r>
    </w:p>
    <w:p>
      <w:pPr>
        <w:pStyle w:val="BodyText"/>
        <w:spacing w:line="302" w:lineRule="auto" w:before="70"/>
        <w:ind w:right="0"/>
        <w:jc w:val="left"/>
      </w:pPr>
      <w:r>
        <w:rPr>
          <w:rFonts w:ascii="Times New Roman" w:hAnsi="Times New Roman" w:cs="Times New Roman" w:eastAsia="Times New Roman" w:hint="default"/>
        </w:rPr>
        <w:t>02</w:t>
      </w:r>
      <w:r>
        <w:rPr>
          <w:rFonts w:ascii="Times New Roman" w:hAnsi="Times New Roman" w:cs="Times New Roman" w:eastAsia="Times New Roman" w:hint="default"/>
          <w:spacing w:val="7"/>
        </w:rPr>
        <w:t> </w:t>
      </w:r>
      <w:r>
        <w:rPr/>
        <w:t>报告期内资本公积转增股本而增加公司总股本，但不影响股东权益金额。根据企业会计准则的相关规定，按最新股本调 整并列报基本每股收益和稀释每股收益。</w:t>
      </w:r>
    </w:p>
    <w:p>
      <w:pPr>
        <w:pStyle w:val="BodyText"/>
        <w:spacing w:line="302" w:lineRule="auto" w:before="69"/>
        <w:ind w:right="0"/>
        <w:jc w:val="left"/>
      </w:pPr>
      <w:r>
        <w:rPr>
          <w:rFonts w:ascii="Times New Roman" w:hAnsi="Times New Roman" w:cs="Times New Roman" w:eastAsia="Times New Roman" w:hint="default"/>
        </w:rPr>
        <w:t>01</w:t>
      </w:r>
      <w:r>
        <w:rPr>
          <w:rFonts w:ascii="Times New Roman" w:hAnsi="Times New Roman" w:cs="Times New Roman" w:eastAsia="Times New Roman" w:hint="default"/>
          <w:spacing w:val="7"/>
        </w:rPr>
        <w:t> </w:t>
      </w:r>
      <w:r>
        <w:rPr/>
        <w:t>报告期内资本公积转增股本而增加公司总股本，但不影响股东权益金额。根据企业会计准则的相关规定，按最新股本调 整并列报基本每股收益和稀释每股收益。</w:t>
      </w:r>
    </w:p>
    <w:p>
      <w:pPr>
        <w:pStyle w:val="BodyText"/>
        <w:spacing w:line="302" w:lineRule="auto" w:before="68"/>
        <w:ind w:right="0"/>
        <w:jc w:val="left"/>
      </w:pPr>
      <w:r>
        <w:rPr>
          <w:rFonts w:ascii="Times New Roman" w:hAnsi="Times New Roman" w:cs="Times New Roman" w:eastAsia="Times New Roman" w:hint="default"/>
        </w:rPr>
        <w:t>02</w:t>
      </w:r>
      <w:r>
        <w:rPr>
          <w:rFonts w:ascii="Times New Roman" w:hAnsi="Times New Roman" w:cs="Times New Roman" w:eastAsia="Times New Roman" w:hint="default"/>
          <w:spacing w:val="7"/>
        </w:rPr>
        <w:t> </w:t>
      </w:r>
      <w:r>
        <w:rPr/>
        <w:t>报告期内资本公积转增股本而增加公司总股本，但不影响股东权益金额。根据企业会计准则的相关规定，按最新股本调 整并列报基本每股收益和稀释每股收益。</w:t>
      </w:r>
    </w:p>
    <w:p>
      <w:pPr>
        <w:spacing w:line="240" w:lineRule="auto" w:before="5"/>
        <w:rPr>
          <w:rFonts w:ascii="宋体" w:hAnsi="宋体" w:cs="宋体" w:eastAsia="宋体" w:hint="default"/>
          <w:sz w:val="21"/>
          <w:szCs w:val="21"/>
        </w:rPr>
      </w:pPr>
    </w:p>
    <w:p>
      <w:pPr>
        <w:pStyle w:val="Heading2"/>
        <w:spacing w:line="240" w:lineRule="auto"/>
        <w:ind w:right="0"/>
        <w:jc w:val="left"/>
        <w:rPr>
          <w:b w:val="0"/>
          <w:bCs w:val="0"/>
        </w:rPr>
      </w:pPr>
      <w:bookmarkStart w:name="六、分季度主要财务指标" w:id="9"/>
      <w:bookmarkEnd w:id="9"/>
      <w:r>
        <w:rPr>
          <w:b w:val="0"/>
          <w:bCs w:val="0"/>
        </w:rPr>
      </w:r>
      <w:r>
        <w:rPr/>
        <w:t>六、分季度主要财务指标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53,671,739.32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116,229,858.38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239,353,838.56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160,362,308.75</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9,997,365.94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11,711,579.24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41,047,314.33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30,448,533.79</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4,555,221.06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9,793,155.49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38,692,635.65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28,075,968.36</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-45,012,174.36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36,134,068.43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-48,263,933.15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57,070,511.16</w:t>
            </w:r>
          </w:p>
        </w:tc>
      </w:tr>
    </w:tbl>
    <w:p>
      <w:pPr>
        <w:pStyle w:val="BodyText"/>
        <w:spacing w:line="240" w:lineRule="auto" w:before="51"/>
        <w:ind w:left="1134" w:right="0"/>
        <w:jc w:val="left"/>
      </w:pPr>
      <w:r>
        <w:rPr/>
        <w:t>上述财务指标或其加总数是否与公司已披露季度报告、半年度报告相关财务指标存在重大差异</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七、境内外会计准则下会计数据差异" w:id="10"/>
      <w:bookmarkEnd w:id="10"/>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照中国会计准则披露的财务报告中净利润和净资产差异情况" w:id="11"/>
      <w:bookmarkEnd w:id="11"/>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同时按照境外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八、非经常性损益项目及金额" w:id="13"/>
      <w:bookmarkEnd w:id="13"/>
      <w:r>
        <w:rPr>
          <w:b w:val="0"/>
          <w:bCs w:val="0"/>
        </w:rPr>
      </w:r>
      <w:r>
        <w:rPr/>
        <w:t>八、非经常性损益项目及金额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00" w:hRule="exact"/>
        </w:trPr>
        <w:tc>
          <w:tcPr>
            <w:tcW w:w="32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0" w:type="dxa"/>
            <w:vMerge w:val="restart"/>
            <w:tcBorders>
              <w:top w:val="single" w:sz="4" w:space="0" w:color="000000"/>
              <w:left w:val="single" w:sz="13" w:space="0" w:color="D2D2D2"/>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530" w:right="0"/>
              <w:jc w:val="left"/>
              <w:rPr>
                <w:rFonts w:ascii="Times New Roman" w:hAnsi="Times New Roman" w:cs="Times New Roman" w:eastAsia="Times New Roman" w:hint="default"/>
                <w:sz w:val="18"/>
                <w:szCs w:val="18"/>
              </w:rPr>
            </w:pPr>
            <w:r>
              <w:rPr>
                <w:rFonts w:ascii="Times New Roman"/>
                <w:sz w:val="18"/>
              </w:rPr>
              <w:t>3,769,757.01</w:t>
            </w: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768" w:right="0"/>
              <w:jc w:val="left"/>
              <w:rPr>
                <w:rFonts w:ascii="Times New Roman" w:hAnsi="Times New Roman" w:cs="Times New Roman" w:eastAsia="Times New Roman" w:hint="default"/>
                <w:sz w:val="18"/>
                <w:szCs w:val="18"/>
              </w:rPr>
            </w:pPr>
            <w:r>
              <w:rPr>
                <w:rFonts w:ascii="Times New Roman"/>
                <w:sz w:val="18"/>
              </w:rPr>
              <w:t>92,292.31</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799" w:right="0"/>
              <w:jc w:val="left"/>
              <w:rPr>
                <w:rFonts w:ascii="Times New Roman" w:hAnsi="Times New Roman" w:cs="Times New Roman" w:eastAsia="Times New Roman" w:hint="default"/>
                <w:sz w:val="18"/>
                <w:szCs w:val="18"/>
              </w:rPr>
            </w:pPr>
            <w:r>
              <w:rPr>
                <w:rFonts w:ascii="Times New Roman"/>
                <w:sz w:val="18"/>
              </w:rPr>
              <w:t>-1,656.35</w:t>
            </w:r>
          </w:p>
        </w:tc>
        <w:tc>
          <w:tcPr>
            <w:tcW w:w="1710" w:type="dxa"/>
            <w:vMerge w:val="restart"/>
            <w:tcBorders>
              <w:top w:val="single" w:sz="4" w:space="0" w:color="000000"/>
              <w:left w:val="single" w:sz="4" w:space="0" w:color="000000"/>
              <w:right w:val="single" w:sz="4" w:space="0" w:color="000000"/>
            </w:tcBorders>
          </w:tcPr>
          <w:p>
            <w:pPr/>
          </w:p>
        </w:tc>
      </w:tr>
      <w:tr>
        <w:trPr>
          <w:trHeight w:val="804" w:hRule="exact"/>
        </w:trPr>
        <w:tc>
          <w:tcPr>
            <w:tcW w:w="329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0" w:type="dxa"/>
            <w:vMerge/>
            <w:tcBorders>
              <w:left w:val="single" w:sz="13" w:space="0" w:color="D2D2D2"/>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0"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1026"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6,965,771.02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4,977,563.55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3,429,957.05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5,288,905.04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1,236,712.33</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590"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6"/>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-1,803,476.90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-60,561.80</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-317,959.71</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571" w:hRule="exact"/>
        </w:trPr>
        <w:tc>
          <w:tcPr>
            <w:tcW w:w="3297"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2,133,143.43</w:t>
            </w:r>
          </w:p>
        </w:tc>
        <w:tc>
          <w:tcPr>
            <w:tcW w:w="1520"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936,900.96</w:t>
            </w:r>
          </w:p>
        </w:tc>
        <w:tc>
          <w:tcPr>
            <w:tcW w:w="1522"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466,551.15</w:t>
            </w:r>
          </w:p>
        </w:tc>
        <w:tc>
          <w:tcPr>
            <w:tcW w:w="1710" w:type="dxa"/>
            <w:tcBorders>
              <w:top w:val="single" w:sz="4" w:space="0" w:color="000000"/>
              <w:left w:val="single" w:sz="4" w:space="0" w:color="000000"/>
              <w:bottom w:val="single" w:sz="4" w:space="0" w:color="FFFFFF"/>
              <w:right w:val="single" w:sz="4" w:space="0" w:color="000000"/>
            </w:tcBorders>
          </w:tcPr>
          <w:p>
            <w:pPr/>
          </w:p>
        </w:tc>
      </w:tr>
      <w:tr>
        <w:trPr>
          <w:trHeight w:val="552" w:hRule="exact"/>
        </w:trPr>
        <w:tc>
          <w:tcPr>
            <w:tcW w:w="3297"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12,087,812.74</w:t>
            </w:r>
          </w:p>
        </w:tc>
        <w:tc>
          <w:tcPr>
            <w:tcW w:w="152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5,309,105.43</w:t>
            </w:r>
          </w:p>
        </w:tc>
        <w:tc>
          <w:tcPr>
            <w:tcW w:w="1522"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2,643,789.84</w:t>
            </w:r>
          </w:p>
        </w:tc>
        <w:tc>
          <w:tcPr>
            <w:tcW w:w="1710"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13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2"/>
        <w:ind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2861"/>
        <w:jc w:val="center"/>
        <w:rPr>
          <w:b w:val="0"/>
          <w:bCs w:val="0"/>
        </w:rPr>
      </w:pPr>
      <w:bookmarkStart w:name="第三节 公司业务概要" w:id="14"/>
      <w:bookmarkEnd w:id="14"/>
      <w:r>
        <w:rPr>
          <w:b w:val="0"/>
          <w:bCs w:val="0"/>
        </w:rPr>
      </w:r>
      <w:bookmarkStart w:name="_bookmark1" w:id="15"/>
      <w:bookmarkEnd w:id="15"/>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6"/>
      <w:bookmarkEnd w:id="16"/>
      <w:r>
        <w:rPr>
          <w:b w:val="0"/>
          <w:bCs w:val="0"/>
        </w:rPr>
      </w:r>
      <w:r>
        <w:rPr/>
        <w:t>一、报告期内公司从事的主要业务</w:t>
      </w:r>
      <w:r>
        <w:rPr>
          <w:b w:val="0"/>
          <w:bCs w:val="0"/>
        </w:rPr>
      </w:r>
    </w:p>
    <w:p>
      <w:pPr>
        <w:pStyle w:val="BodyText"/>
        <w:spacing w:line="477" w:lineRule="auto" w:before="124"/>
        <w:ind w:right="7693"/>
        <w:jc w:val="left"/>
      </w:pPr>
      <w:r>
        <w:rPr/>
        <w:t>公司是否需要遵守特殊行业的披露要求 否</w:t>
      </w:r>
    </w:p>
    <w:p>
      <w:pPr>
        <w:pStyle w:val="Heading4"/>
        <w:spacing w:line="212" w:lineRule="exact"/>
        <w:ind w:left="1496" w:right="0"/>
        <w:jc w:val="left"/>
        <w:rPr>
          <w:b w:val="0"/>
          <w:bCs w:val="0"/>
        </w:rPr>
      </w:pPr>
      <w:r>
        <w:rPr/>
        <w:t>一、公司的主要产品及服务</w:t>
      </w:r>
      <w:r>
        <w:rPr>
          <w:b w:val="0"/>
          <w:bCs w:val="0"/>
        </w:rPr>
      </w:r>
    </w:p>
    <w:p>
      <w:pPr>
        <w:pStyle w:val="BodyText"/>
        <w:spacing w:line="477" w:lineRule="auto" w:before="154"/>
        <w:ind w:right="1132" w:firstLine="360"/>
        <w:jc w:val="both"/>
      </w:pPr>
      <w:r>
        <w:rPr>
          <w:spacing w:val="-2"/>
        </w:rPr>
        <w:t>公司是一家专业的智慧物流和智能制造系统综合解决方案提供商，为生产制造、流通配送企业提供自动化生产线及物流</w:t>
      </w:r>
      <w:r>
        <w:rPr/>
        <w:t> </w:t>
      </w:r>
      <w:r>
        <w:rPr>
          <w:spacing w:val="-2"/>
        </w:rPr>
        <w:t>系统的规划设计、系统集成、软件开发、设备定制、电控系统开发、现场安装调试、客户培训和售后服务等一体化业务，使</w:t>
      </w:r>
      <w:r>
        <w:rPr>
          <w:spacing w:val="-71"/>
        </w:rPr>
        <w:t> </w:t>
      </w:r>
      <w:r>
        <w:rPr>
          <w:spacing w:val="-71"/>
        </w:rPr>
      </w:r>
      <w:r>
        <w:rPr>
          <w:spacing w:val="-2"/>
        </w:rPr>
        <w:t>客户实现产品生产、物料出入库、存储、搬运输送、分拣与拣选、配送等过程的自动化、信息化和智能化，提高效率、降低</w:t>
      </w:r>
      <w:r>
        <w:rPr>
          <w:spacing w:val="-67"/>
        </w:rPr>
        <w:t> </w:t>
      </w:r>
      <w:r>
        <w:rPr>
          <w:spacing w:val="-67"/>
        </w:rPr>
      </w:r>
      <w:r>
        <w:rPr/>
        <w:t>成本、提升管理水平，为企业实现智慧物流和智能制造打下坚实的基础。</w:t>
      </w:r>
    </w:p>
    <w:p>
      <w:pPr>
        <w:pStyle w:val="BodyText"/>
        <w:spacing w:line="477" w:lineRule="auto" w:before="54"/>
        <w:ind w:right="1131" w:firstLine="360"/>
        <w:jc w:val="both"/>
      </w:pPr>
      <w:r>
        <w:rPr>
          <w:spacing w:val="-2"/>
        </w:rPr>
        <w:t>智慧物流和智能制造系统通常由自动化生产线、自动化仓库系统、自动化搬运与输送系统、自动化分拣与拣选系统及其</w:t>
      </w:r>
      <w:r>
        <w:rPr/>
        <w:t> </w:t>
      </w:r>
      <w:r>
        <w:rPr>
          <w:spacing w:val="-2"/>
        </w:rPr>
        <w:t>电气控制和信息管理系统等部分组成。自动化生产线主要是各类专机生产设备和生产管理系统；自动化仓库系统主要包括货</w:t>
      </w:r>
      <w:r>
        <w:rPr>
          <w:spacing w:val="-64"/>
        </w:rPr>
        <w:t> </w:t>
      </w:r>
      <w:r>
        <w:rPr>
          <w:spacing w:val="-64"/>
        </w:rPr>
      </w:r>
      <w:r>
        <w:rPr>
          <w:spacing w:val="-2"/>
        </w:rPr>
        <w:t>架、堆垛机以及密集存储的自动子母车等自动化存储设备；自动化搬运与输送系统主要包括各式输送机、无人搬运小车、轨</w:t>
      </w:r>
      <w:r>
        <w:rPr>
          <w:spacing w:val="-66"/>
        </w:rPr>
        <w:t> </w:t>
      </w:r>
      <w:r>
        <w:rPr>
          <w:spacing w:val="-66"/>
        </w:rPr>
      </w:r>
      <w:r>
        <w:rPr>
          <w:spacing w:val="-2"/>
        </w:rPr>
        <w:t>道穿梭车、机器人和其它自动搬运设备；自动化分拣与拣选系统主要包括各类自动化分拣设备、手持终端拣选和电子标签拣</w:t>
      </w:r>
      <w:r>
        <w:rPr>
          <w:spacing w:val="-65"/>
        </w:rPr>
        <w:t> </w:t>
      </w:r>
      <w:r>
        <w:rPr>
          <w:spacing w:val="-65"/>
        </w:rPr>
      </w:r>
      <w:r>
        <w:rPr/>
        <w:t>选等。信息管理系统主要包括物流管理软件、仓库管理软件、仓库控制软件、智能分拣和拣选软件等。</w:t>
      </w:r>
    </w:p>
    <w:p>
      <w:pPr>
        <w:pStyle w:val="BodyText"/>
        <w:spacing w:line="477" w:lineRule="auto" w:before="54"/>
        <w:ind w:right="1033" w:firstLine="360"/>
        <w:jc w:val="left"/>
      </w:pPr>
      <w:r>
        <w:rPr>
          <w:spacing w:val="-2"/>
        </w:rPr>
        <w:t>随着人力成本增加和土地资源缺乏以及企业信息化管理需求的上升，企业日益需要更为快捷、精准、有效的生产和物流</w:t>
      </w:r>
      <w:r>
        <w:rPr/>
        <w:t> </w:t>
      </w:r>
      <w:r>
        <w:rPr>
          <w:spacing w:val="-2"/>
        </w:rPr>
        <w:t>系统，高效快捷的生产和物流系统已经成为企业的核心竞争力之一。自动化生产线和自动化物流系统可以减少人力及人员作</w:t>
      </w:r>
      <w:r>
        <w:rPr>
          <w:spacing w:val="-64"/>
        </w:rPr>
        <w:t> </w:t>
      </w:r>
      <w:r>
        <w:rPr>
          <w:spacing w:val="-64"/>
        </w:rPr>
      </w:r>
      <w:r>
        <w:rPr>
          <w:spacing w:val="-2"/>
        </w:rPr>
        <w:t>业强度、提高效率和良品率、节约仓库占地面积、减少物流配送过程中的破损，其信息管理系统实时监控生产和物流作业过</w:t>
      </w:r>
      <w:r>
        <w:rPr>
          <w:spacing w:val="-66"/>
        </w:rPr>
        <w:t> </w:t>
      </w:r>
      <w:r>
        <w:rPr>
          <w:spacing w:val="-66"/>
        </w:rPr>
      </w:r>
      <w:r>
        <w:rPr>
          <w:spacing w:val="-2"/>
        </w:rPr>
        <w:t>程并与企业其他管理系统无缝对接，系统之间自动进行信息接收与传递，使企业实现信息流、物流和资金流一体化，提升企</w:t>
      </w:r>
      <w:r>
        <w:rPr>
          <w:spacing w:val="-65"/>
        </w:rPr>
        <w:t> </w:t>
      </w:r>
      <w:r>
        <w:rPr>
          <w:spacing w:val="-65"/>
        </w:rPr>
      </w:r>
      <w:r>
        <w:rPr/>
        <w:t>业信息化管理水平。同时，自动化物流系统还能提高企业仓储管理能力和物流输送效率，保证物流输送的及时性和准确性， </w:t>
      </w:r>
      <w:r>
        <w:rPr>
          <w:spacing w:val="-2"/>
        </w:rPr>
        <w:t>进而提升企业的生产和配送效率。公司产品已应用于烟草、新能源、冷链、石化、日化、医药保健品、高铁、机场、航空军</w:t>
      </w:r>
      <w:r>
        <w:rPr>
          <w:spacing w:val="-69"/>
        </w:rPr>
        <w:t> </w:t>
      </w:r>
      <w:r>
        <w:rPr>
          <w:spacing w:val="-69"/>
        </w:rPr>
      </w:r>
      <w:r>
        <w:rPr/>
        <w:t>工、电力、家具、连锁零售、电子以及食品饮料等众多行业，发展潜力和市场规模较大，应用前景广阔。</w:t>
      </w:r>
    </w:p>
    <w:p>
      <w:pPr>
        <w:spacing w:line="477" w:lineRule="auto" w:before="54"/>
        <w:ind w:left="1493" w:right="4993" w:firstLine="1"/>
        <w:jc w:val="left"/>
        <w:rPr>
          <w:rFonts w:ascii="宋体" w:hAnsi="宋体" w:cs="宋体" w:eastAsia="宋体" w:hint="default"/>
          <w:sz w:val="18"/>
          <w:szCs w:val="18"/>
        </w:rPr>
      </w:pPr>
      <w:r>
        <w:rPr>
          <w:rFonts w:ascii="宋体" w:hAnsi="宋体" w:cs="宋体" w:eastAsia="宋体" w:hint="default"/>
          <w:b/>
          <w:bCs/>
          <w:sz w:val="18"/>
          <w:szCs w:val="18"/>
        </w:rPr>
        <w:t>二、报告期业务订单情况</w:t>
      </w:r>
      <w:r>
        <w:rPr>
          <w:rFonts w:ascii="宋体" w:hAnsi="宋体" w:cs="宋体" w:eastAsia="宋体" w:hint="default"/>
          <w:b/>
          <w:bCs/>
          <w:w w:val="99"/>
          <w:sz w:val="18"/>
          <w:szCs w:val="18"/>
        </w:rPr>
        <w:t> </w:t>
      </w:r>
      <w:r>
        <w:rPr>
          <w:rFonts w:ascii="宋体" w:hAnsi="宋体" w:cs="宋体" w:eastAsia="宋体" w:hint="default"/>
          <w:sz w:val="18"/>
          <w:szCs w:val="18"/>
        </w:rPr>
        <w:t>根据本行业的特性，公司业绩主要受项目订单取得和执行情况影响。</w:t>
      </w:r>
    </w:p>
    <w:p>
      <w:pPr>
        <w:pStyle w:val="BodyText"/>
        <w:tabs>
          <w:tab w:pos="9865" w:val="left" w:leader="none"/>
        </w:tabs>
        <w:spacing w:line="240" w:lineRule="auto" w:before="54"/>
        <w:ind w:left="1493" w:right="0"/>
        <w:jc w:val="left"/>
      </w:pPr>
      <w:r>
        <w:rPr/>
        <w:t>报告期内公司主要订单情况如下：</w:t>
        <w:tab/>
        <w:t>单位：万元</w:t>
      </w:r>
    </w:p>
    <w:p>
      <w:pPr>
        <w:spacing w:line="240" w:lineRule="auto" w:before="13"/>
        <w:rPr>
          <w:rFonts w:ascii="宋体" w:hAnsi="宋体" w:cs="宋体" w:eastAsia="宋体" w:hint="default"/>
          <w:sz w:val="10"/>
          <w:szCs w:val="10"/>
        </w:rPr>
      </w:pPr>
    </w:p>
    <w:tbl>
      <w:tblPr>
        <w:tblW w:w="0" w:type="auto"/>
        <w:jc w:val="left"/>
        <w:tblInd w:w="1129" w:type="dxa"/>
        <w:tblLayout w:type="fixed"/>
        <w:tblCellMar>
          <w:top w:w="0" w:type="dxa"/>
          <w:left w:w="0" w:type="dxa"/>
          <w:bottom w:w="0" w:type="dxa"/>
          <w:right w:w="0" w:type="dxa"/>
        </w:tblCellMar>
        <w:tblLook w:val="01E0"/>
      </w:tblPr>
      <w:tblGrid>
        <w:gridCol w:w="873"/>
        <w:gridCol w:w="1980"/>
        <w:gridCol w:w="1870"/>
        <w:gridCol w:w="2240"/>
        <w:gridCol w:w="2500"/>
      </w:tblGrid>
      <w:tr>
        <w:trPr>
          <w:trHeight w:val="322" w:hRule="exact"/>
        </w:trPr>
        <w:tc>
          <w:tcPr>
            <w:tcW w:w="87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98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803" w:right="0"/>
              <w:jc w:val="left"/>
              <w:rPr>
                <w:rFonts w:ascii="宋体" w:hAnsi="宋体" w:cs="宋体" w:eastAsia="宋体" w:hint="default"/>
                <w:sz w:val="18"/>
                <w:szCs w:val="18"/>
              </w:rPr>
            </w:pPr>
            <w:r>
              <w:rPr>
                <w:rFonts w:ascii="宋体" w:hAnsi="宋体" w:cs="宋体" w:eastAsia="宋体" w:hint="default"/>
                <w:b/>
                <w:bCs/>
                <w:sz w:val="18"/>
                <w:szCs w:val="18"/>
              </w:rPr>
              <w:t>应用行业</w:t>
            </w:r>
            <w:r>
              <w:rPr>
                <w:rFonts w:ascii="宋体" w:hAnsi="宋体" w:cs="宋体" w:eastAsia="宋体" w:hint="default"/>
                <w:sz w:val="18"/>
                <w:szCs w:val="18"/>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宋体" w:hAnsi="宋体" w:cs="宋体" w:eastAsia="宋体" w:hint="default"/>
                <w:b/>
                <w:bCs/>
                <w:sz w:val="18"/>
                <w:szCs w:val="18"/>
              </w:rPr>
              <w:t>年</w:t>
            </w:r>
            <w:r>
              <w:rPr>
                <w:rFonts w:ascii="宋体" w:hAnsi="宋体" w:cs="宋体" w:eastAsia="宋体" w:hint="default"/>
                <w:sz w:val="18"/>
                <w:szCs w:val="18"/>
              </w:rPr>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宋体" w:hAnsi="宋体" w:cs="宋体" w:eastAsia="宋体" w:hint="default"/>
                <w:b/>
                <w:bCs/>
                <w:sz w:val="18"/>
                <w:szCs w:val="18"/>
              </w:rPr>
              <w:t>年</w:t>
            </w:r>
            <w:r>
              <w:rPr>
                <w:rFonts w:ascii="宋体" w:hAnsi="宋体" w:cs="宋体" w:eastAsia="宋体" w:hint="default"/>
                <w:sz w:val="18"/>
                <w:szCs w:val="18"/>
              </w:rPr>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11" w:right="0"/>
              <w:jc w:val="left"/>
              <w:rPr>
                <w:rFonts w:ascii="宋体" w:hAnsi="宋体" w:cs="宋体" w:eastAsia="宋体" w:hint="default"/>
                <w:sz w:val="18"/>
                <w:szCs w:val="18"/>
              </w:rPr>
            </w:pPr>
            <w:r>
              <w:rPr>
                <w:rFonts w:ascii="宋体" w:hAnsi="宋体" w:cs="宋体" w:eastAsia="宋体" w:hint="default"/>
                <w:b/>
                <w:bCs/>
                <w:sz w:val="18"/>
                <w:szCs w:val="18"/>
              </w:rPr>
              <w:t>2017</w:t>
            </w:r>
            <w:r>
              <w:rPr>
                <w:rFonts w:ascii="宋体" w:hAnsi="宋体" w:cs="宋体" w:eastAsia="宋体" w:hint="default"/>
                <w:b/>
                <w:bCs/>
                <w:sz w:val="18"/>
                <w:szCs w:val="18"/>
              </w:rPr>
              <w:t>年</w:t>
            </w:r>
            <w:r>
              <w:rPr>
                <w:rFonts w:ascii="宋体" w:hAnsi="宋体" w:cs="宋体" w:eastAsia="宋体" w:hint="default"/>
                <w:b/>
                <w:bCs/>
                <w:sz w:val="18"/>
                <w:szCs w:val="18"/>
              </w:rPr>
              <w:t>12</w:t>
            </w:r>
            <w:r>
              <w:rPr>
                <w:rFonts w:ascii="宋体" w:hAnsi="宋体" w:cs="宋体" w:eastAsia="宋体" w:hint="default"/>
                <w:b/>
                <w:bCs/>
                <w:sz w:val="18"/>
                <w:szCs w:val="18"/>
              </w:rPr>
              <w:t>月</w:t>
            </w:r>
            <w:r>
              <w:rPr>
                <w:rFonts w:ascii="宋体" w:hAnsi="宋体" w:cs="宋体" w:eastAsia="宋体" w:hint="default"/>
                <w:b/>
                <w:bCs/>
                <w:sz w:val="18"/>
                <w:szCs w:val="18"/>
              </w:rPr>
              <w:t>31</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323" w:hRule="exact"/>
        </w:trPr>
        <w:tc>
          <w:tcPr>
            <w:tcW w:w="873" w:type="dxa"/>
            <w:vMerge/>
            <w:tcBorders>
              <w:left w:val="single" w:sz="4" w:space="0" w:color="000000"/>
              <w:bottom w:val="single" w:sz="4" w:space="0" w:color="000000"/>
              <w:right w:val="single" w:sz="4" w:space="0" w:color="000000"/>
            </w:tcBorders>
          </w:tcPr>
          <w:p>
            <w:pPr/>
          </w:p>
        </w:tc>
        <w:tc>
          <w:tcPr>
            <w:tcW w:w="1980" w:type="dxa"/>
            <w:vMerge/>
            <w:tcBorders>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07" w:right="0"/>
              <w:jc w:val="left"/>
              <w:rPr>
                <w:rFonts w:ascii="宋体" w:hAnsi="宋体" w:cs="宋体" w:eastAsia="宋体" w:hint="default"/>
                <w:sz w:val="18"/>
                <w:szCs w:val="18"/>
              </w:rPr>
            </w:pPr>
            <w:r>
              <w:rPr>
                <w:rFonts w:ascii="宋体" w:hAnsi="宋体" w:cs="宋体" w:eastAsia="宋体" w:hint="default"/>
                <w:b/>
                <w:bCs/>
                <w:sz w:val="18"/>
                <w:szCs w:val="18"/>
              </w:rPr>
              <w:t>新增订单（含税）</w:t>
            </w:r>
            <w:r>
              <w:rPr>
                <w:rFonts w:ascii="宋体" w:hAnsi="宋体" w:cs="宋体" w:eastAsia="宋体" w:hint="default"/>
                <w:sz w:val="18"/>
                <w:szCs w:val="18"/>
              </w:rPr>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02" w:right="0"/>
              <w:jc w:val="left"/>
              <w:rPr>
                <w:rFonts w:ascii="宋体" w:hAnsi="宋体" w:cs="宋体" w:eastAsia="宋体" w:hint="default"/>
                <w:sz w:val="18"/>
                <w:szCs w:val="18"/>
              </w:rPr>
            </w:pPr>
            <w:r>
              <w:rPr>
                <w:rFonts w:ascii="宋体" w:hAnsi="宋体" w:cs="宋体" w:eastAsia="宋体" w:hint="default"/>
                <w:b/>
                <w:bCs/>
                <w:sz w:val="18"/>
                <w:szCs w:val="18"/>
              </w:rPr>
              <w:t>完成订单（不含税）</w:t>
            </w:r>
            <w:r>
              <w:rPr>
                <w:rFonts w:ascii="宋体" w:hAnsi="宋体" w:cs="宋体" w:eastAsia="宋体" w:hint="default"/>
                <w:sz w:val="18"/>
                <w:szCs w:val="18"/>
              </w:rPr>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22" w:right="0"/>
              <w:jc w:val="left"/>
              <w:rPr>
                <w:rFonts w:ascii="宋体" w:hAnsi="宋体" w:cs="宋体" w:eastAsia="宋体" w:hint="default"/>
                <w:sz w:val="18"/>
                <w:szCs w:val="18"/>
              </w:rPr>
            </w:pPr>
            <w:r>
              <w:rPr>
                <w:rFonts w:ascii="宋体" w:hAnsi="宋体" w:cs="宋体" w:eastAsia="宋体" w:hint="default"/>
                <w:b/>
                <w:bCs/>
                <w:sz w:val="18"/>
                <w:szCs w:val="18"/>
              </w:rPr>
              <w:t>在手订单（含税）</w:t>
            </w:r>
            <w:r>
              <w:rPr>
                <w:rFonts w:ascii="宋体" w:hAnsi="宋体" w:cs="宋体" w:eastAsia="宋体" w:hint="default"/>
                <w:sz w:val="18"/>
                <w:szCs w:val="18"/>
              </w:rPr>
            </w:r>
          </w:p>
        </w:tc>
      </w:tr>
      <w:tr>
        <w:trPr>
          <w:trHeight w:val="322" w:hRule="exact"/>
        </w:trPr>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09"/>
              <w:jc w:val="right"/>
              <w:rPr>
                <w:rFonts w:ascii="Times New Roman" w:hAnsi="Times New Roman" w:cs="Times New Roman" w:eastAsia="Times New Roman" w:hint="default"/>
                <w:sz w:val="18"/>
                <w:szCs w:val="18"/>
              </w:rPr>
            </w:pPr>
            <w:r>
              <w:rPr>
                <w:rFonts w:ascii="Times New Roman"/>
                <w:sz w:val="18"/>
              </w:rPr>
              <w:t>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新能源（锂电池）</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43,776.34</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22,719.60</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26,047.39</w:t>
            </w:r>
          </w:p>
        </w:tc>
      </w:tr>
      <w:tr>
        <w:trPr>
          <w:trHeight w:val="322" w:hRule="exact"/>
        </w:trPr>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09"/>
              <w:jc w:val="right"/>
              <w:rPr>
                <w:rFonts w:ascii="Times New Roman" w:hAnsi="Times New Roman" w:cs="Times New Roman" w:eastAsia="Times New Roman" w:hint="default"/>
                <w:sz w:val="18"/>
                <w:szCs w:val="18"/>
              </w:rPr>
            </w:pPr>
            <w:r>
              <w:rPr>
                <w:rFonts w:ascii="Times New Roman"/>
                <w:sz w:val="18"/>
              </w:rPr>
              <w:t>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烟草</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15,840.53</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25,959.93</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51,768.84</w:t>
            </w:r>
          </w:p>
        </w:tc>
      </w:tr>
      <w:tr>
        <w:trPr>
          <w:trHeight w:val="323" w:hRule="exact"/>
        </w:trPr>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9"/>
              <w:jc w:val="right"/>
              <w:rPr>
                <w:rFonts w:ascii="Times New Roman" w:hAnsi="Times New Roman" w:cs="Times New Roman" w:eastAsia="Times New Roman" w:hint="default"/>
                <w:sz w:val="18"/>
                <w:szCs w:val="18"/>
              </w:rPr>
            </w:pPr>
            <w:r>
              <w:rPr>
                <w:rFonts w:ascii="Times New Roman"/>
                <w:sz w:val="18"/>
              </w:rPr>
              <w:t>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12,362.49</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8,282.24</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15,563.45</w:t>
            </w:r>
          </w:p>
        </w:tc>
      </w:tr>
      <w:tr>
        <w:trPr>
          <w:trHeight w:val="322" w:hRule="exact"/>
        </w:trPr>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09"/>
              <w:jc w:val="right"/>
              <w:rPr>
                <w:rFonts w:ascii="Times New Roman" w:hAnsi="Times New Roman" w:cs="Times New Roman" w:eastAsia="Times New Roman" w:hint="default"/>
                <w:sz w:val="18"/>
                <w:szCs w:val="18"/>
              </w:rPr>
            </w:pPr>
            <w:r>
              <w:rPr>
                <w:rFonts w:ascii="Times New Roman"/>
                <w:sz w:val="18"/>
              </w:rPr>
              <w:t>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71,979.36</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56,961.77</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93,379.67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left="1493" w:right="0" w:firstLine="1"/>
        <w:jc w:val="left"/>
      </w:pPr>
      <w:r>
        <w:rPr>
          <w:rFonts w:ascii="宋体" w:hAnsi="宋体" w:cs="宋体" w:eastAsia="宋体" w:hint="default"/>
          <w:b/>
          <w:bCs/>
        </w:rPr>
        <w:t>三、行业发展前景</w:t>
      </w:r>
      <w:r>
        <w:rPr>
          <w:rFonts w:ascii="宋体" w:hAnsi="宋体" w:cs="宋体" w:eastAsia="宋体" w:hint="default"/>
          <w:b/>
          <w:bCs/>
          <w:w w:val="99"/>
        </w:rPr>
        <w:t> </w:t>
      </w:r>
      <w:r>
        <w:rPr>
          <w:spacing w:val="-2"/>
        </w:rPr>
        <w:t>伴随着我国土地成本以及劳动力成本的双攀升，特别是制造业转型升级不断深入，智慧物流系统越来越多地在企业得到</w:t>
      </w:r>
    </w:p>
    <w:p>
      <w:pPr>
        <w:pStyle w:val="BodyText"/>
        <w:spacing w:line="468" w:lineRule="auto" w:before="54"/>
        <w:ind w:right="1130"/>
        <w:jc w:val="both"/>
      </w:pPr>
      <w:r>
        <w:rPr>
          <w:spacing w:val="-2"/>
        </w:rPr>
        <w:t>应用。近年来在政府大力推动下，企业对智能制造的探索热情高涨，而物流系统作为智能制造的核心部分，连接制造端和客</w:t>
      </w:r>
      <w:r>
        <w:rPr>
          <w:spacing w:val="-66"/>
        </w:rPr>
        <w:t> </w:t>
      </w:r>
      <w:r>
        <w:rPr>
          <w:spacing w:val="-66"/>
        </w:rPr>
      </w:r>
      <w:r>
        <w:rPr>
          <w:spacing w:val="-2"/>
        </w:rPr>
        <w:t>户端，因此项目需求不断涌现。此外，政府推动的现代流通产业发展与内贸流通体系建设也将引领产业的投资方向。在政策</w:t>
      </w:r>
      <w:r>
        <w:rPr>
          <w:spacing w:val="-65"/>
        </w:rPr>
        <w:t> </w:t>
      </w:r>
      <w:r>
        <w:rPr>
          <w:spacing w:val="-65"/>
        </w:rPr>
      </w:r>
      <w:r>
        <w:rPr/>
        <w:t>促进与市场带动下，智能物流系统行业将保持较快增长。据有关机构分析，</w:t>
      </w:r>
      <w:r>
        <w:rPr>
          <w:rFonts w:ascii="Times New Roman" w:hAnsi="Times New Roman" w:cs="Times New Roman" w:eastAsia="Times New Roman" w:hint="default"/>
        </w:rPr>
        <w:t>2020</w:t>
      </w:r>
      <w:r>
        <w:rPr>
          <w:rFonts w:ascii="Times New Roman" w:hAnsi="Times New Roman" w:cs="Times New Roman" w:eastAsia="Times New Roman" w:hint="default"/>
          <w:spacing w:val="8"/>
        </w:rPr>
        <w:t> </w:t>
      </w:r>
      <w:r>
        <w:rPr/>
        <w:t>年中国智能物流系统集成市场规模将接近 </w:t>
      </w:r>
      <w:r>
        <w:rPr>
          <w:rFonts w:ascii="Times New Roman" w:hAnsi="Times New Roman" w:cs="Times New Roman" w:eastAsia="Times New Roman" w:hint="default"/>
        </w:rPr>
        <w:t>1400 </w:t>
      </w:r>
      <w:r>
        <w:rPr/>
        <w:t>亿元，年均复合增速在</w:t>
      </w:r>
      <w:r>
        <w:rPr>
          <w:spacing w:val="-47"/>
        </w:rPr>
        <w:t> </w:t>
      </w:r>
      <w:r>
        <w:rPr>
          <w:rFonts w:ascii="Times New Roman" w:hAnsi="Times New Roman" w:cs="Times New Roman" w:eastAsia="Times New Roman" w:hint="default"/>
        </w:rPr>
        <w:t>20%</w:t>
      </w:r>
      <w:r>
        <w:rPr/>
        <w:t>以上。这无疑为智能物流系统集成及智能物流装备企业提供了巨大的发展机会。</w:t>
      </w:r>
    </w:p>
    <w:p>
      <w:pPr>
        <w:pStyle w:val="BodyText"/>
        <w:spacing w:line="477" w:lineRule="auto" w:before="29"/>
        <w:ind w:right="0" w:firstLine="360"/>
        <w:jc w:val="left"/>
      </w:pPr>
      <w:r>
        <w:rPr>
          <w:spacing w:val="-2"/>
        </w:rPr>
        <w:t>公司作为国内较早从事智慧物流系统综合解决方案的企业之一，在智慧物流系统的规划设计、系统集成、软件开发、设</w:t>
      </w:r>
      <w:r>
        <w:rPr/>
        <w:t> </w:t>
      </w:r>
      <w:r>
        <w:rPr>
          <w:spacing w:val="-4"/>
        </w:rPr>
        <w:t>备定制、电控系统开发、现场安装调试、客户培训和售后服务等方面均具有丰富的经验，完成了一系列规模大、复杂程度高、</w:t>
      </w:r>
      <w:r>
        <w:rPr>
          <w:spacing w:val="-44"/>
        </w:rPr>
        <w:t> </w:t>
      </w:r>
      <w:r>
        <w:rPr>
          <w:spacing w:val="-44"/>
        </w:rPr>
      </w:r>
      <w:r>
        <w:rPr/>
        <w:t>具有重大影响力的智慧物流系统项目。</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3"/>
          <w:szCs w:val="23"/>
        </w:rPr>
      </w:pPr>
    </w:p>
    <w:p>
      <w:pPr>
        <w:pStyle w:val="Heading2"/>
        <w:spacing w:line="240" w:lineRule="auto"/>
        <w:ind w:left="1134" w:right="0"/>
        <w:jc w:val="both"/>
        <w:rPr>
          <w:b w:val="0"/>
          <w:bCs w:val="0"/>
        </w:rPr>
      </w:pPr>
      <w:bookmarkStart w:name="二、主要资产重大变化情况" w:id="17"/>
      <w:bookmarkEnd w:id="17"/>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both"/>
        <w:rPr>
          <w:b w:val="0"/>
          <w:bCs w:val="0"/>
        </w:rPr>
      </w:pPr>
      <w:bookmarkStart w:name="1、主要资产重大变化情况" w:id="18"/>
      <w:bookmarkEnd w:id="18"/>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052"/>
        <w:gridCol w:w="6517"/>
      </w:tblGrid>
      <w:tr>
        <w:trPr>
          <w:trHeight w:val="186"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21"/>
              <w:jc w:val="left"/>
              <w:rPr>
                <w:rFonts w:ascii="宋体" w:hAnsi="宋体" w:cs="宋体" w:eastAsia="宋体" w:hint="default"/>
                <w:sz w:val="18"/>
                <w:szCs w:val="18"/>
              </w:rPr>
            </w:pPr>
            <w:r>
              <w:rPr>
                <w:rFonts w:ascii="宋体" w:hAnsi="宋体" w:cs="宋体" w:eastAsia="宋体" w:hint="default"/>
                <w:sz w:val="18"/>
                <w:szCs w:val="18"/>
              </w:rPr>
              <w:t>报告期末新增长期股权投资</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3,778.89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万元，主要系报告期内参股公司旭龙昇投资款 及投资收益。</w:t>
            </w: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vMerge/>
            <w:tcBorders>
              <w:left w:val="single" w:sz="9" w:space="0" w:color="D2D2D2"/>
              <w:right w:val="single" w:sz="4" w:space="0" w:color="000000"/>
            </w:tcBorders>
          </w:tcPr>
          <w:p>
            <w:pPr/>
          </w:p>
        </w:tc>
      </w:tr>
      <w:tr>
        <w:trPr>
          <w:trHeight w:val="161"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161"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33"/>
              <w:jc w:val="left"/>
              <w:rPr>
                <w:rFonts w:ascii="宋体" w:hAnsi="宋体" w:cs="宋体" w:eastAsia="宋体" w:hint="default"/>
                <w:sz w:val="18"/>
                <w:szCs w:val="18"/>
              </w:rPr>
            </w:pPr>
            <w:r>
              <w:rPr>
                <w:rFonts w:ascii="宋体" w:hAnsi="宋体" w:cs="宋体" w:eastAsia="宋体" w:hint="default"/>
                <w:sz w:val="18"/>
                <w:szCs w:val="18"/>
              </w:rPr>
              <w:t>同比增长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309.59%</w:t>
            </w:r>
            <w:r>
              <w:rPr>
                <w:rFonts w:ascii="宋体" w:hAnsi="宋体" w:cs="宋体" w:eastAsia="宋体" w:hint="default"/>
                <w:sz w:val="18"/>
                <w:szCs w:val="18"/>
              </w:rPr>
              <w:t>，主要系报告期内购置北京、上海、昆明、深圳等多处办公用房 产、以及在建工程部分转入固定资产所致</w:t>
            </w: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vMerge/>
            <w:tcBorders>
              <w:left w:val="single" w:sz="9" w:space="0" w:color="D2D2D2"/>
              <w:right w:val="single" w:sz="4" w:space="0" w:color="000000"/>
            </w:tcBorders>
          </w:tcPr>
          <w:p>
            <w:pPr/>
          </w:p>
        </w:tc>
      </w:tr>
      <w:tr>
        <w:trPr>
          <w:trHeight w:val="161"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同比增长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100.41%</w:t>
            </w:r>
            <w:r>
              <w:rPr>
                <w:rFonts w:ascii="宋体" w:hAnsi="宋体" w:cs="宋体" w:eastAsia="宋体" w:hint="default"/>
                <w:sz w:val="18"/>
                <w:szCs w:val="18"/>
              </w:rPr>
              <w:t>，主要系报告期内收到较大额未到期商业承兑汇票所致。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同比减少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39.34%</w:t>
            </w:r>
            <w:r>
              <w:rPr>
                <w:rFonts w:ascii="宋体" w:hAnsi="宋体" w:cs="宋体" w:eastAsia="宋体" w:hint="default"/>
                <w:sz w:val="18"/>
                <w:szCs w:val="18"/>
              </w:rPr>
              <w:t>，主要系报告期内履约保证金比同比支出减少、收回增加所致。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同比增长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127.64%</w:t>
            </w:r>
            <w:r>
              <w:rPr>
                <w:rFonts w:ascii="宋体" w:hAnsi="宋体" w:cs="宋体" w:eastAsia="宋体" w:hint="default"/>
                <w:sz w:val="18"/>
                <w:szCs w:val="18"/>
              </w:rPr>
              <w:t>，主要系报告期末多个未达到验收状态项目的工程进度成本。</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同比减少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67%</w:t>
            </w:r>
            <w:r>
              <w:rPr>
                <w:rFonts w:ascii="宋体" w:hAnsi="宋体" w:cs="宋体" w:eastAsia="宋体" w:hint="default"/>
                <w:sz w:val="18"/>
                <w:szCs w:val="18"/>
              </w:rPr>
              <w:t>，主要系报告期内短期银行理财产品到期收回所致。</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同比增长</w:t>
            </w:r>
            <w:r>
              <w:rPr>
                <w:rFonts w:ascii="宋体" w:hAnsi="宋体" w:cs="宋体" w:eastAsia="宋体" w:hint="default"/>
                <w:spacing w:val="-29"/>
                <w:sz w:val="18"/>
                <w:szCs w:val="18"/>
              </w:rPr>
              <w:t> </w:t>
            </w:r>
            <w:r>
              <w:rPr>
                <w:rFonts w:ascii="Times New Roman" w:hAnsi="Times New Roman" w:cs="Times New Roman" w:eastAsia="Times New Roman" w:hint="default"/>
                <w:spacing w:val="-3"/>
                <w:sz w:val="18"/>
                <w:szCs w:val="18"/>
              </w:rPr>
              <w:t>53.52%</w:t>
            </w:r>
            <w:r>
              <w:rPr>
                <w:rFonts w:ascii="宋体" w:hAnsi="宋体" w:cs="宋体" w:eastAsia="宋体" w:hint="default"/>
                <w:spacing w:val="-3"/>
                <w:sz w:val="18"/>
                <w:szCs w:val="18"/>
              </w:rPr>
              <w:t>，主要系报告期内应收款项坏账、预计负债增加、且报告期内新增</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股权激励费用所致。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同比减少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，主要系报告期内预付购房款转固定资产所致</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2、主要境外资产情况" w:id="19"/>
      <w:bookmarkEnd w:id="19"/>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三、核心竞争力分析" w:id="20"/>
      <w:bookmarkEnd w:id="20"/>
      <w:r>
        <w:rPr>
          <w:b w:val="0"/>
          <w:bCs w:val="0"/>
        </w:rPr>
      </w:r>
      <w:r>
        <w:rPr/>
        <w:t>三、核心竞争力分析</w:t>
      </w:r>
      <w:r>
        <w:rPr>
          <w:b w:val="0"/>
          <w:bCs w:val="0"/>
        </w:rPr>
      </w:r>
    </w:p>
    <w:p>
      <w:pPr>
        <w:spacing w:line="240" w:lineRule="auto" w:before="8"/>
        <w:rPr>
          <w:rFonts w:ascii="宋体" w:hAnsi="宋体" w:cs="宋体" w:eastAsia="宋体" w:hint="default"/>
          <w:b/>
          <w:bCs/>
          <w:sz w:val="32"/>
          <w:szCs w:val="32"/>
        </w:rPr>
      </w:pPr>
    </w:p>
    <w:p>
      <w:pPr>
        <w:pStyle w:val="BodyText"/>
        <w:spacing w:line="518" w:lineRule="auto"/>
        <w:ind w:right="7693"/>
        <w:jc w:val="left"/>
      </w:pPr>
      <w:r>
        <w:rPr/>
        <w:t>公司是否需要遵守特殊行业的披露要求 否</w:t>
      </w:r>
    </w:p>
    <w:p>
      <w:pPr>
        <w:pStyle w:val="BodyText"/>
        <w:spacing w:line="451" w:lineRule="auto" w:before="63"/>
        <w:ind w:left="1493" w:right="1033" w:firstLine="1"/>
        <w:jc w:val="left"/>
      </w:pPr>
      <w:r>
        <w:rPr>
          <w:rFonts w:ascii="Times New Roman" w:hAnsi="Times New Roman" w:cs="Times New Roman" w:eastAsia="Times New Roman" w:hint="default"/>
          <w:b/>
          <w:bCs/>
        </w:rPr>
        <w:t>1</w:t>
      </w:r>
      <w:r>
        <w:rPr>
          <w:rFonts w:ascii="宋体" w:hAnsi="宋体" w:cs="宋体" w:eastAsia="宋体" w:hint="default"/>
          <w:b/>
          <w:bCs/>
        </w:rPr>
        <w:t>、技术研发与创新优势</w:t>
      </w:r>
      <w:r>
        <w:rPr>
          <w:rFonts w:ascii="宋体" w:hAnsi="宋体" w:cs="宋体" w:eastAsia="宋体" w:hint="default"/>
          <w:b/>
          <w:bCs/>
          <w:w w:val="99"/>
        </w:rPr>
        <w:t> </w:t>
      </w:r>
      <w:r>
        <w:rPr/>
        <w:t>公司组建了以技术中心、软件子公司、机器人子公司为主体的即分工又协作的研发机构体系，形成了从系统解决方案、</w:t>
      </w:r>
    </w:p>
    <w:p>
      <w:pPr>
        <w:pStyle w:val="BodyText"/>
        <w:spacing w:line="470" w:lineRule="auto" w:before="74"/>
        <w:ind w:right="0"/>
        <w:jc w:val="left"/>
      </w:pPr>
      <w:r>
        <w:rPr>
          <w:spacing w:val="-2"/>
        </w:rPr>
        <w:t>软件系统、关键设备和模块等多层面的技术成果积累。公司坚持以市场发展和客户需求为导向，既满足当前需求，又形成一</w:t>
      </w:r>
      <w:r>
        <w:rPr>
          <w:spacing w:val="-66"/>
        </w:rPr>
        <w:t> </w:t>
      </w:r>
      <w:r>
        <w:rPr>
          <w:spacing w:val="-66"/>
        </w:rPr>
      </w:r>
      <w:r>
        <w:rPr>
          <w:spacing w:val="-2"/>
        </w:rPr>
        <w:t>定的技术储备。公司能够根据客户的需求快速开发各种物流系统、制造系统应用和管理软件、接口软件，自主研发了一系列</w:t>
      </w:r>
      <w:r>
        <w:rPr>
          <w:spacing w:val="-66"/>
        </w:rPr>
        <w:t> </w:t>
      </w:r>
      <w:r>
        <w:rPr>
          <w:spacing w:val="-66"/>
        </w:rPr>
      </w:r>
      <w:r>
        <w:rPr>
          <w:spacing w:val="-4"/>
        </w:rPr>
        <w:t>信息管理系统、电气控制系统产品、物流机器人、工业机器人及设备。公司拥有一支由系统规划设计、系统集成、软件开发、</w:t>
      </w:r>
      <w:r>
        <w:rPr>
          <w:spacing w:val="-44"/>
        </w:rPr>
        <w:t> </w:t>
      </w:r>
      <w:r>
        <w:rPr>
          <w:spacing w:val="-44"/>
        </w:rPr>
      </w:r>
      <w:r>
        <w:rPr/>
        <w:t>工业机器人和物流机器人及设备研发等工程师组成的优秀研发队伍，拥有</w:t>
      </w:r>
      <w:r>
        <w:rPr>
          <w:spacing w:val="-66"/>
        </w:rPr>
        <w:t> </w:t>
      </w:r>
      <w:r>
        <w:rPr>
          <w:rFonts w:ascii="Times New Roman" w:hAnsi="Times New Roman" w:cs="Times New Roman" w:eastAsia="Times New Roman" w:hint="default"/>
        </w:rPr>
        <w:t>150</w:t>
      </w:r>
      <w:r>
        <w:rPr>
          <w:rFonts w:ascii="Times New Roman" w:hAnsi="Times New Roman" w:cs="Times New Roman" w:eastAsia="Times New Roman" w:hint="default"/>
          <w:spacing w:val="-21"/>
        </w:rPr>
        <w:t> </w:t>
      </w:r>
      <w:r>
        <w:rPr/>
        <w:t>多项专利和计算机软件著作权，并成为行业标 准的参与制定者。</w:t>
      </w:r>
    </w:p>
    <w:p>
      <w:pPr>
        <w:pStyle w:val="Heading4"/>
        <w:spacing w:line="240" w:lineRule="auto" w:before="59"/>
        <w:ind w:left="1495" w:right="0"/>
        <w:jc w:val="left"/>
        <w:rPr>
          <w:b w:val="0"/>
          <w:bCs w:val="0"/>
        </w:rPr>
      </w:pPr>
      <w:r>
        <w:rPr>
          <w:rFonts w:ascii="Times New Roman" w:hAnsi="Times New Roman" w:cs="Times New Roman" w:eastAsia="Times New Roman" w:hint="default"/>
        </w:rPr>
        <w:t>2</w:t>
      </w:r>
      <w:r>
        <w:rPr/>
        <w:t>、丰富的行业及大项目经验，可靠的项目交付能力</w:t>
      </w:r>
      <w:r>
        <w:rPr>
          <w:b w:val="0"/>
          <w:bCs w:val="0"/>
        </w:rPr>
      </w:r>
    </w:p>
    <w:p>
      <w:pPr>
        <w:spacing w:line="240" w:lineRule="auto" w:before="9"/>
        <w:rPr>
          <w:rFonts w:ascii="宋体" w:hAnsi="宋体" w:cs="宋体" w:eastAsia="宋体" w:hint="default"/>
          <w:b/>
          <w:bCs/>
          <w:sz w:val="16"/>
          <w:szCs w:val="16"/>
        </w:rPr>
      </w:pPr>
    </w:p>
    <w:p>
      <w:pPr>
        <w:pStyle w:val="BodyText"/>
        <w:spacing w:line="470" w:lineRule="auto"/>
        <w:ind w:right="1130" w:firstLine="360"/>
        <w:jc w:val="both"/>
      </w:pPr>
      <w:r>
        <w:rPr/>
        <w:t>公司自</w:t>
      </w:r>
      <w:r>
        <w:rPr>
          <w:spacing w:val="-41"/>
        </w:rPr>
        <w:t> </w:t>
      </w:r>
      <w:r>
        <w:rPr>
          <w:rFonts w:ascii="Times New Roman" w:hAnsi="Times New Roman" w:cs="Times New Roman" w:eastAsia="Times New Roman" w:hint="default"/>
        </w:rPr>
        <w:t>2000</w:t>
      </w:r>
      <w:r>
        <w:rPr>
          <w:rFonts w:ascii="Times New Roman" w:hAnsi="Times New Roman" w:cs="Times New Roman" w:eastAsia="Times New Roman" w:hint="default"/>
          <w:spacing w:val="4"/>
        </w:rPr>
        <w:t> </w:t>
      </w:r>
      <w:r>
        <w:rPr/>
        <w:t>年成立以来完成了数百个烟草行业和新能源动力锂电行业的大型智慧物流项目和智能制造项目，积累了丰 </w:t>
      </w:r>
      <w:r>
        <w:rPr>
          <w:spacing w:val="-2"/>
        </w:rPr>
        <w:t>富的烟草行业和动力锂电池行业的大项目经验。公司经过长期的积累，对烟草和动力锂电池行业的工艺流程、物流和生产特</w:t>
      </w:r>
      <w:r>
        <w:rPr>
          <w:spacing w:val="-66"/>
        </w:rPr>
        <w:t> </w:t>
      </w:r>
      <w:r>
        <w:rPr>
          <w:spacing w:val="-66"/>
        </w:rPr>
      </w:r>
      <w:r>
        <w:rPr>
          <w:spacing w:val="-2"/>
        </w:rPr>
        <w:t>点、管理和运作模式等具有很深的理解，形成了规划设计、系统集成、软件开发、项目工程管理等多方面的技术优势，并积</w:t>
      </w:r>
      <w:r>
        <w:rPr>
          <w:spacing w:val="-67"/>
        </w:rPr>
        <w:t> </w:t>
      </w:r>
      <w:r>
        <w:rPr>
          <w:spacing w:val="-67"/>
        </w:rPr>
      </w:r>
      <w:r>
        <w:rPr>
          <w:spacing w:val="-2"/>
        </w:rPr>
        <w:t>淀了丰富的实践经验。公司依托规范的全过程管理体系、优秀的集成设计能力、自主的软件和电控开发、强大的项目管理和</w:t>
      </w:r>
      <w:r>
        <w:rPr>
          <w:spacing w:val="-65"/>
        </w:rPr>
        <w:t> </w:t>
      </w:r>
      <w:r>
        <w:rPr>
          <w:spacing w:val="-65"/>
        </w:rPr>
      </w:r>
      <w:r>
        <w:rPr/>
        <w:t>实施能力，确保项目按期高质量交付。</w:t>
      </w:r>
    </w:p>
    <w:p>
      <w:pPr>
        <w:spacing w:line="451" w:lineRule="auto" w:before="59"/>
        <w:ind w:left="1494"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、公司持续追求高品质产品和服务赢得客户及市场良好的口碑，具有一定的品牌优势，积累了丰富的优质客户资源</w:t>
      </w:r>
      <w:r>
        <w:rPr>
          <w:rFonts w:ascii="宋体" w:hAnsi="宋体" w:cs="宋体" w:eastAsia="宋体" w:hint="default"/>
          <w:b/>
          <w:bCs/>
          <w:w w:val="99"/>
          <w:sz w:val="18"/>
          <w:szCs w:val="18"/>
        </w:rPr>
        <w:t> </w:t>
      </w:r>
      <w:r>
        <w:rPr>
          <w:rFonts w:ascii="宋体" w:hAnsi="宋体" w:cs="宋体" w:eastAsia="宋体" w:hint="default"/>
          <w:spacing w:val="-2"/>
          <w:sz w:val="18"/>
          <w:szCs w:val="18"/>
        </w:rPr>
        <w:t>公司自成立以来，一直坚持提供高品质的产品和服务。公司通过贯穿系统解决方案的规划设计、软件的开发设计、机器</w:t>
      </w:r>
    </w:p>
    <w:p>
      <w:pPr>
        <w:pStyle w:val="BodyText"/>
        <w:spacing w:line="477" w:lineRule="auto" w:before="74"/>
        <w:ind w:left="1134" w:right="1132"/>
        <w:jc w:val="both"/>
      </w:pPr>
      <w:r>
        <w:rPr>
          <w:spacing w:val="-2"/>
        </w:rPr>
        <w:t>人及硬件的设计及装配、供应链质量管理、现场安装调试和售后服务等方面的全流程质量控制体系保障产品及系统品质。公</w:t>
      </w:r>
      <w:r>
        <w:rPr>
          <w:spacing w:val="-66"/>
        </w:rPr>
        <w:t> </w:t>
      </w:r>
      <w:r>
        <w:rPr>
          <w:spacing w:val="-66"/>
        </w:rPr>
      </w:r>
      <w:r>
        <w:rPr>
          <w:spacing w:val="-2"/>
        </w:rPr>
        <w:t>司以细致工作作风、以专业的技术能力、以周到的客户服务，提供超过客户预期的服务，赢得客户和市场良好的口碑。十八</w:t>
      </w:r>
      <w:r>
        <w:rPr>
          <w:spacing w:val="-66"/>
        </w:rPr>
        <w:t> </w:t>
      </w:r>
      <w:r>
        <w:rPr>
          <w:spacing w:val="-66"/>
        </w:rPr>
      </w:r>
      <w:r>
        <w:rPr/>
        <w:t>年来，公司已经形成了高品质服务商的市场形象，品牌影响力具备一定的优势。</w:t>
      </w:r>
    </w:p>
    <w:p>
      <w:pPr>
        <w:pStyle w:val="BodyText"/>
        <w:spacing w:line="477" w:lineRule="auto" w:before="54"/>
        <w:ind w:left="1134" w:right="1133" w:firstLine="360"/>
        <w:jc w:val="both"/>
      </w:pPr>
      <w:r>
        <w:rPr>
          <w:spacing w:val="-2"/>
        </w:rPr>
        <w:t>公司坚持为优质的客户服务的原则，经过多年的努力，公司已经积累了丰富的优质客户资源，包括动力锂电行业的宁德</w:t>
      </w:r>
      <w:r>
        <w:rPr/>
        <w:t> 时代新能源、比亚迪和烟草行业的安徽中烟、福建中烟、武汉中烟、广东中烟等。</w:t>
      </w:r>
    </w:p>
    <w:p>
      <w:pPr>
        <w:spacing w:line="451" w:lineRule="auto" w:before="54"/>
        <w:ind w:left="149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、完善的售后服务体系和快速的反应机制</w:t>
      </w:r>
      <w:r>
        <w:rPr>
          <w:rFonts w:ascii="宋体" w:hAnsi="宋体" w:cs="宋体" w:eastAsia="宋体" w:hint="default"/>
          <w:b/>
          <w:bCs/>
          <w:w w:val="99"/>
          <w:sz w:val="18"/>
          <w:szCs w:val="18"/>
        </w:rPr>
        <w:t> </w:t>
      </w:r>
      <w:r>
        <w:rPr>
          <w:rFonts w:ascii="宋体" w:hAnsi="宋体" w:cs="宋体" w:eastAsia="宋体" w:hint="default"/>
          <w:spacing w:val="-2"/>
          <w:sz w:val="18"/>
          <w:szCs w:val="18"/>
        </w:rPr>
        <w:t>公司建立了完善的售后服务体系，与客户常年保持密切沟通，通过定期巡访、技术交流会和运维管理交流会等形式跟踪</w:t>
      </w:r>
    </w:p>
    <w:p>
      <w:pPr>
        <w:pStyle w:val="BodyText"/>
        <w:spacing w:line="477" w:lineRule="auto" w:before="74"/>
        <w:ind w:right="0"/>
        <w:jc w:val="left"/>
      </w:pPr>
      <w:r>
        <w:rPr>
          <w:spacing w:val="-4"/>
        </w:rPr>
        <w:t>客户的使用体验，与客户探讨如何进一步为客户提供升级、改造等技术方案，使客户可以较低的成本实现系统的升级、改造，</w:t>
      </w:r>
      <w:r>
        <w:rPr>
          <w:spacing w:val="-46"/>
        </w:rPr>
        <w:t> </w:t>
      </w:r>
      <w:r>
        <w:rPr>
          <w:spacing w:val="-46"/>
        </w:rPr>
      </w:r>
      <w:r>
        <w:rPr>
          <w:spacing w:val="-2"/>
        </w:rPr>
        <w:t>达到充分挖掘客户需求，获得业务机会。公司良好的本地化客户服务机制保证了公司能够对客户需求做出快速反应，充分引</w:t>
      </w:r>
      <w:r>
        <w:rPr>
          <w:spacing w:val="-66"/>
        </w:rPr>
        <w:t> </w:t>
      </w:r>
      <w:r>
        <w:rPr>
          <w:spacing w:val="-66"/>
        </w:rPr>
      </w:r>
      <w:r>
        <w:rPr/>
        <w:t>导和挖掘客户需求，为客户量身定制系统解决方案。</w:t>
      </w:r>
    </w:p>
    <w:p>
      <w:pPr>
        <w:spacing w:after="0" w:line="477"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51" w:lineRule="auto"/>
        <w:ind w:left="1494" w:right="1032" w:firstLine="1"/>
        <w:jc w:val="left"/>
      </w:pPr>
      <w:r>
        <w:rPr>
          <w:rFonts w:ascii="Times New Roman" w:hAnsi="Times New Roman" w:cs="Times New Roman" w:eastAsia="Times New Roman" w:hint="default"/>
          <w:b/>
          <w:bCs/>
        </w:rPr>
        <w:t>5</w:t>
      </w:r>
      <w:r>
        <w:rPr>
          <w:rFonts w:ascii="宋体" w:hAnsi="宋体" w:cs="宋体" w:eastAsia="宋体" w:hint="default"/>
          <w:b/>
          <w:bCs/>
        </w:rPr>
        <w:t>、稳定的核心团队</w:t>
      </w:r>
      <w:r>
        <w:rPr>
          <w:rFonts w:ascii="宋体" w:hAnsi="宋体" w:cs="宋体" w:eastAsia="宋体" w:hint="default"/>
          <w:b/>
          <w:bCs/>
          <w:w w:val="99"/>
        </w:rPr>
        <w:t> </w:t>
      </w:r>
      <w:r>
        <w:rPr/>
        <w:t>自设立以来，公司创业团队、核心管理及技术人员保持稳定，核心人员均长期专注于自动化物流系统和智能制造行业，</w:t>
      </w:r>
    </w:p>
    <w:p>
      <w:pPr>
        <w:pStyle w:val="BodyText"/>
        <w:spacing w:line="240" w:lineRule="auto" w:before="74"/>
        <w:ind w:left="1134" w:right="0"/>
        <w:jc w:val="left"/>
      </w:pPr>
      <w:r>
        <w:rPr/>
        <w:t>专业结构合理。通过管理层及核心人员持股的方式，保证了管理层及技术人员与公司长期利益的一致。</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945" w:right="0"/>
        <w:jc w:val="left"/>
        <w:rPr>
          <w:b w:val="0"/>
          <w:bCs w:val="0"/>
        </w:rPr>
      </w:pPr>
      <w:bookmarkStart w:name="第四节 经营情况讨论与分析" w:id="21"/>
      <w:bookmarkEnd w:id="21"/>
      <w:r>
        <w:rPr>
          <w:b w:val="0"/>
          <w:bCs w:val="0"/>
        </w:rPr>
      </w:r>
      <w:bookmarkStart w:name="_bookmark2" w:id="22"/>
      <w:bookmarkEnd w:id="22"/>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 概述" w:id="23"/>
      <w:bookmarkEnd w:id="23"/>
      <w:r>
        <w:rPr>
          <w:b w:val="0"/>
          <w:bCs w:val="0"/>
        </w:rPr>
      </w:r>
      <w:r>
        <w:rPr>
          <w:spacing w:val="5"/>
        </w:rPr>
        <w:t>一、概述</w:t>
      </w:r>
      <w:r>
        <w:rPr>
          <w:b w:val="0"/>
          <w:bCs w:val="0"/>
          <w:spacing w:val="5"/>
        </w:rPr>
      </w:r>
    </w:p>
    <w:p>
      <w:pPr>
        <w:spacing w:line="240" w:lineRule="auto" w:before="7"/>
        <w:rPr>
          <w:rFonts w:ascii="宋体" w:hAnsi="宋体" w:cs="宋体" w:eastAsia="宋体" w:hint="default"/>
          <w:b/>
          <w:bCs/>
          <w:sz w:val="29"/>
          <w:szCs w:val="29"/>
        </w:rPr>
      </w:pPr>
    </w:p>
    <w:p>
      <w:pPr>
        <w:pStyle w:val="BodyText"/>
        <w:spacing w:line="391" w:lineRule="auto"/>
        <w:ind w:right="1033" w:firstLine="360"/>
        <w:jc w:val="left"/>
      </w:pPr>
      <w:r>
        <w:rPr>
          <w:rFonts w:ascii="Times New Roman" w:hAnsi="Times New Roman" w:cs="Times New Roman" w:eastAsia="Times New Roman" w:hint="default"/>
          <w:spacing w:val="-2"/>
        </w:rPr>
        <w:t>2017</w:t>
      </w:r>
      <w:r>
        <w:rPr>
          <w:spacing w:val="-2"/>
        </w:rPr>
        <w:t>年，公司在董事会领导下，围绕着预算目标，继续加大业务拓展力度，在智慧物流系统各个主要应用领域，如新能</w:t>
      </w:r>
      <w:r>
        <w:rPr/>
        <w:t> 源、卫浴、冷链、粮油食品等行业业务拓展均取得较大突破，尤其是以锂电新能源行业增幅较快，并首次进入卫浴、机械、 化妆品、服装、家电等行业。同时继续加强对项目前期系统规划、投标报价管理，加强采购成本和运营费用的管理和控制， 以尽可能提高公司经营效益。</w:t>
      </w:r>
    </w:p>
    <w:p>
      <w:pPr>
        <w:pStyle w:val="BodyText"/>
        <w:spacing w:line="376" w:lineRule="auto" w:before="41"/>
        <w:ind w:right="1131" w:firstLine="360"/>
        <w:jc w:val="both"/>
      </w:pPr>
      <w:r>
        <w:rPr/>
        <w:t>报告期内，公司新增订单金额</w:t>
      </w:r>
      <w:r>
        <w:rPr>
          <w:rFonts w:ascii="Times New Roman" w:hAnsi="Times New Roman" w:cs="Times New Roman" w:eastAsia="Times New Roman" w:hint="default"/>
        </w:rPr>
        <w:t>71,979.36</w:t>
      </w:r>
      <w:r>
        <w:rPr/>
        <w:t>万元</w:t>
      </w:r>
      <w:r>
        <w:rPr>
          <w:rFonts w:ascii="Times New Roman" w:hAnsi="Times New Roman" w:cs="Times New Roman" w:eastAsia="Times New Roman" w:hint="default"/>
        </w:rPr>
        <w:t>,</w:t>
      </w:r>
      <w:r>
        <w:rPr/>
        <w:t>同比增长</w:t>
      </w:r>
      <w:r>
        <w:rPr>
          <w:rFonts w:ascii="Times New Roman" w:hAnsi="Times New Roman" w:cs="Times New Roman" w:eastAsia="Times New Roman" w:hint="default"/>
        </w:rPr>
        <w:t>17.48%</w:t>
      </w:r>
      <w:r>
        <w:rPr/>
        <w:t>；实现营业收入</w:t>
      </w:r>
      <w:r>
        <w:rPr>
          <w:rFonts w:ascii="Times New Roman" w:hAnsi="Times New Roman" w:cs="Times New Roman" w:eastAsia="Times New Roman" w:hint="default"/>
        </w:rPr>
        <w:t>56,961.77</w:t>
      </w:r>
      <w:r>
        <w:rPr/>
        <w:t>万元，同比增长</w:t>
      </w:r>
      <w:r>
        <w:rPr>
          <w:rFonts w:ascii="Times New Roman" w:hAnsi="Times New Roman" w:cs="Times New Roman" w:eastAsia="Times New Roman" w:hint="default"/>
        </w:rPr>
        <w:t>42.89%</w:t>
      </w:r>
      <w:r>
        <w:rPr/>
        <w:t>，实现营 </w:t>
      </w:r>
      <w:r>
        <w:rPr>
          <w:spacing w:val="-1"/>
        </w:rPr>
        <w:t>业利润</w:t>
      </w:r>
      <w:r>
        <w:rPr>
          <w:rFonts w:ascii="Times New Roman" w:hAnsi="Times New Roman" w:cs="Times New Roman" w:eastAsia="Times New Roman" w:hint="default"/>
          <w:spacing w:val="-1"/>
        </w:rPr>
        <w:t>10,200.34</w:t>
      </w:r>
      <w:r>
        <w:rPr>
          <w:spacing w:val="-1"/>
        </w:rPr>
        <w:t>万元，同比增长</w:t>
      </w:r>
      <w:r>
        <w:rPr>
          <w:rFonts w:ascii="Times New Roman" w:hAnsi="Times New Roman" w:cs="Times New Roman" w:eastAsia="Times New Roman" w:hint="default"/>
          <w:spacing w:val="-1"/>
        </w:rPr>
        <w:t>81.63%</w:t>
      </w:r>
      <w:r>
        <w:rPr>
          <w:spacing w:val="-1"/>
        </w:rPr>
        <w:t>，归属上市公司股东的净利润</w:t>
      </w:r>
      <w:r>
        <w:rPr>
          <w:rFonts w:ascii="Times New Roman" w:hAnsi="Times New Roman" w:cs="Times New Roman" w:eastAsia="Times New Roman" w:hint="default"/>
          <w:spacing w:val="-1"/>
        </w:rPr>
        <w:t>9,320.48</w:t>
      </w:r>
      <w:r>
        <w:rPr>
          <w:spacing w:val="-1"/>
        </w:rPr>
        <w:t>万元，同比增长</w:t>
      </w:r>
      <w:r>
        <w:rPr>
          <w:rFonts w:ascii="Times New Roman" w:hAnsi="Times New Roman" w:cs="Times New Roman" w:eastAsia="Times New Roman" w:hint="default"/>
          <w:spacing w:val="-1"/>
        </w:rPr>
        <w:t>70.58%</w:t>
      </w:r>
      <w:r>
        <w:rPr>
          <w:spacing w:val="-1"/>
        </w:rPr>
        <w:t>；实现扣除非经常性损</w:t>
      </w:r>
      <w:r>
        <w:rPr>
          <w:spacing w:val="-49"/>
        </w:rPr>
        <w:t> </w:t>
      </w:r>
      <w:r>
        <w:rPr>
          <w:spacing w:val="-49"/>
        </w:rPr>
      </w:r>
      <w:r>
        <w:rPr/>
        <w:t>益后归属于上市公司股东的净利润</w:t>
      </w:r>
      <w:r>
        <w:rPr>
          <w:rFonts w:ascii="Times New Roman" w:hAnsi="Times New Roman" w:cs="Times New Roman" w:eastAsia="Times New Roman" w:hint="default"/>
        </w:rPr>
        <w:t>8,111.70</w:t>
      </w:r>
      <w:r>
        <w:rPr/>
        <w:t>万元，同比增长</w:t>
      </w:r>
      <w:r>
        <w:rPr>
          <w:rFonts w:ascii="Times New Roman" w:hAnsi="Times New Roman" w:cs="Times New Roman" w:eastAsia="Times New Roman" w:hint="default"/>
        </w:rPr>
        <w:t>64.43%</w:t>
      </w:r>
      <w:r>
        <w:rPr/>
        <w:t>。</w:t>
      </w:r>
    </w:p>
    <w:p>
      <w:pPr>
        <w:pStyle w:val="Heading4"/>
        <w:spacing w:line="240" w:lineRule="auto" w:before="27"/>
        <w:ind w:left="1495" w:right="0"/>
        <w:jc w:val="left"/>
        <w:rPr>
          <w:b w:val="0"/>
          <w:bCs w:val="0"/>
        </w:rPr>
      </w:pPr>
      <w:r>
        <w:rPr/>
        <w:t>一、新增订单业务情况</w:t>
      </w:r>
      <w:r>
        <w:rPr>
          <w:b w:val="0"/>
          <w:bCs w:val="0"/>
        </w:rPr>
      </w:r>
    </w:p>
    <w:p>
      <w:pPr>
        <w:spacing w:line="240" w:lineRule="auto" w:before="3"/>
        <w:rPr>
          <w:rFonts w:ascii="宋体" w:hAnsi="宋体" w:cs="宋体" w:eastAsia="宋体" w:hint="default"/>
          <w:b/>
          <w:bCs/>
          <w:sz w:val="21"/>
          <w:szCs w:val="21"/>
        </w:rPr>
      </w:pPr>
    </w:p>
    <w:p>
      <w:pPr>
        <w:pStyle w:val="BodyText"/>
        <w:spacing w:line="240" w:lineRule="auto"/>
        <w:ind w:left="1493" w:right="0"/>
        <w:jc w:val="left"/>
      </w:pPr>
      <w:r>
        <w:rPr>
          <w:rFonts w:ascii="Times New Roman" w:hAnsi="Times New Roman" w:cs="Times New Roman" w:eastAsia="Times New Roman" w:hint="default"/>
        </w:rPr>
        <w:t>1</w:t>
      </w:r>
      <w:r>
        <w:rPr>
          <w:rFonts w:ascii="宋体" w:hAnsi="宋体" w:cs="宋体" w:eastAsia="宋体" w:hint="default"/>
        </w:rPr>
        <w:t>、</w:t>
      </w:r>
      <w:r>
        <w:rPr>
          <w:rFonts w:ascii="Times New Roman" w:hAnsi="Times New Roman" w:cs="Times New Roman" w:eastAsia="Times New Roman" w:hint="default"/>
        </w:rPr>
        <w:t>2017</w:t>
      </w:r>
      <w:r>
        <w:rPr/>
        <w:t>年公司继续加大其他行业的拓展，并取得显著成效，新能源（锂电行业）订单完成</w:t>
      </w:r>
      <w:r>
        <w:rPr>
          <w:rFonts w:ascii="Times New Roman" w:hAnsi="Times New Roman" w:cs="Times New Roman" w:eastAsia="Times New Roman" w:hint="default"/>
        </w:rPr>
        <w:t>43,776.34</w:t>
      </w:r>
      <w:r>
        <w:rPr/>
        <w:t>万元，同比增长</w:t>
      </w:r>
    </w:p>
    <w:p>
      <w:pPr>
        <w:spacing w:line="240" w:lineRule="auto" w:before="3"/>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186.21%</w:t>
      </w:r>
      <w:r>
        <w:rPr/>
        <w:t>。新能源订单最终客户主要为宁德时代、比亚迪、河北银隆、欣旺达等。</w:t>
      </w:r>
    </w:p>
    <w:p>
      <w:pPr>
        <w:spacing w:line="240" w:lineRule="auto" w:before="3"/>
        <w:rPr>
          <w:rFonts w:ascii="宋体" w:hAnsi="宋体" w:cs="宋体" w:eastAsia="宋体" w:hint="default"/>
          <w:sz w:val="20"/>
          <w:szCs w:val="20"/>
        </w:rPr>
      </w:pPr>
    </w:p>
    <w:p>
      <w:pPr>
        <w:pStyle w:val="BodyText"/>
        <w:spacing w:line="482" w:lineRule="auto"/>
        <w:ind w:left="1493" w:right="0"/>
        <w:jc w:val="left"/>
      </w:pPr>
      <w:r>
        <w:rPr>
          <w:rFonts w:ascii="Times New Roman" w:hAnsi="Times New Roman" w:cs="Times New Roman" w:eastAsia="Times New Roman" w:hint="default"/>
        </w:rPr>
        <w:t>2</w:t>
      </w:r>
      <w:r>
        <w:rPr>
          <w:rFonts w:ascii="宋体" w:hAnsi="宋体" w:cs="宋体" w:eastAsia="宋体" w:hint="default"/>
        </w:rPr>
        <w:t>、</w:t>
      </w:r>
      <w:r>
        <w:rPr/>
        <w:t>实现了卫浴、机械、化妆品、服装、家电等行业突破。 报告期公司获得最终用户为西河卫浴、大江美利信、珠海格力智能装备、武鹰制衣等客户订单，实现零的突破。</w:t>
      </w:r>
    </w:p>
    <w:p>
      <w:pPr>
        <w:pStyle w:val="BodyText"/>
        <w:spacing w:line="482" w:lineRule="auto" w:before="96"/>
        <w:ind w:left="1493" w:right="0"/>
        <w:jc w:val="left"/>
      </w:pPr>
      <w:r>
        <w:rPr>
          <w:rFonts w:ascii="Times New Roman" w:hAnsi="Times New Roman" w:cs="Times New Roman" w:eastAsia="Times New Roman" w:hint="default"/>
        </w:rPr>
        <w:t>3</w:t>
      </w:r>
      <w:r>
        <w:rPr>
          <w:rFonts w:ascii="宋体" w:hAnsi="宋体" w:cs="宋体" w:eastAsia="宋体" w:hint="default"/>
        </w:rPr>
        <w:t>、</w:t>
      </w:r>
      <w:r>
        <w:rPr/>
        <w:t>报告期新增售后运营维护订单</w:t>
      </w:r>
      <w:r>
        <w:rPr>
          <w:rFonts w:ascii="Times New Roman" w:hAnsi="Times New Roman" w:cs="Times New Roman" w:eastAsia="Times New Roman" w:hint="default"/>
        </w:rPr>
        <w:t>8,010.95</w:t>
      </w:r>
      <w:r>
        <w:rPr/>
        <w:t>万元，同比增长</w:t>
      </w:r>
      <w:r>
        <w:rPr>
          <w:rFonts w:ascii="Times New Roman" w:hAnsi="Times New Roman" w:cs="Times New Roman" w:eastAsia="Times New Roman" w:hint="default"/>
        </w:rPr>
        <w:t>30.41%</w:t>
      </w:r>
      <w:r>
        <w:rPr/>
        <w:t>。 </w:t>
      </w:r>
      <w:r>
        <w:rPr>
          <w:spacing w:val="-2"/>
        </w:rPr>
        <w:t>运营维护服务是指公司为客户提供年度维保、系统改造升级、更换物流设备零配件以及培训等服务，是公司为客户提供</w:t>
      </w:r>
    </w:p>
    <w:p>
      <w:pPr>
        <w:pStyle w:val="BodyText"/>
        <w:spacing w:line="208" w:lineRule="exact"/>
        <w:ind w:right="0"/>
        <w:jc w:val="left"/>
      </w:pPr>
      <w:r>
        <w:rPr/>
        <w:t>的一项重要的后续增值服务。公司建立了良好的售后服务机制，与客户常年保持密切沟通，为客户提供年度维保、升级、改</w:t>
      </w:r>
    </w:p>
    <w:p>
      <w:pPr>
        <w:pStyle w:val="BodyText"/>
        <w:spacing w:line="398" w:lineRule="auto" w:before="154"/>
        <w:ind w:right="0"/>
        <w:jc w:val="left"/>
      </w:pPr>
      <w:r>
        <w:rPr>
          <w:spacing w:val="-2"/>
        </w:rPr>
        <w:t>造等技术方案，提升系统性能和稳定性，使客户可以较低的成本实现系统的升级、改造。公司运营维护客户保持稳定，随着</w:t>
      </w:r>
      <w:r>
        <w:rPr>
          <w:spacing w:val="-66"/>
        </w:rPr>
        <w:t> </w:t>
      </w:r>
      <w:r>
        <w:rPr>
          <w:spacing w:val="-66"/>
        </w:rPr>
      </w:r>
      <w:r>
        <w:rPr/>
        <w:t>公司实施项目的积累，业务不断持续增长。</w:t>
      </w:r>
    </w:p>
    <w:p>
      <w:pPr>
        <w:pStyle w:val="Heading4"/>
        <w:spacing w:line="240" w:lineRule="auto" w:before="35"/>
        <w:ind w:left="1495" w:right="0"/>
        <w:jc w:val="left"/>
        <w:rPr>
          <w:b w:val="0"/>
          <w:bCs w:val="0"/>
        </w:rPr>
      </w:pPr>
      <w:r>
        <w:rPr/>
        <w:t>二、营业收入及利润情况</w:t>
      </w:r>
      <w:r>
        <w:rPr>
          <w:b w:val="0"/>
          <w:bCs w:val="0"/>
        </w:rPr>
      </w:r>
    </w:p>
    <w:p>
      <w:pPr>
        <w:pStyle w:val="BodyText"/>
        <w:spacing w:line="376" w:lineRule="auto" w:before="153"/>
        <w:ind w:left="1134" w:right="1197" w:firstLine="360"/>
        <w:jc w:val="left"/>
      </w:pPr>
      <w:r>
        <w:rPr>
          <w:rFonts w:ascii="Times New Roman" w:hAnsi="Times New Roman" w:cs="Times New Roman" w:eastAsia="Times New Roman" w:hint="default"/>
        </w:rPr>
        <w:t>2017</w:t>
      </w:r>
      <w:r>
        <w:rPr/>
        <w:t>年营业收入完成</w:t>
      </w:r>
      <w:r>
        <w:rPr>
          <w:rFonts w:ascii="Times New Roman" w:hAnsi="Times New Roman" w:cs="Times New Roman" w:eastAsia="Times New Roman" w:hint="default"/>
        </w:rPr>
        <w:t>56,961.77</w:t>
      </w:r>
      <w:r>
        <w:rPr/>
        <w:t>万元，同比上年增长</w:t>
      </w:r>
      <w:r>
        <w:rPr>
          <w:rFonts w:ascii="Times New Roman" w:hAnsi="Times New Roman" w:cs="Times New Roman" w:eastAsia="Times New Roman" w:hint="default"/>
        </w:rPr>
        <w:t>42.89%</w:t>
      </w:r>
      <w:r>
        <w:rPr/>
        <w:t>，项目金额规模同比上年大幅增加，其中新能源行业实现收 入同比增长</w:t>
      </w:r>
      <w:r>
        <w:rPr>
          <w:rFonts w:ascii="Times New Roman" w:hAnsi="Times New Roman" w:cs="Times New Roman" w:eastAsia="Times New Roman" w:hint="default"/>
        </w:rPr>
        <w:t>276.62%</w:t>
      </w:r>
      <w:r>
        <w:rPr/>
        <w:t>，主要是近年来公司在锂电新能源行业为主的其他行业领域大力拓展并取得了持续订单。</w:t>
      </w:r>
    </w:p>
    <w:p>
      <w:pPr>
        <w:pStyle w:val="BodyText"/>
        <w:spacing w:line="376" w:lineRule="auto" w:before="27"/>
        <w:ind w:right="0" w:firstLine="360"/>
        <w:jc w:val="left"/>
      </w:pPr>
      <w:r>
        <w:rPr/>
        <w:t>烟草行业实现收入</w:t>
      </w:r>
      <w:r>
        <w:rPr>
          <w:rFonts w:ascii="Times New Roman" w:hAnsi="Times New Roman" w:cs="Times New Roman" w:eastAsia="Times New Roman" w:hint="default"/>
        </w:rPr>
        <w:t>25,959.5</w:t>
      </w:r>
      <w:r>
        <w:rPr/>
        <w:t>万元，占比</w:t>
      </w:r>
      <w:r>
        <w:rPr>
          <w:rFonts w:ascii="Times New Roman" w:hAnsi="Times New Roman" w:cs="Times New Roman" w:eastAsia="Times New Roman" w:hint="default"/>
        </w:rPr>
        <w:t>45.6%</w:t>
      </w:r>
      <w:r>
        <w:rPr/>
        <w:t>，非烟行业</w:t>
      </w:r>
      <w:r>
        <w:rPr>
          <w:rFonts w:ascii="Times New Roman" w:hAnsi="Times New Roman" w:cs="Times New Roman" w:eastAsia="Times New Roman" w:hint="default"/>
        </w:rPr>
        <w:t>31,007.99</w:t>
      </w:r>
      <w:r>
        <w:rPr/>
        <w:t>万元，占比</w:t>
      </w:r>
      <w:r>
        <w:rPr>
          <w:rFonts w:ascii="Times New Roman" w:hAnsi="Times New Roman" w:cs="Times New Roman" w:eastAsia="Times New Roman" w:hint="default"/>
        </w:rPr>
        <w:t>54.4%</w:t>
      </w:r>
      <w:r>
        <w:rPr/>
        <w:t>，非烟行业实现收入同比上年增长 </w:t>
      </w:r>
      <w:r>
        <w:rPr>
          <w:rFonts w:ascii="Times New Roman" w:hAnsi="Times New Roman" w:cs="Times New Roman" w:eastAsia="Times New Roman" w:hint="default"/>
          <w:spacing w:val="-1"/>
        </w:rPr>
        <w:t>153.90%</w:t>
      </w:r>
      <w:r>
        <w:rPr>
          <w:spacing w:val="-1"/>
        </w:rPr>
        <w:t>，报告期内公司烟草行业及非烟行业收入规模趋于均衡，公司实现收入的项目涵盖烟草、新能源（主要是锂电生产</w:t>
      </w:r>
      <w:r>
        <w:rPr>
          <w:spacing w:val="-43"/>
        </w:rPr>
        <w:t> </w:t>
      </w:r>
      <w:r>
        <w:rPr>
          <w:spacing w:val="-43"/>
        </w:rPr>
      </w:r>
      <w:r>
        <w:rPr/>
        <w:t>行业）、粮油食品、家具、日用化工、高铁等行业客户，客户涉及的行业领域继续拓宽。</w:t>
      </w:r>
    </w:p>
    <w:p>
      <w:pPr>
        <w:pStyle w:val="BodyText"/>
        <w:spacing w:line="376" w:lineRule="auto" w:before="52"/>
        <w:ind w:left="1134" w:right="0" w:firstLine="360"/>
        <w:jc w:val="left"/>
      </w:pPr>
      <w:r>
        <w:rPr>
          <w:spacing w:val="-1"/>
        </w:rPr>
        <w:t>售后运营维护实现收入</w:t>
      </w:r>
      <w:r>
        <w:rPr>
          <w:rFonts w:ascii="Times New Roman" w:hAnsi="Times New Roman" w:cs="Times New Roman" w:eastAsia="Times New Roman" w:hint="default"/>
          <w:spacing w:val="-1"/>
        </w:rPr>
        <w:t>5,056.85</w:t>
      </w:r>
      <w:r>
        <w:rPr>
          <w:spacing w:val="-1"/>
        </w:rPr>
        <w:t>万元，占比</w:t>
      </w:r>
      <w:r>
        <w:rPr>
          <w:rFonts w:ascii="Times New Roman" w:hAnsi="Times New Roman" w:cs="Times New Roman" w:eastAsia="Times New Roman" w:hint="default"/>
          <w:spacing w:val="-1"/>
        </w:rPr>
        <w:t>8.87%</w:t>
      </w:r>
      <w:r>
        <w:rPr>
          <w:spacing w:val="-1"/>
        </w:rPr>
        <w:t>，同比增长</w:t>
      </w:r>
      <w:r>
        <w:rPr>
          <w:rFonts w:ascii="Times New Roman" w:hAnsi="Times New Roman" w:cs="Times New Roman" w:eastAsia="Times New Roman" w:hint="default"/>
          <w:spacing w:val="-1"/>
        </w:rPr>
        <w:t>13.6%</w:t>
      </w:r>
      <w:r>
        <w:rPr>
          <w:spacing w:val="-1"/>
        </w:rPr>
        <w:t>。售后运营维护业务逐年稳步增长，对公司营收及利</w:t>
      </w:r>
      <w:r>
        <w:rPr/>
        <w:t> 润的贡献也在加大。</w:t>
      </w:r>
    </w:p>
    <w:p>
      <w:pPr>
        <w:spacing w:line="240" w:lineRule="auto" w:before="6"/>
        <w:rPr>
          <w:rFonts w:ascii="宋体" w:hAnsi="宋体" w:cs="宋体" w:eastAsia="宋体" w:hint="default"/>
          <w:sz w:val="13"/>
          <w:szCs w:val="13"/>
        </w:rPr>
      </w:pPr>
    </w:p>
    <w:p>
      <w:pPr>
        <w:pStyle w:val="BodyText"/>
        <w:spacing w:line="240" w:lineRule="auto"/>
        <w:ind w:left="1494" w:right="0"/>
        <w:jc w:val="left"/>
      </w:pPr>
      <w:r>
        <w:rPr/>
        <w:t>报告期实现营业利润</w:t>
      </w:r>
      <w:r>
        <w:rPr>
          <w:rFonts w:ascii="Times New Roman" w:hAnsi="Times New Roman" w:cs="Times New Roman" w:eastAsia="Times New Roman" w:hint="default"/>
        </w:rPr>
        <w:t>10,200.34</w:t>
      </w:r>
      <w:r>
        <w:rPr>
          <w:rFonts w:ascii="宋体" w:hAnsi="宋体" w:cs="宋体" w:eastAsia="宋体" w:hint="default"/>
        </w:rPr>
        <w:t>万元</w:t>
      </w:r>
      <w:r>
        <w:rPr/>
        <w:t>，同比增长</w:t>
      </w:r>
      <w:r>
        <w:rPr>
          <w:rFonts w:ascii="Times New Roman" w:hAnsi="Times New Roman" w:cs="Times New Roman" w:eastAsia="Times New Roman" w:hint="default"/>
        </w:rPr>
        <w:t>81.63%</w:t>
      </w:r>
      <w:r>
        <w:rPr/>
        <w:t>，一方面营业收入同比大幅增长致毛利增加，另外报告期内投资</w:t>
      </w:r>
    </w:p>
    <w:p>
      <w:pPr>
        <w:spacing w:line="240" w:lineRule="auto" w:before="3"/>
        <w:rPr>
          <w:rFonts w:ascii="宋体" w:hAnsi="宋体" w:cs="宋体" w:eastAsia="宋体" w:hint="default"/>
          <w:sz w:val="19"/>
          <w:szCs w:val="19"/>
        </w:rPr>
      </w:pPr>
    </w:p>
    <w:p>
      <w:pPr>
        <w:pStyle w:val="BodyText"/>
        <w:spacing w:line="376" w:lineRule="auto"/>
        <w:ind w:right="0"/>
        <w:jc w:val="left"/>
      </w:pPr>
      <w:r>
        <w:rPr>
          <w:spacing w:val="-1"/>
        </w:rPr>
        <w:t>收益及退税收入同比增加所致。归属股东的净利润</w:t>
      </w:r>
      <w:r>
        <w:rPr>
          <w:rFonts w:ascii="Times New Roman" w:hAnsi="Times New Roman" w:cs="Times New Roman" w:eastAsia="Times New Roman" w:hint="default"/>
          <w:spacing w:val="-1"/>
        </w:rPr>
        <w:t>9,320.48</w:t>
      </w:r>
      <w:r>
        <w:rPr>
          <w:spacing w:val="-1"/>
        </w:rPr>
        <w:t>万元，同比增长</w:t>
      </w:r>
      <w:r>
        <w:rPr>
          <w:rFonts w:ascii="Times New Roman" w:hAnsi="Times New Roman" w:cs="Times New Roman" w:eastAsia="Times New Roman" w:hint="default"/>
          <w:spacing w:val="-1"/>
        </w:rPr>
        <w:t>70.57%</w:t>
      </w:r>
      <w:r>
        <w:rPr>
          <w:spacing w:val="-1"/>
        </w:rPr>
        <w:t>。公司综合毛利率与上年同期相比，保持</w:t>
      </w:r>
      <w:r>
        <w:rPr>
          <w:spacing w:val="-38"/>
        </w:rPr>
        <w:t> </w:t>
      </w:r>
      <w:r>
        <w:rPr>
          <w:spacing w:val="-38"/>
        </w:rPr>
      </w:r>
      <w:r>
        <w:rPr/>
        <w:t>基本稳定，营业利润和净利润大幅上升，显示良好的规模效应和增长质量。</w:t>
      </w:r>
    </w:p>
    <w:p>
      <w:pPr>
        <w:spacing w:after="0" w:line="376" w:lineRule="auto"/>
        <w:jc w:val="left"/>
        <w:sectPr>
          <w:pgSz w:w="11910" w:h="16840"/>
          <w:pgMar w:header="747" w:footer="979" w:top="1060" w:bottom="1160" w:left="0" w:right="0"/>
        </w:sectPr>
      </w:pPr>
    </w:p>
    <w:p>
      <w:pPr>
        <w:spacing w:line="240" w:lineRule="auto" w:before="7"/>
        <w:rPr>
          <w:rFonts w:ascii="宋体" w:hAnsi="宋体" w:cs="宋体" w:eastAsia="宋体" w:hint="default"/>
          <w:sz w:val="29"/>
          <w:szCs w:val="29"/>
        </w:rPr>
      </w:pPr>
      <w:r>
        <w:rPr/>
        <w:pict>
          <v:group style="position:absolute;margin-left:143.179993pt;margin-top:645.76001pt;width:71.650pt;height:19.6pt;mso-position-horizontal-relative:page;mso-position-vertical-relative:page;z-index:-881152" coordorigin="2864,12915" coordsize="1433,392">
            <v:shape style="position:absolute;left:2864;top:12915;width:1433;height:392" coordorigin="2864,12915" coordsize="1433,392" path="m2864,13306l4296,13306,4296,12915,2864,12915,2864,13306xe" filled="true" fillcolor="#ffffff" stroked="false">
              <v:path arrowok="t"/>
              <v:fill type="solid"/>
            </v:shape>
            <w10:wrap type="none"/>
          </v:group>
        </w:pict>
      </w:r>
    </w:p>
    <w:p>
      <w:pPr>
        <w:pStyle w:val="Heading2"/>
        <w:spacing w:line="240" w:lineRule="auto" w:before="26"/>
        <w:ind w:right="0"/>
        <w:jc w:val="left"/>
        <w:rPr>
          <w:b w:val="0"/>
          <w:bCs w:val="0"/>
        </w:rPr>
      </w:pPr>
      <w:bookmarkStart w:name="二、主营业务分析" w:id="24"/>
      <w:bookmarkEnd w:id="24"/>
      <w:r>
        <w:rPr>
          <w:b w:val="0"/>
          <w:bCs w:val="0"/>
        </w:rPr>
      </w:r>
      <w:r>
        <w:rPr/>
        <w:t>二、主营业务分析</w:t>
      </w:r>
      <w:r>
        <w:rPr>
          <w:b w:val="0"/>
          <w:bCs w:val="0"/>
        </w:rPr>
      </w:r>
    </w:p>
    <w:p>
      <w:pPr>
        <w:spacing w:line="240" w:lineRule="auto" w:before="8"/>
        <w:rPr>
          <w:rFonts w:ascii="宋体" w:hAnsi="宋体" w:cs="宋体" w:eastAsia="宋体" w:hint="default"/>
          <w:b/>
          <w:bCs/>
          <w:sz w:val="30"/>
          <w:szCs w:val="30"/>
        </w:rPr>
      </w:pPr>
    </w:p>
    <w:p>
      <w:pPr>
        <w:spacing w:line="544" w:lineRule="auto" w:before="0"/>
        <w:ind w:left="1133" w:right="6473" w:firstLine="0"/>
        <w:jc w:val="left"/>
        <w:rPr>
          <w:rFonts w:ascii="宋体" w:hAnsi="宋体" w:cs="宋体" w:eastAsia="宋体" w:hint="default"/>
          <w:sz w:val="21"/>
          <w:szCs w:val="21"/>
        </w:rPr>
      </w:pPr>
      <w:bookmarkStart w:name="1、概述" w:id="25"/>
      <w:bookmarkEnd w:id="2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6"/>
      <w:bookmarkEnd w:id="26"/>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0"/>
        <w:jc w:val="left"/>
        <w:rPr>
          <w:b w:val="0"/>
          <w:bCs w:val="0"/>
        </w:rPr>
      </w:pPr>
      <w:bookmarkStart w:name="（1）营业收入构成" w:id="27"/>
      <w:bookmarkEnd w:id="27"/>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6973"/>
        <w:jc w:val="left"/>
      </w:pPr>
      <w:r>
        <w:rPr/>
        <w:t>公司是否需要遵守光伏产业链相关业的披露要求 否</w:t>
      </w:r>
    </w:p>
    <w:p>
      <w:pPr>
        <w:pStyle w:val="BodyText"/>
        <w:spacing w:line="338" w:lineRule="auto" w:before="26"/>
        <w:ind w:right="1394"/>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3"/>
        <w:ind w:right="1574"/>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40" w:lineRule="auto" w:before="42"/>
        <w:ind w:right="1136"/>
        <w:jc w:val="left"/>
      </w:pPr>
      <w:r>
        <w:rPr/>
        <w:t>公司是否需遵守《深圳证券交易所创业板行业信息披露指引第</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1"/>
        </w:rPr>
        <w:t> </w:t>
      </w:r>
      <w:r>
        <w:rPr/>
        <w:t>产业链相关业务》的披露要求： 否</w:t>
      </w:r>
    </w:p>
    <w:p>
      <w:pPr>
        <w:pStyle w:val="BodyText"/>
        <w:spacing w:line="338" w:lineRule="auto" w:before="40"/>
        <w:ind w:right="1665"/>
        <w:jc w:val="left"/>
      </w:pPr>
      <w:r>
        <w:rPr/>
        <w:t>公司是否需遵守《深圳证券交易所创业板行业信息披露指引第</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上市公司从事医疗器械业务》的披露要求： 否</w:t>
      </w:r>
    </w:p>
    <w:p>
      <w:pPr>
        <w:pStyle w:val="BodyText"/>
        <w:spacing w:line="240" w:lineRule="auto" w:before="43"/>
        <w:ind w:left="1134" w:right="0"/>
        <w:jc w:val="left"/>
      </w:pPr>
      <w:r>
        <w:rPr/>
        <w:t>营业收入整体情况</w:t>
      </w:r>
    </w:p>
    <w:p>
      <w:pPr>
        <w:pStyle w:val="BodyText"/>
        <w:spacing w:line="240" w:lineRule="auto" w:before="116"/>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705"/>
        <w:gridCol w:w="1488"/>
        <w:gridCol w:w="1592"/>
        <w:gridCol w:w="1597"/>
        <w:gridCol w:w="1588"/>
        <w:gridCol w:w="1598"/>
      </w:tblGrid>
      <w:tr>
        <w:trPr>
          <w:trHeight w:val="206" w:hRule="exact"/>
        </w:trPr>
        <w:tc>
          <w:tcPr>
            <w:tcW w:w="1705"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705" w:type="dxa"/>
            <w:vMerge w:val="restart"/>
            <w:tcBorders>
              <w:top w:val="nil" w:sz="6" w:space="0" w:color="auto"/>
              <w:left w:val="single" w:sz="4" w:space="0" w:color="000000"/>
              <w:right w:val="single" w:sz="4" w:space="0" w:color="000000"/>
            </w:tcBorders>
            <w:shd w:val="clear" w:color="auto" w:fill="D2D2D2"/>
          </w:tcPr>
          <w:p>
            <w:pPr/>
          </w:p>
        </w:tc>
        <w:tc>
          <w:tcPr>
            <w:tcW w:w="3080"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6" w:hRule="exact"/>
        </w:trPr>
        <w:tc>
          <w:tcPr>
            <w:tcW w:w="1705" w:type="dxa"/>
            <w:vMerge/>
            <w:tcBorders>
              <w:left w:val="single" w:sz="4" w:space="0" w:color="000000"/>
              <w:bottom w:val="nil" w:sz="6" w:space="0" w:color="auto"/>
              <w:right w:val="single" w:sz="4" w:space="0" w:color="000000"/>
            </w:tcBorders>
            <w:shd w:val="clear" w:color="auto" w:fill="D2D2D2"/>
          </w:tcPr>
          <w:p>
            <w:pPr/>
          </w:p>
        </w:tc>
        <w:tc>
          <w:tcPr>
            <w:tcW w:w="1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7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488"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48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569,617,745.01</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398,637,531.94</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42.89%</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568,287,726.38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99.77%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394,461,533.72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98.95%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44.07%</w:t>
            </w:r>
          </w:p>
        </w:tc>
      </w:tr>
      <w:tr>
        <w:trPr>
          <w:trHeight w:val="402"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加工制造业</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4,273.50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3,020,273.50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0.76%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-99.86%</w:t>
            </w:r>
          </w:p>
        </w:tc>
      </w:tr>
      <w:tr>
        <w:trPr>
          <w:trHeight w:val="403"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1,325,745.13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1,155,724.72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0.29%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14.71%</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工业生产型物流系统</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483,029,105.25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84.80%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338,345,066.17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84.88%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42.76%</w:t>
            </w:r>
          </w:p>
        </w:tc>
      </w:tr>
      <w:tr>
        <w:trPr>
          <w:trHeight w:val="402"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商业配送型物流系统</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34,690,126.53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11,620,079.24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2.91%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198.54%</w:t>
            </w:r>
          </w:p>
        </w:tc>
      </w:tr>
      <w:tr>
        <w:trPr>
          <w:trHeight w:val="402" w:hRule="exact"/>
        </w:trPr>
        <w:tc>
          <w:tcPr>
            <w:tcW w:w="1705"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8"/>
                <w:sz w:val="18"/>
                <w:szCs w:val="18"/>
              </w:rPr>
              <w:t>运营维护（售后服务</w:t>
            </w:r>
          </w:p>
        </w:tc>
        <w:tc>
          <w:tcPr>
            <w:tcW w:w="1488" w:type="dxa"/>
            <w:tcBorders>
              <w:top w:val="single" w:sz="4" w:space="0" w:color="000000"/>
              <w:left w:val="single" w:sz="9" w:space="0" w:color="FFFFFF"/>
              <w:bottom w:val="single" w:sz="4" w:space="0" w:color="000000"/>
              <w:right w:val="single" w:sz="4" w:space="0" w:color="000000"/>
            </w:tcBorders>
          </w:tcPr>
          <w:p>
            <w:pPr>
              <w:pStyle w:val="TableParagraph"/>
              <w:tabs>
                <w:tab w:pos="411" w:val="left" w:leader="none"/>
              </w:tabs>
              <w:spacing w:line="240" w:lineRule="auto" w:before="52"/>
              <w:ind w:left="-134" w:right="23"/>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50,568,494.60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8.88%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44,496,388.31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2"/>
                <w:sz w:val="18"/>
              </w:rPr>
              <w:t>11.16%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13.65%</w:t>
            </w:r>
          </w:p>
        </w:tc>
      </w:tr>
      <w:tr>
        <w:trPr>
          <w:trHeight w:val="402"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托盘梗箱</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4,273.50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3,020,273.50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0.76%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-99.86%</w:t>
            </w:r>
          </w:p>
        </w:tc>
      </w:tr>
      <w:tr>
        <w:trPr>
          <w:trHeight w:val="403"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1,325,745.13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1,155,724.72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0.29%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14.71%</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251,816.23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9,092,786.33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2.28%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-97.23%</w:t>
            </w:r>
          </w:p>
        </w:tc>
      </w:tr>
      <w:tr>
        <w:trPr>
          <w:trHeight w:val="402"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1,906,809.85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3,312,223.33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0.83%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-42.43%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702"/>
        <w:gridCol w:w="1488"/>
        <w:gridCol w:w="1595"/>
        <w:gridCol w:w="1594"/>
        <w:gridCol w:w="1594"/>
        <w:gridCol w:w="1595"/>
      </w:tblGrid>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52,795,075.32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56,166,849.27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22,514,386.72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68,532,349.04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17.19%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-67.15%</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30,282,107.67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16,469,932.07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83.86%</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273,894,643.16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129,974,503.20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110.73%</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187,972,906.06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115,088,888.70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63.33%</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占公司营业收入或营业利润10%以上的行业、产品或地区情况" w:id="28"/>
      <w:bookmarkEnd w:id="28"/>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48"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113" w:right="1112"/>
        <w:jc w:val="center"/>
      </w:pPr>
      <w:r>
        <w:rPr/>
        <w:t>单位：元</w:t>
      </w:r>
    </w:p>
    <w:p>
      <w:pPr>
        <w:spacing w:after="0" w:line="240" w:lineRule="auto"/>
        <w:jc w:val="center"/>
        <w:sectPr>
          <w:type w:val="continuous"/>
          <w:pgSz w:w="11910" w:h="16840"/>
          <w:pgMar w:top="1060" w:bottom="1160" w:left="0" w:right="0"/>
          <w:cols w:num="2" w:equalWidth="0">
            <w:col w:w="4195" w:space="4725"/>
            <w:col w:w="299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60"/>
        <w:gridCol w:w="1417"/>
        <w:gridCol w:w="1559"/>
        <w:gridCol w:w="930"/>
        <w:gridCol w:w="1367"/>
        <w:gridCol w:w="1367"/>
        <w:gridCol w:w="1372"/>
      </w:tblGrid>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568,287,726.38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359,519,526.32</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44.81%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-0.32%</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工业生产型物流系 统</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483,029,105.25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315,923,895.18</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41.08%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0.78%</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商业配送型物流系 统</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34,690,126.53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19,147,254.68</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198.54%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247.95%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-7.84%</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运营维护（售后服 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50,568,494.60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24,448,376.46</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29.80%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-6.02%</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52,795,075.32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29,721,433.12</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-22.93%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12.36%</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22,514,386.72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16,720,132.71</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-58.01%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-16.15%</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30,282,107.67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19,070,121.88</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72.33%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4.22%</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273,894,643.16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169,388,213.34</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91.06%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6.37%</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187,972,906.06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124,217,751.90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89.13%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-9.01%</w:t>
            </w:r>
          </w:p>
        </w:tc>
      </w:tr>
    </w:tbl>
    <w:p>
      <w:pPr>
        <w:pStyle w:val="BodyText"/>
        <w:spacing w:line="240" w:lineRule="auto" w:before="51"/>
        <w:ind w:left="1134"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公司实物销售收入是否大于劳务收入" w:id="29"/>
      <w:bookmarkEnd w:id="29"/>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公司已签订的重大销售合同截至本报告期的履行情况" w:id="30"/>
      <w:bookmarkEnd w:id="30"/>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left="1493" w:right="0"/>
        <w:jc w:val="left"/>
      </w:pPr>
      <w:r>
        <w:rPr/>
        <w:t>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日，公司部分已签订的重点项目金额共</w:t>
      </w:r>
      <w:r>
        <w:rPr>
          <w:rFonts w:ascii="宋体" w:hAnsi="宋体" w:cs="宋体" w:eastAsia="宋体" w:hint="default"/>
        </w:rPr>
        <w:t>77,657.48</w:t>
      </w:r>
      <w:r>
        <w:rPr/>
        <w:t>万元，具体实施进展情况如下：</w:t>
      </w:r>
    </w:p>
    <w:p>
      <w:pPr>
        <w:spacing w:line="240" w:lineRule="auto" w:before="13"/>
        <w:rPr>
          <w:rFonts w:ascii="宋体" w:hAnsi="宋体" w:cs="宋体" w:eastAsia="宋体" w:hint="default"/>
          <w:sz w:val="10"/>
          <w:szCs w:val="10"/>
        </w:rPr>
      </w:pPr>
    </w:p>
    <w:tbl>
      <w:tblPr>
        <w:tblW w:w="0" w:type="auto"/>
        <w:jc w:val="left"/>
        <w:tblInd w:w="1021" w:type="dxa"/>
        <w:tblLayout w:type="fixed"/>
        <w:tblCellMar>
          <w:top w:w="0" w:type="dxa"/>
          <w:left w:w="0" w:type="dxa"/>
          <w:bottom w:w="0" w:type="dxa"/>
          <w:right w:w="0" w:type="dxa"/>
        </w:tblCellMar>
        <w:tblLook w:val="01E0"/>
      </w:tblPr>
      <w:tblGrid>
        <w:gridCol w:w="2661"/>
        <w:gridCol w:w="4252"/>
        <w:gridCol w:w="1419"/>
        <w:gridCol w:w="1276"/>
      </w:tblGrid>
      <w:tr>
        <w:trPr>
          <w:trHeight w:val="692" w:hRule="exact"/>
        </w:trPr>
        <w:tc>
          <w:tcPr>
            <w:tcW w:w="2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sz w:val="18"/>
                <w:szCs w:val="18"/>
              </w:rPr>
              <w:t>客户名称</w:t>
            </w:r>
            <w:r>
              <w:rPr>
                <w:rFonts w:ascii="宋体" w:hAnsi="宋体" w:cs="宋体" w:eastAsia="宋体" w:hint="default"/>
                <w:sz w:val="18"/>
                <w:szCs w:val="18"/>
              </w:rPr>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43" w:right="0"/>
              <w:jc w:val="left"/>
              <w:rPr>
                <w:rFonts w:ascii="宋体" w:hAnsi="宋体" w:cs="宋体" w:eastAsia="宋体" w:hint="default"/>
                <w:sz w:val="18"/>
                <w:szCs w:val="18"/>
              </w:rPr>
            </w:pPr>
            <w:r>
              <w:rPr>
                <w:rFonts w:ascii="宋体" w:hAnsi="宋体" w:cs="宋体" w:eastAsia="宋体" w:hint="default"/>
                <w:b/>
                <w:bCs/>
                <w:sz w:val="18"/>
                <w:szCs w:val="18"/>
              </w:rPr>
              <w:t>合同金额</w:t>
            </w:r>
            <w:r>
              <w:rPr>
                <w:rFonts w:ascii="宋体" w:hAnsi="宋体" w:cs="宋体" w:eastAsia="宋体" w:hint="default"/>
                <w:sz w:val="18"/>
                <w:szCs w:val="18"/>
              </w:rPr>
            </w:r>
          </w:p>
          <w:p>
            <w:pPr>
              <w:pStyle w:val="TableParagraph"/>
              <w:spacing w:line="240" w:lineRule="auto" w:before="76"/>
              <w:ind w:left="343" w:right="0"/>
              <w:jc w:val="left"/>
              <w:rPr>
                <w:rFonts w:ascii="宋体" w:hAnsi="宋体" w:cs="宋体" w:eastAsia="宋体" w:hint="default"/>
                <w:sz w:val="18"/>
                <w:szCs w:val="18"/>
              </w:rPr>
            </w:pPr>
            <w:r>
              <w:rPr>
                <w:rFonts w:ascii="宋体" w:hAnsi="宋体" w:cs="宋体" w:eastAsia="宋体" w:hint="default"/>
                <w:b/>
                <w:bCs/>
                <w:sz w:val="18"/>
                <w:szCs w:val="18"/>
              </w:rPr>
              <w:t>（万元）</w:t>
            </w:r>
            <w:r>
              <w:rPr>
                <w:rFonts w:ascii="宋体" w:hAnsi="宋体" w:cs="宋体" w:eastAsia="宋体" w:hint="default"/>
                <w:sz w:val="18"/>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61" w:right="179" w:hanging="180"/>
              <w:jc w:val="left"/>
              <w:rPr>
                <w:rFonts w:ascii="宋体" w:hAnsi="宋体" w:cs="宋体" w:eastAsia="宋体" w:hint="default"/>
                <w:sz w:val="18"/>
                <w:szCs w:val="18"/>
              </w:rPr>
            </w:pPr>
            <w:r>
              <w:rPr>
                <w:rFonts w:ascii="宋体" w:hAnsi="宋体" w:cs="宋体" w:eastAsia="宋体" w:hint="default"/>
                <w:b/>
                <w:bCs/>
                <w:sz w:val="18"/>
                <w:szCs w:val="18"/>
              </w:rPr>
              <w:t>项目目前实</w:t>
            </w:r>
            <w:r>
              <w:rPr>
                <w:rFonts w:ascii="宋体" w:hAnsi="宋体" w:cs="宋体" w:eastAsia="宋体" w:hint="default"/>
                <w:b/>
                <w:bCs/>
                <w:w w:val="99"/>
                <w:sz w:val="18"/>
                <w:szCs w:val="18"/>
              </w:rPr>
              <w:t> </w:t>
            </w:r>
            <w:r>
              <w:rPr>
                <w:rFonts w:ascii="宋体" w:hAnsi="宋体" w:cs="宋体" w:eastAsia="宋体" w:hint="default"/>
                <w:b/>
                <w:bCs/>
                <w:sz w:val="18"/>
                <w:szCs w:val="18"/>
              </w:rPr>
              <w:t>施进度</w:t>
            </w:r>
            <w:r>
              <w:rPr>
                <w:rFonts w:ascii="宋体" w:hAnsi="宋体" w:cs="宋体" w:eastAsia="宋体" w:hint="default"/>
                <w:sz w:val="18"/>
                <w:szCs w:val="18"/>
              </w:rPr>
            </w:r>
          </w:p>
        </w:tc>
      </w:tr>
      <w:tr>
        <w:trPr>
          <w:trHeight w:val="719" w:hRule="exact"/>
        </w:trPr>
        <w:tc>
          <w:tcPr>
            <w:tcW w:w="2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湖北中烟工业有限责任公司</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03" w:right="177"/>
              <w:jc w:val="left"/>
              <w:rPr>
                <w:rFonts w:ascii="宋体" w:hAnsi="宋体" w:cs="宋体" w:eastAsia="宋体" w:hint="default"/>
                <w:sz w:val="18"/>
                <w:szCs w:val="18"/>
              </w:rPr>
            </w:pPr>
            <w:r>
              <w:rPr>
                <w:rFonts w:ascii="宋体" w:hAnsi="宋体" w:cs="宋体" w:eastAsia="宋体" w:hint="default"/>
                <w:sz w:val="18"/>
                <w:szCs w:val="18"/>
              </w:rPr>
              <w:t>湖北中烟工业有限责任公司武汉卷烟厂易地技术改 造项目卷包生产物流系统</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17,505.58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已初验</w:t>
            </w:r>
          </w:p>
        </w:tc>
      </w:tr>
      <w:tr>
        <w:trPr>
          <w:trHeight w:val="730" w:hRule="exact"/>
        </w:trPr>
        <w:tc>
          <w:tcPr>
            <w:tcW w:w="2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四川中烟工业有限责任公司</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什邡分厂易地技术改造生产物流系统总体集成项目</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13,320.00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细化设计</w:t>
            </w:r>
          </w:p>
        </w:tc>
      </w:tr>
      <w:tr>
        <w:trPr>
          <w:trHeight w:val="863" w:hRule="exact"/>
        </w:trPr>
        <w:tc>
          <w:tcPr>
            <w:tcW w:w="2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安徽中烟工业有限责任公司</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25"/>
              <w:ind w:left="103" w:right="100"/>
              <w:jc w:val="left"/>
              <w:rPr>
                <w:rFonts w:ascii="Times New Roman" w:hAnsi="Times New Roman" w:cs="Times New Roman" w:eastAsia="Times New Roman" w:hint="default"/>
                <w:sz w:val="18"/>
                <w:szCs w:val="18"/>
              </w:rPr>
            </w:pPr>
            <w:r>
              <w:rPr>
                <w:rFonts w:ascii="宋体" w:hAnsi="宋体" w:cs="宋体" w:eastAsia="宋体" w:hint="default"/>
                <w:sz w:val="18"/>
                <w:szCs w:val="18"/>
              </w:rPr>
              <w:t>蚌埠卷烟厂</w:t>
            </w:r>
            <w:r>
              <w:rPr>
                <w:rFonts w:ascii="Times New Roman" w:hAnsi="Times New Roman" w:cs="Times New Roman" w:eastAsia="Times New Roman" w:hint="default"/>
                <w:sz w:val="18"/>
                <w:szCs w:val="18"/>
              </w:rPr>
              <w:t>“</w:t>
            </w:r>
            <w:r>
              <w:rPr>
                <w:rFonts w:ascii="宋体" w:hAnsi="宋体" w:cs="宋体" w:eastAsia="宋体" w:hint="default"/>
                <w:sz w:val="18"/>
                <w:szCs w:val="18"/>
              </w:rPr>
              <w:t>黄山</w:t>
            </w:r>
            <w:r>
              <w:rPr>
                <w:rFonts w:ascii="Times New Roman" w:hAnsi="Times New Roman" w:cs="Times New Roman" w:eastAsia="Times New Roman" w:hint="default"/>
                <w:sz w:val="18"/>
                <w:szCs w:val="18"/>
              </w:rPr>
              <w:t>”</w:t>
            </w:r>
            <w:r>
              <w:rPr>
                <w:rFonts w:ascii="宋体" w:hAnsi="宋体" w:cs="宋体" w:eastAsia="宋体" w:hint="default"/>
                <w:sz w:val="18"/>
                <w:szCs w:val="18"/>
              </w:rPr>
              <w:t>品牌专线暨蚌埠卷烟厂易地搬迁 </w:t>
            </w:r>
            <w:r>
              <w:rPr>
                <w:rFonts w:ascii="宋体" w:hAnsi="宋体" w:cs="宋体" w:eastAsia="宋体" w:hint="default"/>
                <w:spacing w:val="-4"/>
                <w:sz w:val="18"/>
                <w:szCs w:val="18"/>
              </w:rPr>
              <w:t>技术改造项目</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片烟配方、成品、辅料平衡物流系统</w:t>
            </w:r>
            <w:r>
              <w:rPr>
                <w:rFonts w:ascii="Times New Roman" w:hAnsi="Times New Roman" w:cs="Times New Roman" w:eastAsia="Times New Roman" w:hint="default"/>
                <w:spacing w:val="-4"/>
                <w:sz w:val="18"/>
                <w:szCs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10,463.67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到货阶段</w:t>
            </w:r>
          </w:p>
        </w:tc>
      </w:tr>
      <w:tr>
        <w:trPr>
          <w:trHeight w:val="683" w:hRule="exact"/>
        </w:trPr>
        <w:tc>
          <w:tcPr>
            <w:tcW w:w="2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青海比亚迪锂电池有限公司</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青岛比亚迪物流仓储系统</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9,750.00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设备采购</w:t>
            </w:r>
          </w:p>
        </w:tc>
      </w:tr>
      <w:tr>
        <w:trPr>
          <w:trHeight w:val="684" w:hRule="exact"/>
        </w:trPr>
        <w:tc>
          <w:tcPr>
            <w:tcW w:w="2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珠海泰坦新动力电子有限公司</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银隆</w:t>
            </w:r>
            <w:r>
              <w:rPr>
                <w:rFonts w:ascii="Times New Roman" w:hAnsi="Times New Roman" w:cs="Times New Roman" w:eastAsia="Times New Roman" w:hint="default"/>
                <w:sz w:val="18"/>
                <w:szCs w:val="18"/>
              </w:rPr>
              <w:t>YL03</w:t>
            </w:r>
            <w:r>
              <w:rPr>
                <w:rFonts w:ascii="宋体" w:hAnsi="宋体" w:cs="宋体" w:eastAsia="宋体" w:hint="default"/>
                <w:sz w:val="18"/>
                <w:szCs w:val="18"/>
              </w:rPr>
              <w:t>自动线成都项目</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8,593.96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已初验</w:t>
            </w:r>
          </w:p>
        </w:tc>
      </w:tr>
      <w:tr>
        <w:trPr>
          <w:trHeight w:val="790" w:hRule="exact"/>
        </w:trPr>
        <w:tc>
          <w:tcPr>
            <w:tcW w:w="2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珠海泰坦新动力电子有限公司</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银隆</w:t>
            </w:r>
            <w:r>
              <w:rPr>
                <w:rFonts w:ascii="Times New Roman" w:hAnsi="Times New Roman" w:cs="Times New Roman" w:eastAsia="Times New Roman" w:hint="default"/>
                <w:sz w:val="18"/>
                <w:szCs w:val="18"/>
              </w:rPr>
              <w:t>YL04</w:t>
            </w:r>
            <w:r>
              <w:rPr>
                <w:rFonts w:ascii="宋体" w:hAnsi="宋体" w:cs="宋体" w:eastAsia="宋体" w:hint="default"/>
                <w:sz w:val="18"/>
                <w:szCs w:val="18"/>
              </w:rPr>
              <w:t>自动线天津项目</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5,126.04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已初验</w:t>
            </w:r>
          </w:p>
        </w:tc>
      </w:tr>
      <w:tr>
        <w:trPr>
          <w:trHeight w:val="790" w:hRule="exact"/>
        </w:trPr>
        <w:tc>
          <w:tcPr>
            <w:tcW w:w="2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安徽中烟工业有限责任公司</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8"/>
              <w:ind w:left="103" w:right="197"/>
              <w:jc w:val="left"/>
              <w:rPr>
                <w:rFonts w:ascii="Times New Roman" w:hAnsi="Times New Roman" w:cs="Times New Roman" w:eastAsia="Times New Roman" w:hint="default"/>
                <w:sz w:val="18"/>
                <w:szCs w:val="18"/>
              </w:rPr>
            </w:pPr>
            <w:r>
              <w:rPr>
                <w:rFonts w:ascii="宋体" w:hAnsi="宋体" w:cs="宋体" w:eastAsia="宋体" w:hint="default"/>
                <w:sz w:val="18"/>
                <w:szCs w:val="18"/>
              </w:rPr>
              <w:t>蚌埠卷烟厂</w:t>
            </w:r>
            <w:r>
              <w:rPr>
                <w:rFonts w:ascii="Times New Roman" w:hAnsi="Times New Roman" w:cs="Times New Roman" w:eastAsia="Times New Roman" w:hint="default"/>
                <w:sz w:val="18"/>
                <w:szCs w:val="18"/>
              </w:rPr>
              <w:t>“</w:t>
            </w:r>
            <w:r>
              <w:rPr>
                <w:rFonts w:ascii="宋体" w:hAnsi="宋体" w:cs="宋体" w:eastAsia="宋体" w:hint="default"/>
                <w:sz w:val="18"/>
                <w:szCs w:val="18"/>
              </w:rPr>
              <w:t>黄山</w:t>
            </w:r>
            <w:r>
              <w:rPr>
                <w:rFonts w:ascii="Times New Roman" w:hAnsi="Times New Roman" w:cs="Times New Roman" w:eastAsia="Times New Roman" w:hint="default"/>
                <w:sz w:val="18"/>
                <w:szCs w:val="18"/>
              </w:rPr>
              <w:t>”</w:t>
            </w:r>
            <w:r>
              <w:rPr>
                <w:rFonts w:ascii="宋体" w:hAnsi="宋体" w:cs="宋体" w:eastAsia="宋体" w:hint="default"/>
                <w:sz w:val="18"/>
                <w:szCs w:val="18"/>
              </w:rPr>
              <w:t>品牌专线暨蚌埠卷烟厂易地搬迁 技术改造项目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烟丝箱式储存自动化物流系统</w:t>
            </w:r>
            <w:r>
              <w:rPr>
                <w:rFonts w:ascii="Times New Roman" w:hAnsi="Times New Roman" w:cs="Times New Roman" w:eastAsia="Times New Roman" w:hint="default"/>
                <w:sz w:val="18"/>
                <w:szCs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7,184.08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到货阶段</w:t>
            </w:r>
          </w:p>
        </w:tc>
      </w:tr>
      <w:tr>
        <w:trPr>
          <w:trHeight w:val="659" w:hRule="exact"/>
        </w:trPr>
        <w:tc>
          <w:tcPr>
            <w:tcW w:w="2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贵州中烟工业有限责任公司</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3"/>
              <w:ind w:left="103" w:right="116"/>
              <w:jc w:val="left"/>
              <w:rPr>
                <w:rFonts w:ascii="宋体" w:hAnsi="宋体" w:cs="宋体" w:eastAsia="宋体" w:hint="default"/>
                <w:sz w:val="18"/>
                <w:szCs w:val="18"/>
              </w:rPr>
            </w:pPr>
            <w:r>
              <w:rPr>
                <w:rFonts w:ascii="宋体" w:hAnsi="宋体" w:cs="宋体" w:eastAsia="宋体" w:hint="default"/>
                <w:sz w:val="18"/>
                <w:szCs w:val="18"/>
              </w:rPr>
              <w:t>遵义卷烟厂易地技术改造项目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配方物流库、辅料物 流库</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5,714.14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安装调试</w:t>
            </w:r>
          </w:p>
        </w:tc>
      </w:tr>
      <w:tr>
        <w:trPr>
          <w:trHeight w:val="490" w:hRule="exact"/>
        </w:trPr>
        <w:tc>
          <w:tcPr>
            <w:tcW w:w="2661" w:type="dxa"/>
            <w:tcBorders>
              <w:top w:val="single" w:sz="4" w:space="0" w:color="000000"/>
              <w:left w:val="single" w:sz="4" w:space="0" w:color="000000"/>
              <w:bottom w:val="single" w:sz="4" w:space="0" w:color="000000"/>
              <w:right w:val="single" w:sz="4" w:space="0" w:color="000000"/>
            </w:tcBorders>
          </w:tcPr>
          <w:p>
            <w:pP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Times New Roman" w:hAnsi="Times New Roman" w:cs="Times New Roman" w:eastAsia="Times New Roman" w:hint="default"/>
                <w:sz w:val="18"/>
                <w:szCs w:val="18"/>
              </w:rPr>
            </w:pPr>
            <w:r>
              <w:rPr>
                <w:rFonts w:ascii="Times New Roman"/>
                <w:spacing w:val="-1"/>
                <w:sz w:val="18"/>
              </w:rPr>
              <w:t>77,657.48</w:t>
            </w:r>
          </w:p>
        </w:tc>
        <w:tc>
          <w:tcPr>
            <w:tcW w:w="127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5）营业成本构成" w:id="31"/>
      <w:bookmarkEnd w:id="31"/>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行业和产品分类</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359,519,526.32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248,269,792.51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44.81%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加工制造业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2,656,251.63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-99.93%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643,091.64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643,091.64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工业生产型物流 系统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315,923,895.18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223,931,375.60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41.08%</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商业配送型物流 系统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19,147,254.68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5,502,852.90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247.95%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运营维护（售后 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24,448,376.46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18,835,564.01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29.80%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托盘梗箱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2,656,251.63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-99.93%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643,091.64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643,091.64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6）报告期内合并范围是否发生变动" w:id="32"/>
      <w:bookmarkEnd w:id="32"/>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13"/>
          <w:szCs w:val="13"/>
        </w:rPr>
      </w:pPr>
    </w:p>
    <w:p>
      <w:pPr>
        <w:pStyle w:val="Heading4"/>
        <w:spacing w:line="240" w:lineRule="auto"/>
        <w:ind w:left="1495" w:right="0"/>
        <w:jc w:val="left"/>
        <w:rPr>
          <w:b w:val="0"/>
          <w:bCs w:val="0"/>
        </w:rPr>
      </w:pPr>
      <w:r>
        <w:rPr>
          <w:rFonts w:ascii="Times New Roman" w:hAnsi="Times New Roman" w:cs="Times New Roman" w:eastAsia="Times New Roman" w:hint="default"/>
        </w:rPr>
        <w:t>1</w:t>
      </w:r>
      <w:r>
        <w:rPr/>
        <w:t>、处置广东新阳物流设备有限公司</w:t>
      </w:r>
      <w:r>
        <w:rPr>
          <w:b w:val="0"/>
          <w:bCs w:val="0"/>
        </w:rPr>
      </w:r>
    </w:p>
    <w:p>
      <w:pPr>
        <w:spacing w:line="240" w:lineRule="auto" w:before="9"/>
        <w:rPr>
          <w:rFonts w:ascii="宋体" w:hAnsi="宋体" w:cs="宋体" w:eastAsia="宋体" w:hint="default"/>
          <w:b/>
          <w:bCs/>
          <w:sz w:val="16"/>
          <w:szCs w:val="16"/>
        </w:rPr>
      </w:pPr>
    </w:p>
    <w:p>
      <w:pPr>
        <w:pStyle w:val="BodyText"/>
        <w:spacing w:line="451" w:lineRule="auto"/>
        <w:ind w:right="1131" w:firstLine="36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16</w:t>
      </w:r>
      <w:r>
        <w:rPr/>
        <w:t>日第三届董事会第二次会议决议，将原全资子公司广东新阳物流设备有限公司</w:t>
      </w:r>
      <w:r>
        <w:rPr>
          <w:rFonts w:ascii="Times New Roman" w:hAnsi="Times New Roman" w:cs="Times New Roman" w:eastAsia="Times New Roman" w:hint="default"/>
        </w:rPr>
        <w:t>100%</w:t>
      </w:r>
      <w:r>
        <w:rPr/>
        <w:t>股权转让给自然人黄 小江，转让股权价格为人民币</w:t>
      </w:r>
      <w:r>
        <w:rPr>
          <w:rFonts w:ascii="Times New Roman" w:hAnsi="Times New Roman" w:cs="Times New Roman" w:eastAsia="Times New Roman" w:hint="default"/>
        </w:rPr>
        <w:t>2,800.00</w:t>
      </w:r>
      <w:r>
        <w:rPr/>
        <w:t>万元。</w:t>
      </w:r>
    </w:p>
    <w:p>
      <w:pPr>
        <w:pStyle w:val="Heading4"/>
        <w:spacing w:line="240" w:lineRule="auto" w:before="43"/>
        <w:ind w:left="1495" w:right="0"/>
        <w:jc w:val="left"/>
        <w:rPr>
          <w:b w:val="0"/>
          <w:bCs w:val="0"/>
        </w:rPr>
      </w:pPr>
      <w:r>
        <w:rPr>
          <w:rFonts w:ascii="Times New Roman" w:hAnsi="Times New Roman" w:cs="Times New Roman" w:eastAsia="Times New Roman" w:hint="default"/>
        </w:rPr>
        <w:t>2</w:t>
      </w:r>
      <w:r>
        <w:rPr/>
        <w:t>、新成立子公司北京今天华迅智能技术有限公司</w:t>
      </w:r>
      <w:r>
        <w:rPr>
          <w:b w:val="0"/>
          <w:bCs w:val="0"/>
        </w:rPr>
      </w:r>
    </w:p>
    <w:p>
      <w:pPr>
        <w:spacing w:line="240" w:lineRule="auto" w:before="9"/>
        <w:rPr>
          <w:rFonts w:ascii="宋体" w:hAnsi="宋体" w:cs="宋体" w:eastAsia="宋体" w:hint="default"/>
          <w:b/>
          <w:bCs/>
          <w:sz w:val="16"/>
          <w:szCs w:val="16"/>
        </w:rPr>
      </w:pPr>
    </w:p>
    <w:p>
      <w:pPr>
        <w:pStyle w:val="BodyText"/>
        <w:spacing w:line="458" w:lineRule="auto"/>
        <w:ind w:right="1129"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日，本公司召开第三届董事会第八次会议决议，通过了《关于对外投资设立子公司的议案》，公司拟对外 </w:t>
      </w:r>
      <w:r>
        <w:rPr>
          <w:spacing w:val="-2"/>
        </w:rPr>
        <w:t>投资，与北京皖江科技合伙企业、北京卓天城科技合伙企业合资设立控股子公司北京今天华迅智能技术有限公司。北京今天</w:t>
      </w:r>
      <w:r>
        <w:rPr>
          <w:spacing w:val="-66"/>
        </w:rPr>
        <w:t> </w:t>
      </w:r>
      <w:r>
        <w:rPr>
          <w:spacing w:val="-66"/>
        </w:rPr>
      </w:r>
      <w:r>
        <w:rPr>
          <w:spacing w:val="-1"/>
        </w:rPr>
        <w:t>华迅智能技术有限公司注册资本</w:t>
      </w:r>
      <w:r>
        <w:rPr>
          <w:rFonts w:ascii="Times New Roman" w:hAnsi="Times New Roman" w:cs="Times New Roman" w:eastAsia="Times New Roman" w:hint="default"/>
          <w:spacing w:val="-1"/>
        </w:rPr>
        <w:t>5,000.00</w:t>
      </w:r>
      <w:r>
        <w:rPr>
          <w:spacing w:val="-1"/>
        </w:rPr>
        <w:t>万元人民币，其中公司认缴注册资本</w:t>
      </w:r>
      <w:r>
        <w:rPr>
          <w:rFonts w:ascii="Times New Roman" w:hAnsi="Times New Roman" w:cs="Times New Roman" w:eastAsia="Times New Roman" w:hint="default"/>
          <w:spacing w:val="-1"/>
        </w:rPr>
        <w:t>3,110.00</w:t>
      </w:r>
      <w:r>
        <w:rPr>
          <w:spacing w:val="-1"/>
        </w:rPr>
        <w:t>万元人民币，持有</w:t>
      </w:r>
      <w:r>
        <w:rPr>
          <w:rFonts w:ascii="Times New Roman" w:hAnsi="Times New Roman" w:cs="Times New Roman" w:eastAsia="Times New Roman" w:hint="default"/>
          <w:spacing w:val="-1"/>
        </w:rPr>
        <w:t>62.2%</w:t>
      </w:r>
      <w:r>
        <w:rPr>
          <w:spacing w:val="-1"/>
        </w:rPr>
        <w:t>的股权；北京</w:t>
      </w:r>
      <w:r>
        <w:rPr>
          <w:spacing w:val="-39"/>
        </w:rPr>
        <w:t> </w:t>
      </w:r>
      <w:r>
        <w:rPr>
          <w:spacing w:val="-39"/>
        </w:rPr>
      </w:r>
      <w:r>
        <w:rPr>
          <w:spacing w:val="-1"/>
        </w:rPr>
        <w:t>皖江科技合伙企业认缴注册资本</w:t>
      </w:r>
      <w:r>
        <w:rPr>
          <w:rFonts w:ascii="Times New Roman" w:hAnsi="Times New Roman" w:cs="Times New Roman" w:eastAsia="Times New Roman" w:hint="default"/>
          <w:spacing w:val="-1"/>
        </w:rPr>
        <w:t>1,160.00</w:t>
      </w:r>
      <w:r>
        <w:rPr>
          <w:spacing w:val="-1"/>
        </w:rPr>
        <w:t>万元人民币，持有</w:t>
      </w:r>
      <w:r>
        <w:rPr>
          <w:rFonts w:ascii="Times New Roman" w:hAnsi="Times New Roman" w:cs="Times New Roman" w:eastAsia="Times New Roman" w:hint="default"/>
          <w:spacing w:val="-1"/>
        </w:rPr>
        <w:t>23.2%</w:t>
      </w:r>
      <w:r>
        <w:rPr>
          <w:spacing w:val="-1"/>
        </w:rPr>
        <w:t>的股权；北京卓天城科技合伙企业认缴注册资本</w:t>
      </w:r>
      <w:r>
        <w:rPr>
          <w:rFonts w:ascii="Times New Roman" w:hAnsi="Times New Roman" w:cs="Times New Roman" w:eastAsia="Times New Roman" w:hint="default"/>
          <w:spacing w:val="-1"/>
        </w:rPr>
        <w:t>730.00</w:t>
      </w:r>
      <w:r>
        <w:rPr>
          <w:spacing w:val="-1"/>
        </w:rPr>
        <w:t>万元</w:t>
      </w:r>
      <w:r>
        <w:rPr>
          <w:spacing w:val="-82"/>
        </w:rPr>
        <w:t> </w:t>
      </w:r>
      <w:r>
        <w:rPr/>
        <w:t>人民币，持有</w:t>
      </w:r>
      <w:r>
        <w:rPr>
          <w:rFonts w:ascii="Times New Roman" w:hAnsi="Times New Roman" w:cs="Times New Roman" w:eastAsia="Times New Roman" w:hint="default"/>
        </w:rPr>
        <w:t>14.6%</w:t>
      </w:r>
      <w:r>
        <w:rPr/>
        <w:t>的股权。截至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日，本公司实际出资</w:t>
      </w:r>
      <w:r>
        <w:rPr>
          <w:rFonts w:ascii="Times New Roman" w:hAnsi="Times New Roman" w:cs="Times New Roman" w:eastAsia="Times New Roman" w:hint="default"/>
        </w:rPr>
        <w:t>186.60</w:t>
      </w:r>
      <w:r>
        <w:rPr/>
        <w:t>万元人民币。</w:t>
      </w:r>
    </w:p>
    <w:p>
      <w:pPr>
        <w:pStyle w:val="Heading4"/>
        <w:spacing w:line="240" w:lineRule="auto" w:before="38"/>
        <w:ind w:left="1495" w:right="0"/>
        <w:jc w:val="left"/>
        <w:rPr>
          <w:b w:val="0"/>
          <w:bCs w:val="0"/>
        </w:rPr>
      </w:pPr>
      <w:r>
        <w:rPr>
          <w:rFonts w:ascii="Times New Roman" w:hAnsi="Times New Roman" w:cs="Times New Roman" w:eastAsia="Times New Roman" w:hint="default"/>
        </w:rPr>
        <w:t>3</w:t>
      </w:r>
      <w:r>
        <w:rPr/>
        <w:t>、新成立全资子公司上海今天华峰智能系统有限公司</w:t>
      </w:r>
      <w:r>
        <w:rPr>
          <w:b w:val="0"/>
          <w:bCs w:val="0"/>
        </w:rPr>
      </w:r>
    </w:p>
    <w:p>
      <w:pPr>
        <w:spacing w:line="240" w:lineRule="auto" w:before="9"/>
        <w:rPr>
          <w:rFonts w:ascii="宋体" w:hAnsi="宋体" w:cs="宋体" w:eastAsia="宋体" w:hint="default"/>
          <w:b/>
          <w:bCs/>
          <w:sz w:val="16"/>
          <w:szCs w:val="16"/>
        </w:rPr>
      </w:pPr>
    </w:p>
    <w:p>
      <w:pPr>
        <w:pStyle w:val="BodyText"/>
        <w:spacing w:line="451" w:lineRule="auto"/>
        <w:ind w:right="1129" w:firstLine="360"/>
        <w:jc w:val="both"/>
      </w:pP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11</w:t>
      </w:r>
      <w:r>
        <w:rPr>
          <w:spacing w:val="-3"/>
        </w:rPr>
        <w:t>日，本公司召开第三届董事会第九次会议决议，通过了《关于投资设立上海子公司的议案》，同意使用</w:t>
      </w:r>
      <w:r>
        <w:rPr>
          <w:rFonts w:ascii="Times New Roman" w:hAnsi="Times New Roman" w:cs="Times New Roman" w:eastAsia="Times New Roman" w:hint="default"/>
          <w:spacing w:val="-3"/>
        </w:rPr>
        <w:t>5000</w:t>
      </w:r>
      <w:r>
        <w:rPr>
          <w:rFonts w:ascii="Times New Roman" w:hAnsi="Times New Roman" w:cs="Times New Roman" w:eastAsia="Times New Roman" w:hint="default"/>
        </w:rPr>
        <w:t> </w:t>
      </w:r>
      <w:r>
        <w:rPr/>
        <w:t>万元设立全资子公司上海今天华峰智能系统有限公司。该公司在</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7</w:t>
      </w:r>
      <w:r>
        <w:rPr/>
        <w:t>日成立，截至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日，本公司尚未实</w:t>
      </w:r>
      <w:r>
        <w:rPr>
          <w:spacing w:val="-82"/>
        </w:rPr>
        <w:t> </w:t>
      </w:r>
      <w:r>
        <w:rPr>
          <w:spacing w:val="-82"/>
        </w:rPr>
      </w:r>
      <w:r>
        <w:rPr/>
        <w:t>际出资。</w:t>
      </w: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7）公司报告期内业务、产品或服务发生重大变化或调整有关情况" w:id="33"/>
      <w:bookmarkEnd w:id="33"/>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8）主要销售客户和主要供应商情况" w:id="34"/>
      <w:bookmarkEnd w:id="34"/>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3"/>
        <w:rPr>
          <w:rFonts w:ascii="宋体" w:hAnsi="宋体" w:cs="宋体" w:eastAsia="宋体" w:hint="default"/>
          <w:sz w:val="14"/>
          <w:szCs w:val="14"/>
        </w:rPr>
      </w:pPr>
    </w:p>
    <w:tbl>
      <w:tblPr>
        <w:tblW w:w="0" w:type="auto"/>
        <w:jc w:val="left"/>
        <w:tblInd w:w="1129" w:type="dxa"/>
        <w:tblLayout w:type="fixed"/>
        <w:tblCellMar>
          <w:top w:w="0" w:type="dxa"/>
          <w:left w:w="0" w:type="dxa"/>
          <w:bottom w:w="0" w:type="dxa"/>
          <w:right w:w="0" w:type="dxa"/>
        </w:tblCellMar>
        <w:tblLook w:val="01E0"/>
      </w:tblPr>
      <w:tblGrid>
        <w:gridCol w:w="4396"/>
        <w:gridCol w:w="5173"/>
      </w:tblGrid>
      <w:tr>
        <w:trPr>
          <w:trHeight w:val="602"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396,138,665.80</w:t>
            </w:r>
          </w:p>
        </w:tc>
      </w:tr>
      <w:tr>
        <w:trPr>
          <w:trHeight w:val="566"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3"/>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69.54%</w:t>
            </w:r>
          </w:p>
        </w:tc>
      </w:tr>
      <w:tr>
        <w:trPr>
          <w:trHeight w:val="576"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5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2"/>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155,048,290.60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27.22%</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137,264,957.26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24.10%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42,076,700.00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37,777,777.77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23,970,940.17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396,138,665.80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69.54%</w:t>
            </w:r>
          </w:p>
        </w:tc>
      </w:tr>
    </w:tbl>
    <w:p>
      <w:pPr>
        <w:pStyle w:val="BodyText"/>
        <w:spacing w:line="240" w:lineRule="auto" w:before="51"/>
        <w:ind w:left="1134" w:right="0"/>
        <w:jc w:val="left"/>
      </w:pPr>
      <w:r>
        <w:rPr/>
        <w:t>主要客户其他情况说明</w:t>
      </w:r>
    </w:p>
    <w:p>
      <w:pPr>
        <w:pStyle w:val="BodyText"/>
        <w:spacing w:line="415" w:lineRule="auto" w:before="117"/>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2"/>
        <w:rPr>
          <w:rFonts w:ascii="宋体" w:hAnsi="宋体" w:cs="宋体" w:eastAsia="宋体" w:hint="default"/>
          <w:sz w:val="4"/>
          <w:szCs w:val="4"/>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146,416,050.04</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36.58%</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8"/>
        <w:rPr>
          <w:rFonts w:ascii="宋体" w:hAnsi="宋体" w:cs="宋体" w:eastAsia="宋体" w:hint="default"/>
          <w:sz w:val="6"/>
          <w:szCs w:val="6"/>
        </w:rPr>
      </w:pPr>
    </w:p>
    <w:p>
      <w:pPr>
        <w:pStyle w:val="BodyText"/>
        <w:spacing w:line="240" w:lineRule="auto" w:before="44"/>
        <w:ind w:left="113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2"/>
        <w:rPr>
          <w:rFonts w:ascii="宋体" w:hAnsi="宋体" w:cs="宋体" w:eastAsia="宋体" w:hint="default"/>
          <w:sz w:val="13"/>
          <w:szCs w:val="13"/>
        </w:rPr>
      </w:pPr>
    </w:p>
    <w:tbl>
      <w:tblPr>
        <w:tblW w:w="0" w:type="auto"/>
        <w:jc w:val="left"/>
        <w:tblInd w:w="114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41,980,239.98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10.49%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33,011,623.94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8.25%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27,579,077.79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6.89%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22,486,082.11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21,359,026.22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5.34%</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146,416,050.04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36.58%</w:t>
            </w:r>
          </w:p>
        </w:tc>
      </w:tr>
    </w:tbl>
    <w:p>
      <w:pPr>
        <w:spacing w:line="240" w:lineRule="auto" w:before="6"/>
        <w:rPr>
          <w:rFonts w:ascii="宋体" w:hAnsi="宋体" w:cs="宋体" w:eastAsia="宋体" w:hint="default"/>
          <w:sz w:val="6"/>
          <w:szCs w:val="6"/>
        </w:rPr>
      </w:pPr>
    </w:p>
    <w:p>
      <w:pPr>
        <w:pStyle w:val="BodyText"/>
        <w:spacing w:line="240" w:lineRule="auto" w:before="44"/>
        <w:ind w:left="1134" w:right="0"/>
        <w:jc w:val="left"/>
      </w:pPr>
      <w:r>
        <w:rPr/>
        <w:t>主要供应商其他情况说明</w:t>
      </w:r>
    </w:p>
    <w:p>
      <w:pPr>
        <w:spacing w:line="240" w:lineRule="auto" w:before="10"/>
        <w:rPr>
          <w:rFonts w:ascii="宋体" w:hAnsi="宋体" w:cs="宋体" w:eastAsia="宋体" w:hint="default"/>
          <w:sz w:val="20"/>
          <w:szCs w:val="20"/>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2"/>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747" w:footer="979" w:top="1060" w:bottom="1160" w:left="0" w:right="0"/>
        </w:sectPr>
      </w:pPr>
    </w:p>
    <w:p>
      <w:pPr>
        <w:pStyle w:val="Heading3"/>
        <w:spacing w:line="240" w:lineRule="auto" w:before="35"/>
        <w:ind w:right="-18"/>
        <w:jc w:val="left"/>
        <w:rPr>
          <w:b w:val="0"/>
          <w:bCs w:val="0"/>
        </w:rPr>
      </w:pPr>
      <w:bookmarkStart w:name="3、费用" w:id="35"/>
      <w:bookmarkEnd w:id="35"/>
      <w:r>
        <w:rPr>
          <w:b w:val="0"/>
          <w:bCs w:val="0"/>
        </w:rPr>
      </w:r>
      <w:r>
        <w:rPr>
          <w:rFonts w:ascii="Times New Roman" w:hAnsi="Times New Roman" w:cs="Times New Roman" w:eastAsia="Times New Roman" w:hint="default"/>
        </w:rPr>
        <w:t>3</w:t>
      </w:r>
      <w:r>
        <w:rPr/>
        <w:t>、费用</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pStyle w:val="BodyText"/>
        <w:spacing w:line="240" w:lineRule="auto" w:before="137"/>
        <w:ind w:left="936" w:right="1112"/>
        <w:jc w:val="center"/>
      </w:pPr>
      <w:r>
        <w:rPr/>
        <w:t>单位：元</w:t>
      </w:r>
    </w:p>
    <w:p>
      <w:pPr>
        <w:spacing w:after="0" w:line="240" w:lineRule="auto"/>
        <w:jc w:val="center"/>
        <w:sectPr>
          <w:type w:val="continuous"/>
          <w:pgSz w:w="11910" w:h="16840"/>
          <w:pgMar w:top="1060" w:bottom="1160" w:left="0" w:right="0"/>
          <w:cols w:num="2" w:equalWidth="0">
            <w:col w:w="1874" w:space="6866"/>
            <w:col w:w="3170"/>
          </w:cols>
        </w:sectPr>
      </w:pPr>
    </w:p>
    <w:p>
      <w:pPr>
        <w:spacing w:line="240" w:lineRule="auto" w:before="0"/>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1916"/>
        <w:gridCol w:w="1628"/>
        <w:gridCol w:w="1646"/>
        <w:gridCol w:w="1462"/>
        <w:gridCol w:w="2918"/>
      </w:tblGrid>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17" w:hRule="exact"/>
        </w:trPr>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28"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54" w:right="0"/>
              <w:jc w:val="left"/>
              <w:rPr>
                <w:rFonts w:ascii="Times New Roman" w:hAnsi="Times New Roman" w:cs="Times New Roman" w:eastAsia="Times New Roman" w:hint="default"/>
                <w:sz w:val="18"/>
                <w:szCs w:val="18"/>
              </w:rPr>
            </w:pPr>
            <w:r>
              <w:rPr>
                <w:rFonts w:ascii="Times New Roman"/>
                <w:sz w:val="18"/>
              </w:rPr>
              <w:t>31,238,930.28</w:t>
            </w:r>
          </w:p>
        </w:tc>
        <w:tc>
          <w:tcPr>
            <w:tcW w:w="164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78" w:right="0"/>
              <w:jc w:val="left"/>
              <w:rPr>
                <w:rFonts w:ascii="Times New Roman" w:hAnsi="Times New Roman" w:cs="Times New Roman" w:eastAsia="Times New Roman" w:hint="default"/>
                <w:sz w:val="18"/>
                <w:szCs w:val="18"/>
              </w:rPr>
            </w:pPr>
            <w:r>
              <w:rPr>
                <w:rFonts w:ascii="Times New Roman"/>
                <w:sz w:val="18"/>
              </w:rPr>
              <w:t>26,166,352.44</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19.39%</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1"/>
              <w:jc w:val="both"/>
              <w:rPr>
                <w:rFonts w:ascii="宋体" w:hAnsi="宋体" w:cs="宋体" w:eastAsia="宋体" w:hint="default"/>
                <w:sz w:val="18"/>
                <w:szCs w:val="18"/>
              </w:rPr>
            </w:pPr>
            <w:r>
              <w:rPr>
                <w:rFonts w:ascii="宋体" w:hAnsi="宋体" w:cs="宋体" w:eastAsia="宋体" w:hint="default"/>
                <w:spacing w:val="-2"/>
                <w:sz w:val="18"/>
                <w:szCs w:val="18"/>
              </w:rPr>
              <w:t>主要系报告期内项目跟进较多，同时</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因市场拓展需要相应的人工费用、差</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旅费等增加所致</w:t>
            </w:r>
          </w:p>
        </w:tc>
      </w:tr>
      <w:tr>
        <w:trPr>
          <w:trHeight w:val="392" w:hRule="exact"/>
        </w:trPr>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28" w:type="dxa"/>
            <w:vMerge/>
            <w:tcBorders>
              <w:left w:val="single" w:sz="10" w:space="0" w:color="D2D2D2"/>
              <w:right w:val="single" w:sz="4" w:space="0" w:color="000000"/>
            </w:tcBorders>
          </w:tcPr>
          <w:p>
            <w:pPr/>
          </w:p>
        </w:tc>
        <w:tc>
          <w:tcPr>
            <w:tcW w:w="1646"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28" w:type="dxa"/>
            <w:vMerge/>
            <w:tcBorders>
              <w:left w:val="single" w:sz="10" w:space="0" w:color="D2D2D2"/>
              <w:bottom w:val="single" w:sz="4" w:space="0" w:color="000000"/>
              <w:right w:val="single" w:sz="4" w:space="0" w:color="000000"/>
            </w:tcBorders>
          </w:tcPr>
          <w:p>
            <w:pPr/>
          </w:p>
        </w:tc>
        <w:tc>
          <w:tcPr>
            <w:tcW w:w="1646"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73" w:hRule="exact"/>
        </w:trPr>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28"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54" w:right="0"/>
              <w:jc w:val="left"/>
              <w:rPr>
                <w:rFonts w:ascii="Times New Roman" w:hAnsi="Times New Roman" w:cs="Times New Roman" w:eastAsia="Times New Roman" w:hint="default"/>
                <w:sz w:val="18"/>
                <w:szCs w:val="18"/>
              </w:rPr>
            </w:pPr>
            <w:r>
              <w:rPr>
                <w:rFonts w:ascii="Times New Roman"/>
                <w:sz w:val="18"/>
              </w:rPr>
              <w:t>85,642,822.25</w:t>
            </w:r>
          </w:p>
        </w:tc>
        <w:tc>
          <w:tcPr>
            <w:tcW w:w="164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78" w:right="0"/>
              <w:jc w:val="left"/>
              <w:rPr>
                <w:rFonts w:ascii="Times New Roman" w:hAnsi="Times New Roman" w:cs="Times New Roman" w:eastAsia="Times New Roman" w:hint="default"/>
                <w:sz w:val="18"/>
                <w:szCs w:val="18"/>
              </w:rPr>
            </w:pPr>
            <w:r>
              <w:rPr>
                <w:rFonts w:ascii="Times New Roman"/>
                <w:sz w:val="18"/>
              </w:rPr>
              <w:t>55,517,372.02</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54.26%</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1"/>
              <w:jc w:val="both"/>
              <w:rPr>
                <w:rFonts w:ascii="宋体" w:hAnsi="宋体" w:cs="宋体" w:eastAsia="宋体" w:hint="default"/>
                <w:sz w:val="18"/>
                <w:szCs w:val="18"/>
              </w:rPr>
            </w:pPr>
            <w:r>
              <w:rPr>
                <w:rFonts w:ascii="宋体" w:hAnsi="宋体" w:cs="宋体" w:eastAsia="宋体" w:hint="default"/>
                <w:spacing w:val="10"/>
                <w:sz w:val="18"/>
                <w:szCs w:val="18"/>
              </w:rPr>
              <w:t>主要系报告期内公司因业务发展需</w:t>
            </w:r>
            <w:r>
              <w:rPr>
                <w:rFonts w:ascii="宋体" w:hAnsi="宋体" w:cs="宋体" w:eastAsia="宋体" w:hint="default"/>
                <w:sz w:val="18"/>
                <w:szCs w:val="18"/>
              </w:rPr>
              <w:t> </w:t>
            </w:r>
            <w:r>
              <w:rPr>
                <w:rFonts w:ascii="宋体" w:hAnsi="宋体" w:cs="宋体" w:eastAsia="宋体" w:hint="default"/>
                <w:spacing w:val="-2"/>
                <w:sz w:val="18"/>
                <w:szCs w:val="18"/>
              </w:rPr>
              <w:t>要，人工费用、办公费用及差旅费用</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总体增长所致，同时报告期内增加股</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权激励费用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r>
      <w:tr>
        <w:trPr>
          <w:trHeight w:val="392" w:hRule="exact"/>
        </w:trPr>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28" w:type="dxa"/>
            <w:vMerge/>
            <w:tcBorders>
              <w:left w:val="single" w:sz="10" w:space="0" w:color="D2D2D2"/>
              <w:right w:val="single" w:sz="4" w:space="0" w:color="000000"/>
            </w:tcBorders>
          </w:tcPr>
          <w:p>
            <w:pPr/>
          </w:p>
        </w:tc>
        <w:tc>
          <w:tcPr>
            <w:tcW w:w="1646"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473" w:hRule="exact"/>
        </w:trPr>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28" w:type="dxa"/>
            <w:vMerge/>
            <w:tcBorders>
              <w:left w:val="single" w:sz="10" w:space="0" w:color="D2D2D2"/>
              <w:bottom w:val="single" w:sz="4" w:space="0" w:color="000000"/>
              <w:right w:val="single" w:sz="4" w:space="0" w:color="000000"/>
            </w:tcBorders>
          </w:tcPr>
          <w:p>
            <w:pPr/>
          </w:p>
        </w:tc>
        <w:tc>
          <w:tcPr>
            <w:tcW w:w="1646"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6"/>
        <w:gridCol w:w="1628"/>
        <w:gridCol w:w="1646"/>
        <w:gridCol w:w="1462"/>
        <w:gridCol w:w="2918"/>
      </w:tblGrid>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1" w:right="0"/>
              <w:jc w:val="left"/>
              <w:rPr>
                <w:rFonts w:ascii="Times New Roman" w:hAnsi="Times New Roman" w:cs="Times New Roman" w:eastAsia="Times New Roman" w:hint="default"/>
                <w:sz w:val="18"/>
                <w:szCs w:val="18"/>
              </w:rPr>
            </w:pPr>
            <w:r>
              <w:rPr>
                <w:rFonts w:ascii="Times New Roman"/>
                <w:sz w:val="18"/>
              </w:rPr>
              <w:t>-1,705,654.32</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3" w:right="0"/>
              <w:jc w:val="left"/>
              <w:rPr>
                <w:rFonts w:ascii="Times New Roman" w:hAnsi="Times New Roman" w:cs="Times New Roman" w:eastAsia="Times New Roman" w:hint="default"/>
                <w:sz w:val="18"/>
                <w:szCs w:val="18"/>
              </w:rPr>
            </w:pPr>
            <w:r>
              <w:rPr>
                <w:rFonts w:ascii="Times New Roman"/>
                <w:sz w:val="18"/>
              </w:rPr>
              <w:t>-539,927.60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3" w:right="0"/>
              <w:jc w:val="left"/>
              <w:rPr>
                <w:rFonts w:ascii="Times New Roman" w:hAnsi="Times New Roman" w:cs="Times New Roman" w:eastAsia="Times New Roman" w:hint="default"/>
                <w:sz w:val="18"/>
                <w:szCs w:val="18"/>
              </w:rPr>
            </w:pPr>
            <w:r>
              <w:rPr>
                <w:rFonts w:ascii="Times New Roman"/>
                <w:sz w:val="18"/>
              </w:rPr>
              <w:t>-215.90%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10"/>
                <w:sz w:val="18"/>
                <w:szCs w:val="18"/>
              </w:rPr>
              <w:t>主要系报告期内利息收入及汇兑收</w:t>
            </w:r>
            <w:r>
              <w:rPr>
                <w:rFonts w:ascii="宋体" w:hAnsi="宋体" w:cs="宋体" w:eastAsia="宋体" w:hint="default"/>
                <w:sz w:val="18"/>
                <w:szCs w:val="18"/>
              </w:rPr>
              <w:t> 益增加所致</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both"/>
        <w:rPr>
          <w:b w:val="0"/>
          <w:bCs w:val="0"/>
        </w:rPr>
      </w:pPr>
      <w:bookmarkStart w:name="4、研发投入" w:id="36"/>
      <w:bookmarkEnd w:id="36"/>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482" w:lineRule="auto"/>
        <w:ind w:left="1493" w:right="1131"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报告期内，公司构建机器人技术平台和软件技术平台，布局技术发展双引擎，主要进行了如下项目研发： </w:t>
      </w:r>
      <w:r>
        <w:rPr>
          <w:rFonts w:ascii="宋体" w:hAnsi="宋体" w:cs="宋体" w:eastAsia="宋体" w:hint="default"/>
          <w:b/>
          <w:bCs/>
        </w:rPr>
        <w:t>1</w:t>
      </w:r>
      <w:r>
        <w:rPr>
          <w:rFonts w:ascii="宋体" w:hAnsi="宋体" w:cs="宋体" w:eastAsia="宋体" w:hint="default"/>
          <w:b/>
          <w:bCs/>
        </w:rPr>
        <w:t>、‘配方配比脉冲数据分析系统’技术研究</w:t>
      </w:r>
      <w:r>
        <w:rPr>
          <w:rFonts w:ascii="宋体" w:hAnsi="宋体" w:cs="宋体" w:eastAsia="宋体" w:hint="default"/>
          <w:b/>
          <w:bCs/>
          <w:w w:val="99"/>
        </w:rPr>
        <w:t> </w:t>
      </w:r>
      <w:r>
        <w:rPr>
          <w:spacing w:val="-2"/>
        </w:rPr>
        <w:t>本项目主要面向于烟草行业工业生产线，配方配比高效率、高密度、高频率批次出库调度算法的诉求，而研发的脉冲分</w:t>
      </w:r>
    </w:p>
    <w:p>
      <w:pPr>
        <w:pStyle w:val="BodyText"/>
        <w:spacing w:line="477" w:lineRule="auto" w:before="50"/>
        <w:ind w:right="1132"/>
        <w:jc w:val="both"/>
      </w:pPr>
      <w:r>
        <w:rPr>
          <w:spacing w:val="-2"/>
        </w:rPr>
        <w:t>析统计算法，在进行配方配比运算后，将出库情况，以脉冲的形式将其出库轨迹展现出来，对外深位已出，内深位待出库数</w:t>
      </w:r>
      <w:r>
        <w:rPr>
          <w:spacing w:val="-66"/>
        </w:rPr>
        <w:t> </w:t>
      </w:r>
      <w:r>
        <w:rPr>
          <w:spacing w:val="-66"/>
        </w:rPr>
      </w:r>
      <w:r>
        <w:rPr>
          <w:spacing w:val="-2"/>
        </w:rPr>
        <w:t>量采用统计轨迹曲线和不同巷道出库批次形成的脉冲图。可以直观的观察出库效率和货位使用情况，该功能在往后的项目中</w:t>
      </w:r>
      <w:r>
        <w:rPr>
          <w:spacing w:val="-64"/>
        </w:rPr>
        <w:t> </w:t>
      </w:r>
      <w:r>
        <w:rPr>
          <w:spacing w:val="-64"/>
        </w:rPr>
      </w:r>
      <w:r>
        <w:rPr/>
        <w:t>可以通过管控平台进行分析展现，应用于工业或商业的出库效率数据分析。</w:t>
      </w:r>
    </w:p>
    <w:p>
      <w:pPr>
        <w:spacing w:line="477" w:lineRule="auto" w:before="54"/>
        <w:ind w:left="1493" w:right="0" w:firstLine="1"/>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、‘配置管理平台’技术研发</w:t>
      </w:r>
      <w:r>
        <w:rPr>
          <w:rFonts w:ascii="宋体" w:hAnsi="宋体" w:cs="宋体" w:eastAsia="宋体" w:hint="default"/>
          <w:b/>
          <w:bCs/>
          <w:sz w:val="18"/>
          <w:szCs w:val="18"/>
        </w:rPr>
        <w:t>(CMS)</w:t>
      </w:r>
      <w:r>
        <w:rPr>
          <w:rFonts w:ascii="宋体" w:hAnsi="宋体" w:cs="宋体" w:eastAsia="宋体" w:hint="default"/>
          <w:b/>
          <w:bCs/>
          <w:w w:val="99"/>
          <w:sz w:val="18"/>
          <w:szCs w:val="18"/>
        </w:rPr>
        <w:t> </w:t>
      </w:r>
      <w:r>
        <w:rPr>
          <w:rFonts w:ascii="宋体" w:hAnsi="宋体" w:cs="宋体" w:eastAsia="宋体" w:hint="default"/>
          <w:spacing w:val="-2"/>
          <w:sz w:val="18"/>
          <w:szCs w:val="18"/>
        </w:rPr>
        <w:t>本项目主要面向于完善软件产品系统，统一产品线框架，减少人工体力参与，降低人力成本，实现产品柔性化与个性化</w:t>
      </w:r>
    </w:p>
    <w:p>
      <w:pPr>
        <w:pStyle w:val="BodyText"/>
        <w:spacing w:line="477" w:lineRule="auto" w:before="54"/>
        <w:ind w:right="1033"/>
        <w:jc w:val="left"/>
      </w:pPr>
      <w:r>
        <w:rPr/>
        <w:t>的市场述求。采用</w:t>
      </w:r>
      <w:r>
        <w:rPr>
          <w:rFonts w:ascii="宋体" w:hAnsi="宋体" w:cs="宋体" w:eastAsia="宋体" w:hint="default"/>
        </w:rPr>
        <w:t>MVC</w:t>
      </w:r>
      <w:r>
        <w:rPr/>
        <w:t>技术作为开发框架，</w:t>
      </w:r>
      <w:r>
        <w:rPr>
          <w:rFonts w:ascii="宋体" w:hAnsi="宋体" w:cs="宋体" w:eastAsia="宋体" w:hint="default"/>
        </w:rPr>
        <w:t>C#</w:t>
      </w:r>
      <w:r>
        <w:rPr/>
        <w:t>、</w:t>
      </w:r>
      <w:r>
        <w:rPr>
          <w:rFonts w:ascii="宋体" w:hAnsi="宋体" w:cs="宋体" w:eastAsia="宋体" w:hint="default"/>
        </w:rPr>
        <w:t>ASP.net</w:t>
      </w:r>
      <w:r>
        <w:rPr/>
        <w:t>等开发语言及相关技术，</w:t>
      </w:r>
      <w:r>
        <w:rPr>
          <w:rFonts w:ascii="宋体" w:hAnsi="宋体" w:cs="宋体" w:eastAsia="宋体" w:hint="default"/>
        </w:rPr>
        <w:t>E-Chart</w:t>
      </w:r>
      <w:r>
        <w:rPr/>
        <w:t>、</w:t>
      </w:r>
      <w:r>
        <w:rPr>
          <w:rFonts w:ascii="宋体" w:hAnsi="宋体" w:cs="宋体" w:eastAsia="宋体" w:hint="default"/>
        </w:rPr>
        <w:t>Flexgrid</w:t>
      </w:r>
      <w:r>
        <w:rPr/>
        <w:t>等插件进行研发。提高</w:t>
      </w:r>
      <w:r>
        <w:rPr>
          <w:spacing w:val="-84"/>
        </w:rPr>
        <w:t> </w:t>
      </w:r>
      <w:r>
        <w:rPr>
          <w:spacing w:val="-84"/>
        </w:rPr>
      </w:r>
      <w:r>
        <w:rPr>
          <w:spacing w:val="-2"/>
        </w:rPr>
        <w:t>系统的稳定性、统一性、可配置及可扩展性，系统提供各物流行业包功能、流程、业务、自定义系统页面、报表模块、打印</w:t>
      </w:r>
      <w:r>
        <w:rPr>
          <w:spacing w:val="-67"/>
        </w:rPr>
        <w:t> </w:t>
      </w:r>
      <w:r>
        <w:rPr>
          <w:spacing w:val="-67"/>
        </w:rPr>
      </w:r>
      <w:r>
        <w:rPr/>
        <w:t>模块的配置。缩短研发周期，增强系统可配置性与敏捷开发性。同时提供需求原型配置与调试模式，缩短实施成本及时间， 并作为同创智各子系统的承载平台。</w:t>
      </w:r>
    </w:p>
    <w:p>
      <w:pPr>
        <w:pStyle w:val="BodyText"/>
        <w:spacing w:line="477" w:lineRule="auto" w:before="54"/>
        <w:ind w:left="1134" w:right="0" w:firstLine="360"/>
        <w:jc w:val="left"/>
      </w:pPr>
      <w:r>
        <w:rPr>
          <w:spacing w:val="-2"/>
        </w:rPr>
        <w:t>目前该项目成果已应用在多个项目中，通过配置管理平台大大降低本公司大量的定制化需求的研发工作量及项目实施的</w:t>
      </w:r>
      <w:r>
        <w:rPr/>
        <w:t> 调试与陪产时间，提高公司业务订单的承接与交付能力。</w:t>
      </w:r>
    </w:p>
    <w:p>
      <w:pPr>
        <w:spacing w:line="477" w:lineRule="auto" w:before="54"/>
        <w:ind w:left="1493" w:right="0" w:firstLine="1"/>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z w:val="18"/>
          <w:szCs w:val="18"/>
        </w:rPr>
        <w:t>、‘订单管理系统’技术研发（</w:t>
      </w:r>
      <w:r>
        <w:rPr>
          <w:rFonts w:ascii="宋体" w:hAnsi="宋体" w:cs="宋体" w:eastAsia="宋体" w:hint="default"/>
          <w:b/>
          <w:bCs/>
          <w:sz w:val="18"/>
          <w:szCs w:val="18"/>
        </w:rPr>
        <w:t>OMS</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spacing w:val="-2"/>
          <w:sz w:val="18"/>
          <w:szCs w:val="18"/>
        </w:rPr>
        <w:t>本项目主要面向于以</w:t>
      </w:r>
      <w:r>
        <w:rPr>
          <w:rFonts w:ascii="宋体" w:hAnsi="宋体" w:cs="宋体" w:eastAsia="宋体" w:hint="default"/>
          <w:spacing w:val="-2"/>
          <w:sz w:val="18"/>
          <w:szCs w:val="18"/>
        </w:rPr>
        <w:t>CMS</w:t>
      </w:r>
      <w:r>
        <w:rPr>
          <w:rFonts w:ascii="宋体" w:hAnsi="宋体" w:cs="宋体" w:eastAsia="宋体" w:hint="default"/>
          <w:spacing w:val="-2"/>
          <w:sz w:val="18"/>
          <w:szCs w:val="18"/>
        </w:rPr>
        <w:t>系统配置管理平台为系统架构，继承</w:t>
      </w:r>
      <w:r>
        <w:rPr>
          <w:rFonts w:ascii="宋体" w:hAnsi="宋体" w:cs="宋体" w:eastAsia="宋体" w:hint="default"/>
          <w:spacing w:val="-2"/>
          <w:sz w:val="18"/>
          <w:szCs w:val="18"/>
        </w:rPr>
        <w:t>CMS</w:t>
      </w:r>
      <w:r>
        <w:rPr>
          <w:rFonts w:ascii="宋体" w:hAnsi="宋体" w:cs="宋体" w:eastAsia="宋体" w:hint="default"/>
          <w:spacing w:val="-2"/>
          <w:sz w:val="18"/>
          <w:szCs w:val="18"/>
        </w:rPr>
        <w:t>的高可配置性、高维护性，自主研发一套适用于企业物</w:t>
      </w:r>
    </w:p>
    <w:p>
      <w:pPr>
        <w:pStyle w:val="BodyText"/>
        <w:spacing w:line="477" w:lineRule="auto" w:before="54"/>
        <w:ind w:right="1129"/>
        <w:jc w:val="both"/>
      </w:pPr>
      <w:r>
        <w:rPr/>
        <w:t>流系统方案集成报价、库存管理、供应商管理、订单管理、多样化报表查询分析等功能的述求，</w:t>
      </w:r>
      <w:r>
        <w:rPr>
          <w:spacing w:val="9"/>
        </w:rPr>
        <w:t> </w:t>
      </w:r>
      <w:r>
        <w:rPr/>
        <w:t>加深了解物流集成设备及</w:t>
      </w:r>
      <w:r>
        <w:rPr/>
        <w:t> </w:t>
      </w:r>
      <w:r>
        <w:rPr>
          <w:spacing w:val="-2"/>
        </w:rPr>
        <w:t>选型。提高设备选型效率，提高对供应商的管理，提高定制参数报价的准确性。减少人工主观判断参与，以数据为支撑，降</w:t>
      </w:r>
      <w:r>
        <w:rPr>
          <w:spacing w:val="-67"/>
        </w:rPr>
        <w:t> </w:t>
      </w:r>
      <w:r>
        <w:rPr>
          <w:spacing w:val="-67"/>
        </w:rPr>
      </w:r>
      <w:r>
        <w:rPr>
          <w:spacing w:val="-2"/>
        </w:rPr>
        <w:t>低人力管理成本。通过对供应商、零备件、设备选型等集中控制和管理，极大地提高企业作为一个整体效率的竞争能力和唯</w:t>
      </w:r>
      <w:r>
        <w:rPr>
          <w:spacing w:val="-66"/>
        </w:rPr>
        <w:t> </w:t>
      </w:r>
      <w:r>
        <w:rPr>
          <w:spacing w:val="-66"/>
        </w:rPr>
      </w:r>
      <w:r>
        <w:rPr/>
        <w:t>一性。</w:t>
      </w:r>
    </w:p>
    <w:p>
      <w:pPr>
        <w:pStyle w:val="BodyText"/>
        <w:spacing w:line="477" w:lineRule="auto" w:before="54"/>
        <w:ind w:left="1493" w:right="0" w:firstLine="1"/>
        <w:jc w:val="left"/>
      </w:pPr>
      <w:r>
        <w:rPr>
          <w:rFonts w:ascii="宋体" w:hAnsi="宋体" w:cs="宋体" w:eastAsia="宋体" w:hint="default"/>
          <w:b/>
          <w:bCs/>
        </w:rPr>
        <w:t>4</w:t>
      </w:r>
      <w:r>
        <w:rPr>
          <w:rFonts w:ascii="宋体" w:hAnsi="宋体" w:cs="宋体" w:eastAsia="宋体" w:hint="default"/>
          <w:b/>
          <w:bCs/>
        </w:rPr>
        <w:t>、</w:t>
      </w:r>
      <w:r>
        <w:rPr>
          <w:rFonts w:ascii="宋体" w:hAnsi="宋体" w:cs="宋体" w:eastAsia="宋体" w:hint="default"/>
          <w:b/>
          <w:bCs/>
        </w:rPr>
        <w:t>3D</w:t>
      </w:r>
      <w:r>
        <w:rPr>
          <w:rFonts w:ascii="宋体" w:hAnsi="宋体" w:cs="宋体" w:eastAsia="宋体" w:hint="default"/>
          <w:b/>
          <w:bCs/>
        </w:rPr>
        <w:t>虚拟监控系统研发</w:t>
      </w:r>
      <w:r>
        <w:rPr>
          <w:rFonts w:ascii="宋体" w:hAnsi="宋体" w:cs="宋体" w:eastAsia="宋体" w:hint="default"/>
          <w:b/>
          <w:bCs/>
          <w:w w:val="99"/>
        </w:rPr>
        <w:t> </w:t>
      </w:r>
      <w:r>
        <w:rPr>
          <w:spacing w:val="-2"/>
        </w:rPr>
        <w:t>现有库存系统、组态监控是以数据列表或者</w:t>
      </w:r>
      <w:r>
        <w:rPr>
          <w:rFonts w:ascii="宋体" w:hAnsi="宋体" w:cs="宋体" w:eastAsia="宋体" w:hint="default"/>
          <w:spacing w:val="-2"/>
        </w:rPr>
        <w:t>2D</w:t>
      </w:r>
      <w:r>
        <w:rPr>
          <w:spacing w:val="-2"/>
        </w:rPr>
        <w:t>形式展现，严重滞后互联网时代发展。通过建立覆盖各类业务领域的知识</w:t>
      </w:r>
    </w:p>
    <w:p>
      <w:pPr>
        <w:pStyle w:val="BodyText"/>
        <w:spacing w:line="477" w:lineRule="auto" w:before="54"/>
        <w:ind w:right="1129"/>
        <w:jc w:val="both"/>
      </w:pPr>
      <w:r>
        <w:rPr>
          <w:spacing w:val="-2"/>
        </w:rPr>
        <w:t>库和分析决策模型，为各类管理和决策提供智能化辅助手段，实现数据知识共享化、科研工作协同化、生产过程自动化、系</w:t>
      </w:r>
      <w:r>
        <w:rPr>
          <w:spacing w:val="-66"/>
        </w:rPr>
        <w:t> </w:t>
      </w:r>
      <w:r>
        <w:rPr>
          <w:spacing w:val="-66"/>
        </w:rPr>
      </w:r>
      <w:r>
        <w:rPr/>
        <w:t>统应用一体化、</w:t>
      </w:r>
      <w:r>
        <w:rPr>
          <w:rFonts w:ascii="宋体" w:hAnsi="宋体" w:cs="宋体" w:eastAsia="宋体" w:hint="default"/>
        </w:rPr>
        <w:t>3D</w:t>
      </w:r>
      <w:r>
        <w:rPr/>
        <w:t>可视化生产指挥、分析决策科学化，依靠</w:t>
      </w:r>
      <w:r>
        <w:rPr>
          <w:rFonts w:ascii="宋体" w:hAnsi="宋体" w:cs="宋体" w:eastAsia="宋体" w:hint="default"/>
        </w:rPr>
        <w:t>3D</w:t>
      </w:r>
      <w:r>
        <w:rPr/>
        <w:t>实现如、</w:t>
      </w:r>
      <w:r>
        <w:rPr>
          <w:rFonts w:ascii="宋体" w:hAnsi="宋体" w:cs="宋体" w:eastAsia="宋体" w:hint="default"/>
        </w:rPr>
        <w:t>3D</w:t>
      </w:r>
      <w:r>
        <w:rPr/>
        <w:t>仓储管理、</w:t>
      </w:r>
      <w:r>
        <w:rPr>
          <w:rFonts w:ascii="宋体" w:hAnsi="宋体" w:cs="宋体" w:eastAsia="宋体" w:hint="default"/>
        </w:rPr>
        <w:t>3D</w:t>
      </w:r>
      <w:r>
        <w:rPr/>
        <w:t>物流园区，</w:t>
      </w:r>
      <w:r>
        <w:rPr>
          <w:rFonts w:ascii="宋体" w:hAnsi="宋体" w:cs="宋体" w:eastAsia="宋体" w:hint="default"/>
        </w:rPr>
        <w:t>VR</w:t>
      </w:r>
      <w:r>
        <w:rPr/>
        <w:t>虚拟现实及</w:t>
      </w:r>
      <w:r>
        <w:rPr>
          <w:rFonts w:ascii="宋体" w:hAnsi="宋体" w:cs="宋体" w:eastAsia="宋体" w:hint="default"/>
        </w:rPr>
        <w:t>3DWCS</w:t>
      </w:r>
      <w:r>
        <w:rPr/>
        <w:t>的产</w:t>
      </w:r>
      <w:r>
        <w:rPr>
          <w:spacing w:val="-83"/>
        </w:rPr>
        <w:t> </w:t>
      </w:r>
      <w:r>
        <w:rPr/>
        <w:t>品研发。</w:t>
      </w:r>
    </w:p>
    <w:p>
      <w:pPr>
        <w:spacing w:after="0" w:line="477"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477" w:lineRule="auto" w:before="0"/>
        <w:ind w:left="1493" w:right="1123" w:firstLine="1"/>
        <w:jc w:val="left"/>
        <w:rPr>
          <w:rFonts w:ascii="宋体" w:hAnsi="宋体" w:cs="宋体" w:eastAsia="宋体" w:hint="default"/>
          <w:sz w:val="18"/>
          <w:szCs w:val="18"/>
        </w:rPr>
      </w:pPr>
      <w:r>
        <w:rPr>
          <w:rFonts w:ascii="宋体" w:hAnsi="宋体" w:cs="宋体" w:eastAsia="宋体" w:hint="default"/>
          <w:b/>
          <w:bCs/>
          <w:sz w:val="18"/>
          <w:szCs w:val="18"/>
        </w:rPr>
        <w:t>5</w:t>
      </w:r>
      <w:r>
        <w:rPr>
          <w:rFonts w:ascii="宋体" w:hAnsi="宋体" w:cs="宋体" w:eastAsia="宋体" w:hint="default"/>
          <w:b/>
          <w:bCs/>
          <w:sz w:val="18"/>
          <w:szCs w:val="18"/>
        </w:rPr>
        <w:t>、锂电池</w:t>
      </w:r>
      <w:r>
        <w:rPr>
          <w:rFonts w:ascii="宋体" w:hAnsi="宋体" w:cs="宋体" w:eastAsia="宋体" w:hint="default"/>
          <w:b/>
          <w:bCs/>
          <w:sz w:val="18"/>
          <w:szCs w:val="18"/>
        </w:rPr>
        <w:t>WMS</w:t>
      </w:r>
      <w:r>
        <w:rPr>
          <w:rFonts w:ascii="宋体" w:hAnsi="宋体" w:cs="宋体" w:eastAsia="宋体" w:hint="default"/>
          <w:b/>
          <w:bCs/>
          <w:sz w:val="18"/>
          <w:szCs w:val="18"/>
        </w:rPr>
        <w:t>升级技术研发</w:t>
      </w:r>
      <w:r>
        <w:rPr>
          <w:rFonts w:ascii="宋体" w:hAnsi="宋体" w:cs="宋体" w:eastAsia="宋体" w:hint="default"/>
          <w:b/>
          <w:bCs/>
          <w:w w:val="99"/>
          <w:sz w:val="18"/>
          <w:szCs w:val="18"/>
        </w:rPr>
        <w:t> </w:t>
      </w:r>
      <w:r>
        <w:rPr>
          <w:rFonts w:ascii="宋体" w:hAnsi="宋体" w:cs="宋体" w:eastAsia="宋体" w:hint="default"/>
          <w:sz w:val="18"/>
          <w:szCs w:val="18"/>
        </w:rPr>
        <w:t>为进一步提升在锂电行业的竞争力，公司针对锂电行业</w:t>
      </w:r>
      <w:r>
        <w:rPr>
          <w:rFonts w:ascii="宋体" w:hAnsi="宋体" w:cs="宋体" w:eastAsia="宋体" w:hint="default"/>
          <w:sz w:val="18"/>
          <w:szCs w:val="18"/>
        </w:rPr>
        <w:t>WMS</w:t>
      </w:r>
      <w:r>
        <w:rPr>
          <w:rFonts w:ascii="宋体" w:hAnsi="宋体" w:cs="宋体" w:eastAsia="宋体" w:hint="default"/>
          <w:sz w:val="18"/>
          <w:szCs w:val="18"/>
        </w:rPr>
        <w:t>软件进行立项，专案名称为《</w:t>
      </w:r>
      <w:r>
        <w:rPr>
          <w:rFonts w:ascii="宋体" w:hAnsi="宋体" w:cs="宋体" w:eastAsia="宋体" w:hint="default"/>
          <w:sz w:val="18"/>
          <w:szCs w:val="18"/>
        </w:rPr>
        <w:t>2017</w:t>
      </w:r>
      <w:r>
        <w:rPr>
          <w:rFonts w:ascii="宋体" w:hAnsi="宋体" w:cs="宋体" w:eastAsia="宋体" w:hint="default"/>
          <w:sz w:val="18"/>
          <w:szCs w:val="18"/>
        </w:rPr>
        <w:t>同创智锂电新能源化成分</w:t>
      </w:r>
    </w:p>
    <w:p>
      <w:pPr>
        <w:pStyle w:val="BodyText"/>
        <w:spacing w:line="477" w:lineRule="auto" w:before="54"/>
        <w:ind w:left="1494" w:right="0" w:hanging="360"/>
        <w:jc w:val="left"/>
      </w:pPr>
      <w:r>
        <w:rPr/>
        <w:t>容工艺</w:t>
      </w:r>
      <w:r>
        <w:rPr>
          <w:rFonts w:ascii="宋体" w:hAnsi="宋体" w:cs="宋体" w:eastAsia="宋体" w:hint="default"/>
        </w:rPr>
        <w:t>Web</w:t>
      </w:r>
      <w:r>
        <w:rPr/>
        <w:t>版</w:t>
      </w:r>
      <w:r>
        <w:rPr>
          <w:rFonts w:ascii="宋体" w:hAnsi="宋体" w:cs="宋体" w:eastAsia="宋体" w:hint="default"/>
        </w:rPr>
        <w:t>WMS_V2.0</w:t>
      </w:r>
      <w:r>
        <w:rPr/>
        <w:t>》 </w:t>
      </w:r>
      <w:r>
        <w:rPr>
          <w:spacing w:val="-2"/>
        </w:rPr>
        <w:t>软件概述：本专案面向锂电池生产行业生产线，涵盖锂电生产过程中从一次注液到成品电芯分拣，各个工艺段的仓储信</w:t>
      </w:r>
    </w:p>
    <w:p>
      <w:pPr>
        <w:pStyle w:val="BodyText"/>
        <w:spacing w:line="477" w:lineRule="auto" w:before="54"/>
        <w:ind w:left="1493" w:right="0" w:hanging="360"/>
        <w:jc w:val="left"/>
      </w:pPr>
      <w:r>
        <w:rPr/>
        <w:t>息管理与系统策略调度；功能模块均基于平台化思想，功能都可在系统直接配置且引入工作流实现业务流程可配置。 软件目的：完善锂电工艺的行业标准，提高开发实施效率，节约人力成本，提供更加优质的智能仓储服务 </w:t>
      </w:r>
      <w:r>
        <w:rPr>
          <w:rFonts w:ascii="宋体" w:hAnsi="宋体" w:cs="宋体" w:eastAsia="宋体" w:hint="default"/>
        </w:rPr>
        <w:t>6</w:t>
      </w:r>
      <w:r>
        <w:rPr/>
        <w:t>、</w:t>
      </w:r>
      <w:r>
        <w:rPr>
          <w:rFonts w:ascii="宋体" w:hAnsi="宋体" w:cs="宋体" w:eastAsia="宋体" w:hint="default"/>
          <w:b/>
          <w:bCs/>
        </w:rPr>
        <w:t>数据采集与监视控制系统技术研发</w:t>
      </w:r>
      <w:r>
        <w:rPr>
          <w:rFonts w:ascii="宋体" w:hAnsi="宋体" w:cs="宋体" w:eastAsia="宋体" w:hint="default"/>
          <w:b/>
          <w:bCs/>
          <w:w w:val="99"/>
        </w:rPr>
        <w:t> </w:t>
      </w:r>
      <w:r>
        <w:rPr>
          <w:spacing w:val="-2"/>
        </w:rPr>
        <w:t>软件背景：随着网络信息应用的丰富和发展，软件系统往往不能迅速跟进大量信息衍生及业务模式变革的脚步，常常需</w:t>
      </w:r>
    </w:p>
    <w:p>
      <w:pPr>
        <w:pStyle w:val="BodyText"/>
        <w:spacing w:line="477" w:lineRule="auto" w:before="54"/>
        <w:ind w:right="0"/>
        <w:jc w:val="left"/>
      </w:pPr>
      <w:r>
        <w:rPr>
          <w:spacing w:val="-2"/>
        </w:rPr>
        <w:t>要花费许多时间、人力和物力来处理信息更新及维护工作；遇到软件系统改造扩充的时候，整合内外网及分支软件系统的工</w:t>
      </w:r>
      <w:r>
        <w:rPr>
          <w:spacing w:val="-66"/>
        </w:rPr>
        <w:t> </w:t>
      </w:r>
      <w:r>
        <w:rPr>
          <w:spacing w:val="-66"/>
        </w:rPr>
      </w:r>
      <w:r>
        <w:rPr/>
        <w:t>作就变得更加复杂，甚至还需重新建设；如此下去，用户始终在一个高成本、低效率的循环中升级、整合。</w:t>
      </w:r>
    </w:p>
    <w:p>
      <w:pPr>
        <w:pStyle w:val="BodyText"/>
        <w:spacing w:line="477" w:lineRule="auto" w:before="54"/>
        <w:ind w:right="1043" w:firstLine="360"/>
        <w:jc w:val="both"/>
      </w:pPr>
      <w:r>
        <w:rPr>
          <w:spacing w:val="-2"/>
        </w:rPr>
        <w:t>所以急需一个数据采集，数据仓库压缩存储，智能</w:t>
      </w:r>
      <w:r>
        <w:rPr>
          <w:rFonts w:ascii="宋体" w:hAnsi="宋体" w:cs="宋体" w:eastAsia="宋体" w:hint="default"/>
          <w:spacing w:val="-2"/>
        </w:rPr>
        <w:t>BI</w:t>
      </w:r>
      <w:r>
        <w:rPr>
          <w:spacing w:val="-2"/>
        </w:rPr>
        <w:t>数据分析的软件系统分析出，物流行业业务流程发展方向，软件业</w:t>
      </w:r>
      <w:r>
        <w:rPr/>
        <w:t> </w:t>
      </w:r>
      <w:r>
        <w:rPr>
          <w:spacing w:val="-4"/>
        </w:rPr>
        <w:t>务流程改进方向，物流设备运行状态感知。合理保养设备，延长设备使用寿命，提高设备使用效率。提升客户企业信息程度。</w:t>
      </w:r>
    </w:p>
    <w:p>
      <w:pPr>
        <w:pStyle w:val="BodyText"/>
        <w:spacing w:line="477" w:lineRule="auto" w:before="54"/>
        <w:ind w:right="1129" w:firstLine="360"/>
        <w:jc w:val="both"/>
      </w:pPr>
      <w:r>
        <w:rPr>
          <w:spacing w:val="-2"/>
        </w:rPr>
        <w:t>软件概述：数据采集与监视控制系统在原有配方物流仓储系统、辅料物流仓储系统以及成品仓储物流系统基础上，引入</w:t>
      </w:r>
      <w:r>
        <w:rPr/>
        <w:t> 数据采集故障信息采集系统、设备故障分析系统和故障数据发布</w:t>
      </w:r>
      <w:r>
        <w:rPr>
          <w:rFonts w:ascii="宋体" w:hAnsi="宋体" w:cs="宋体" w:eastAsia="宋体" w:hint="default"/>
        </w:rPr>
        <w:t>APP</w:t>
      </w:r>
      <w:r>
        <w:rPr>
          <w:rFonts w:ascii="宋体" w:hAnsi="宋体" w:cs="宋体" w:eastAsia="宋体" w:hint="default"/>
          <w:spacing w:val="8"/>
        </w:rPr>
        <w:t> </w:t>
      </w:r>
      <w:r>
        <w:rPr/>
        <w:t>三个子系统，通过与现有的仓库管理系统</w:t>
      </w:r>
      <w:r>
        <w:rPr>
          <w:rFonts w:ascii="宋体" w:hAnsi="宋体" w:cs="宋体" w:eastAsia="宋体" w:hint="default"/>
        </w:rPr>
        <w:t>WMS</w:t>
      </w:r>
      <w:r>
        <w:rPr/>
        <w:t>和仓库调 度系统</w:t>
      </w:r>
      <w:r>
        <w:rPr>
          <w:rFonts w:ascii="宋体" w:hAnsi="宋体" w:cs="宋体" w:eastAsia="宋体" w:hint="default"/>
        </w:rPr>
        <w:t>WCS</w:t>
      </w:r>
      <w:r>
        <w:rPr/>
        <w:t>进行无缝对接，完成整个设备智能运维监控平台所需要的数据自动采集、数据智能存储、自动推送、智能分析、</w:t>
      </w:r>
      <w:r>
        <w:rPr>
          <w:spacing w:val="-82"/>
        </w:rPr>
        <w:t> </w:t>
      </w:r>
      <w:r>
        <w:rPr>
          <w:spacing w:val="-82"/>
        </w:rPr>
      </w:r>
      <w:r>
        <w:rPr/>
        <w:t>辅助决策等设备运维监控功能，达到提升管理水平，提供工作效率的智慧型生产工厂的总体目标。</w:t>
      </w:r>
    </w:p>
    <w:p>
      <w:pPr>
        <w:pStyle w:val="BodyText"/>
        <w:spacing w:line="477" w:lineRule="auto" w:before="54"/>
        <w:ind w:left="1493" w:right="1033"/>
        <w:jc w:val="left"/>
      </w:pPr>
      <w:r>
        <w:rPr/>
        <w:t>软件目的：实现业务系统</w:t>
      </w:r>
      <w:r>
        <w:rPr>
          <w:rFonts w:ascii="宋体" w:hAnsi="宋体" w:cs="宋体" w:eastAsia="宋体" w:hint="default"/>
        </w:rPr>
        <w:t>WMS</w:t>
      </w:r>
      <w:r>
        <w:rPr/>
        <w:t>、</w:t>
      </w:r>
      <w:r>
        <w:rPr>
          <w:rFonts w:ascii="宋体" w:hAnsi="宋体" w:cs="宋体" w:eastAsia="宋体" w:hint="default"/>
        </w:rPr>
        <w:t>WCS</w:t>
      </w:r>
      <w:r>
        <w:rPr/>
        <w:t>和物流设备相关的业务数据，设备运行数据进行采集，对物流设备进行实时监控。 </w:t>
      </w:r>
      <w:r>
        <w:rPr>
          <w:rFonts w:ascii="宋体" w:hAnsi="宋体" w:cs="宋体" w:eastAsia="宋体" w:hint="default"/>
          <w:b/>
          <w:bCs/>
        </w:rPr>
        <w:t>7</w:t>
      </w:r>
      <w:r>
        <w:rPr>
          <w:rFonts w:ascii="宋体" w:hAnsi="宋体" w:cs="宋体" w:eastAsia="宋体" w:hint="default"/>
          <w:b/>
          <w:bCs/>
        </w:rPr>
        <w:t>、移动运输系统升级技术研发</w:t>
      </w:r>
      <w:r>
        <w:rPr>
          <w:rFonts w:ascii="宋体" w:hAnsi="宋体" w:cs="宋体" w:eastAsia="宋体" w:hint="default"/>
          <w:b/>
          <w:bCs/>
          <w:w w:val="99"/>
        </w:rPr>
        <w:t> </w:t>
      </w:r>
      <w:r>
        <w:rPr/>
        <w:t>通过</w:t>
      </w:r>
      <w:r>
        <w:rPr>
          <w:rFonts w:ascii="宋体" w:hAnsi="宋体" w:cs="宋体" w:eastAsia="宋体" w:hint="default"/>
        </w:rPr>
        <w:t>APPCAN</w:t>
      </w:r>
      <w:r>
        <w:rPr/>
        <w:t>（</w:t>
      </w:r>
      <w:r>
        <w:rPr>
          <w:rFonts w:ascii="宋体" w:hAnsi="宋体" w:cs="宋体" w:eastAsia="宋体" w:hint="default"/>
        </w:rPr>
        <w:t>Hybrid</w:t>
      </w:r>
      <w:r>
        <w:rPr/>
        <w:t>混合开发）开发工具，完成了手机移动端</w:t>
      </w:r>
      <w:r>
        <w:rPr>
          <w:rFonts w:ascii="宋体" w:hAnsi="宋体" w:cs="宋体" w:eastAsia="宋体" w:hint="default"/>
        </w:rPr>
        <w:t>APP</w:t>
      </w:r>
      <w:r>
        <w:rPr/>
        <w:t>开发。通过</w:t>
      </w:r>
      <w:r>
        <w:rPr>
          <w:rFonts w:ascii="宋体" w:hAnsi="宋体" w:cs="宋体" w:eastAsia="宋体" w:hint="default"/>
        </w:rPr>
        <w:t>GPS</w:t>
      </w:r>
      <w:r>
        <w:rPr/>
        <w:t>技术，实时记录了车辆的经纬度信息，</w:t>
      </w:r>
    </w:p>
    <w:p>
      <w:pPr>
        <w:pStyle w:val="BodyText"/>
        <w:spacing w:line="477" w:lineRule="auto" w:before="54"/>
        <w:ind w:right="0"/>
        <w:jc w:val="left"/>
      </w:pPr>
      <w:r>
        <w:rPr>
          <w:spacing w:val="-2"/>
        </w:rPr>
        <w:t>通过手机摄像头实现了记录签收照片，利用</w:t>
      </w:r>
      <w:r>
        <w:rPr>
          <w:rFonts w:ascii="宋体" w:hAnsi="宋体" w:cs="宋体" w:eastAsia="宋体" w:hint="default"/>
          <w:spacing w:val="-2"/>
        </w:rPr>
        <w:t>GPRS</w:t>
      </w:r>
      <w:r>
        <w:rPr>
          <w:spacing w:val="-2"/>
        </w:rPr>
        <w:t>实现数据回传到服务器。通过百度地图在移动端实现了导航功能，在服务器</w:t>
      </w:r>
      <w:r>
        <w:rPr>
          <w:spacing w:val="-62"/>
        </w:rPr>
        <w:t> </w:t>
      </w:r>
      <w:r>
        <w:rPr>
          <w:spacing w:val="-62"/>
        </w:rPr>
      </w:r>
      <w:r>
        <w:rPr/>
        <w:t>实现了实时定位以及历史轨迹回放功能、零售户地理位置、车辆行驶速度、送货进度、电子签收照片查询等功能。</w:t>
      </w:r>
    </w:p>
    <w:p>
      <w:pPr>
        <w:pStyle w:val="BodyText"/>
        <w:spacing w:line="477" w:lineRule="auto" w:before="54"/>
        <w:ind w:left="1493" w:right="1123" w:firstLine="1"/>
        <w:jc w:val="left"/>
      </w:pPr>
      <w:r>
        <w:rPr>
          <w:rFonts w:ascii="宋体" w:hAnsi="宋体" w:cs="宋体" w:eastAsia="宋体" w:hint="default"/>
          <w:b/>
          <w:bCs/>
        </w:rPr>
        <w:t>8</w:t>
      </w:r>
      <w:r>
        <w:rPr>
          <w:rFonts w:ascii="宋体" w:hAnsi="宋体" w:cs="宋体" w:eastAsia="宋体" w:hint="default"/>
          <w:b/>
          <w:bCs/>
        </w:rPr>
        <w:t>、履带式拣选机器人研发</w:t>
      </w:r>
      <w:r>
        <w:rPr>
          <w:rFonts w:ascii="宋体" w:hAnsi="宋体" w:cs="宋体" w:eastAsia="宋体" w:hint="default"/>
          <w:b/>
          <w:bCs/>
          <w:w w:val="99"/>
        </w:rPr>
        <w:t> </w:t>
      </w:r>
      <w:r>
        <w:rPr/>
        <w:t>本项目是以履带式</w:t>
      </w:r>
      <w:r>
        <w:rPr>
          <w:rFonts w:ascii="宋体" w:hAnsi="宋体" w:cs="宋体" w:eastAsia="宋体" w:hint="default"/>
        </w:rPr>
        <w:t>AGV</w:t>
      </w:r>
      <w:r>
        <w:rPr/>
        <w:t>底座为设计基础，融合二维码导引形式和功能动作齐备的机器手，形成具有一定越障能力、较强</w:t>
      </w:r>
    </w:p>
    <w:p>
      <w:pPr>
        <w:pStyle w:val="BodyText"/>
        <w:spacing w:line="477" w:lineRule="auto" w:before="54"/>
        <w:ind w:left="1134" w:right="1032"/>
        <w:jc w:val="left"/>
      </w:pPr>
      <w:r>
        <w:rPr>
          <w:spacing w:val="-2"/>
        </w:rPr>
        <w:t>拣选作业功能的移动机器人。以此为基础，研究移动底座与机器手的信息交互平台，探索机器手适应拣选工作需求的多种动</w:t>
      </w:r>
      <w:r>
        <w:rPr>
          <w:spacing w:val="-66"/>
        </w:rPr>
        <w:t> </w:t>
      </w:r>
      <w:r>
        <w:rPr>
          <w:spacing w:val="-66"/>
        </w:rPr>
      </w:r>
      <w:r>
        <w:rPr/>
        <w:t>作，统一规划设计，使履带式拣选机器人具备新型机器人的特点，为将来把履带式拣选机器人应用于更多适用环境做准备。</w:t>
      </w:r>
    </w:p>
    <w:p>
      <w:pPr>
        <w:pStyle w:val="BodyText"/>
        <w:spacing w:line="477" w:lineRule="auto" w:before="54"/>
        <w:ind w:left="1494" w:right="0" w:firstLine="1"/>
        <w:jc w:val="left"/>
      </w:pPr>
      <w:r>
        <w:rPr>
          <w:rFonts w:ascii="宋体" w:hAnsi="宋体" w:cs="宋体" w:eastAsia="宋体" w:hint="default"/>
          <w:b/>
          <w:bCs/>
        </w:rPr>
        <w:t>9</w:t>
      </w:r>
      <w:r>
        <w:rPr>
          <w:rFonts w:ascii="宋体" w:hAnsi="宋体" w:cs="宋体" w:eastAsia="宋体" w:hint="default"/>
          <w:b/>
          <w:bCs/>
        </w:rPr>
        <w:t>、</w:t>
      </w:r>
      <w:r>
        <w:rPr>
          <w:rFonts w:ascii="宋体" w:hAnsi="宋体" w:cs="宋体" w:eastAsia="宋体" w:hint="default"/>
          <w:b/>
          <w:bCs/>
        </w:rPr>
        <w:t>3C</w:t>
      </w:r>
      <w:r>
        <w:rPr>
          <w:rFonts w:ascii="宋体" w:hAnsi="宋体" w:cs="宋体" w:eastAsia="宋体" w:hint="default"/>
          <w:b/>
          <w:bCs/>
        </w:rPr>
        <w:t>检测机器人研发</w:t>
      </w:r>
      <w:r>
        <w:rPr>
          <w:rFonts w:ascii="宋体" w:hAnsi="宋体" w:cs="宋体" w:eastAsia="宋体" w:hint="default"/>
          <w:b/>
          <w:bCs/>
          <w:w w:val="99"/>
        </w:rPr>
        <w:t> </w:t>
      </w:r>
      <w:r>
        <w:rPr>
          <w:spacing w:val="-2"/>
        </w:rPr>
        <w:t>本项目立项目的是推动</w:t>
      </w:r>
      <w:r>
        <w:rPr>
          <w:rFonts w:ascii="宋体" w:hAnsi="宋体" w:cs="宋体" w:eastAsia="宋体" w:hint="default"/>
          <w:spacing w:val="-2"/>
        </w:rPr>
        <w:t>3C</w:t>
      </w:r>
      <w:r>
        <w:rPr>
          <w:spacing w:val="-2"/>
        </w:rPr>
        <w:t>制造自动化技术进步，为电子、通讯、汽车、消费、仓储物流、自动化生产线等行业以及相关</w:t>
      </w:r>
    </w:p>
    <w:p>
      <w:pPr>
        <w:pStyle w:val="BodyText"/>
        <w:spacing w:line="477" w:lineRule="auto" w:before="54"/>
        <w:ind w:left="1134" w:right="0"/>
        <w:jc w:val="left"/>
      </w:pPr>
      <w:r>
        <w:rPr>
          <w:spacing w:val="-2"/>
        </w:rPr>
        <w:t>联的行业提供高品质、高可靠性、高效率的物流自动化产品。在项目研发的进程中，提升公司科研技术创新能力，加强公司</w:t>
      </w:r>
      <w:r>
        <w:rPr>
          <w:spacing w:val="-66"/>
        </w:rPr>
        <w:t> </w:t>
      </w:r>
      <w:r>
        <w:rPr>
          <w:spacing w:val="-66"/>
        </w:rPr>
      </w:r>
      <w:r>
        <w:rPr/>
        <w:t>在设计、研发、制造、工程技术、工艺技术、生产管理、设备配套、品质管控等方面的竞争力，达到国际领先水平。</w:t>
      </w:r>
    </w:p>
    <w:p>
      <w:pPr>
        <w:pStyle w:val="BodyText"/>
        <w:spacing w:line="240" w:lineRule="auto" w:before="54"/>
        <w:ind w:left="1494" w:right="0"/>
        <w:jc w:val="left"/>
      </w:pPr>
      <w:r>
        <w:rPr/>
        <w:t>本项目已完成样机试制，和客户联合测试中，可于短期推向市场。</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left="1494" w:right="1032" w:firstLine="1"/>
        <w:jc w:val="left"/>
      </w:pPr>
      <w:r>
        <w:rPr>
          <w:rFonts w:ascii="宋体" w:hAnsi="宋体" w:cs="宋体" w:eastAsia="宋体" w:hint="default"/>
          <w:b/>
          <w:bCs/>
        </w:rPr>
        <w:t>10</w:t>
      </w:r>
      <w:r>
        <w:rPr>
          <w:rFonts w:ascii="宋体" w:hAnsi="宋体" w:cs="宋体" w:eastAsia="宋体" w:hint="default"/>
          <w:b/>
          <w:bCs/>
        </w:rPr>
        <w:t>、巡拣机器人研发</w:t>
      </w:r>
      <w:r>
        <w:rPr>
          <w:rFonts w:ascii="宋体" w:hAnsi="宋体" w:cs="宋体" w:eastAsia="宋体" w:hint="default"/>
          <w:b/>
          <w:bCs/>
          <w:w w:val="99"/>
        </w:rPr>
        <w:t> </w:t>
      </w:r>
      <w:r>
        <w:rPr/>
        <w:t>本项目由上位调度平台、巡走底座、升降机架、机器手、视觉分析系统以及通讯系统构成，实现了对物体拣取、运输、</w:t>
      </w:r>
    </w:p>
    <w:p>
      <w:pPr>
        <w:pStyle w:val="BodyText"/>
        <w:spacing w:line="477" w:lineRule="auto" w:before="54"/>
        <w:ind w:left="1134" w:right="1131"/>
        <w:jc w:val="both"/>
      </w:pPr>
      <w:r>
        <w:rPr>
          <w:spacing w:val="-2"/>
        </w:rPr>
        <w:t>置放等操作的智能机器人。整个过程涉及导引技术、视觉识别技术、机器手控制技术等先进技术。匹配预设路径的制导精度</w:t>
      </w:r>
      <w:r>
        <w:rPr>
          <w:spacing w:val="-66"/>
        </w:rPr>
        <w:t> </w:t>
      </w:r>
      <w:r>
        <w:rPr>
          <w:spacing w:val="-66"/>
        </w:rPr>
      </w:r>
      <w:r>
        <w:rPr>
          <w:spacing w:val="-2"/>
        </w:rPr>
        <w:t>高，拣取系统智能，整个过程无人参与，最大程度的节约人力成本，适用于保密性强、操作精度高、或者危险度高，人不方</w:t>
      </w:r>
      <w:r>
        <w:rPr>
          <w:spacing w:val="-72"/>
        </w:rPr>
        <w:t> </w:t>
      </w:r>
      <w:r>
        <w:rPr>
          <w:spacing w:val="-72"/>
        </w:rPr>
      </w:r>
      <w:r>
        <w:rPr/>
        <w:t>便进入的场合。</w:t>
      </w:r>
    </w:p>
    <w:p>
      <w:pPr>
        <w:pStyle w:val="BodyText"/>
        <w:spacing w:line="477" w:lineRule="auto" w:before="54"/>
        <w:ind w:left="1134" w:right="1122" w:firstLine="360"/>
        <w:jc w:val="left"/>
      </w:pPr>
      <w:r>
        <w:rPr/>
        <w:t>巡拣机器人中上位调度与巡拣机器人之间通信为</w:t>
      </w:r>
      <w:r>
        <w:rPr>
          <w:rFonts w:ascii="宋体" w:hAnsi="宋体" w:cs="宋体" w:eastAsia="宋体" w:hint="default"/>
        </w:rPr>
        <w:t>WiFi</w:t>
      </w:r>
      <w:r>
        <w:rPr/>
        <w:t>形式；巡拣机器人内部主件之间数据交互通信有以太网和</w:t>
      </w:r>
      <w:r>
        <w:rPr>
          <w:rFonts w:ascii="宋体" w:hAnsi="宋体" w:cs="宋体" w:eastAsia="宋体" w:hint="default"/>
        </w:rPr>
        <w:t>CANOpen bus</w:t>
      </w:r>
      <w:r>
        <w:rPr/>
        <w:t>，通过这些通讯方式，把各个主部件的功能连接到一起，保证数据可靠稳定传输、通讯。</w:t>
      </w:r>
    </w:p>
    <w:p>
      <w:pPr>
        <w:pStyle w:val="BodyText"/>
        <w:spacing w:line="477" w:lineRule="auto" w:before="54"/>
        <w:ind w:left="1134" w:right="0" w:firstLine="360"/>
        <w:jc w:val="left"/>
      </w:pPr>
      <w:r>
        <w:rPr>
          <w:spacing w:val="-2"/>
        </w:rPr>
        <w:t>巡走底座的导引方式，可选取目前世界上较为流行的二维码导引、激光反射板导引、自然导引等形式，运行精度小于±</w:t>
      </w:r>
      <w:r>
        <w:rPr/>
        <w:t> </w:t>
      </w:r>
      <w:r>
        <w:rPr>
          <w:rFonts w:ascii="宋体" w:hAnsi="宋体" w:cs="宋体" w:eastAsia="宋体" w:hint="default"/>
        </w:rPr>
        <w:t>10mm</w:t>
      </w:r>
      <w:r>
        <w:rPr/>
        <w:t>。底座上安装有可升降机构（最大升降行程</w:t>
      </w:r>
      <w:r>
        <w:rPr>
          <w:rFonts w:ascii="宋体" w:hAnsi="宋体" w:cs="宋体" w:eastAsia="宋体" w:hint="default"/>
        </w:rPr>
        <w:t>900mm</w:t>
      </w:r>
      <w:r>
        <w:rPr/>
        <w:t>），配合机器手的伸展，可以满足高度位置差异较大的拣取要求。</w:t>
      </w:r>
    </w:p>
    <w:p>
      <w:pPr>
        <w:pStyle w:val="BodyText"/>
        <w:spacing w:line="240" w:lineRule="auto" w:before="54"/>
        <w:ind w:left="1494" w:right="0"/>
        <w:jc w:val="left"/>
      </w:pPr>
      <w:r>
        <w:rPr/>
        <w:t>本项目设备已完成研发测试并参加两次大型展会，获得行业良好评价。</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BodyText"/>
        <w:spacing w:line="240" w:lineRule="auto"/>
        <w:ind w:right="0"/>
        <w:jc w:val="both"/>
      </w:pPr>
      <w:r>
        <w:rPr/>
        <w:t>近三年公司研发投入金额及占营业收入的比例</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3"/>
                <w:sz w:val="18"/>
              </w:rPr>
              <w:t>117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36.45%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30,669,901.75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17,741,977.40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19,079,540.53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6"/>
        <w:rPr>
          <w:rFonts w:ascii="宋体" w:hAnsi="宋体" w:cs="宋体" w:eastAsia="宋体" w:hint="default"/>
          <w:sz w:val="6"/>
          <w:szCs w:val="6"/>
        </w:rPr>
      </w:pPr>
    </w:p>
    <w:p>
      <w:pPr>
        <w:pStyle w:val="BodyText"/>
        <w:spacing w:line="240" w:lineRule="auto" w:before="44"/>
        <w:ind w:left="1134" w:right="0"/>
        <w:jc w:val="left"/>
      </w:pPr>
      <w:r>
        <w:rPr/>
        <w:t>研发投入总额占营业收入的比重较上年发生显著变化的原因</w:t>
      </w:r>
    </w:p>
    <w:p>
      <w:pPr>
        <w:spacing w:line="240" w:lineRule="auto" w:before="12"/>
        <w:rPr>
          <w:rFonts w:ascii="宋体" w:hAnsi="宋体" w:cs="宋体" w:eastAsia="宋体" w:hint="default"/>
          <w:sz w:val="20"/>
          <w:szCs w:val="20"/>
        </w:rPr>
      </w:pPr>
    </w:p>
    <w:p>
      <w:pPr>
        <w:pStyle w:val="BodyText"/>
        <w:spacing w:line="489" w:lineRule="auto"/>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8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tabs>
          <w:tab w:pos="9776" w:val="left" w:leader="none"/>
        </w:tabs>
        <w:spacing w:before="155"/>
        <w:ind w:left="1133" w:right="0" w:firstLine="0"/>
        <w:jc w:val="left"/>
        <w:rPr>
          <w:rFonts w:ascii="宋体" w:hAnsi="宋体" w:cs="宋体" w:eastAsia="宋体" w:hint="default"/>
          <w:sz w:val="21"/>
          <w:szCs w:val="21"/>
        </w:rPr>
      </w:pPr>
      <w:bookmarkStart w:name="5、现金流                                   " w:id="37"/>
      <w:bookmarkEnd w:id="37"/>
      <w:r>
        <w:rPr/>
      </w:r>
      <w:r>
        <w:rPr>
          <w:rFonts w:ascii="Times New Roman" w:hAnsi="Times New Roman" w:cs="Times New Roman" w:eastAsia="Times New Roman" w:hint="default"/>
          <w:b/>
          <w:bCs/>
          <w:w w:val="95"/>
          <w:sz w:val="21"/>
          <w:szCs w:val="21"/>
        </w:rPr>
        <w:t>5</w:t>
      </w:r>
      <w:r>
        <w:rPr>
          <w:rFonts w:ascii="宋体" w:hAnsi="宋体" w:cs="宋体" w:eastAsia="宋体" w:hint="default"/>
          <w:b/>
          <w:bCs/>
          <w:w w:val="95"/>
          <w:sz w:val="21"/>
          <w:szCs w:val="21"/>
        </w:rPr>
        <w:t>、现金流</w:t>
        <w:tab/>
      </w:r>
      <w:r>
        <w:rPr>
          <w:rFonts w:ascii="宋体" w:hAnsi="宋体" w:cs="宋体" w:eastAsia="宋体" w:hint="default"/>
          <w:sz w:val="21"/>
          <w:szCs w:val="21"/>
        </w:rPr>
        <w:t>单位：元</w:t>
      </w:r>
    </w:p>
    <w:p>
      <w:pPr>
        <w:spacing w:line="240" w:lineRule="auto" w:before="10"/>
        <w:rPr>
          <w:rFonts w:ascii="宋体" w:hAnsi="宋体" w:cs="宋体" w:eastAsia="宋体" w:hint="default"/>
          <w:sz w:val="2"/>
          <w:szCs w:val="2"/>
        </w:rPr>
      </w:pPr>
    </w:p>
    <w:tbl>
      <w:tblPr>
        <w:tblW w:w="0" w:type="auto"/>
        <w:jc w:val="left"/>
        <w:tblInd w:w="1140" w:type="dxa"/>
        <w:tblLayout w:type="fixed"/>
        <w:tblCellMar>
          <w:top w:w="0" w:type="dxa"/>
          <w:left w:w="0" w:type="dxa"/>
          <w:bottom w:w="0" w:type="dxa"/>
          <w:right w:w="0" w:type="dxa"/>
        </w:tblCellMar>
        <w:tblLook w:val="01E0"/>
      </w:tblPr>
      <w:tblGrid>
        <w:gridCol w:w="2529"/>
        <w:gridCol w:w="2422"/>
        <w:gridCol w:w="2214"/>
        <w:gridCol w:w="2392"/>
      </w:tblGrid>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576,341,055.60</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422,713,425.16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36.34%</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576,412,583.52</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424,262,454.49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35.86%</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-71,527.92</w:t>
            </w:r>
            <w:r>
              <w:rPr>
                <w:rFonts w:ascii="Times New Roman"/>
                <w:sz w:val="18"/>
              </w:rPr>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-1,549,029.33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-95.38%</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145,353,905.04</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1,356,712.33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10,613.69%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541"/>
        <w:gridCol w:w="2422"/>
        <w:gridCol w:w="2214"/>
        <w:gridCol w:w="2392"/>
      </w:tblGrid>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92,246,533.44</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233,927,756.68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-60.57%</w:t>
            </w: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53,107,371.60</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-232,571,044.35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-122.83%</w:t>
            </w:r>
            <w:r>
              <w:rPr>
                <w:rFonts w:ascii="Times New Roman"/>
                <w:sz w:val="18"/>
              </w:rPr>
            </w: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50,932,960.00</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319,156,800.00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-84.04%</w:t>
            </w: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62,819,465.28</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11,034,266.04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469.31%</w:t>
            </w: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-11,886,505.28</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308,122,533.96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-103.86%</w:t>
            </w:r>
            <w:r>
              <w:rPr>
                <w:rFonts w:ascii="Times New Roman"/>
                <w:sz w:val="18"/>
              </w:rPr>
            </w: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40,918,932.17</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74,383,555.37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-44.99%</w:t>
            </w:r>
          </w:p>
        </w:tc>
      </w:tr>
    </w:tbl>
    <w:p>
      <w:pPr>
        <w:pStyle w:val="BodyText"/>
        <w:spacing w:line="240" w:lineRule="auto" w:before="88"/>
        <w:ind w:left="1134" w:right="0"/>
        <w:jc w:val="left"/>
      </w:pPr>
      <w:r>
        <w:rPr/>
        <w:t>相关数据同比发生重大变动的主要影响因素说明</w:t>
      </w:r>
    </w:p>
    <w:p>
      <w:pPr>
        <w:pStyle w:val="BodyText"/>
        <w:spacing w:line="240" w:lineRule="auto" w:before="154"/>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451" w:lineRule="auto" w:before="141"/>
        <w:ind w:right="0" w:firstLine="360"/>
        <w:jc w:val="left"/>
      </w:pPr>
      <w:r>
        <w:rPr>
          <w:rFonts w:ascii="Times New Roman" w:hAnsi="Times New Roman" w:cs="Times New Roman" w:eastAsia="Times New Roman" w:hint="default"/>
          <w:spacing w:val="-1"/>
        </w:rPr>
        <w:t>1</w:t>
      </w:r>
      <w:r>
        <w:rPr>
          <w:spacing w:val="-1"/>
        </w:rPr>
        <w:t>、经营活动产生的现金流量净额：本年度</w:t>
      </w:r>
      <w:r>
        <w:rPr>
          <w:rFonts w:ascii="Times New Roman" w:hAnsi="Times New Roman" w:cs="Times New Roman" w:eastAsia="Times New Roman" w:hint="default"/>
          <w:spacing w:val="-1"/>
        </w:rPr>
        <w:t>-7.15</w:t>
      </w:r>
      <w:r>
        <w:rPr>
          <w:spacing w:val="-1"/>
        </w:rPr>
        <w:t>万，同比基本持平稍有增长，主要受部分项目验收进度、进度款回收以</w:t>
      </w:r>
      <w:r>
        <w:rPr/>
        <w:t> 及供应商款支付影响；</w:t>
      </w:r>
    </w:p>
    <w:p>
      <w:pPr>
        <w:pStyle w:val="BodyText"/>
        <w:spacing w:line="451" w:lineRule="auto" w:before="74"/>
        <w:ind w:left="1134" w:right="1122" w:firstLine="360"/>
        <w:jc w:val="left"/>
      </w:pPr>
      <w:r>
        <w:rPr>
          <w:rFonts w:ascii="Times New Roman" w:hAnsi="Times New Roman" w:cs="Times New Roman" w:eastAsia="Times New Roman" w:hint="default"/>
        </w:rPr>
        <w:t>2</w:t>
      </w:r>
      <w:r>
        <w:rPr/>
        <w:t>、投资活动产生的现金流量净额：主要系报告期内公司使用闲置的募集资金及自有资金购买保本浮动收益型银行理财 产品净收回</w:t>
      </w:r>
      <w:r>
        <w:rPr>
          <w:rFonts w:ascii="Times New Roman" w:hAnsi="Times New Roman" w:cs="Times New Roman" w:eastAsia="Times New Roman" w:hint="default"/>
        </w:rPr>
        <w:t>14,000</w:t>
      </w:r>
      <w:r>
        <w:rPr/>
        <w:t>万，另支付北京、深圳、上海多处办公用房购房款、科技园工程款、旭龙昇投资款所致；</w:t>
      </w:r>
    </w:p>
    <w:p>
      <w:pPr>
        <w:pStyle w:val="BodyText"/>
        <w:spacing w:line="451" w:lineRule="auto" w:before="43"/>
        <w:ind w:right="2293" w:firstLine="360"/>
        <w:jc w:val="left"/>
      </w:pPr>
      <w:r>
        <w:rPr>
          <w:rFonts w:ascii="Times New Roman" w:hAnsi="Times New Roman" w:cs="Times New Roman" w:eastAsia="Times New Roman" w:hint="default"/>
        </w:rPr>
        <w:t>3</w:t>
      </w:r>
      <w:r>
        <w:rPr/>
        <w:t>、筹资活动产生的现金流量净额：主要系报告期内现金分红</w:t>
      </w:r>
      <w:r>
        <w:rPr>
          <w:rFonts w:ascii="Times New Roman" w:hAnsi="Times New Roman" w:cs="Times New Roman" w:eastAsia="Times New Roman" w:hint="default"/>
        </w:rPr>
        <w:t>5,040</w:t>
      </w:r>
      <w:r>
        <w:rPr/>
        <w:t>万元及偿还长期借款</w:t>
      </w:r>
      <w:r>
        <w:rPr>
          <w:rFonts w:ascii="Times New Roman" w:hAnsi="Times New Roman" w:cs="Times New Roman" w:eastAsia="Times New Roman" w:hint="default"/>
        </w:rPr>
        <w:t>1,000</w:t>
      </w:r>
      <w:r>
        <w:rPr/>
        <w:t>万元所致。 报告期内公司经营活动产生的现金净流量与本年度净利润存在重大差异的原因说明</w:t>
      </w:r>
    </w:p>
    <w:p>
      <w:pPr>
        <w:pStyle w:val="BodyText"/>
        <w:spacing w:line="451" w:lineRule="auto" w:before="74"/>
        <w:ind w:right="40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主要系本期应收账款有所增加，支付的采购货款、员工薪酬、运营费用等增长所致。</w:t>
      </w:r>
    </w:p>
    <w:p>
      <w:pPr>
        <w:pStyle w:val="Heading2"/>
        <w:spacing w:line="240" w:lineRule="auto" w:before="26"/>
        <w:ind w:right="0"/>
        <w:jc w:val="left"/>
        <w:rPr>
          <w:b w:val="0"/>
          <w:bCs w:val="0"/>
        </w:rPr>
      </w:pPr>
      <w:bookmarkStart w:name="三、非主营业务情况" w:id="38"/>
      <w:bookmarkEnd w:id="38"/>
      <w:r>
        <w:rPr>
          <w:b w:val="0"/>
          <w:bCs w:val="0"/>
        </w:rPr>
      </w:r>
      <w:r>
        <w:rPr/>
        <w:t>三、非主营业务情况</w:t>
      </w:r>
      <w:r>
        <w:rPr>
          <w:b w:val="0"/>
          <w:bCs w:val="0"/>
        </w:rPr>
      </w:r>
    </w:p>
    <w:p>
      <w:pPr>
        <w:pStyle w:val="BodyText"/>
        <w:spacing w:line="240" w:lineRule="auto" w:before="20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41"/>
        <w:ind w:left="0" w:right="1130"/>
        <w:jc w:val="right"/>
      </w:pPr>
      <w:r>
        <w:rPr/>
        <w:t>单位：元</w:t>
      </w:r>
    </w:p>
    <w:p>
      <w:pPr>
        <w:spacing w:line="240" w:lineRule="auto" w:before="1"/>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1523"/>
        <w:gridCol w:w="1916"/>
        <w:gridCol w:w="1623"/>
        <w:gridCol w:w="2877"/>
        <w:gridCol w:w="1630"/>
      </w:tblGrid>
      <w:tr>
        <w:trPr>
          <w:trHeight w:val="401"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93"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9"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318" w:hRule="exact"/>
        </w:trPr>
        <w:tc>
          <w:tcPr>
            <w:tcW w:w="15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41" w:right="0"/>
              <w:jc w:val="left"/>
              <w:rPr>
                <w:rFonts w:ascii="Times New Roman" w:hAnsi="Times New Roman" w:cs="Times New Roman" w:eastAsia="Times New Roman" w:hint="default"/>
                <w:sz w:val="18"/>
                <w:szCs w:val="18"/>
              </w:rPr>
            </w:pPr>
            <w:r>
              <w:rPr>
                <w:rFonts w:ascii="Times New Roman"/>
                <w:sz w:val="18"/>
              </w:rPr>
              <w:t>12,091,768.93</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41" w:right="0"/>
              <w:jc w:val="left"/>
              <w:rPr>
                <w:rFonts w:ascii="Times New Roman" w:hAnsi="Times New Roman" w:cs="Times New Roman" w:eastAsia="Times New Roman" w:hint="default"/>
                <w:sz w:val="18"/>
                <w:szCs w:val="18"/>
              </w:rPr>
            </w:pPr>
            <w:r>
              <w:rPr>
                <w:rFonts w:ascii="Times New Roman"/>
                <w:sz w:val="18"/>
              </w:rPr>
              <w:t>11.29%</w:t>
            </w:r>
          </w:p>
        </w:tc>
        <w:tc>
          <w:tcPr>
            <w:tcW w:w="2877" w:type="dxa"/>
            <w:vMerge w:val="restart"/>
            <w:tcBorders>
              <w:top w:val="single" w:sz="4" w:space="0" w:color="000000"/>
              <w:left w:val="single" w:sz="4" w:space="0" w:color="000000"/>
              <w:right w:val="single" w:sz="4" w:space="0" w:color="000000"/>
            </w:tcBorders>
          </w:tcPr>
          <w:p>
            <w:pPr>
              <w:pStyle w:val="TableParagraph"/>
              <w:spacing w:line="316" w:lineRule="auto" w:before="52"/>
              <w:ind w:left="23" w:right="21"/>
              <w:jc w:val="left"/>
              <w:rPr>
                <w:rFonts w:ascii="宋体" w:hAnsi="宋体" w:cs="宋体" w:eastAsia="宋体" w:hint="default"/>
                <w:sz w:val="18"/>
                <w:szCs w:val="18"/>
              </w:rPr>
            </w:pPr>
            <w:r>
              <w:rPr>
                <w:rFonts w:ascii="宋体" w:hAnsi="宋体" w:cs="宋体" w:eastAsia="宋体" w:hint="default"/>
                <w:sz w:val="18"/>
                <w:szCs w:val="18"/>
              </w:rPr>
              <w:t>主要系报告期内转让子公司新阳物 </w:t>
            </w:r>
            <w:r>
              <w:rPr>
                <w:rFonts w:ascii="宋体" w:hAnsi="宋体" w:cs="宋体" w:eastAsia="宋体" w:hint="default"/>
                <w:spacing w:val="-4"/>
                <w:sz w:val="18"/>
                <w:szCs w:val="18"/>
              </w:rPr>
              <w:t>流损益、旭龙昇投资收益及银行理财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产品收益</w:t>
            </w:r>
          </w:p>
        </w:tc>
        <w:tc>
          <w:tcPr>
            <w:tcW w:w="16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877" w:type="dxa"/>
            <w:vMerge/>
            <w:tcBorders>
              <w:left w:val="single" w:sz="4" w:space="0" w:color="000000"/>
              <w:right w:val="single" w:sz="4" w:space="0" w:color="000000"/>
            </w:tcBorders>
          </w:tcPr>
          <w:p>
            <w:pPr/>
          </w:p>
        </w:tc>
        <w:tc>
          <w:tcPr>
            <w:tcW w:w="1630" w:type="dxa"/>
            <w:vMerge/>
            <w:tcBorders>
              <w:left w:val="single" w:sz="4" w:space="0" w:color="000000"/>
              <w:right w:val="single" w:sz="4" w:space="0" w:color="000000"/>
            </w:tcBorders>
          </w:tcPr>
          <w:p>
            <w:pPr/>
          </w:p>
        </w:tc>
      </w:tr>
      <w:tr>
        <w:trPr>
          <w:trHeight w:val="317" w:hRule="exact"/>
        </w:trPr>
        <w:tc>
          <w:tcPr>
            <w:tcW w:w="15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877" w:type="dxa"/>
            <w:vMerge/>
            <w:tcBorders>
              <w:left w:val="single" w:sz="4" w:space="0" w:color="000000"/>
              <w:bottom w:val="single" w:sz="4" w:space="0" w:color="000000"/>
              <w:right w:val="single" w:sz="4" w:space="0" w:color="000000"/>
            </w:tcBorders>
          </w:tcPr>
          <w:p>
            <w:pPr/>
          </w:p>
        </w:tc>
        <w:tc>
          <w:tcPr>
            <w:tcW w:w="1630" w:type="dxa"/>
            <w:vMerge/>
            <w:tcBorders>
              <w:left w:val="single" w:sz="4" w:space="0" w:color="000000"/>
              <w:bottom w:val="single" w:sz="4" w:space="0" w:color="000000"/>
              <w:right w:val="single" w:sz="4" w:space="0" w:color="000000"/>
            </w:tcBorders>
          </w:tcPr>
          <w:p>
            <w:pP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2877"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5,051,336.15</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4.72%</w:t>
            </w:r>
          </w:p>
        </w:tc>
        <w:tc>
          <w:tcPr>
            <w:tcW w:w="2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主要系应收账款计提坏账准备</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6,910,732.98</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6.45%</w:t>
            </w:r>
          </w:p>
        </w:tc>
        <w:tc>
          <w:tcPr>
            <w:tcW w:w="2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主要系取得的政府补助</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1,828,535.44</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1.71%</w:t>
            </w:r>
          </w:p>
        </w:tc>
        <w:tc>
          <w:tcPr>
            <w:tcW w:w="2877"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6,027,404.73</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5.63%</w:t>
            </w:r>
          </w:p>
        </w:tc>
        <w:tc>
          <w:tcPr>
            <w:tcW w:w="2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主要系取得的增值税即征即退</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四、资产及负债状况" w:id="39"/>
      <w:bookmarkEnd w:id="39"/>
      <w:r>
        <w:rPr>
          <w:b w:val="0"/>
          <w:bCs w:val="0"/>
        </w:rPr>
      </w:r>
      <w:r>
        <w:rPr/>
        <w:t>四、资产及负债状况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资产构成重大变动情况" w:id="40"/>
      <w:bookmarkEnd w:id="40"/>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3"/>
          <w:szCs w:val="13"/>
        </w:rPr>
      </w:pPr>
    </w:p>
    <w:p>
      <w:pPr>
        <w:pStyle w:val="BodyText"/>
        <w:spacing w:line="240" w:lineRule="auto"/>
        <w:ind w:left="0" w:right="1130"/>
        <w:jc w:val="right"/>
      </w:pPr>
      <w:r>
        <w:rPr/>
        <w:t>单位：元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68"/>
        <w:gridCol w:w="1468"/>
        <w:gridCol w:w="1276"/>
        <w:gridCol w:w="1276"/>
        <w:gridCol w:w="1277"/>
        <w:gridCol w:w="1134"/>
        <w:gridCol w:w="1771"/>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4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55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77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2744" w:type="dxa"/>
            <w:gridSpan w:val="2"/>
            <w:vMerge/>
            <w:tcBorders>
              <w:left w:val="single" w:sz="4" w:space="0" w:color="000000"/>
              <w:bottom w:val="single" w:sz="4" w:space="0" w:color="000000"/>
              <w:right w:val="single" w:sz="4" w:space="0" w:color="000000"/>
            </w:tcBorders>
            <w:shd w:val="clear" w:color="auto" w:fill="D2D2D2"/>
          </w:tcPr>
          <w:p>
            <w:pPr/>
          </w:p>
        </w:tc>
        <w:tc>
          <w:tcPr>
            <w:tcW w:w="2552" w:type="dxa"/>
            <w:gridSpan w:val="2"/>
            <w:vMerge/>
            <w:tcBorders>
              <w:left w:val="single" w:sz="4" w:space="0" w:color="000000"/>
              <w:bottom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17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20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4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92"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92"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134" w:type="dxa"/>
            <w:vMerge/>
            <w:tcBorders>
              <w:left w:val="single" w:sz="4" w:space="0" w:color="000000"/>
              <w:bottom w:val="nil" w:sz="6" w:space="0" w:color="auto"/>
              <w:right w:val="single" w:sz="4" w:space="0" w:color="000000"/>
            </w:tcBorders>
            <w:shd w:val="clear" w:color="auto" w:fill="D2D2D2"/>
          </w:tcPr>
          <w:p>
            <w:pPr/>
          </w:p>
        </w:tc>
        <w:tc>
          <w:tcPr>
            <w:tcW w:w="1771"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8"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77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303,840,073.27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23.36%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center"/>
              <w:rPr>
                <w:rFonts w:ascii="Times New Roman" w:hAnsi="Times New Roman" w:cs="Times New Roman" w:eastAsia="Times New Roman" w:hint="default"/>
                <w:sz w:val="18"/>
                <w:szCs w:val="18"/>
              </w:rPr>
            </w:pPr>
            <w:r>
              <w:rPr>
                <w:rFonts w:ascii="Times New Roman"/>
                <w:sz w:val="18"/>
              </w:rPr>
              <w:t>262,685,042.04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0.73%</w:t>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454,857,239.34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34.97%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center"/>
              <w:rPr>
                <w:rFonts w:ascii="Times New Roman" w:hAnsi="Times New Roman" w:cs="Times New Roman" w:eastAsia="Times New Roman" w:hint="default"/>
                <w:sz w:val="18"/>
                <w:szCs w:val="18"/>
              </w:rPr>
            </w:pPr>
            <w:r>
              <w:rPr>
                <w:rFonts w:ascii="Times New Roman"/>
                <w:sz w:val="18"/>
              </w:rPr>
              <w:t>388,180,151.57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33.44%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1.53%</w:t>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117,195,135.06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6" w:right="0"/>
              <w:jc w:val="center"/>
              <w:rPr>
                <w:rFonts w:ascii="Times New Roman" w:hAnsi="Times New Roman" w:cs="Times New Roman" w:eastAsia="Times New Roman" w:hint="default"/>
                <w:sz w:val="18"/>
                <w:szCs w:val="18"/>
              </w:rPr>
            </w:pPr>
            <w:r>
              <w:rPr>
                <w:rFonts w:ascii="Times New Roman"/>
                <w:sz w:val="18"/>
              </w:rPr>
              <w:t>51,481,847.36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4.57%</w:t>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16,504,757.71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6" w:right="0"/>
              <w:jc w:val="center"/>
              <w:rPr>
                <w:rFonts w:ascii="Times New Roman" w:hAnsi="Times New Roman" w:cs="Times New Roman" w:eastAsia="Times New Roman" w:hint="default"/>
                <w:sz w:val="18"/>
                <w:szCs w:val="18"/>
              </w:rPr>
            </w:pPr>
            <w:r>
              <w:rPr>
                <w:rFonts w:ascii="Times New Roman"/>
                <w:sz w:val="18"/>
              </w:rPr>
              <w:t>17,147,849.35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-0.21%</w:t>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37,788,885.39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2.90%</w:t>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46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3" w:right="0"/>
              <w:jc w:val="left"/>
              <w:rPr>
                <w:rFonts w:ascii="Times New Roman" w:hAnsi="Times New Roman" w:cs="Times New Roman" w:eastAsia="Times New Roman" w:hint="default"/>
                <w:sz w:val="18"/>
                <w:szCs w:val="18"/>
              </w:rPr>
            </w:pPr>
            <w:r>
              <w:rPr>
                <w:rFonts w:ascii="Times New Roman"/>
                <w:sz w:val="18"/>
              </w:rPr>
              <w:t>71,505,732.47</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78" w:right="0"/>
              <w:jc w:val="left"/>
              <w:rPr>
                <w:rFonts w:ascii="Times New Roman" w:hAnsi="Times New Roman" w:cs="Times New Roman" w:eastAsia="Times New Roman" w:hint="default"/>
                <w:sz w:val="18"/>
                <w:szCs w:val="18"/>
              </w:rPr>
            </w:pPr>
            <w:r>
              <w:rPr>
                <w:rFonts w:ascii="Times New Roman"/>
                <w:sz w:val="18"/>
              </w:rPr>
              <w:t>5.50%</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17,457,717.40</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78" w:right="0"/>
              <w:jc w:val="left"/>
              <w:rPr>
                <w:rFonts w:ascii="Times New Roman" w:hAnsi="Times New Roman" w:cs="Times New Roman" w:eastAsia="Times New Roman" w:hint="default"/>
                <w:sz w:val="18"/>
                <w:szCs w:val="18"/>
              </w:rPr>
            </w:pPr>
            <w:r>
              <w:rPr>
                <w:rFonts w:ascii="Times New Roman"/>
                <w:sz w:val="18"/>
              </w:rPr>
              <w:t>1.50%</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6" w:right="0"/>
              <w:jc w:val="left"/>
              <w:rPr>
                <w:rFonts w:ascii="Times New Roman" w:hAnsi="Times New Roman" w:cs="Times New Roman" w:eastAsia="Times New Roman" w:hint="default"/>
                <w:sz w:val="18"/>
                <w:szCs w:val="18"/>
              </w:rPr>
            </w:pPr>
            <w:r>
              <w:rPr>
                <w:rFonts w:ascii="Times New Roman"/>
                <w:sz w:val="18"/>
              </w:rPr>
              <w:t>4.00%</w:t>
            </w:r>
          </w:p>
        </w:tc>
        <w:tc>
          <w:tcPr>
            <w:tcW w:w="1771"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116"/>
              <w:jc w:val="left"/>
              <w:rPr>
                <w:rFonts w:ascii="宋体" w:hAnsi="宋体" w:cs="宋体" w:eastAsia="宋体" w:hint="default"/>
                <w:sz w:val="18"/>
                <w:szCs w:val="18"/>
              </w:rPr>
            </w:pPr>
            <w:r>
              <w:rPr>
                <w:rFonts w:ascii="宋体" w:hAnsi="宋体" w:cs="宋体" w:eastAsia="宋体" w:hint="default"/>
                <w:sz w:val="18"/>
                <w:szCs w:val="18"/>
              </w:rPr>
              <w:t>购置办公用房及科技 园厂房转固定资产</w:t>
            </w:r>
          </w:p>
        </w:tc>
      </w:tr>
      <w:tr>
        <w:trPr>
          <w:trHeight w:val="392"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68" w:type="dxa"/>
            <w:vMerge/>
            <w:tcBorders>
              <w:left w:val="single" w:sz="9" w:space="0" w:color="D2D2D2"/>
              <w:right w:val="single" w:sz="4" w:space="0" w:color="000000"/>
            </w:tcBorders>
          </w:tcPr>
          <w:p>
            <w:pP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771"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8" w:type="dxa"/>
            <w:vMerge/>
            <w:tcBorders>
              <w:left w:val="single" w:sz="9" w:space="0" w:color="D2D2D2"/>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771" w:type="dxa"/>
            <w:vMerge/>
            <w:tcBorders>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95,562,603.83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6" w:right="0"/>
              <w:jc w:val="center"/>
              <w:rPr>
                <w:rFonts w:ascii="Times New Roman" w:hAnsi="Times New Roman" w:cs="Times New Roman" w:eastAsia="Times New Roman" w:hint="default"/>
                <w:sz w:val="18"/>
                <w:szCs w:val="18"/>
              </w:rPr>
            </w:pPr>
            <w:r>
              <w:rPr>
                <w:rFonts w:ascii="Times New Roman"/>
                <w:sz w:val="18"/>
              </w:rPr>
              <w:t>96,068,002.78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-0.93%</w:t>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68" w:type="dxa"/>
            <w:tcBorders>
              <w:top w:val="single" w:sz="4" w:space="0" w:color="000000"/>
              <w:left w:val="single" w:sz="13" w:space="0" w:color="D2D2D2"/>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468" w:type="dxa"/>
            <w:tcBorders>
              <w:top w:val="single" w:sz="4" w:space="0" w:color="000000"/>
              <w:left w:val="single" w:sz="13" w:space="0" w:color="D2D2D2"/>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6" w:right="0"/>
              <w:jc w:val="center"/>
              <w:rPr>
                <w:rFonts w:ascii="Times New Roman" w:hAnsi="Times New Roman" w:cs="Times New Roman" w:eastAsia="Times New Roman" w:hint="default"/>
                <w:sz w:val="18"/>
                <w:szCs w:val="18"/>
              </w:rPr>
            </w:pPr>
            <w:r>
              <w:rPr>
                <w:rFonts w:ascii="Times New Roman"/>
                <w:sz w:val="18"/>
              </w:rPr>
              <w:t>40,000,000.00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-3.45%</w:t>
            </w:r>
          </w:p>
        </w:tc>
        <w:tc>
          <w:tcPr>
            <w:tcW w:w="177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以公允价值计量的资产和负债" w:id="41"/>
      <w:bookmarkEnd w:id="41"/>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截至报告期末的资产权利受限情况" w:id="42"/>
      <w:bookmarkEnd w:id="42"/>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1493" w:right="0"/>
        <w:jc w:val="left"/>
      </w:pPr>
      <w:r>
        <w:rPr/>
        <w:t>因抵押、质押或冻结等对使用有限制，以及放在境外且资金汇回受到限制的货币资金明细如下：</w:t>
      </w:r>
    </w:p>
    <w:p>
      <w:pPr>
        <w:spacing w:line="240" w:lineRule="auto" w:before="5"/>
        <w:rPr>
          <w:rFonts w:ascii="宋体" w:hAnsi="宋体" w:cs="宋体" w:eastAsia="宋体" w:hint="default"/>
          <w:sz w:val="14"/>
          <w:szCs w:val="14"/>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10"/>
          <w:szCs w:val="10"/>
        </w:rPr>
      </w:pPr>
    </w:p>
    <w:tbl>
      <w:tblPr>
        <w:tblW w:w="0" w:type="auto"/>
        <w:jc w:val="left"/>
        <w:tblInd w:w="1129" w:type="dxa"/>
        <w:tblLayout w:type="fixed"/>
        <w:tblCellMar>
          <w:top w:w="0" w:type="dxa"/>
          <w:left w:w="0" w:type="dxa"/>
          <w:bottom w:w="0" w:type="dxa"/>
          <w:right w:w="0" w:type="dxa"/>
        </w:tblCellMar>
        <w:tblLook w:val="01E0"/>
      </w:tblPr>
      <w:tblGrid>
        <w:gridCol w:w="3944"/>
        <w:gridCol w:w="3002"/>
        <w:gridCol w:w="2694"/>
      </w:tblGrid>
      <w:tr>
        <w:trPr>
          <w:trHeight w:val="498"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98"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4" w:right="0"/>
              <w:jc w:val="left"/>
              <w:rPr>
                <w:rFonts w:ascii="宋体" w:hAnsi="宋体" w:cs="宋体" w:eastAsia="宋体" w:hint="default"/>
                <w:sz w:val="18"/>
                <w:szCs w:val="18"/>
              </w:rPr>
            </w:pPr>
            <w:r>
              <w:rPr>
                <w:rFonts w:ascii="宋体" w:hAnsi="宋体" w:cs="宋体" w:eastAsia="宋体" w:hint="default"/>
                <w:sz w:val="18"/>
                <w:szCs w:val="18"/>
              </w:rPr>
              <w:t>履约保函保证金</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
              <w:jc w:val="right"/>
              <w:rPr>
                <w:rFonts w:ascii="Times New Roman" w:hAnsi="Times New Roman" w:cs="Times New Roman" w:eastAsia="Times New Roman" w:hint="default"/>
                <w:sz w:val="18"/>
                <w:szCs w:val="18"/>
              </w:rPr>
            </w:pPr>
            <w:r>
              <w:rPr>
                <w:rFonts w:ascii="Times New Roman"/>
                <w:spacing w:val="-1"/>
                <w:sz w:val="18"/>
              </w:rPr>
              <w:t>7,309,043.01</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3"/>
              <w:jc w:val="right"/>
              <w:rPr>
                <w:rFonts w:ascii="Times New Roman" w:hAnsi="Times New Roman" w:cs="Times New Roman" w:eastAsia="Times New Roman" w:hint="default"/>
                <w:sz w:val="18"/>
                <w:szCs w:val="18"/>
              </w:rPr>
            </w:pPr>
            <w:r>
              <w:rPr>
                <w:rFonts w:ascii="Times New Roman"/>
                <w:spacing w:val="-1"/>
                <w:sz w:val="18"/>
              </w:rPr>
              <w:t>8,364,554.95</w:t>
            </w:r>
          </w:p>
        </w:tc>
      </w:tr>
      <w:tr>
        <w:trPr>
          <w:trHeight w:val="498"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4" w:right="0"/>
              <w:jc w:val="left"/>
              <w:rPr>
                <w:rFonts w:ascii="宋体" w:hAnsi="宋体" w:cs="宋体" w:eastAsia="宋体" w:hint="default"/>
                <w:sz w:val="18"/>
                <w:szCs w:val="18"/>
              </w:rPr>
            </w:pPr>
            <w:r>
              <w:rPr>
                <w:rFonts w:ascii="宋体" w:hAnsi="宋体" w:cs="宋体" w:eastAsia="宋体" w:hint="default"/>
                <w:sz w:val="18"/>
                <w:szCs w:val="18"/>
              </w:rPr>
              <w:t>信用证保证金</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
              <w:jc w:val="right"/>
              <w:rPr>
                <w:rFonts w:ascii="Times New Roman" w:hAnsi="Times New Roman" w:cs="Times New Roman" w:eastAsia="Times New Roman" w:hint="default"/>
                <w:sz w:val="18"/>
                <w:szCs w:val="18"/>
              </w:rPr>
            </w:pPr>
            <w:r>
              <w:rPr>
                <w:rFonts w:ascii="Times New Roman"/>
                <w:spacing w:val="-1"/>
                <w:sz w:val="18"/>
              </w:rPr>
              <w:t>5,883,580.00</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3"/>
              <w:jc w:val="right"/>
              <w:rPr>
                <w:rFonts w:ascii="Times New Roman" w:hAnsi="Times New Roman" w:cs="Times New Roman" w:eastAsia="Times New Roman" w:hint="default"/>
                <w:sz w:val="18"/>
                <w:szCs w:val="18"/>
              </w:rPr>
            </w:pPr>
            <w:r>
              <w:rPr>
                <w:rFonts w:ascii="Times New Roman"/>
                <w:spacing w:val="-1"/>
                <w:sz w:val="18"/>
              </w:rPr>
              <w:t>5,483,380.00</w:t>
            </w:r>
          </w:p>
        </w:tc>
      </w:tr>
      <w:tr>
        <w:trPr>
          <w:trHeight w:val="498"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4"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
              <w:jc w:val="right"/>
              <w:rPr>
                <w:rFonts w:ascii="Times New Roman" w:hAnsi="Times New Roman" w:cs="Times New Roman" w:eastAsia="Times New Roman" w:hint="default"/>
                <w:sz w:val="18"/>
                <w:szCs w:val="18"/>
              </w:rPr>
            </w:pPr>
            <w:r>
              <w:rPr>
                <w:rFonts w:ascii="Times New Roman"/>
                <w:spacing w:val="-1"/>
                <w:sz w:val="18"/>
              </w:rPr>
              <w:t>1,165,674.00</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3"/>
              <w:jc w:val="right"/>
              <w:rPr>
                <w:rFonts w:ascii="Times New Roman" w:hAnsi="Times New Roman" w:cs="Times New Roman" w:eastAsia="Times New Roman" w:hint="default"/>
                <w:sz w:val="18"/>
                <w:szCs w:val="18"/>
              </w:rPr>
            </w:pPr>
            <w:r>
              <w:rPr>
                <w:rFonts w:ascii="Times New Roman"/>
                <w:sz w:val="18"/>
              </w:rPr>
              <w:t>274,263.00</w:t>
            </w:r>
          </w:p>
        </w:tc>
      </w:tr>
      <w:tr>
        <w:trPr>
          <w:trHeight w:val="498"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4" w:right="0"/>
              <w:jc w:val="left"/>
              <w:rPr>
                <w:rFonts w:ascii="宋体" w:hAnsi="宋体" w:cs="宋体" w:eastAsia="宋体" w:hint="default"/>
                <w:sz w:val="18"/>
                <w:szCs w:val="18"/>
              </w:rPr>
            </w:pPr>
            <w:r>
              <w:rPr>
                <w:rFonts w:ascii="宋体" w:hAnsi="宋体" w:cs="宋体" w:eastAsia="宋体" w:hint="default"/>
                <w:sz w:val="18"/>
                <w:szCs w:val="18"/>
              </w:rPr>
              <w:t>存放在境外且资金汇回受到限制的款项</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
              <w:jc w:val="right"/>
              <w:rPr>
                <w:rFonts w:ascii="Times New Roman" w:hAnsi="Times New Roman" w:cs="Times New Roman" w:eastAsia="Times New Roman" w:hint="default"/>
                <w:sz w:val="18"/>
                <w:szCs w:val="18"/>
              </w:rPr>
            </w:pPr>
            <w:r>
              <w:rPr>
                <w:rFonts w:ascii="Times New Roman"/>
                <w:spacing w:val="-1"/>
                <w:sz w:val="18"/>
              </w:rPr>
              <w:t>6,545,314.11</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3"/>
              <w:jc w:val="right"/>
              <w:rPr>
                <w:rFonts w:ascii="Times New Roman" w:hAnsi="Times New Roman" w:cs="Times New Roman" w:eastAsia="Times New Roman" w:hint="default"/>
                <w:sz w:val="18"/>
                <w:szCs w:val="18"/>
              </w:rPr>
            </w:pPr>
            <w:r>
              <w:rPr>
                <w:rFonts w:ascii="Times New Roman"/>
                <w:spacing w:val="-1"/>
                <w:sz w:val="18"/>
              </w:rPr>
              <w:t>6,821,071.77</w:t>
            </w:r>
          </w:p>
        </w:tc>
      </w:tr>
      <w:tr>
        <w:trPr>
          <w:trHeight w:val="499"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
              <w:jc w:val="right"/>
              <w:rPr>
                <w:rFonts w:ascii="Times New Roman" w:hAnsi="Times New Roman" w:cs="Times New Roman" w:eastAsia="Times New Roman" w:hint="default"/>
                <w:sz w:val="18"/>
                <w:szCs w:val="18"/>
              </w:rPr>
            </w:pPr>
            <w:r>
              <w:rPr>
                <w:rFonts w:ascii="Times New Roman"/>
                <w:spacing w:val="-1"/>
                <w:sz w:val="18"/>
              </w:rPr>
              <w:t>20,971,948.73</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3"/>
              <w:jc w:val="right"/>
              <w:rPr>
                <w:rFonts w:ascii="Times New Roman" w:hAnsi="Times New Roman" w:cs="Times New Roman" w:eastAsia="Times New Roman" w:hint="default"/>
                <w:sz w:val="18"/>
                <w:szCs w:val="18"/>
              </w:rPr>
            </w:pPr>
            <w:r>
              <w:rPr>
                <w:rFonts w:ascii="Times New Roman"/>
                <w:spacing w:val="-1"/>
                <w:sz w:val="18"/>
              </w:rPr>
              <w:t>20,943,269.72</w:t>
            </w:r>
          </w:p>
        </w:tc>
      </w:tr>
    </w:tbl>
    <w:p>
      <w:pPr>
        <w:pStyle w:val="BodyText"/>
        <w:spacing w:line="451" w:lineRule="auto" w:before="88"/>
        <w:ind w:right="0" w:firstLine="360"/>
        <w:jc w:val="left"/>
      </w:pPr>
      <w:r>
        <w:rPr>
          <w:spacing w:val="-2"/>
        </w:rPr>
        <w:t>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日，本公司存放于境外且资金汇回受到限制的货币资金为港币</w:t>
      </w:r>
      <w:r>
        <w:rPr>
          <w:rFonts w:ascii="Times New Roman" w:hAnsi="Times New Roman" w:cs="Times New Roman" w:eastAsia="Times New Roman" w:hint="default"/>
          <w:spacing w:val="-2"/>
        </w:rPr>
        <w:t>7,830,259.73</w:t>
      </w:r>
      <w:r>
        <w:rPr>
          <w:spacing w:val="-2"/>
        </w:rPr>
        <w:t>，折人民币</w:t>
      </w:r>
      <w:r>
        <w:rPr>
          <w:rFonts w:ascii="Times New Roman" w:hAnsi="Times New Roman" w:cs="Times New Roman" w:eastAsia="Times New Roman" w:hint="default"/>
          <w:spacing w:val="-2"/>
        </w:rPr>
        <w:t>6,545,314.11</w:t>
      </w:r>
      <w:r>
        <w:rPr>
          <w:spacing w:val="-2"/>
        </w:rPr>
        <w:t>元，</w:t>
      </w:r>
      <w:r>
        <w:rPr/>
        <w:t> 均为本公司之香港子公司今天国际物流科技有限公司的银行存款。</w:t>
      </w:r>
    </w:p>
    <w:p>
      <w:pPr>
        <w:spacing w:line="240" w:lineRule="auto" w:before="0"/>
        <w:rPr>
          <w:rFonts w:ascii="宋体" w:hAnsi="宋体" w:cs="宋体" w:eastAsia="宋体" w:hint="default"/>
          <w:sz w:val="19"/>
          <w:szCs w:val="19"/>
        </w:rPr>
      </w:pPr>
    </w:p>
    <w:p>
      <w:pPr>
        <w:pStyle w:val="Heading2"/>
        <w:spacing w:line="240" w:lineRule="auto"/>
        <w:ind w:right="0"/>
        <w:jc w:val="left"/>
        <w:rPr>
          <w:b w:val="0"/>
          <w:bCs w:val="0"/>
        </w:rPr>
      </w:pPr>
      <w:bookmarkStart w:name="五、投资状况分析" w:id="43"/>
      <w:bookmarkEnd w:id="43"/>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总体情况" w:id="44"/>
      <w:bookmarkEnd w:id="44"/>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报告期内获取的重大的股权投资情况" w:id="45"/>
      <w:bookmarkEnd w:id="45"/>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694"/>
        <w:gridCol w:w="694"/>
        <w:gridCol w:w="662"/>
        <w:gridCol w:w="661"/>
        <w:gridCol w:w="662"/>
        <w:gridCol w:w="663"/>
        <w:gridCol w:w="658"/>
        <w:gridCol w:w="655"/>
        <w:gridCol w:w="658"/>
        <w:gridCol w:w="629"/>
        <w:gridCol w:w="740"/>
        <w:gridCol w:w="734"/>
        <w:gridCol w:w="733"/>
        <w:gridCol w:w="724"/>
      </w:tblGrid>
      <w:tr>
        <w:trPr>
          <w:trHeight w:val="1026"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1" w:right="70"/>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1" w:right="71"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5" w:right="5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5" w:right="54"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5" w:right="5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5" w:right="57"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合作方</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1" w:right="53"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3" w:right="53"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8" w:right="38"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4"/>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71" w:right="91"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1" w:right="90"/>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7" w:right="84"/>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3210"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深圳市 旭龙昇 电子有 限公司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20"/>
              <w:jc w:val="left"/>
              <w:rPr>
                <w:rFonts w:ascii="宋体" w:hAnsi="宋体" w:cs="宋体" w:eastAsia="宋体" w:hint="default"/>
                <w:sz w:val="18"/>
                <w:szCs w:val="18"/>
              </w:rPr>
            </w:pPr>
            <w:r>
              <w:rPr>
                <w:rFonts w:ascii="宋体" w:hAnsi="宋体" w:cs="宋体" w:eastAsia="宋体" w:hint="default"/>
                <w:sz w:val="18"/>
                <w:szCs w:val="18"/>
              </w:rPr>
              <w:t>电子产 品的研 发、销 </w:t>
            </w:r>
            <w:r>
              <w:rPr>
                <w:rFonts w:ascii="宋体" w:hAnsi="宋体" w:cs="宋体" w:eastAsia="宋体" w:hint="default"/>
                <w:spacing w:val="-21"/>
                <w:sz w:val="18"/>
                <w:szCs w:val="18"/>
              </w:rPr>
              <w:t>售；自动</w:t>
            </w:r>
            <w:r>
              <w:rPr>
                <w:rFonts w:ascii="宋体" w:hAnsi="宋体" w:cs="宋体" w:eastAsia="宋体" w:hint="default"/>
                <w:sz w:val="18"/>
                <w:szCs w:val="18"/>
              </w:rPr>
              <w:t> 化生产 设备的 </w:t>
            </w:r>
            <w:r>
              <w:rPr>
                <w:rFonts w:ascii="宋体" w:hAnsi="宋体" w:cs="宋体" w:eastAsia="宋体" w:hint="default"/>
                <w:spacing w:val="-21"/>
                <w:sz w:val="18"/>
                <w:szCs w:val="18"/>
              </w:rPr>
              <w:t>销售、咨</w:t>
            </w:r>
            <w:r>
              <w:rPr>
                <w:rFonts w:ascii="宋体" w:hAnsi="宋体" w:cs="宋体" w:eastAsia="宋体" w:hint="default"/>
                <w:sz w:val="18"/>
                <w:szCs w:val="18"/>
              </w:rPr>
              <w:t> 询</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收购</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88" w:right="0"/>
              <w:jc w:val="left"/>
              <w:rPr>
                <w:rFonts w:ascii="Times New Roman" w:hAnsi="Times New Roman" w:cs="Times New Roman" w:eastAsia="Times New Roman" w:hint="default"/>
                <w:sz w:val="18"/>
                <w:szCs w:val="18"/>
              </w:rPr>
            </w:pPr>
            <w:r>
              <w:rPr>
                <w:rFonts w:ascii="Times New Roman"/>
                <w:sz w:val="18"/>
              </w:rPr>
              <w:t>34,320,</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000.00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33.00%</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360" w:lineRule="auto"/>
              <w:ind w:left="22" w:right="268"/>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6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59"/>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6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31" w:right="0"/>
              <w:jc w:val="center"/>
              <w:rPr>
                <w:rFonts w:ascii="Times New Roman" w:hAnsi="Times New Roman" w:cs="Times New Roman" w:eastAsia="Times New Roman" w:hint="default"/>
                <w:sz w:val="18"/>
                <w:szCs w:val="18"/>
              </w:rPr>
            </w:pPr>
            <w:r>
              <w:rPr>
                <w:rFonts w:ascii="Times New Roman"/>
                <w:sz w:val="18"/>
              </w:rPr>
              <w:t>2,640,0</w:t>
            </w:r>
          </w:p>
          <w:p>
            <w:pPr>
              <w:pStyle w:val="TableParagraph"/>
              <w:spacing w:line="240" w:lineRule="auto" w:before="105"/>
              <w:ind w:left="167" w:right="0"/>
              <w:jc w:val="center"/>
              <w:rPr>
                <w:rFonts w:ascii="Times New Roman" w:hAnsi="Times New Roman" w:cs="Times New Roman" w:eastAsia="Times New Roman" w:hint="default"/>
                <w:sz w:val="18"/>
                <w:szCs w:val="18"/>
              </w:rPr>
            </w:pPr>
            <w:r>
              <w:rPr>
                <w:rFonts w:ascii="Times New Roman"/>
                <w:sz w:val="18"/>
              </w:rPr>
              <w:t>00.00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75" w:right="0"/>
              <w:jc w:val="left"/>
              <w:rPr>
                <w:rFonts w:ascii="Times New Roman" w:hAnsi="Times New Roman" w:cs="Times New Roman" w:eastAsia="Times New Roman" w:hint="default"/>
                <w:sz w:val="18"/>
                <w:szCs w:val="18"/>
              </w:rPr>
            </w:pPr>
            <w:r>
              <w:rPr>
                <w:rFonts w:ascii="Times New Roman"/>
                <w:sz w:val="18"/>
              </w:rPr>
              <w:t>3,077,31</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3.42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2017-05</w:t>
            </w:r>
          </w:p>
          <w:p>
            <w:pPr>
              <w:pStyle w:val="TableParagraph"/>
              <w:spacing w:line="314" w:lineRule="auto" w:before="64"/>
              <w:ind w:left="23"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《关于 收购深 圳市旭 龙昇电 子有限 公司 </w:t>
            </w:r>
            <w:r>
              <w:rPr>
                <w:rFonts w:ascii="Times New Roman" w:hAnsi="Times New Roman" w:cs="Times New Roman" w:eastAsia="Times New Roman" w:hint="default"/>
                <w:sz w:val="18"/>
                <w:szCs w:val="18"/>
              </w:rPr>
              <w:t>33%</w:t>
            </w:r>
            <w:r>
              <w:rPr>
                <w:rFonts w:ascii="宋体" w:hAnsi="宋体" w:cs="宋体" w:eastAsia="宋体" w:hint="default"/>
                <w:sz w:val="18"/>
                <w:szCs w:val="18"/>
              </w:rPr>
              <w:t>股</w:t>
            </w:r>
          </w:p>
          <w:p>
            <w:pPr>
              <w:pStyle w:val="TableParagraph"/>
              <w:spacing w:line="319" w:lineRule="auto" w:before="1"/>
              <w:ind w:left="23" w:right="149"/>
              <w:jc w:val="left"/>
              <w:rPr>
                <w:rFonts w:ascii="宋体" w:hAnsi="宋体" w:cs="宋体" w:eastAsia="宋体" w:hint="default"/>
                <w:sz w:val="18"/>
                <w:szCs w:val="18"/>
              </w:rPr>
            </w:pPr>
            <w:r>
              <w:rPr>
                <w:rFonts w:ascii="宋体" w:hAnsi="宋体" w:cs="宋体" w:eastAsia="宋体" w:hint="default"/>
                <w:sz w:val="18"/>
                <w:szCs w:val="18"/>
              </w:rPr>
              <w:t>权的公 告》</w:t>
            </w:r>
          </w:p>
        </w:tc>
      </w:tr>
      <w:tr>
        <w:trPr>
          <w:trHeight w:val="714"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5"/>
              <w:jc w:val="right"/>
              <w:rPr>
                <w:rFonts w:ascii="Times New Roman" w:hAnsi="Times New Roman" w:cs="Times New Roman" w:eastAsia="Times New Roman" w:hint="default"/>
                <w:sz w:val="18"/>
                <w:szCs w:val="18"/>
              </w:rPr>
            </w:pPr>
            <w:r>
              <w:rPr>
                <w:rFonts w:ascii="Times New Roman"/>
                <w:sz w:val="18"/>
              </w:rPr>
              <w:t>--</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34,320,</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000.00</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2,640,0</w:t>
            </w:r>
          </w:p>
          <w:p>
            <w:pPr>
              <w:pStyle w:val="TableParagraph"/>
              <w:spacing w:line="240" w:lineRule="auto" w:before="105"/>
              <w:ind w:left="167" w:right="0"/>
              <w:jc w:val="center"/>
              <w:rPr>
                <w:rFonts w:ascii="Times New Roman" w:hAnsi="Times New Roman" w:cs="Times New Roman" w:eastAsia="Times New Roman" w:hint="default"/>
                <w:sz w:val="18"/>
                <w:szCs w:val="18"/>
              </w:rPr>
            </w:pPr>
            <w:r>
              <w:rPr>
                <w:rFonts w:ascii="Times New Roman"/>
                <w:sz w:val="18"/>
              </w:rPr>
              <w:t>00.00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3,077,31</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3.42</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25"/>
          <w:szCs w:val="25"/>
        </w:rPr>
      </w:pPr>
    </w:p>
    <w:p>
      <w:pPr>
        <w:pStyle w:val="Heading3"/>
        <w:spacing w:line="240" w:lineRule="auto" w:before="35"/>
        <w:ind w:left="1134" w:right="0"/>
        <w:jc w:val="left"/>
        <w:rPr>
          <w:b w:val="0"/>
          <w:bCs w:val="0"/>
        </w:rPr>
      </w:pPr>
      <w:bookmarkStart w:name="3、报告期内正在进行的重大的非股权投资情况" w:id="46"/>
      <w:bookmarkEnd w:id="46"/>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32"/>
          <w:szCs w:val="32"/>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right="0"/>
        <w:jc w:val="left"/>
        <w:rPr>
          <w:b w:val="0"/>
          <w:bCs w:val="0"/>
        </w:rPr>
      </w:pPr>
      <w:bookmarkStart w:name="4、以公允价值计量的金融资产" w:id="47"/>
      <w:bookmarkEnd w:id="47"/>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right="0"/>
        <w:jc w:val="left"/>
        <w:rPr>
          <w:b w:val="0"/>
          <w:bCs w:val="0"/>
        </w:rPr>
      </w:pPr>
      <w:bookmarkStart w:name="5、募集资金使用情况" w:id="48"/>
      <w:bookmarkEnd w:id="48"/>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right="0"/>
        <w:jc w:val="left"/>
        <w:rPr>
          <w:b w:val="0"/>
          <w:bCs w:val="0"/>
        </w:rPr>
      </w:pPr>
      <w:bookmarkStart w:name="（1）募集资金总体使用情况" w:id="49"/>
      <w:bookmarkEnd w:id="49"/>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r>
        <w:rPr/>
        <w:pict>
          <v:shape style="position:absolute;margin-left:488.399994pt;margin-top:198.859985pt;width:46.3pt;height:78pt;mso-position-horizontal-relative:page;mso-position-vertical-relative:page;z-index:-881104" type="#_x0000_t202" filled="false" stroked="false">
            <v:textbox inset="0,0,0,0">
              <w:txbxContent>
                <w:p>
                  <w:pPr>
                    <w:pStyle w:val="BodyText"/>
                    <w:spacing w:line="240" w:lineRule="auto" w:before="51"/>
                    <w:ind w:left="0" w:right="0"/>
                    <w:jc w:val="left"/>
                  </w:pPr>
                  <w:r>
                    <w:rPr/>
                    <w:t>日，</w:t>
                  </w:r>
                </w:p>
              </w:txbxContent>
            </v:textbox>
            <w10:wrap type="none"/>
          </v:shape>
        </w:pict>
      </w:r>
    </w:p>
    <w:tbl>
      <w:tblPr>
        <w:tblW w:w="0" w:type="auto"/>
        <w:jc w:val="left"/>
        <w:tblInd w:w="987" w:type="dxa"/>
        <w:tblLayout w:type="fixed"/>
        <w:tblCellMar>
          <w:top w:w="0" w:type="dxa"/>
          <w:left w:w="0" w:type="dxa"/>
          <w:bottom w:w="0" w:type="dxa"/>
          <w:right w:w="0" w:type="dxa"/>
        </w:tblCellMar>
        <w:tblLook w:val="01E0"/>
      </w:tblPr>
      <w:tblGrid>
        <w:gridCol w:w="426"/>
        <w:gridCol w:w="425"/>
        <w:gridCol w:w="992"/>
        <w:gridCol w:w="1134"/>
        <w:gridCol w:w="851"/>
        <w:gridCol w:w="710"/>
        <w:gridCol w:w="708"/>
        <w:gridCol w:w="851"/>
        <w:gridCol w:w="991"/>
        <w:gridCol w:w="1986"/>
        <w:gridCol w:w="631"/>
      </w:tblGrid>
      <w:tr>
        <w:trPr>
          <w:trHeight w:val="2528" w:hRule="exact"/>
        </w:trPr>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319" w:lineRule="auto"/>
              <w:ind w:left="27" w:right="26"/>
              <w:jc w:val="left"/>
              <w:rPr>
                <w:rFonts w:ascii="宋体" w:hAnsi="宋体" w:cs="宋体" w:eastAsia="宋体" w:hint="default"/>
                <w:sz w:val="18"/>
                <w:szCs w:val="18"/>
              </w:rPr>
            </w:pPr>
            <w:r>
              <w:rPr>
                <w:rFonts w:ascii="宋体" w:hAnsi="宋体" w:cs="宋体" w:eastAsia="宋体" w:hint="default"/>
                <w:sz w:val="18"/>
                <w:szCs w:val="18"/>
              </w:rPr>
              <w:t>募集 年份</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319" w:lineRule="auto"/>
              <w:ind w:left="26" w:right="27"/>
              <w:jc w:val="left"/>
              <w:rPr>
                <w:rFonts w:ascii="宋体" w:hAnsi="宋体" w:cs="宋体" w:eastAsia="宋体" w:hint="default"/>
                <w:sz w:val="18"/>
                <w:szCs w:val="18"/>
              </w:rPr>
            </w:pPr>
            <w:r>
              <w:rPr>
                <w:rFonts w:ascii="宋体" w:hAnsi="宋体" w:cs="宋体" w:eastAsia="宋体" w:hint="default"/>
                <w:sz w:val="18"/>
                <w:szCs w:val="18"/>
              </w:rPr>
              <w:t>募集 方式</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360" w:lineRule="auto"/>
              <w:ind w:left="310" w:right="131"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319" w:lineRule="auto"/>
              <w:ind w:left="111" w:right="110"/>
              <w:jc w:val="center"/>
              <w:rPr>
                <w:rFonts w:ascii="宋体" w:hAnsi="宋体" w:cs="宋体" w:eastAsia="宋体" w:hint="default"/>
                <w:sz w:val="18"/>
                <w:szCs w:val="18"/>
              </w:rPr>
            </w:pPr>
            <w:r>
              <w:rPr>
                <w:rFonts w:ascii="宋体" w:hAnsi="宋体" w:cs="宋体" w:eastAsia="宋体" w:hint="default"/>
                <w:sz w:val="18"/>
                <w:szCs w:val="18"/>
              </w:rPr>
              <w:t>本期已使用 募集资金总 额</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319" w:lineRule="auto"/>
              <w:ind w:left="60" w:right="5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319" w:lineRule="auto"/>
              <w:ind w:left="79" w:right="78"/>
              <w:jc w:val="both"/>
              <w:rPr>
                <w:rFonts w:ascii="宋体" w:hAnsi="宋体" w:cs="宋体" w:eastAsia="宋体" w:hint="default"/>
                <w:sz w:val="18"/>
                <w:szCs w:val="18"/>
              </w:rPr>
            </w:pPr>
            <w:r>
              <w:rPr>
                <w:rFonts w:ascii="宋体" w:hAnsi="宋体" w:cs="宋体" w:eastAsia="宋体" w:hint="default"/>
                <w:sz w:val="18"/>
                <w:szCs w:val="18"/>
              </w:rPr>
              <w:t>报告期 内变更 用途的 募集资 金总额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319" w:lineRule="auto"/>
              <w:ind w:left="78" w:right="78"/>
              <w:jc w:val="center"/>
              <w:rPr>
                <w:rFonts w:ascii="宋体" w:hAnsi="宋体" w:cs="宋体" w:eastAsia="宋体" w:hint="default"/>
                <w:sz w:val="18"/>
                <w:szCs w:val="18"/>
              </w:rPr>
            </w:pPr>
            <w:r>
              <w:rPr>
                <w:rFonts w:ascii="宋体" w:hAnsi="宋体" w:cs="宋体" w:eastAsia="宋体" w:hint="default"/>
                <w:sz w:val="18"/>
                <w:szCs w:val="18"/>
              </w:rPr>
              <w:t>累计变 更用途 的募集 资金总 额</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319" w:lineRule="auto"/>
              <w:ind w:left="60" w:right="59"/>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319" w:lineRule="auto"/>
              <w:ind w:left="40" w:right="38"/>
              <w:jc w:val="left"/>
              <w:rPr>
                <w:rFonts w:ascii="宋体" w:hAnsi="宋体" w:cs="宋体" w:eastAsia="宋体" w:hint="default"/>
                <w:sz w:val="18"/>
                <w:szCs w:val="18"/>
              </w:rPr>
            </w:pPr>
            <w:r>
              <w:rPr>
                <w:rFonts w:ascii="宋体" w:hAnsi="宋体" w:cs="宋体" w:eastAsia="宋体" w:hint="default"/>
                <w:sz w:val="18"/>
                <w:szCs w:val="18"/>
              </w:rPr>
              <w:t>尚未使用募 集资金总额</w:t>
            </w:r>
          </w:p>
        </w:tc>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319" w:lineRule="auto"/>
              <w:ind w:left="718" w:right="86" w:hanging="630"/>
              <w:jc w:val="left"/>
              <w:rPr>
                <w:rFonts w:ascii="宋体" w:hAnsi="宋体" w:cs="宋体" w:eastAsia="宋体" w:hint="default"/>
                <w:sz w:val="18"/>
                <w:szCs w:val="18"/>
              </w:rPr>
            </w:pPr>
            <w:r>
              <w:rPr>
                <w:rFonts w:ascii="宋体" w:hAnsi="宋体" w:cs="宋体" w:eastAsia="宋体" w:hint="default"/>
                <w:sz w:val="18"/>
                <w:szCs w:val="18"/>
              </w:rPr>
              <w:t>尚未使用募集资金用途 及去向</w:t>
            </w:r>
          </w:p>
        </w:tc>
        <w:tc>
          <w:tcPr>
            <w:tcW w:w="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319" w:lineRule="auto"/>
              <w:ind w:left="40" w:right="38"/>
              <w:jc w:val="both"/>
              <w:rPr>
                <w:rFonts w:ascii="宋体" w:hAnsi="宋体" w:cs="宋体" w:eastAsia="宋体" w:hint="default"/>
                <w:sz w:val="18"/>
                <w:szCs w:val="18"/>
              </w:rPr>
            </w:pPr>
            <w:r>
              <w:rPr>
                <w:rFonts w:ascii="宋体" w:hAnsi="宋体" w:cs="宋体" w:eastAsia="宋体" w:hint="default"/>
                <w:sz w:val="18"/>
                <w:szCs w:val="18"/>
              </w:rPr>
              <w:t>闲置两 年以上 募集资 金金额</w:t>
            </w:r>
          </w:p>
        </w:tc>
      </w:tr>
      <w:tr>
        <w:trPr>
          <w:trHeight w:val="3522"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8"/>
              <w:jc w:val="center"/>
              <w:rPr>
                <w:rFonts w:ascii="Times New Roman" w:hAnsi="Times New Roman" w:cs="Times New Roman" w:eastAsia="Times New Roman" w:hint="default"/>
                <w:sz w:val="18"/>
                <w:szCs w:val="18"/>
              </w:rPr>
            </w:pPr>
            <w:r>
              <w:rPr>
                <w:rFonts w:ascii="Times New Roman"/>
                <w:sz w:val="18"/>
              </w:rPr>
              <w:t>2016</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2" w:right="30"/>
              <w:jc w:val="left"/>
              <w:rPr>
                <w:rFonts w:ascii="宋体" w:hAnsi="宋体" w:cs="宋体" w:eastAsia="宋体" w:hint="default"/>
                <w:sz w:val="18"/>
                <w:szCs w:val="18"/>
              </w:rPr>
            </w:pPr>
            <w:r>
              <w:rPr>
                <w:rFonts w:ascii="宋体" w:hAnsi="宋体" w:cs="宋体" w:eastAsia="宋体" w:hint="default"/>
                <w:sz w:val="18"/>
                <w:szCs w:val="18"/>
              </w:rPr>
              <w:t>公开 发行</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30,836.51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7,405.13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23,874.03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7,132.97</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公司剩余尚未使用的募 集资金及利息总额为 </w:t>
            </w:r>
            <w:r>
              <w:rPr>
                <w:rFonts w:ascii="Times New Roman" w:hAnsi="Times New Roman" w:cs="Times New Roman" w:eastAsia="Times New Roman" w:hint="default"/>
                <w:sz w:val="18"/>
                <w:szCs w:val="18"/>
              </w:rPr>
              <w:t>71,329,734.33</w:t>
            </w:r>
            <w:r>
              <w:rPr>
                <w:rFonts w:ascii="Times New Roman" w:hAnsi="Times New Roman" w:cs="Times New Roman" w:eastAsia="Times New Roman" w:hint="default"/>
                <w:spacing w:val="2"/>
                <w:sz w:val="18"/>
                <w:szCs w:val="18"/>
              </w:rPr>
              <w:t> </w:t>
            </w:r>
            <w:r>
              <w:rPr>
                <w:rFonts w:ascii="宋体" w:hAnsi="宋体" w:cs="宋体" w:eastAsia="宋体" w:hint="default"/>
                <w:spacing w:val="-11"/>
                <w:sz w:val="18"/>
                <w:szCs w:val="18"/>
              </w:rPr>
              <w:t>元，分别存</w:t>
            </w:r>
          </w:p>
          <w:p>
            <w:pPr>
              <w:pStyle w:val="TableParagraph"/>
              <w:spacing w:line="319" w:lineRule="auto" w:before="3"/>
              <w:ind w:left="23" w:right="22"/>
              <w:jc w:val="left"/>
              <w:rPr>
                <w:rFonts w:ascii="宋体" w:hAnsi="宋体" w:cs="宋体" w:eastAsia="宋体" w:hint="default"/>
                <w:sz w:val="18"/>
                <w:szCs w:val="18"/>
              </w:rPr>
            </w:pPr>
            <w:r>
              <w:rPr>
                <w:rFonts w:ascii="宋体" w:hAnsi="宋体" w:cs="宋体" w:eastAsia="宋体" w:hint="default"/>
                <w:sz w:val="18"/>
                <w:szCs w:val="18"/>
              </w:rPr>
              <w:t>放于中国工商银行深圳 </w:t>
            </w:r>
            <w:r>
              <w:rPr>
                <w:rFonts w:ascii="宋体" w:hAnsi="宋体" w:cs="宋体" w:eastAsia="宋体" w:hint="default"/>
                <w:spacing w:val="-5"/>
                <w:sz w:val="18"/>
                <w:szCs w:val="18"/>
              </w:rPr>
              <w:t>宝湖支行、平安银行深圳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南海支行、中国银行深圳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文锦广场支行、上海浦东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发展银行股份有限公司 深圳分行四个募集资金 专户。</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1560" w:lineRule="exact"/>
              <w:ind w:right="-51"/>
              <w:jc w:val="left"/>
              <w:rPr>
                <w:rFonts w:ascii="宋体" w:hAnsi="宋体" w:cs="宋体" w:eastAsia="宋体" w:hint="default"/>
                <w:sz w:val="20"/>
                <w:szCs w:val="20"/>
              </w:rPr>
            </w:pPr>
            <w:r>
              <w:rPr>
                <w:rFonts w:ascii="宋体" w:hAnsi="宋体" w:cs="宋体" w:eastAsia="宋体" w:hint="default"/>
                <w:position w:val="-30"/>
                <w:sz w:val="20"/>
                <w:szCs w:val="20"/>
              </w:rPr>
              <w:pict>
                <v:group style="width:31.1pt;height:78pt;mso-position-horizontal-relative:char;mso-position-vertical-relative:line" coordorigin="0,0" coordsize="622,1560">
                  <v:group style="position:absolute;left:0;top:0;width:622;height:1560" coordorigin="0,0" coordsize="622,1560">
                    <v:shape style="position:absolute;left:0;top:0;width:622;height:1560" coordorigin="0,0" coordsize="622,1560" path="m0,1560l622,1560,622,0,0,0,0,1560xe" filled="true" fillcolor="#ffffff" stroked="false">
                      <v:path arrowok="t"/>
                      <v:fill type="solid"/>
                    </v:shape>
                  </v:group>
                </v:group>
              </w:pict>
            </w:r>
            <w:r>
              <w:rPr>
                <w:rFonts w:ascii="宋体" w:hAnsi="宋体" w:cs="宋体" w:eastAsia="宋体" w:hint="default"/>
                <w:position w:val="-30"/>
                <w:sz w:val="20"/>
                <w:szCs w:val="20"/>
              </w:rPr>
            </w:r>
          </w:p>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合计</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30,836.51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7,405.13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23,874.03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9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7,132.97</w:t>
            </w:r>
          </w:p>
        </w:tc>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70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3442" w:hRule="exact"/>
        </w:trPr>
        <w:tc>
          <w:tcPr>
            <w:tcW w:w="9706" w:type="dxa"/>
            <w:gridSpan w:val="11"/>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382" w:right="221"/>
              <w:jc w:val="left"/>
              <w:rPr>
                <w:rFonts w:ascii="宋体" w:hAnsi="宋体" w:cs="宋体" w:eastAsia="宋体" w:hint="default"/>
                <w:sz w:val="18"/>
                <w:szCs w:val="18"/>
              </w:rPr>
            </w:pPr>
            <w:r>
              <w:rPr>
                <w:rFonts w:ascii="宋体" w:hAnsi="宋体" w:cs="宋体" w:eastAsia="宋体" w:hint="default"/>
                <w:sz w:val="18"/>
                <w:szCs w:val="18"/>
              </w:rPr>
              <w:t>一、募集资金基本情况 </w:t>
            </w:r>
            <w:r>
              <w:rPr>
                <w:rFonts w:ascii="宋体" w:hAnsi="宋体" w:cs="宋体" w:eastAsia="宋体" w:hint="default"/>
                <w:spacing w:val="-2"/>
                <w:sz w:val="18"/>
                <w:szCs w:val="18"/>
              </w:rPr>
              <w:t>经中国证券监督管理委员会《关于核准深圳市今天国际物流技术股份有限公司首次公开发行股票的批复》（证监许可</w:t>
            </w:r>
          </w:p>
          <w:p>
            <w:pPr>
              <w:pStyle w:val="TableParagraph"/>
              <w:spacing w:line="300" w:lineRule="auto" w:before="19"/>
              <w:ind w:left="22"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宋体" w:hAnsi="宋体" w:cs="宋体" w:eastAsia="宋体" w:hint="default"/>
                <w:sz w:val="18"/>
                <w:szCs w:val="18"/>
              </w:rPr>
              <w:t>］</w:t>
            </w:r>
            <w:r>
              <w:rPr>
                <w:rFonts w:ascii="Times New Roman" w:hAnsi="Times New Roman" w:cs="Times New Roman" w:eastAsia="Times New Roman" w:hint="default"/>
                <w:sz w:val="18"/>
                <w:szCs w:val="18"/>
              </w:rPr>
              <w:t>1548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号）核准，并经深圳证券交易所同意，公司采用网下向询价对象配售与网上向社会公众投资者定价发行相结 </w:t>
            </w:r>
            <w:r>
              <w:rPr>
                <w:rFonts w:ascii="宋体" w:hAnsi="宋体" w:cs="宋体" w:eastAsia="宋体" w:hint="default"/>
                <w:spacing w:val="-7"/>
                <w:w w:val="99"/>
                <w:sz w:val="18"/>
                <w:szCs w:val="18"/>
              </w:rPr>
              <w:t>合的方式发行人民币普通股（</w:t>
            </w:r>
            <w:r>
              <w:rPr>
                <w:rFonts w:ascii="Times New Roman" w:hAnsi="Times New Roman" w:cs="Times New Roman" w:eastAsia="Times New Roman" w:hint="default"/>
                <w:spacing w:val="-7"/>
                <w:w w:val="99"/>
                <w:sz w:val="18"/>
                <w:szCs w:val="18"/>
              </w:rPr>
              <w:t>A</w:t>
            </w:r>
            <w:r>
              <w:rPr>
                <w:rFonts w:ascii="Times New Roman" w:hAnsi="Times New Roman" w:cs="Times New Roman" w:eastAsia="Times New Roman" w:hint="default"/>
                <w:spacing w:val="6"/>
                <w:w w:val="99"/>
                <w:sz w:val="18"/>
                <w:szCs w:val="18"/>
              </w:rPr>
              <w:t> </w:t>
            </w:r>
            <w:r>
              <w:rPr>
                <w:rFonts w:ascii="宋体" w:hAnsi="宋体" w:cs="宋体" w:eastAsia="宋体" w:hint="default"/>
                <w:spacing w:val="-22"/>
                <w:sz w:val="18"/>
                <w:szCs w:val="18"/>
              </w:rPr>
              <w:t>股）数量</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2,100</w:t>
            </w:r>
            <w:r>
              <w:rPr>
                <w:rFonts w:ascii="Times New Roman" w:hAnsi="Times New Roman" w:cs="Times New Roman" w:eastAsia="Times New Roman" w:hint="default"/>
                <w:spacing w:val="6"/>
                <w:sz w:val="18"/>
                <w:szCs w:val="18"/>
              </w:rPr>
              <w:t> </w:t>
            </w:r>
            <w:r>
              <w:rPr>
                <w:rFonts w:ascii="宋体" w:hAnsi="宋体" w:cs="宋体" w:eastAsia="宋体" w:hint="default"/>
                <w:spacing w:val="-10"/>
                <w:sz w:val="18"/>
                <w:szCs w:val="18"/>
              </w:rPr>
              <w:t>万股，发行价为每股</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16.32</w:t>
            </w:r>
            <w:r>
              <w:rPr>
                <w:rFonts w:ascii="Times New Roman" w:hAnsi="Times New Roman" w:cs="Times New Roman" w:eastAsia="Times New Roman" w:hint="default"/>
                <w:spacing w:val="6"/>
                <w:sz w:val="18"/>
                <w:szCs w:val="18"/>
              </w:rPr>
              <w:t> </w:t>
            </w:r>
            <w:r>
              <w:rPr>
                <w:rFonts w:ascii="宋体" w:hAnsi="宋体" w:cs="宋体" w:eastAsia="宋体" w:hint="default"/>
                <w:spacing w:val="-11"/>
                <w:sz w:val="18"/>
                <w:szCs w:val="18"/>
              </w:rPr>
              <w:t>元。本次发行股票，共募集股款人民币</w:t>
            </w:r>
            <w:r>
              <w:rPr>
                <w:rFonts w:ascii="宋体" w:hAnsi="宋体" w:cs="宋体" w:eastAsia="宋体" w:hint="default"/>
                <w:spacing w:val="-39"/>
                <w:sz w:val="18"/>
                <w:szCs w:val="18"/>
              </w:rPr>
              <w:t> </w:t>
            </w:r>
            <w:r>
              <w:rPr>
                <w:rFonts w:ascii="Times New Roman" w:hAnsi="Times New Roman" w:cs="Times New Roman" w:eastAsia="Times New Roman" w:hint="default"/>
                <w:spacing w:val="-1"/>
                <w:sz w:val="18"/>
                <w:szCs w:val="18"/>
              </w:rPr>
              <w:t>342,720,000.00</w:t>
            </w:r>
          </w:p>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元，扣除与发行有关的费用人民币</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34,354,911.62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元，实际可使用募集资金人民币</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308,365,088.38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元。上述募集资金业经立信</w:t>
            </w:r>
          </w:p>
          <w:p>
            <w:pPr>
              <w:pStyle w:val="TableParagraph"/>
              <w:spacing w:line="300" w:lineRule="auto" w:before="63"/>
              <w:ind w:left="382" w:right="2260" w:hanging="360"/>
              <w:jc w:val="left"/>
              <w:rPr>
                <w:rFonts w:ascii="宋体" w:hAnsi="宋体" w:cs="宋体" w:eastAsia="宋体" w:hint="default"/>
                <w:sz w:val="18"/>
                <w:szCs w:val="18"/>
              </w:rPr>
            </w:pPr>
            <w:r>
              <w:rPr>
                <w:rFonts w:ascii="宋体" w:hAnsi="宋体" w:cs="宋体" w:eastAsia="宋体" w:hint="default"/>
                <w:sz w:val="18"/>
                <w:szCs w:val="18"/>
              </w:rPr>
              <w:t>会计师事务所（特殊普通合伙）验证，并由其出具了信会师报字</w:t>
            </w:r>
            <w:r>
              <w:rPr>
                <w:rFonts w:ascii="Times New Roman" w:hAnsi="Times New Roman" w:cs="Times New Roman" w:eastAsia="Times New Roman" w:hint="default"/>
                <w:sz w:val="18"/>
                <w:szCs w:val="18"/>
              </w:rPr>
              <w:t>[2016]</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310713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号验资报告。 二、募集资金使用情况</w:t>
            </w:r>
          </w:p>
          <w:p>
            <w:pPr>
              <w:pStyle w:val="TableParagraph"/>
              <w:spacing w:line="240" w:lineRule="auto" w:before="31"/>
              <w:ind w:left="382" w:right="0"/>
              <w:jc w:val="left"/>
              <w:rPr>
                <w:rFonts w:ascii="宋体" w:hAnsi="宋体" w:cs="宋体" w:eastAsia="宋体" w:hint="default"/>
                <w:sz w:val="18"/>
                <w:szCs w:val="18"/>
              </w:rPr>
            </w:pPr>
            <w:r>
              <w:rPr>
                <w:rFonts w:ascii="宋体" w:hAnsi="宋体" w:cs="宋体" w:eastAsia="宋体" w:hint="default"/>
                <w:sz w:val="18"/>
                <w:szCs w:val="18"/>
              </w:rPr>
              <w:t>截至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  </w:t>
            </w:r>
            <w:r>
              <w:rPr>
                <w:rFonts w:ascii="宋体" w:hAnsi="宋体" w:cs="宋体" w:eastAsia="宋体" w:hint="default"/>
                <w:sz w:val="18"/>
                <w:szCs w:val="18"/>
              </w:rPr>
              <w:t>日，累计已使用募集资金共计 </w:t>
            </w:r>
            <w:r>
              <w:rPr>
                <w:rFonts w:ascii="Times New Roman" w:hAnsi="Times New Roman" w:cs="Times New Roman" w:eastAsia="Times New Roman" w:hint="default"/>
                <w:sz w:val="18"/>
                <w:szCs w:val="18"/>
              </w:rPr>
              <w:t>238,740,245.86</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元。其中，公司利用自筹资金对募集资金项目</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累计已投入 </w:t>
            </w:r>
            <w:r>
              <w:rPr>
                <w:rFonts w:ascii="Times New Roman" w:hAnsi="Times New Roman" w:cs="Times New Roman" w:eastAsia="Times New Roman" w:hint="default"/>
                <w:sz w:val="18"/>
                <w:szCs w:val="18"/>
              </w:rPr>
              <w:t>119,194,393.35</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元，募集资金到位后，公司以募集资金置换预先已投入募集资金投资项目的自筹资金</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119,194,393.35 </w:t>
            </w:r>
            <w:r>
              <w:rPr>
                <w:rFonts w:ascii="宋体" w:hAnsi="宋体" w:cs="宋体" w:eastAsia="宋体" w:hint="default"/>
                <w:sz w:val="18"/>
                <w:szCs w:val="18"/>
              </w:rPr>
              <w:t>元；直接投入募集资金项目 </w:t>
            </w:r>
            <w:r>
              <w:rPr>
                <w:rFonts w:ascii="Times New Roman" w:hAnsi="Times New Roman" w:cs="Times New Roman" w:eastAsia="Times New Roman" w:hint="default"/>
                <w:sz w:val="18"/>
                <w:szCs w:val="18"/>
              </w:rPr>
              <w:t>119,545,852.51</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元；募集资金专用账户累计收到利息收入（扣除银行手续费）</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1,704,891.81 </w:t>
            </w:r>
            <w:r>
              <w:rPr>
                <w:rFonts w:ascii="宋体" w:hAnsi="宋体" w:cs="宋体" w:eastAsia="宋体" w:hint="default"/>
                <w:sz w:val="18"/>
                <w:szCs w:val="18"/>
              </w:rPr>
              <w:t>元。募集资金专户余额为 </w:t>
            </w:r>
            <w:r>
              <w:rPr>
                <w:rFonts w:ascii="Times New Roman" w:hAnsi="Times New Roman" w:cs="Times New Roman" w:eastAsia="Times New Roman" w:hint="default"/>
                <w:sz w:val="18"/>
                <w:szCs w:val="18"/>
              </w:rPr>
              <w:t>71,329,734.33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募集资金承诺项目情况" w:id="50"/>
      <w:bookmarkEnd w:id="50"/>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924"/>
        <w:gridCol w:w="851"/>
        <w:gridCol w:w="565"/>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520" w:right="69"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2"/>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2"/>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97" w:right="95"/>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59" w:right="59"/>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97" w:right="96"/>
              <w:jc w:val="both"/>
              <w:rPr>
                <w:rFonts w:ascii="宋体" w:hAnsi="宋体" w:cs="宋体" w:eastAsia="宋体" w:hint="default"/>
                <w:sz w:val="18"/>
                <w:szCs w:val="18"/>
              </w:rPr>
            </w:pPr>
            <w:r>
              <w:rPr>
                <w:rFonts w:ascii="宋体" w:hAnsi="宋体" w:cs="宋体" w:eastAsia="宋体" w:hint="default"/>
                <w:sz w:val="18"/>
                <w:szCs w:val="18"/>
              </w:rPr>
              <w:t>是否 达到 预计 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3"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765"/>
        <w:gridCol w:w="784"/>
        <w:gridCol w:w="780"/>
        <w:gridCol w:w="780"/>
        <w:gridCol w:w="779"/>
        <w:gridCol w:w="780"/>
        <w:gridCol w:w="780"/>
        <w:gridCol w:w="924"/>
        <w:gridCol w:w="851"/>
        <w:gridCol w:w="565"/>
        <w:gridCol w:w="780"/>
      </w:tblGrid>
      <w:tr>
        <w:trPr>
          <w:trHeight w:val="714" w:hRule="exact"/>
        </w:trPr>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自动化物流系统产业 化项目</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19,254.77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19,254.77</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5,599.82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17,310.9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89.90%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5,791.93</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技术研发及产品体验 中心建设项目</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7,629.26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7,629.26</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307.06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3,888.11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50.96%</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自动化物流装备总装 基地建设项目</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3,952.48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3,952.48</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1,498.25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2,675.02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67.68%</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428.49</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30,836.51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30,836.51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7,405.13</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23,874.03</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6,220.42</w:t>
            </w:r>
          </w:p>
        </w:tc>
        <w:tc>
          <w:tcPr>
            <w:tcW w:w="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16"/>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8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30,836.51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30,836.51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7,405.13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23,874.03</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6,220.42</w:t>
            </w:r>
          </w:p>
        </w:tc>
        <w:tc>
          <w:tcPr>
            <w:tcW w:w="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16"/>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804"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804"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 w:right="16"/>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804"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5" w:type="dxa"/>
            <w:vMerge/>
            <w:tcBorders>
              <w:left w:val="single" w:sz="4" w:space="0" w:color="000000"/>
              <w:bottom w:val="single" w:sz="4" w:space="0" w:color="000000"/>
              <w:right w:val="single" w:sz="4" w:space="0" w:color="000000"/>
            </w:tcBorders>
            <w:shd w:val="clear" w:color="auto" w:fill="D2D2D2"/>
          </w:tcPr>
          <w:p>
            <w:pPr/>
          </w:p>
        </w:tc>
        <w:tc>
          <w:tcPr>
            <w:tcW w:w="7804" w:type="dxa"/>
            <w:gridSpan w:val="10"/>
            <w:tcBorders>
              <w:top w:val="single" w:sz="4" w:space="0" w:color="000000"/>
              <w:left w:val="single" w:sz="9" w:space="0" w:color="D2D2D2"/>
              <w:bottom w:val="single" w:sz="4" w:space="0" w:color="000000"/>
              <w:right w:val="single" w:sz="4" w:space="0" w:color="000000"/>
            </w:tcBorders>
          </w:tcPr>
          <w:p>
            <w:pPr/>
          </w:p>
        </w:tc>
      </w:tr>
      <w:tr>
        <w:trPr>
          <w:trHeight w:val="251" w:hRule="exact"/>
        </w:trPr>
        <w:tc>
          <w:tcPr>
            <w:tcW w:w="1765"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4"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7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804" w:type="dxa"/>
            <w:gridSpan w:val="10"/>
            <w:vMerge/>
            <w:tcBorders>
              <w:left w:val="single" w:sz="9" w:space="0" w:color="D2D2D2"/>
              <w:bottom w:val="single" w:sz="4" w:space="0" w:color="000000"/>
              <w:right w:val="single" w:sz="4" w:space="0" w:color="000000"/>
            </w:tcBorders>
          </w:tcPr>
          <w:p>
            <w:pPr/>
          </w:p>
        </w:tc>
      </w:tr>
      <w:tr>
        <w:trPr>
          <w:trHeight w:val="402" w:hRule="exact"/>
        </w:trPr>
        <w:tc>
          <w:tcPr>
            <w:tcW w:w="1765" w:type="dxa"/>
            <w:vMerge/>
            <w:tcBorders>
              <w:left w:val="single" w:sz="4" w:space="0" w:color="000000"/>
              <w:right w:val="single" w:sz="4" w:space="0" w:color="000000"/>
            </w:tcBorders>
            <w:shd w:val="clear" w:color="auto" w:fill="D2D2D2"/>
          </w:tcPr>
          <w:p>
            <w:pPr/>
          </w:p>
        </w:tc>
        <w:tc>
          <w:tcPr>
            <w:tcW w:w="7804" w:type="dxa"/>
            <w:gridSpan w:val="10"/>
            <w:tcBorders>
              <w:top w:val="single" w:sz="4" w:space="0" w:color="000000"/>
              <w:left w:val="single" w:sz="9" w:space="0" w:color="D2D2D2"/>
              <w:bottom w:val="single" w:sz="4" w:space="0" w:color="000000"/>
              <w:right w:val="single" w:sz="4" w:space="0" w:color="000000"/>
            </w:tcBorders>
          </w:tcPr>
          <w:p>
            <w:pPr/>
          </w:p>
        </w:tc>
      </w:tr>
      <w:tr>
        <w:trPr>
          <w:trHeight w:val="151" w:hRule="exact"/>
        </w:trPr>
        <w:tc>
          <w:tcPr>
            <w:tcW w:w="1765" w:type="dxa"/>
            <w:vMerge/>
            <w:tcBorders>
              <w:left w:val="single" w:sz="4" w:space="0" w:color="000000"/>
              <w:bottom w:val="nil" w:sz="6" w:space="0" w:color="auto"/>
              <w:right w:val="single" w:sz="4" w:space="0" w:color="000000"/>
            </w:tcBorders>
            <w:shd w:val="clear" w:color="auto" w:fill="D2D2D2"/>
          </w:tcPr>
          <w:p>
            <w:pPr/>
          </w:p>
        </w:tc>
        <w:tc>
          <w:tcPr>
            <w:tcW w:w="7804" w:type="dxa"/>
            <w:gridSpan w:val="10"/>
            <w:vMerge w:val="restart"/>
            <w:tcBorders>
              <w:top w:val="single" w:sz="4" w:space="0" w:color="000000"/>
              <w:left w:val="single" w:sz="9" w:space="0" w:color="D2D2D2"/>
              <w:right w:val="single" w:sz="4" w:space="0" w:color="000000"/>
            </w:tcBorders>
          </w:tcPr>
          <w:p>
            <w:pPr/>
          </w:p>
        </w:tc>
      </w:tr>
      <w:tr>
        <w:trPr>
          <w:trHeight w:val="251" w:hRule="exact"/>
        </w:trPr>
        <w:tc>
          <w:tcPr>
            <w:tcW w:w="1765"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4" w:type="dxa"/>
            <w:gridSpan w:val="10"/>
            <w:vMerge/>
            <w:tcBorders>
              <w:left w:val="single" w:sz="9" w:space="0" w:color="D2D2D2"/>
              <w:bottom w:val="single" w:sz="4" w:space="0" w:color="000000"/>
              <w:right w:val="single" w:sz="4" w:space="0" w:color="000000"/>
            </w:tcBorders>
          </w:tcPr>
          <w:p>
            <w:pPr/>
          </w:p>
        </w:tc>
      </w:tr>
      <w:tr>
        <w:trPr>
          <w:trHeight w:val="251" w:hRule="exact"/>
        </w:trPr>
        <w:tc>
          <w:tcPr>
            <w:tcW w:w="1765"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4"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7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804" w:type="dxa"/>
            <w:gridSpan w:val="10"/>
            <w:vMerge/>
            <w:tcBorders>
              <w:left w:val="single" w:sz="9" w:space="0" w:color="D2D2D2"/>
              <w:bottom w:val="single" w:sz="4" w:space="0" w:color="000000"/>
              <w:right w:val="single" w:sz="4" w:space="0" w:color="000000"/>
            </w:tcBorders>
          </w:tcPr>
          <w:p>
            <w:pPr/>
          </w:p>
        </w:tc>
      </w:tr>
      <w:tr>
        <w:trPr>
          <w:trHeight w:val="402" w:hRule="exact"/>
        </w:trPr>
        <w:tc>
          <w:tcPr>
            <w:tcW w:w="1765" w:type="dxa"/>
            <w:vMerge/>
            <w:tcBorders>
              <w:left w:val="single" w:sz="4" w:space="0" w:color="000000"/>
              <w:right w:val="single" w:sz="4" w:space="0" w:color="000000"/>
            </w:tcBorders>
            <w:shd w:val="clear" w:color="auto" w:fill="D2D2D2"/>
          </w:tcPr>
          <w:p>
            <w:pPr/>
          </w:p>
        </w:tc>
        <w:tc>
          <w:tcPr>
            <w:tcW w:w="7804" w:type="dxa"/>
            <w:gridSpan w:val="10"/>
            <w:tcBorders>
              <w:top w:val="single" w:sz="4" w:space="0" w:color="000000"/>
              <w:left w:val="single" w:sz="9" w:space="0" w:color="D2D2D2"/>
              <w:bottom w:val="single" w:sz="4" w:space="0" w:color="000000"/>
              <w:right w:val="single" w:sz="4" w:space="0" w:color="000000"/>
            </w:tcBorders>
          </w:tcPr>
          <w:p>
            <w:pPr/>
          </w:p>
        </w:tc>
      </w:tr>
      <w:tr>
        <w:trPr>
          <w:trHeight w:val="151" w:hRule="exact"/>
        </w:trPr>
        <w:tc>
          <w:tcPr>
            <w:tcW w:w="1765" w:type="dxa"/>
            <w:vMerge/>
            <w:tcBorders>
              <w:left w:val="single" w:sz="4" w:space="0" w:color="000000"/>
              <w:bottom w:val="nil" w:sz="6" w:space="0" w:color="auto"/>
              <w:right w:val="single" w:sz="4" w:space="0" w:color="000000"/>
            </w:tcBorders>
            <w:shd w:val="clear" w:color="auto" w:fill="D2D2D2"/>
          </w:tcPr>
          <w:p>
            <w:pPr/>
          </w:p>
        </w:tc>
        <w:tc>
          <w:tcPr>
            <w:tcW w:w="7804" w:type="dxa"/>
            <w:gridSpan w:val="10"/>
            <w:vMerge w:val="restart"/>
            <w:tcBorders>
              <w:top w:val="single" w:sz="4" w:space="0" w:color="000000"/>
              <w:left w:val="single" w:sz="9" w:space="0" w:color="D2D2D2"/>
              <w:right w:val="single" w:sz="4" w:space="0" w:color="000000"/>
            </w:tcBorders>
          </w:tcPr>
          <w:p>
            <w:pPr/>
          </w:p>
        </w:tc>
      </w:tr>
      <w:tr>
        <w:trPr>
          <w:trHeight w:val="251" w:hRule="exact"/>
        </w:trPr>
        <w:tc>
          <w:tcPr>
            <w:tcW w:w="1765"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4" w:type="dxa"/>
            <w:gridSpan w:val="10"/>
            <w:vMerge/>
            <w:tcBorders>
              <w:left w:val="single" w:sz="9" w:space="0" w:color="D2D2D2"/>
              <w:bottom w:val="single" w:sz="4" w:space="0" w:color="000000"/>
              <w:right w:val="single" w:sz="4" w:space="0" w:color="000000"/>
            </w:tcBorders>
          </w:tcPr>
          <w:p>
            <w:pPr/>
          </w:p>
        </w:tc>
      </w:tr>
      <w:tr>
        <w:trPr>
          <w:trHeight w:val="402" w:hRule="exact"/>
        </w:trPr>
        <w:tc>
          <w:tcPr>
            <w:tcW w:w="1765" w:type="dxa"/>
            <w:vMerge w:val="restart"/>
            <w:tcBorders>
              <w:top w:val="single" w:sz="4" w:space="0" w:color="000000"/>
              <w:left w:val="single" w:sz="4" w:space="0" w:color="000000"/>
              <w:right w:val="single" w:sz="4" w:space="0" w:color="000000"/>
            </w:tcBorders>
            <w:shd w:val="clear" w:color="auto" w:fill="D2D2D2"/>
          </w:tcPr>
          <w:p>
            <w:pPr/>
          </w:p>
        </w:tc>
        <w:tc>
          <w:tcPr>
            <w:tcW w:w="780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584" w:hRule="exact"/>
        </w:trPr>
        <w:tc>
          <w:tcPr>
            <w:tcW w:w="1765" w:type="dxa"/>
            <w:vMerge/>
            <w:tcBorders>
              <w:left w:val="single" w:sz="4" w:space="0" w:color="000000"/>
              <w:bottom w:val="nil" w:sz="6" w:space="0" w:color="auto"/>
              <w:right w:val="single" w:sz="4" w:space="0" w:color="000000"/>
            </w:tcBorders>
            <w:shd w:val="clear" w:color="auto" w:fill="D2D2D2"/>
          </w:tcPr>
          <w:p>
            <w:pPr/>
          </w:p>
        </w:tc>
        <w:tc>
          <w:tcPr>
            <w:tcW w:w="7804"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21" w:right="0"/>
              <w:jc w:val="both"/>
              <w:rPr>
                <w:rFonts w:ascii="宋体" w:hAnsi="宋体" w:cs="宋体" w:eastAsia="宋体" w:hint="default"/>
                <w:sz w:val="18"/>
                <w:szCs w:val="18"/>
              </w:rPr>
            </w:pPr>
            <w:r>
              <w:rPr>
                <w:rFonts w:ascii="宋体" w:hAnsi="宋体" w:cs="宋体" w:eastAsia="宋体" w:hint="default"/>
                <w:sz w:val="18"/>
                <w:szCs w:val="18"/>
              </w:rPr>
              <w:t>公司已用自有资金预先投入募集资金投资项目的金额为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119,194,393.35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元，立信会计师事务所（特</w:t>
            </w:r>
          </w:p>
          <w:p>
            <w:pPr>
              <w:pStyle w:val="TableParagraph"/>
              <w:spacing w:line="240" w:lineRule="auto" w:before="63"/>
              <w:ind w:left="21" w:right="0"/>
              <w:jc w:val="both"/>
              <w:rPr>
                <w:rFonts w:ascii="宋体" w:hAnsi="宋体" w:cs="宋体" w:eastAsia="宋体" w:hint="default"/>
                <w:sz w:val="18"/>
                <w:szCs w:val="18"/>
              </w:rPr>
            </w:pPr>
            <w:r>
              <w:rPr>
                <w:rFonts w:ascii="宋体" w:hAnsi="宋体" w:cs="宋体" w:eastAsia="宋体" w:hint="default"/>
                <w:sz w:val="18"/>
                <w:szCs w:val="18"/>
              </w:rPr>
              <w:t>殊普通合伙）对此出具了信会师报字</w:t>
            </w:r>
            <w:r>
              <w:rPr>
                <w:rFonts w:ascii="Times New Roman" w:hAnsi="Times New Roman" w:cs="Times New Roman" w:eastAsia="Times New Roman" w:hint="default"/>
                <w:sz w:val="18"/>
                <w:szCs w:val="18"/>
              </w:rPr>
              <w:t>[2016]</w:t>
            </w:r>
            <w:r>
              <w:rPr>
                <w:rFonts w:ascii="宋体" w:hAnsi="宋体" w:cs="宋体" w:eastAsia="宋体" w:hint="default"/>
                <w:sz w:val="18"/>
                <w:szCs w:val="18"/>
              </w:rPr>
              <w:t>第</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310804</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号《关于深圳市今天国际物流技术股份有限公</w:t>
            </w:r>
          </w:p>
          <w:p>
            <w:pPr>
              <w:pStyle w:val="TableParagraph"/>
              <w:spacing w:line="309" w:lineRule="auto" w:before="63"/>
              <w:ind w:left="21" w:right="21"/>
              <w:jc w:val="both"/>
              <w:rPr>
                <w:rFonts w:ascii="宋体" w:hAnsi="宋体" w:cs="宋体" w:eastAsia="宋体" w:hint="default"/>
                <w:sz w:val="18"/>
                <w:szCs w:val="18"/>
              </w:rPr>
            </w:pPr>
            <w:r>
              <w:rPr>
                <w:rFonts w:ascii="宋体" w:hAnsi="宋体" w:cs="宋体" w:eastAsia="宋体" w:hint="default"/>
                <w:spacing w:val="-7"/>
                <w:sz w:val="18"/>
                <w:szCs w:val="18"/>
              </w:rPr>
              <w:t>司以自筹资金预先投入募投项目的鉴证报告》。于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日，公司第二届董事会第十九次会</w:t>
            </w:r>
            <w:r>
              <w:rPr>
                <w:rFonts w:ascii="宋体" w:hAnsi="宋体" w:cs="宋体" w:eastAsia="宋体" w:hint="default"/>
                <w:sz w:val="18"/>
                <w:szCs w:val="18"/>
              </w:rPr>
              <w:t> 议、第二届监事会第九次会议分别审议通过了《关于使用募集资金置换预先投入募投项目自筹资金 </w:t>
            </w:r>
            <w:r>
              <w:rPr>
                <w:rFonts w:ascii="宋体" w:hAnsi="宋体" w:cs="宋体" w:eastAsia="宋体" w:hint="default"/>
                <w:spacing w:val="-11"/>
                <w:sz w:val="18"/>
                <w:szCs w:val="18"/>
              </w:rPr>
              <w:t>的议案》，同意公司以</w:t>
            </w:r>
            <w:r>
              <w:rPr>
                <w:rFonts w:ascii="宋体" w:hAnsi="宋体" w:cs="宋体" w:eastAsia="宋体" w:hint="default"/>
                <w:spacing w:val="-38"/>
                <w:sz w:val="18"/>
                <w:szCs w:val="18"/>
              </w:rPr>
              <w:t> </w:t>
            </w:r>
            <w:r>
              <w:rPr>
                <w:rFonts w:ascii="Times New Roman" w:hAnsi="Times New Roman" w:cs="Times New Roman" w:eastAsia="Times New Roman" w:hint="default"/>
                <w:spacing w:val="-1"/>
                <w:sz w:val="18"/>
                <w:szCs w:val="18"/>
              </w:rPr>
              <w:t>119,194,393.35</w:t>
            </w:r>
            <w:r>
              <w:rPr>
                <w:rFonts w:ascii="Times New Roman" w:hAnsi="Times New Roman" w:cs="Times New Roman" w:eastAsia="Times New Roman" w:hint="default"/>
                <w:spacing w:val="8"/>
                <w:sz w:val="18"/>
                <w:szCs w:val="18"/>
              </w:rPr>
              <w:t> </w:t>
            </w:r>
            <w:r>
              <w:rPr>
                <w:rFonts w:ascii="宋体" w:hAnsi="宋体" w:cs="宋体" w:eastAsia="宋体" w:hint="default"/>
                <w:spacing w:val="-1"/>
                <w:sz w:val="18"/>
                <w:szCs w:val="18"/>
              </w:rPr>
              <w:t>元募集资金置换前期投入募投项目的公司自筹资金。公司独立</w:t>
            </w:r>
          </w:p>
          <w:p>
            <w:pPr>
              <w:pStyle w:val="TableParagraph"/>
              <w:spacing w:line="302" w:lineRule="auto" w:before="5"/>
              <w:ind w:left="21" w:right="23"/>
              <w:jc w:val="both"/>
              <w:rPr>
                <w:rFonts w:ascii="宋体" w:hAnsi="宋体" w:cs="宋体" w:eastAsia="宋体" w:hint="default"/>
                <w:sz w:val="18"/>
                <w:szCs w:val="18"/>
              </w:rPr>
            </w:pPr>
            <w:r>
              <w:rPr>
                <w:rFonts w:ascii="宋体" w:hAnsi="宋体" w:cs="宋体" w:eastAsia="宋体" w:hint="default"/>
                <w:spacing w:val="-3"/>
                <w:sz w:val="18"/>
                <w:szCs w:val="18"/>
              </w:rPr>
              <w:t>董事、监事会及保荐机构已对该议案发表了明确的同意意见，公司已于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日完成募集 资金置换事宜。</w:t>
            </w:r>
          </w:p>
        </w:tc>
      </w:tr>
      <w:tr>
        <w:trPr>
          <w:trHeight w:val="703" w:hRule="exact"/>
        </w:trPr>
        <w:tc>
          <w:tcPr>
            <w:tcW w:w="17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804" w:type="dxa"/>
            <w:gridSpan w:val="10"/>
            <w:vMerge/>
            <w:tcBorders>
              <w:left w:val="single" w:sz="9" w:space="0" w:color="D2D2D2"/>
              <w:right w:val="single" w:sz="4" w:space="0" w:color="000000"/>
            </w:tcBorders>
          </w:tcPr>
          <w:p>
            <w:pPr/>
          </w:p>
        </w:tc>
      </w:tr>
      <w:tr>
        <w:trPr>
          <w:trHeight w:val="986" w:hRule="exact"/>
        </w:trPr>
        <w:tc>
          <w:tcPr>
            <w:tcW w:w="1765"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4" w:type="dxa"/>
            <w:gridSpan w:val="10"/>
            <w:vMerge/>
            <w:tcBorders>
              <w:left w:val="single" w:sz="9" w:space="0" w:color="D2D2D2"/>
              <w:bottom w:val="single" w:sz="4" w:space="0" w:color="000000"/>
              <w:right w:val="single" w:sz="4" w:space="0" w:color="000000"/>
            </w:tcBorders>
          </w:tcPr>
          <w:p>
            <w:pPr/>
          </w:p>
        </w:tc>
      </w:tr>
      <w:tr>
        <w:trPr>
          <w:trHeight w:val="402" w:hRule="exact"/>
        </w:trPr>
        <w:tc>
          <w:tcPr>
            <w:tcW w:w="17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 w:right="110"/>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804"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5" w:type="dxa"/>
            <w:vMerge/>
            <w:tcBorders>
              <w:left w:val="single" w:sz="4" w:space="0" w:color="000000"/>
              <w:bottom w:val="single" w:sz="4" w:space="0" w:color="000000"/>
              <w:right w:val="single" w:sz="4" w:space="0" w:color="000000"/>
            </w:tcBorders>
            <w:shd w:val="clear" w:color="auto" w:fill="D2D2D2"/>
          </w:tcPr>
          <w:p>
            <w:pPr/>
          </w:p>
        </w:tc>
        <w:tc>
          <w:tcPr>
            <w:tcW w:w="7804" w:type="dxa"/>
            <w:gridSpan w:val="10"/>
            <w:tcBorders>
              <w:top w:val="single" w:sz="4" w:space="0" w:color="000000"/>
              <w:left w:val="single" w:sz="9" w:space="0" w:color="D2D2D2"/>
              <w:bottom w:val="single" w:sz="4" w:space="0" w:color="000000"/>
              <w:right w:val="single" w:sz="4" w:space="0" w:color="000000"/>
            </w:tcBorders>
          </w:tcPr>
          <w:p>
            <w:pPr/>
          </w:p>
        </w:tc>
      </w:tr>
      <w:tr>
        <w:trPr>
          <w:trHeight w:val="402" w:hRule="exact"/>
        </w:trPr>
        <w:tc>
          <w:tcPr>
            <w:tcW w:w="176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7"/>
              <w:ind w:left="22" w:right="110"/>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804"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5" w:type="dxa"/>
            <w:vMerge/>
            <w:tcBorders>
              <w:left w:val="single" w:sz="4" w:space="0" w:color="000000"/>
              <w:bottom w:val="single" w:sz="4" w:space="0" w:color="000000"/>
              <w:right w:val="single" w:sz="4" w:space="0" w:color="000000"/>
            </w:tcBorders>
            <w:shd w:val="clear" w:color="auto" w:fill="D2D2D2"/>
          </w:tcPr>
          <w:p>
            <w:pPr/>
          </w:p>
        </w:tc>
        <w:tc>
          <w:tcPr>
            <w:tcW w:w="7804" w:type="dxa"/>
            <w:gridSpan w:val="10"/>
            <w:tcBorders>
              <w:top w:val="single" w:sz="4" w:space="0" w:color="000000"/>
              <w:left w:val="single" w:sz="9" w:space="0" w:color="D2D2D2"/>
              <w:bottom w:val="single" w:sz="4" w:space="0" w:color="000000"/>
              <w:right w:val="single" w:sz="4" w:space="0" w:color="000000"/>
            </w:tcBorders>
          </w:tcPr>
          <w:p>
            <w:pPr/>
          </w:p>
        </w:tc>
      </w:tr>
      <w:tr>
        <w:trPr>
          <w:trHeight w:val="714" w:hRule="exact"/>
        </w:trPr>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804" w:type="dxa"/>
            <w:gridSpan w:val="10"/>
            <w:tcBorders>
              <w:top w:val="single" w:sz="4" w:space="0" w:color="000000"/>
              <w:left w:val="single" w:sz="9" w:space="0" w:color="D2D2D2"/>
              <w:bottom w:val="single" w:sz="4" w:space="0" w:color="000000"/>
              <w:right w:val="single" w:sz="4" w:space="0" w:color="000000"/>
            </w:tcBorders>
          </w:tcPr>
          <w:p>
            <w:pPr>
              <w:pStyle w:val="TableParagraph"/>
              <w:spacing w:line="300" w:lineRule="auto" w:before="71"/>
              <w:ind w:left="21" w:right="25"/>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日，公司剩余尚未使用的募集资金及利息总额为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71,329,734.33 </w:t>
            </w:r>
            <w:r>
              <w:rPr>
                <w:rFonts w:ascii="宋体" w:hAnsi="宋体" w:cs="宋体" w:eastAsia="宋体" w:hint="default"/>
                <w:sz w:val="18"/>
                <w:szCs w:val="18"/>
              </w:rPr>
              <w:t>元，分别存放 于中国工商银行深圳宝湖支行、平安银行深圳南海支行、中国银行深圳文锦广场支行、上海浦东发</w:t>
            </w:r>
          </w:p>
        </w:tc>
      </w:tr>
    </w:tbl>
    <w:p>
      <w:pPr>
        <w:spacing w:after="0" w:line="30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770"/>
        <w:gridCol w:w="7798"/>
      </w:tblGrid>
      <w:tr>
        <w:trPr>
          <w:trHeight w:val="36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展银行股份有限公司深圳分行四个募集资金专户。</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134" w:right="0"/>
        <w:jc w:val="left"/>
        <w:rPr>
          <w:b w:val="0"/>
          <w:bCs w:val="0"/>
        </w:rPr>
      </w:pPr>
      <w:bookmarkStart w:name="（3）募集资金变更项目情况" w:id="51"/>
      <w:bookmarkEnd w:id="51"/>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pStyle w:val="Heading2"/>
        <w:spacing w:line="240" w:lineRule="auto" w:before="155"/>
        <w:ind w:right="0"/>
        <w:jc w:val="left"/>
        <w:rPr>
          <w:b w:val="0"/>
          <w:bCs w:val="0"/>
        </w:rPr>
      </w:pPr>
      <w:bookmarkStart w:name="六、重大资产和股权出售" w:id="52"/>
      <w:bookmarkEnd w:id="52"/>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出售重大资产情况" w:id="53"/>
      <w:bookmarkEnd w:id="53"/>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7"/>
        <w:rPr>
          <w:rFonts w:ascii="宋体" w:hAnsi="宋体" w:cs="宋体" w:eastAsia="宋体" w:hint="default"/>
          <w:b/>
          <w:bCs/>
          <w:sz w:val="32"/>
          <w:szCs w:val="32"/>
        </w:rPr>
      </w:pPr>
    </w:p>
    <w:p>
      <w:pPr>
        <w:pStyle w:val="BodyText"/>
        <w:spacing w:line="489"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bookmarkStart w:name="2、出售重大股权情况" w:id="54"/>
      <w:bookmarkEnd w:id="54"/>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270" w:type="dxa"/>
        <w:tblLayout w:type="fixed"/>
        <w:tblCellMar>
          <w:top w:w="0" w:type="dxa"/>
          <w:left w:w="0" w:type="dxa"/>
          <w:bottom w:w="0" w:type="dxa"/>
          <w:right w:w="0" w:type="dxa"/>
        </w:tblCellMar>
        <w:tblLook w:val="01E0"/>
      </w:tblPr>
      <w:tblGrid>
        <w:gridCol w:w="540"/>
        <w:gridCol w:w="683"/>
        <w:gridCol w:w="684"/>
        <w:gridCol w:w="684"/>
        <w:gridCol w:w="683"/>
        <w:gridCol w:w="683"/>
        <w:gridCol w:w="683"/>
        <w:gridCol w:w="686"/>
        <w:gridCol w:w="684"/>
        <w:gridCol w:w="684"/>
        <w:gridCol w:w="684"/>
        <w:gridCol w:w="684"/>
        <w:gridCol w:w="684"/>
        <w:gridCol w:w="677"/>
      </w:tblGrid>
      <w:tr>
        <w:trPr>
          <w:trHeight w:val="3834" w:hRule="exact"/>
        </w:trPr>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85" w:right="83"/>
              <w:jc w:val="left"/>
              <w:rPr>
                <w:rFonts w:ascii="宋体" w:hAnsi="宋体" w:cs="宋体" w:eastAsia="宋体" w:hint="default"/>
                <w:sz w:val="18"/>
                <w:szCs w:val="18"/>
              </w:rPr>
            </w:pPr>
            <w:r>
              <w:rPr>
                <w:rFonts w:ascii="宋体" w:hAnsi="宋体" w:cs="宋体" w:eastAsia="宋体" w:hint="default"/>
                <w:sz w:val="18"/>
                <w:szCs w:val="18"/>
              </w:rPr>
              <w:t>交易 对方</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157" w:right="65" w:hanging="90"/>
              <w:jc w:val="left"/>
              <w:rPr>
                <w:rFonts w:ascii="宋体" w:hAnsi="宋体" w:cs="宋体" w:eastAsia="宋体" w:hint="default"/>
                <w:sz w:val="18"/>
                <w:szCs w:val="18"/>
              </w:rPr>
            </w:pPr>
            <w:r>
              <w:rPr>
                <w:rFonts w:ascii="宋体" w:hAnsi="宋体" w:cs="宋体" w:eastAsia="宋体" w:hint="default"/>
                <w:sz w:val="18"/>
                <w:szCs w:val="18"/>
              </w:rPr>
              <w:t>被出售 股权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65"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66" w:right="66"/>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66" w:right="65"/>
              <w:jc w:val="both"/>
              <w:rPr>
                <w:rFonts w:ascii="宋体" w:hAnsi="宋体" w:cs="宋体" w:eastAsia="宋体" w:hint="default"/>
                <w:sz w:val="18"/>
                <w:szCs w:val="18"/>
              </w:rPr>
            </w:pPr>
            <w:r>
              <w:rPr>
                <w:rFonts w:ascii="宋体" w:hAnsi="宋体" w:cs="宋体" w:eastAsia="宋体" w:hint="default"/>
                <w:sz w:val="18"/>
                <w:szCs w:val="18"/>
              </w:rPr>
              <w:t>本期初 起至出 售日该 股权为 上市公 司贡献 的净利 润（万 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65" w:right="65"/>
              <w:jc w:val="both"/>
              <w:rPr>
                <w:rFonts w:ascii="宋体" w:hAnsi="宋体" w:cs="宋体" w:eastAsia="宋体" w:hint="default"/>
                <w:sz w:val="18"/>
                <w:szCs w:val="18"/>
              </w:rPr>
            </w:pPr>
            <w:r>
              <w:rPr>
                <w:rFonts w:ascii="宋体" w:hAnsi="宋体" w:cs="宋体" w:eastAsia="宋体" w:hint="default"/>
                <w:sz w:val="18"/>
                <w:szCs w:val="18"/>
              </w:rPr>
              <w:t>出售对 公司的 影响</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66" w:right="65"/>
              <w:jc w:val="both"/>
              <w:rPr>
                <w:rFonts w:ascii="宋体" w:hAnsi="宋体" w:cs="宋体" w:eastAsia="宋体" w:hint="default"/>
                <w:sz w:val="18"/>
                <w:szCs w:val="18"/>
              </w:rPr>
            </w:pPr>
            <w:r>
              <w:rPr>
                <w:rFonts w:ascii="宋体" w:hAnsi="宋体" w:cs="宋体" w:eastAsia="宋体" w:hint="default"/>
                <w:sz w:val="18"/>
                <w:szCs w:val="18"/>
              </w:rPr>
              <w:t>股权出 售为上 市公司 贡献的 净利润 占净利 润总额 的比例</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67" w:right="67"/>
              <w:jc w:val="both"/>
              <w:rPr>
                <w:rFonts w:ascii="宋体" w:hAnsi="宋体" w:cs="宋体" w:eastAsia="宋体" w:hint="default"/>
                <w:sz w:val="18"/>
                <w:szCs w:val="18"/>
              </w:rPr>
            </w:pPr>
            <w:r>
              <w:rPr>
                <w:rFonts w:ascii="宋体" w:hAnsi="宋体" w:cs="宋体" w:eastAsia="宋体" w:hint="default"/>
                <w:sz w:val="18"/>
                <w:szCs w:val="18"/>
              </w:rPr>
              <w:t>股权出 售定价 原则</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65" w:right="66"/>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65" w:right="66"/>
              <w:jc w:val="center"/>
              <w:rPr>
                <w:rFonts w:ascii="宋体" w:hAnsi="宋体" w:cs="宋体" w:eastAsia="宋体" w:hint="default"/>
                <w:sz w:val="18"/>
                <w:szCs w:val="18"/>
              </w:rPr>
            </w:pPr>
            <w:r>
              <w:rPr>
                <w:rFonts w:ascii="宋体" w:hAnsi="宋体" w:cs="宋体" w:eastAsia="宋体" w:hint="default"/>
                <w:sz w:val="18"/>
                <w:szCs w:val="18"/>
              </w:rPr>
              <w:t>与交易 对方的 关联关 系</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66" w:right="66"/>
              <w:jc w:val="center"/>
              <w:rPr>
                <w:rFonts w:ascii="宋体" w:hAnsi="宋体" w:cs="宋体" w:eastAsia="宋体" w:hint="default"/>
                <w:sz w:val="18"/>
                <w:szCs w:val="18"/>
              </w:rPr>
            </w:pPr>
            <w:r>
              <w:rPr>
                <w:rFonts w:ascii="宋体" w:hAnsi="宋体" w:cs="宋体" w:eastAsia="宋体" w:hint="default"/>
                <w:sz w:val="18"/>
                <w:szCs w:val="18"/>
              </w:rPr>
              <w:t>所涉及 的股权 是否已 全部过 户</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5" w:right="66"/>
              <w:jc w:val="center"/>
              <w:rPr>
                <w:rFonts w:ascii="宋体" w:hAnsi="宋体" w:cs="宋体" w:eastAsia="宋体" w:hint="default"/>
                <w:sz w:val="18"/>
                <w:szCs w:val="18"/>
              </w:rPr>
            </w:pPr>
            <w:r>
              <w:rPr>
                <w:rFonts w:ascii="宋体" w:hAnsi="宋体" w:cs="宋体" w:eastAsia="宋体" w:hint="default"/>
                <w:sz w:val="18"/>
                <w:szCs w:val="18"/>
              </w:rPr>
              <w:t>是否按 计划如 期实 施，如 未按计 划实 施，应 当说明 原因及 公司已 采取的 措施</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45" w:right="66"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43" w:right="61"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2898"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24" w:right="144"/>
              <w:jc w:val="left"/>
              <w:rPr>
                <w:rFonts w:ascii="宋体" w:hAnsi="宋体" w:cs="宋体" w:eastAsia="宋体" w:hint="default"/>
                <w:sz w:val="18"/>
                <w:szCs w:val="18"/>
              </w:rPr>
            </w:pPr>
            <w:r>
              <w:rPr>
                <w:rFonts w:ascii="宋体" w:hAnsi="宋体" w:cs="宋体" w:eastAsia="宋体" w:hint="default"/>
                <w:sz w:val="18"/>
                <w:szCs w:val="18"/>
              </w:rPr>
              <w:t>黄小 江</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3"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新阳物 流</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100%</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46" w:right="0"/>
              <w:jc w:val="left"/>
              <w:rPr>
                <w:rFonts w:ascii="Times New Roman" w:hAnsi="Times New Roman" w:cs="Times New Roman" w:eastAsia="Times New Roman" w:hint="default"/>
                <w:sz w:val="18"/>
                <w:szCs w:val="18"/>
              </w:rPr>
            </w:pPr>
            <w:r>
              <w:rPr>
                <w:rFonts w:ascii="Times New Roman"/>
                <w:sz w:val="18"/>
              </w:rPr>
              <w:t>2,800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86" w:right="0"/>
              <w:jc w:val="left"/>
              <w:rPr>
                <w:rFonts w:ascii="Times New Roman" w:hAnsi="Times New Roman" w:cs="Times New Roman" w:eastAsia="Times New Roman" w:hint="default"/>
                <w:sz w:val="18"/>
                <w:szCs w:val="18"/>
              </w:rPr>
            </w:pPr>
            <w:r>
              <w:rPr>
                <w:rFonts w:ascii="Times New Roman"/>
                <w:sz w:val="18"/>
              </w:rPr>
              <w:t>-26.48</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08"/>
              <w:jc w:val="both"/>
              <w:rPr>
                <w:rFonts w:ascii="宋体" w:hAnsi="宋体" w:cs="宋体" w:eastAsia="宋体" w:hint="default"/>
                <w:sz w:val="18"/>
                <w:szCs w:val="18"/>
              </w:rPr>
            </w:pPr>
            <w:r>
              <w:rPr>
                <w:rFonts w:ascii="宋体" w:hAnsi="宋体" w:cs="宋体" w:eastAsia="宋体" w:hint="default"/>
                <w:sz w:val="18"/>
                <w:szCs w:val="18"/>
              </w:rPr>
              <w:t>有助于 进一步 优化公 司业务 布局， 提高运 营和管 理效率</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86" w:right="0"/>
              <w:jc w:val="left"/>
              <w:rPr>
                <w:rFonts w:ascii="Times New Roman" w:hAnsi="Times New Roman" w:cs="Times New Roman" w:eastAsia="Times New Roman" w:hint="default"/>
                <w:sz w:val="18"/>
                <w:szCs w:val="18"/>
              </w:rPr>
            </w:pPr>
            <w:r>
              <w:rPr>
                <w:rFonts w:ascii="Times New Roman"/>
                <w:sz w:val="18"/>
              </w:rPr>
              <w:t>3.41%</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357" w:lineRule="auto"/>
              <w:ind w:left="22" w:right="293"/>
              <w:jc w:val="left"/>
              <w:rPr>
                <w:rFonts w:ascii="宋体" w:hAnsi="宋体" w:cs="宋体" w:eastAsia="宋体" w:hint="default"/>
                <w:sz w:val="18"/>
                <w:szCs w:val="18"/>
              </w:rPr>
            </w:pPr>
            <w:r>
              <w:rPr>
                <w:rFonts w:ascii="宋体" w:hAnsi="宋体" w:cs="宋体" w:eastAsia="宋体" w:hint="default"/>
                <w:sz w:val="18"/>
                <w:szCs w:val="18"/>
              </w:rPr>
              <w:t>资产 评估</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19" w:lineRule="auto" w:before="19"/>
              <w:ind w:left="22" w:right="102"/>
              <w:jc w:val="both"/>
              <w:rPr>
                <w:rFonts w:ascii="宋体" w:hAnsi="宋体" w:cs="宋体" w:eastAsia="宋体" w:hint="default"/>
                <w:sz w:val="18"/>
                <w:szCs w:val="18"/>
              </w:rPr>
            </w:pPr>
            <w:r>
              <w:rPr>
                <w:rFonts w:ascii="宋体" w:hAnsi="宋体" w:cs="宋体" w:eastAsia="宋体" w:hint="default"/>
                <w:sz w:val="18"/>
                <w:szCs w:val="18"/>
              </w:rPr>
              <w:t>《关于 对外转 让全资 子公司 股权的 进展公 告》</w:t>
            </w:r>
          </w:p>
        </w:tc>
      </w:tr>
    </w:tbl>
    <w:p>
      <w:pPr>
        <w:spacing w:after="0" w:line="319" w:lineRule="auto"/>
        <w:jc w:val="both"/>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七、主要控股参股公司分析" w:id="55"/>
      <w:bookmarkEnd w:id="55"/>
      <w:r>
        <w:rPr>
          <w:b w:val="0"/>
          <w:bCs w:val="0"/>
        </w:rPr>
      </w:r>
      <w:r>
        <w:rPr/>
        <w:t>七、主要控股参股公司分析</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2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9"/>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单位：元</w:t>
      </w:r>
    </w:p>
    <w:p>
      <w:pPr>
        <w:spacing w:after="0" w:line="240" w:lineRule="auto"/>
        <w:jc w:val="center"/>
        <w:sectPr>
          <w:type w:val="continuous"/>
          <w:pgSz w:w="11910" w:h="16840"/>
          <w:pgMar w:top="1060" w:bottom="1160" w:left="0" w:right="0"/>
          <w:cols w:num="2" w:equalWidth="0">
            <w:col w:w="5829" w:space="3090"/>
            <w:col w:w="2991"/>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深圳市同创 智软件技术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软件研发</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spacing w:val="-1"/>
                <w:sz w:val="16"/>
              </w:rPr>
              <w:t>64,067,371.63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spacing w:val="-1"/>
                <w:sz w:val="16"/>
              </w:rPr>
              <w:t>49,050,613.93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6"/>
                <w:szCs w:val="16"/>
              </w:rPr>
            </w:pPr>
            <w:r>
              <w:rPr>
                <w:rFonts w:ascii="Times New Roman"/>
                <w:spacing w:val="-1"/>
                <w:sz w:val="16"/>
              </w:rPr>
              <w:t>57,236,862.50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6"/>
                <w:szCs w:val="16"/>
              </w:rPr>
            </w:pPr>
            <w:r>
              <w:rPr>
                <w:rFonts w:ascii="Times New Roman"/>
                <w:spacing w:val="-1"/>
                <w:sz w:val="16"/>
              </w:rPr>
              <w:t>23,271,237.28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6"/>
                <w:szCs w:val="16"/>
              </w:rPr>
            </w:pPr>
            <w:r>
              <w:rPr>
                <w:rFonts w:ascii="Times New Roman"/>
                <w:spacing w:val="-1"/>
                <w:sz w:val="16"/>
              </w:rPr>
              <w:t>25,187,104.94</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今天国际物 流科技有限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0"/>
              <w:jc w:val="left"/>
              <w:rPr>
                <w:rFonts w:ascii="宋体" w:hAnsi="宋体" w:cs="宋体" w:eastAsia="宋体" w:hint="default"/>
                <w:sz w:val="18"/>
                <w:szCs w:val="18"/>
              </w:rPr>
            </w:pPr>
            <w:r>
              <w:rPr>
                <w:rFonts w:ascii="宋体" w:hAnsi="宋体" w:cs="宋体" w:eastAsia="宋体" w:hint="default"/>
                <w:sz w:val="18"/>
                <w:szCs w:val="18"/>
              </w:rPr>
              <w:t>贸易、物流 技术咨询</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22" w:right="82"/>
              <w:jc w:val="left"/>
              <w:rPr>
                <w:rFonts w:ascii="Times New Roman" w:hAnsi="Times New Roman" w:cs="Times New Roman" w:eastAsia="Times New Roman" w:hint="default"/>
                <w:sz w:val="18"/>
                <w:szCs w:val="18"/>
              </w:rPr>
            </w:pPr>
            <w:r>
              <w:rPr>
                <w:rFonts w:ascii="Times New Roman"/>
                <w:sz w:val="18"/>
              </w:rPr>
              <w:t>HKD10,000,</w:t>
            </w:r>
            <w:r>
              <w:rPr>
                <w:rFonts w:ascii="Times New Roman"/>
                <w:w w:val="99"/>
                <w:sz w:val="18"/>
              </w:rPr>
              <w:t> </w:t>
            </w:r>
            <w:r>
              <w:rPr>
                <w:rFonts w:ascii="Times New Roman"/>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8,623,792.95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8,595,561.34</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177,098.13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147,876.94</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深圳市今天 国际智能机 器人有限公 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290"/>
              <w:jc w:val="left"/>
              <w:rPr>
                <w:rFonts w:ascii="宋体" w:hAnsi="宋体" w:cs="宋体" w:eastAsia="宋体" w:hint="default"/>
                <w:sz w:val="18"/>
                <w:szCs w:val="18"/>
              </w:rPr>
            </w:pPr>
            <w:r>
              <w:rPr>
                <w:rFonts w:ascii="宋体" w:hAnsi="宋体" w:cs="宋体" w:eastAsia="宋体" w:hint="default"/>
                <w:sz w:val="18"/>
                <w:szCs w:val="18"/>
              </w:rPr>
              <w:t>机器人研 发、制造</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spacing w:val="-1"/>
                <w:sz w:val="16"/>
              </w:rPr>
              <w:t>62,644,113.20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spacing w:val="-1"/>
                <w:sz w:val="16"/>
              </w:rPr>
              <w:t>51,217,477.36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2"/>
              <w:jc w:val="right"/>
              <w:rPr>
                <w:rFonts w:ascii="Times New Roman" w:hAnsi="Times New Roman" w:cs="Times New Roman" w:eastAsia="Times New Roman" w:hint="default"/>
                <w:sz w:val="16"/>
                <w:szCs w:val="16"/>
              </w:rPr>
            </w:pPr>
            <w:r>
              <w:rPr>
                <w:rFonts w:ascii="Times New Roman"/>
                <w:spacing w:val="-1"/>
                <w:sz w:val="16"/>
              </w:rPr>
              <w:t>24,819,080.10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789,018.75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1,494,476.38</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北京今天华 迅智能技术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智能系统</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3,875,633.08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2,020,028.66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-977,971.34</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-977,971.34</w:t>
            </w:r>
            <w:r>
              <w:rPr>
                <w:rFonts w:ascii="Times New Roman"/>
                <w:sz w:val="18"/>
              </w:rPr>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上海今天华 峰智能系统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智能系统</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报告期内取得和处置子公司的情况</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2694"/>
        <w:gridCol w:w="2127"/>
        <w:gridCol w:w="4961"/>
      </w:tblGrid>
      <w:tr>
        <w:trPr>
          <w:trHeight w:val="754"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52"/>
              <w:ind w:left="607" w:right="249" w:hanging="360"/>
              <w:jc w:val="left"/>
              <w:rPr>
                <w:rFonts w:ascii="宋体" w:hAnsi="宋体" w:cs="宋体" w:eastAsia="宋体" w:hint="default"/>
                <w:sz w:val="18"/>
                <w:szCs w:val="18"/>
              </w:rPr>
            </w:pPr>
            <w:r>
              <w:rPr>
                <w:rFonts w:ascii="宋体" w:hAnsi="宋体" w:cs="宋体" w:eastAsia="宋体" w:hint="default"/>
                <w:sz w:val="18"/>
                <w:szCs w:val="18"/>
              </w:rPr>
              <w:t>报告期内取得和处置 子公司方式</w:t>
            </w:r>
          </w:p>
        </w:tc>
        <w:tc>
          <w:tcPr>
            <w:tcW w:w="4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305"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广东新阳物流设备有限公司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出售</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提高运营和管理效率；对整体生产经营和业绩无重大影响</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北京今天华迅智能技术有限公司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新设立</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月新设立，对整体生产经营和业绩无重大影响</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上海今天华峰智能系统有限公司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新设立</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月新设立，对整体生产经营和业绩无重大影响</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八、公司控制的结构化主体情况" w:id="56"/>
      <w:bookmarkEnd w:id="56"/>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九、公司未来发展的展望" w:id="57"/>
      <w:bookmarkEnd w:id="57"/>
      <w:r>
        <w:rPr>
          <w:b w:val="0"/>
          <w:bCs w:val="0"/>
        </w:rPr>
      </w:r>
      <w:r>
        <w:rPr/>
        <w:t>九、公司未来发展的展望</w:t>
      </w:r>
      <w:r>
        <w:rPr>
          <w:b w:val="0"/>
          <w:bCs w:val="0"/>
        </w:rPr>
      </w:r>
    </w:p>
    <w:p>
      <w:pPr>
        <w:spacing w:line="240" w:lineRule="auto" w:before="7"/>
        <w:rPr>
          <w:rFonts w:ascii="宋体" w:hAnsi="宋体" w:cs="宋体" w:eastAsia="宋体" w:hint="default"/>
          <w:b/>
          <w:bCs/>
          <w:sz w:val="32"/>
          <w:szCs w:val="32"/>
        </w:rPr>
      </w:pPr>
    </w:p>
    <w:p>
      <w:pPr>
        <w:pStyle w:val="Heading4"/>
        <w:spacing w:line="240" w:lineRule="auto"/>
        <w:ind w:left="1495" w:right="0"/>
        <w:jc w:val="left"/>
        <w:rPr>
          <w:b w:val="0"/>
          <w:bCs w:val="0"/>
        </w:rPr>
      </w:pPr>
      <w:r>
        <w:rPr>
          <w:rFonts w:ascii="Times New Roman" w:hAnsi="Times New Roman" w:cs="Times New Roman" w:eastAsia="Times New Roman" w:hint="default"/>
        </w:rPr>
        <w:t>1</w:t>
      </w:r>
      <w:r>
        <w:rPr/>
        <w:t>、行业发展趋势和前景</w:t>
      </w:r>
      <w:r>
        <w:rPr>
          <w:b w:val="0"/>
          <w:bCs w:val="0"/>
        </w:rPr>
      </w:r>
    </w:p>
    <w:p>
      <w:pPr>
        <w:spacing w:line="240" w:lineRule="auto" w:before="9"/>
        <w:rPr>
          <w:rFonts w:ascii="宋体" w:hAnsi="宋体" w:cs="宋体" w:eastAsia="宋体" w:hint="default"/>
          <w:b/>
          <w:bCs/>
          <w:sz w:val="16"/>
          <w:szCs w:val="16"/>
        </w:rPr>
      </w:pPr>
    </w:p>
    <w:p>
      <w:pPr>
        <w:pStyle w:val="BodyText"/>
        <w:spacing w:line="240" w:lineRule="auto"/>
        <w:ind w:left="1493" w:right="0"/>
        <w:jc w:val="left"/>
      </w:pPr>
      <w:r>
        <w:rPr/>
        <w:t>（</w:t>
      </w:r>
      <w:r>
        <w:rPr>
          <w:rFonts w:ascii="宋体" w:hAnsi="宋体" w:cs="宋体" w:eastAsia="宋体" w:hint="default"/>
        </w:rPr>
        <w:t>1</w:t>
      </w:r>
      <w:r>
        <w:rPr/>
        <w:t>）良好的政策支持激发智慧物流系统和智能制造系统建设高潮。国务院</w:t>
      </w:r>
      <w:r>
        <w:rPr>
          <w:rFonts w:ascii="Times New Roman" w:hAnsi="Times New Roman" w:cs="Times New Roman" w:eastAsia="Times New Roman" w:hint="default"/>
        </w:rPr>
        <w:t>2014</w:t>
      </w:r>
      <w:r>
        <w:rPr/>
        <w:t>年发布物流业发展中长期规划（</w:t>
      </w:r>
      <w:r>
        <w:rPr>
          <w:rFonts w:ascii="Times New Roman" w:hAnsi="Times New Roman" w:cs="Times New Roman" w:eastAsia="Times New Roman" w:hint="default"/>
        </w:rPr>
        <w:t>2014</w:t>
      </w:r>
      <w:r>
        <w:rPr/>
        <w:t>－</w:t>
      </w:r>
    </w:p>
    <w:p>
      <w:pPr>
        <w:spacing w:line="240" w:lineRule="auto" w:before="9"/>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2020</w:t>
      </w:r>
      <w:r>
        <w:rPr/>
        <w:t>年），旨在加强物流核心技术和装备研发，推动关键技术装备产业化，鼓励物流企业采用先进适用技术和装备。加快食</w:t>
      </w:r>
    </w:p>
    <w:p>
      <w:pPr>
        <w:spacing w:after="0" w:line="240" w:lineRule="auto"/>
        <w:jc w:val="left"/>
        <w:sectPr>
          <w:type w:val="continuous"/>
          <w:pgSz w:w="11910" w:h="16840"/>
          <w:pgMar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0"/>
        <w:jc w:val="both"/>
      </w:pPr>
      <w:r>
        <w:rPr/>
        <w:t>品冷链、医药、烟草、机械、汽车、干散货、危险化学品等专业物流装备的研发，提升物流装备的专业化水平。为贯彻落实</w:t>
      </w:r>
    </w:p>
    <w:p>
      <w:pPr>
        <w:spacing w:line="240" w:lineRule="auto" w:before="10"/>
        <w:rPr>
          <w:rFonts w:ascii="宋体" w:hAnsi="宋体" w:cs="宋体" w:eastAsia="宋体" w:hint="default"/>
          <w:sz w:val="17"/>
          <w:szCs w:val="17"/>
        </w:rPr>
      </w:pPr>
    </w:p>
    <w:p>
      <w:pPr>
        <w:pStyle w:val="BodyText"/>
        <w:spacing w:line="451" w:lineRule="auto"/>
        <w:ind w:right="1129"/>
        <w:jc w:val="both"/>
      </w:pPr>
      <w:r>
        <w:rPr/>
        <w:t>《中国制造</w:t>
      </w:r>
      <w:r>
        <w:rPr>
          <w:rFonts w:ascii="Times New Roman" w:hAnsi="Times New Roman" w:cs="Times New Roman" w:eastAsia="Times New Roman" w:hint="default"/>
        </w:rPr>
        <w:t>2025</w:t>
      </w:r>
      <w:r>
        <w:rPr/>
        <w:t>》，</w:t>
      </w:r>
      <w:r>
        <w:rPr>
          <w:rFonts w:ascii="Times New Roman" w:hAnsi="Times New Roman" w:cs="Times New Roman" w:eastAsia="Times New Roman" w:hint="default"/>
        </w:rPr>
        <w:t>2016</w:t>
      </w:r>
      <w:r>
        <w:rPr/>
        <w:t>年中国先后发布《机器人产业发展规划（</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2020</w:t>
      </w:r>
      <w:r>
        <w:rPr/>
        <w:t>年）》和《智能制造发展规划</w:t>
      </w:r>
      <w:r>
        <w:rPr>
          <w:spacing w:val="-19"/>
        </w:rPr>
        <w:t> </w:t>
      </w:r>
      <w:r>
        <w:rPr/>
        <w:t>（</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2020 </w:t>
      </w:r>
      <w:r>
        <w:rPr>
          <w:spacing w:val="-5"/>
        </w:rPr>
        <w:t>年）》，旨在通过大力发展机器人与智能制造，打造中国制造业竞争新优势，激发机器人与智能制造行业水平不断提升。</w:t>
      </w:r>
      <w:r>
        <w:rPr>
          <w:rFonts w:ascii="Times New Roman" w:hAnsi="Times New Roman" w:cs="Times New Roman" w:eastAsia="Times New Roman" w:hint="default"/>
          <w:spacing w:val="-5"/>
        </w:rPr>
        <w:t>2017</w:t>
      </w:r>
      <w:r>
        <w:rPr>
          <w:rFonts w:ascii="Times New Roman" w:hAnsi="Times New Roman" w:cs="Times New Roman" w:eastAsia="Times New Roman" w:hint="default"/>
          <w:spacing w:val="-24"/>
        </w:rPr>
        <w:t> </w:t>
      </w:r>
      <w:r>
        <w:rPr>
          <w:spacing w:val="-1"/>
        </w:rPr>
        <w:t>年国务院发布《关于深化</w:t>
      </w:r>
      <w:r>
        <w:rPr>
          <w:rFonts w:ascii="Times New Roman" w:hAnsi="Times New Roman" w:cs="Times New Roman" w:eastAsia="Times New Roman" w:hint="default"/>
          <w:spacing w:val="-1"/>
        </w:rPr>
        <w:t>“</w:t>
      </w:r>
      <w:r>
        <w:rPr>
          <w:spacing w:val="-1"/>
        </w:rPr>
        <w:t>互联网</w:t>
      </w:r>
      <w:r>
        <w:rPr>
          <w:rFonts w:ascii="Times New Roman" w:hAnsi="Times New Roman" w:cs="Times New Roman" w:eastAsia="Times New Roman" w:hint="default"/>
          <w:spacing w:val="-1"/>
        </w:rPr>
        <w:t>+</w:t>
      </w:r>
      <w:r>
        <w:rPr>
          <w:spacing w:val="-1"/>
        </w:rPr>
        <w:t>先进制造业</w:t>
      </w:r>
      <w:r>
        <w:rPr>
          <w:rFonts w:ascii="Times New Roman" w:hAnsi="Times New Roman" w:cs="Times New Roman" w:eastAsia="Times New Roman" w:hint="default"/>
          <w:spacing w:val="-1"/>
        </w:rPr>
        <w:t>”</w:t>
      </w:r>
      <w:r>
        <w:rPr>
          <w:rFonts w:ascii="Times New Roman" w:hAnsi="Times New Roman" w:cs="Times New Roman" w:eastAsia="Times New Roman" w:hint="default"/>
        </w:rPr>
        <w:t> </w:t>
      </w:r>
      <w:r>
        <w:rPr>
          <w:spacing w:val="-2"/>
        </w:rPr>
        <w:t>发展工业互联网的指导意见》，旨在</w:t>
      </w:r>
      <w:r>
        <w:rPr>
          <w:color w:val="333333"/>
          <w:spacing w:val="-2"/>
        </w:rPr>
        <w:t>加快建设和发展工业互联网，推动互联</w:t>
      </w:r>
      <w:r>
        <w:rPr>
          <w:color w:val="333333"/>
          <w:spacing w:val="-79"/>
        </w:rPr>
        <w:t> </w:t>
      </w:r>
      <w:r>
        <w:rPr>
          <w:color w:val="333333"/>
          <w:spacing w:val="-79"/>
        </w:rPr>
      </w:r>
      <w:r>
        <w:rPr>
          <w:color w:val="333333"/>
        </w:rPr>
        <w:t>网、大数据、人工智能和实体经济深度融合，发展先进制造业，支持传统产业优化升级。</w:t>
      </w:r>
      <w:r>
        <w:rPr/>
      </w:r>
    </w:p>
    <w:p>
      <w:pPr>
        <w:pStyle w:val="BodyText"/>
        <w:spacing w:line="465" w:lineRule="auto" w:before="74"/>
        <w:ind w:right="0" w:firstLine="360"/>
        <w:jc w:val="left"/>
      </w:pPr>
      <w:r>
        <w:rPr>
          <w:spacing w:val="-2"/>
        </w:rPr>
        <w:t>（</w:t>
      </w:r>
      <w:r>
        <w:rPr>
          <w:rFonts w:ascii="Times New Roman" w:hAnsi="Times New Roman" w:cs="Times New Roman" w:eastAsia="Times New Roman" w:hint="default"/>
          <w:spacing w:val="-2"/>
        </w:rPr>
        <w:t>2</w:t>
      </w:r>
      <w:r>
        <w:rPr>
          <w:spacing w:val="-2"/>
        </w:rPr>
        <w:t>）市场需求日趋旺盛。随着人力成本增加和土地资源缺乏以及企业信息化管理需求的上升，企业日益需要更为快捷、</w:t>
      </w:r>
      <w:r>
        <w:rPr/>
        <w:t> </w:t>
      </w:r>
      <w:r>
        <w:rPr>
          <w:spacing w:val="-2"/>
        </w:rPr>
        <w:t>精准、有效的智慧物流系统和智能制造系统，智慧物流系统和智能制造系统可以节约仓库占地面积、减少人力及人员作业强</w:t>
      </w:r>
      <w:r>
        <w:rPr>
          <w:spacing w:val="-66"/>
        </w:rPr>
        <w:t> </w:t>
      </w:r>
      <w:r>
        <w:rPr>
          <w:spacing w:val="-66"/>
        </w:rPr>
      </w:r>
      <w:r>
        <w:rPr>
          <w:spacing w:val="-2"/>
        </w:rPr>
        <w:t>度、提高效率和良品率，可以与企业其他管理系统无缝对接，系统之间自动进行信息接收与传递，使企业实现信息流、物流</w:t>
      </w:r>
      <w:r>
        <w:rPr>
          <w:spacing w:val="-66"/>
        </w:rPr>
        <w:t> </w:t>
      </w:r>
      <w:r>
        <w:rPr>
          <w:spacing w:val="-66"/>
        </w:rPr>
      </w:r>
      <w:r>
        <w:rPr>
          <w:spacing w:val="-1"/>
        </w:rPr>
        <w:t>和资金流一体化，提升企业信息化管理水平。智慧物流系统和智能制造系统日渐成为烟草、动力锂电、</w:t>
      </w:r>
      <w:r>
        <w:rPr>
          <w:rFonts w:ascii="Times New Roman" w:hAnsi="Times New Roman" w:cs="Times New Roman" w:eastAsia="Times New Roman" w:hint="default"/>
          <w:spacing w:val="-1"/>
        </w:rPr>
        <w:t>3C</w:t>
      </w:r>
      <w:r>
        <w:rPr>
          <w:spacing w:val="-1"/>
        </w:rPr>
        <w:t>、家具制造制药、</w:t>
      </w:r>
      <w:r>
        <w:rPr>
          <w:spacing w:val="-58"/>
        </w:rPr>
        <w:t> </w:t>
      </w:r>
      <w:r>
        <w:rPr>
          <w:spacing w:val="-58"/>
        </w:rPr>
      </w:r>
      <w:r>
        <w:rPr>
          <w:spacing w:val="-2"/>
        </w:rPr>
        <w:t>商业流通等行业提高竞争力的必要手段。现代工业已经逐渐迈入智能制造和工业互联网时代，各行业大中型企业需要广泛建</w:t>
      </w:r>
      <w:r>
        <w:rPr>
          <w:spacing w:val="-63"/>
        </w:rPr>
        <w:t> </w:t>
      </w:r>
      <w:r>
        <w:rPr>
          <w:spacing w:val="-63"/>
        </w:rPr>
      </w:r>
      <w:r>
        <w:rPr/>
        <w:t>设智慧物流系统和智能制造系统。</w:t>
      </w:r>
      <w:r>
        <w:rPr>
          <w:rFonts w:ascii="Times New Roman" w:hAnsi="Times New Roman" w:cs="Times New Roman" w:eastAsia="Times New Roman" w:hint="default"/>
        </w:rPr>
        <w:t>2018</w:t>
      </w:r>
      <w:r>
        <w:rPr/>
        <w:t>年智慧物流系统和智能制造系统建设市场规模均将超过千亿以上。</w:t>
      </w:r>
    </w:p>
    <w:p>
      <w:pPr>
        <w:pStyle w:val="BodyText"/>
        <w:spacing w:line="451" w:lineRule="auto" w:before="31"/>
        <w:ind w:left="1494" w:right="0" w:firstLine="1"/>
        <w:jc w:val="left"/>
      </w:pPr>
      <w:r>
        <w:rPr>
          <w:rFonts w:ascii="Times New Roman" w:hAnsi="Times New Roman" w:cs="Times New Roman" w:eastAsia="Times New Roman" w:hint="default"/>
          <w:b/>
          <w:bCs/>
        </w:rPr>
        <w:t>2</w:t>
      </w:r>
      <w:r>
        <w:rPr>
          <w:rFonts w:ascii="宋体" w:hAnsi="宋体" w:cs="宋体" w:eastAsia="宋体" w:hint="default"/>
          <w:b/>
          <w:bCs/>
        </w:rPr>
        <w:t>、公司发展战略</w:t>
      </w:r>
      <w:r>
        <w:rPr>
          <w:rFonts w:ascii="宋体" w:hAnsi="宋体" w:cs="宋体" w:eastAsia="宋体" w:hint="default"/>
          <w:b/>
          <w:bCs/>
          <w:w w:val="99"/>
        </w:rPr>
        <w:t> </w:t>
      </w:r>
      <w:r>
        <w:rPr>
          <w:spacing w:val="-2"/>
        </w:rPr>
        <w:t>凭籍公司在物流系统的技术积累和技术创新，为客户打造智慧物流系统，提高客户物流效率和物流管理水平、降低物流</w:t>
      </w:r>
    </w:p>
    <w:p>
      <w:pPr>
        <w:pStyle w:val="BodyText"/>
        <w:spacing w:line="477" w:lineRule="auto" w:before="74"/>
        <w:ind w:left="1134" w:right="1133"/>
        <w:jc w:val="both"/>
      </w:pPr>
      <w:r>
        <w:rPr>
          <w:spacing w:val="-2"/>
        </w:rPr>
        <w:t>成本。同时依托物流技术优势，研究开发工业机器人、智能生产系统，为客户打造智能制造系统。打通智慧物流系统和智能</w:t>
      </w:r>
      <w:r>
        <w:rPr>
          <w:spacing w:val="-66"/>
        </w:rPr>
        <w:t> </w:t>
      </w:r>
      <w:r>
        <w:rPr>
          <w:spacing w:val="-66"/>
        </w:rPr>
      </w:r>
      <w:r>
        <w:rPr>
          <w:spacing w:val="-2"/>
        </w:rPr>
        <w:t>制造系统，为客户构建包含智能制造系统和智慧物流系统的智能化、数字化生产和物流系统，成为智慧物流和智能制造技术</w:t>
      </w:r>
      <w:r>
        <w:rPr>
          <w:spacing w:val="-66"/>
        </w:rPr>
        <w:t> </w:t>
      </w:r>
      <w:r>
        <w:rPr>
          <w:spacing w:val="-66"/>
        </w:rPr>
      </w:r>
      <w:r>
        <w:rPr/>
        <w:t>行业的领军者和标准制定者。</w:t>
      </w:r>
    </w:p>
    <w:p>
      <w:pPr>
        <w:pStyle w:val="Heading4"/>
        <w:spacing w:line="240" w:lineRule="auto" w:before="54"/>
        <w:ind w:left="1495" w:right="0"/>
        <w:jc w:val="left"/>
        <w:rPr>
          <w:b w:val="0"/>
          <w:bCs w:val="0"/>
        </w:rPr>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t>年公司经营计划</w:t>
      </w:r>
      <w:r>
        <w:rPr>
          <w:b w:val="0"/>
          <w:bCs w:val="0"/>
        </w:rPr>
      </w:r>
    </w:p>
    <w:p>
      <w:pPr>
        <w:spacing w:line="240" w:lineRule="auto" w:before="2"/>
        <w:rPr>
          <w:rFonts w:ascii="宋体" w:hAnsi="宋体" w:cs="宋体" w:eastAsia="宋体" w:hint="default"/>
          <w:b/>
          <w:bCs/>
          <w:sz w:val="23"/>
          <w:szCs w:val="23"/>
        </w:rPr>
      </w:pPr>
    </w:p>
    <w:p>
      <w:pPr>
        <w:pStyle w:val="BodyText"/>
        <w:spacing w:line="520" w:lineRule="auto"/>
        <w:ind w:left="1494" w:right="0"/>
        <w:jc w:val="left"/>
      </w:pPr>
      <w:r>
        <w:rPr/>
        <w:t>（</w:t>
      </w:r>
      <w:r>
        <w:rPr>
          <w:rFonts w:ascii="Arial" w:hAnsi="Arial" w:cs="Arial" w:eastAsia="Arial" w:hint="default"/>
        </w:rPr>
        <w:t>1</w:t>
      </w:r>
      <w:r>
        <w:rPr/>
        <w:t>）加强在烟草、新能源行业的横向、纵向业务延伸。 </w:t>
      </w:r>
      <w:r>
        <w:rPr>
          <w:spacing w:val="2"/>
        </w:rPr>
        <w:t>烟草行业要精耕细作</w:t>
      </w:r>
      <w:r>
        <w:rPr>
          <w:rFonts w:ascii="Times New Roman" w:hAnsi="Times New Roman" w:cs="Times New Roman" w:eastAsia="Times New Roman" w:hint="default"/>
          <w:spacing w:val="2"/>
        </w:rPr>
        <w:t>:</w:t>
      </w:r>
      <w:r>
        <w:rPr>
          <w:spacing w:val="2"/>
        </w:rPr>
        <w:t>工业物流系统仍要加大力度开发</w:t>
      </w:r>
      <w:r>
        <w:rPr>
          <w:rFonts w:ascii="Times New Roman" w:hAnsi="Times New Roman" w:cs="Times New Roman" w:eastAsia="Times New Roman" w:hint="default"/>
          <w:spacing w:val="2"/>
        </w:rPr>
        <w:t>,</w:t>
      </w:r>
      <w:r>
        <w:rPr>
          <w:spacing w:val="2"/>
        </w:rPr>
        <w:t>商业方面物流系统尤其是分拣系统要取得突破</w:t>
      </w:r>
      <w:r>
        <w:rPr>
          <w:rFonts w:ascii="Times New Roman" w:hAnsi="Times New Roman" w:cs="Times New Roman" w:eastAsia="Times New Roman" w:hint="default"/>
          <w:spacing w:val="2"/>
        </w:rPr>
        <w:t>,</w:t>
      </w:r>
      <w:r>
        <w:rPr>
          <w:spacing w:val="2"/>
        </w:rPr>
        <w:t>售后服务方面要</w:t>
      </w:r>
    </w:p>
    <w:p>
      <w:pPr>
        <w:pStyle w:val="BodyText"/>
        <w:spacing w:line="221" w:lineRule="exact"/>
        <w:ind w:right="0"/>
        <w:jc w:val="both"/>
      </w:pPr>
      <w:r>
        <w:rPr/>
        <w:t>挖掘客户更多的需求，以增值服务为主要思维开展工作，在数据采集、分析、应用及工业大数据方面形成良好的基础。新能</w:t>
      </w:r>
    </w:p>
    <w:p>
      <w:pPr>
        <w:spacing w:line="240" w:lineRule="auto" w:before="10"/>
        <w:rPr>
          <w:rFonts w:ascii="宋体" w:hAnsi="宋体" w:cs="宋体" w:eastAsia="宋体" w:hint="default"/>
          <w:sz w:val="17"/>
          <w:szCs w:val="17"/>
        </w:rPr>
      </w:pPr>
    </w:p>
    <w:p>
      <w:pPr>
        <w:pStyle w:val="BodyText"/>
        <w:spacing w:line="463" w:lineRule="auto"/>
        <w:ind w:right="1129"/>
        <w:jc w:val="both"/>
      </w:pPr>
      <w:r>
        <w:rPr/>
        <w:t>源锂电行业要大刀阔斧：要加大对排名前二十的锂电企业的拓展力度</w:t>
      </w:r>
      <w:r>
        <w:rPr>
          <w:rFonts w:ascii="Times New Roman" w:hAnsi="Times New Roman" w:cs="Times New Roman" w:eastAsia="Times New Roman" w:hint="default"/>
        </w:rPr>
        <w:t>,</w:t>
      </w:r>
      <w:r>
        <w:rPr/>
        <w:t>要与优势充放电企业形成更加良好和深入的合作</w:t>
      </w:r>
      <w:r>
        <w:rPr>
          <w:rFonts w:ascii="Times New Roman" w:hAnsi="Times New Roman" w:cs="Times New Roman" w:eastAsia="Times New Roman" w:hint="default"/>
        </w:rPr>
        <w:t>,</w:t>
      </w:r>
      <w:r>
        <w:rPr/>
        <w:t>要取</w:t>
      </w:r>
      <w:r>
        <w:rPr>
          <w:spacing w:val="-83"/>
        </w:rPr>
        <w:t> </w:t>
      </w:r>
      <w:r>
        <w:rPr>
          <w:spacing w:val="-2"/>
        </w:rPr>
        <w:t>得整线规划和集成技术的突破，打造有更竞争力的整线集成实力。除此之外，同时要聚焦三至四个新行业和智能制造领域的</w:t>
      </w:r>
      <w:r>
        <w:rPr>
          <w:spacing w:val="-66"/>
        </w:rPr>
        <w:t> </w:t>
      </w:r>
      <w:r>
        <w:rPr>
          <w:spacing w:val="-66"/>
        </w:rPr>
      </w:r>
      <w:r>
        <w:rPr/>
        <w:t>业务拓展，例如汽车制造、</w:t>
      </w:r>
      <w:r>
        <w:rPr>
          <w:rFonts w:ascii="Times New Roman" w:hAnsi="Times New Roman" w:cs="Times New Roman" w:eastAsia="Times New Roman" w:hint="default"/>
        </w:rPr>
        <w:t>3C</w:t>
      </w:r>
      <w:r>
        <w:rPr/>
        <w:t>制造、医药、军工、家居等行业。</w:t>
      </w:r>
    </w:p>
    <w:p>
      <w:pPr>
        <w:pStyle w:val="BodyText"/>
        <w:spacing w:line="477" w:lineRule="auto" w:before="33"/>
        <w:ind w:left="1493" w:right="0"/>
        <w:jc w:val="left"/>
      </w:pPr>
      <w:r>
        <w:rPr/>
        <w:t>（</w:t>
      </w:r>
      <w:r>
        <w:rPr>
          <w:rFonts w:ascii="宋体" w:hAnsi="宋体" w:cs="宋体" w:eastAsia="宋体" w:hint="default"/>
        </w:rPr>
        <w:t>2</w:t>
      </w:r>
      <w:r>
        <w:rPr/>
        <w:t>）加大技术研发投入，提高技术水平。 </w:t>
      </w:r>
      <w:r>
        <w:rPr>
          <w:spacing w:val="-2"/>
        </w:rPr>
        <w:t>计划设立研究院，吸引更多的优秀人才，结合公司的战略和市场的需求系统地进行烟草、新能源、汽车等行业的智能制</w:t>
      </w:r>
    </w:p>
    <w:p>
      <w:pPr>
        <w:pStyle w:val="BodyText"/>
        <w:spacing w:line="468" w:lineRule="auto" w:before="54"/>
        <w:ind w:right="0"/>
        <w:jc w:val="left"/>
      </w:pPr>
      <w:r>
        <w:rPr>
          <w:spacing w:val="-2"/>
        </w:rPr>
        <w:t>造整体解决方案的研究。更加深入地研究和应用智慧物流技术，结合智慧物流和智能制造技术，打造智能决策支持系统，帮</w:t>
      </w:r>
      <w:r>
        <w:rPr>
          <w:spacing w:val="-66"/>
        </w:rPr>
        <w:t> </w:t>
      </w:r>
      <w:r>
        <w:rPr>
          <w:spacing w:val="-66"/>
        </w:rPr>
      </w:r>
      <w:r>
        <w:rPr>
          <w:spacing w:val="-4"/>
        </w:rPr>
        <w:t>助生产企业实现智能制造和超柔性生产。同时，对智能决策系统所需要的核心信息技术和智能设备进行专项研究，具体包括：</w:t>
      </w:r>
      <w:r>
        <w:rPr>
          <w:spacing w:val="-43"/>
        </w:rPr>
        <w:t> </w:t>
      </w:r>
      <w:r>
        <w:rPr>
          <w:spacing w:val="-43"/>
        </w:rPr>
      </w:r>
      <w:r>
        <w:rPr/>
        <w:t>系列堆垛机、分拣系统、图像识别系统、图像导航技术、区块链技术应用、数据管控平台及</w:t>
      </w:r>
      <w:r>
        <w:rPr>
          <w:rFonts w:ascii="Times New Roman" w:hAnsi="Times New Roman" w:cs="Times New Roman" w:eastAsia="Times New Roman" w:hint="default"/>
        </w:rPr>
        <w:t>3D</w:t>
      </w:r>
      <w:r>
        <w:rPr/>
        <w:t>平台、</w:t>
      </w:r>
      <w:r>
        <w:rPr>
          <w:rFonts w:ascii="Times New Roman" w:hAnsi="Times New Roman" w:cs="Times New Roman" w:eastAsia="Times New Roman" w:hint="default"/>
        </w:rPr>
        <w:t>WisdomX</w:t>
      </w:r>
      <w:r>
        <w:rPr/>
        <w:t>技术平台、</w:t>
      </w:r>
      <w:r>
        <w:rPr>
          <w:spacing w:val="-53"/>
        </w:rPr>
        <w:t> </w:t>
      </w:r>
      <w:r>
        <w:rPr>
          <w:rFonts w:ascii="Times New Roman" w:hAnsi="Times New Roman" w:cs="Times New Roman" w:eastAsia="Times New Roman" w:hint="default"/>
        </w:rPr>
        <w:t>WMS</w:t>
      </w:r>
      <w:r>
        <w:rPr/>
        <w:t>及</w:t>
      </w:r>
      <w:r>
        <w:rPr>
          <w:rFonts w:ascii="Times New Roman" w:hAnsi="Times New Roman" w:cs="Times New Roman" w:eastAsia="Times New Roman" w:hint="default"/>
        </w:rPr>
        <w:t>WCS</w:t>
      </w:r>
      <w:r>
        <w:rPr/>
        <w:t>升级技术、不同负载及取货高度的叉式激光导引</w:t>
      </w:r>
      <w:r>
        <w:rPr>
          <w:rFonts w:ascii="Times New Roman" w:hAnsi="Times New Roman" w:cs="Times New Roman" w:eastAsia="Times New Roman" w:hint="default"/>
        </w:rPr>
        <w:t>AGV</w:t>
      </w:r>
      <w:r>
        <w:rPr/>
        <w:t>及牵引式自然导引</w:t>
      </w:r>
      <w:r>
        <w:rPr>
          <w:rFonts w:ascii="Times New Roman" w:hAnsi="Times New Roman" w:cs="Times New Roman" w:eastAsia="Times New Roman" w:hint="default"/>
        </w:rPr>
        <w:t>AGV</w:t>
      </w:r>
      <w:r>
        <w:rPr/>
        <w:t>、</w:t>
      </w:r>
      <w:r>
        <w:rPr>
          <w:rFonts w:ascii="Times New Roman" w:hAnsi="Times New Roman" w:cs="Times New Roman" w:eastAsia="Times New Roman" w:hint="default"/>
        </w:rPr>
        <w:t>10</w:t>
      </w:r>
      <w:r>
        <w:rPr/>
        <w:t>万级洁净室激光导引</w:t>
      </w:r>
      <w:r>
        <w:rPr>
          <w:rFonts w:ascii="Times New Roman" w:hAnsi="Times New Roman" w:cs="Times New Roman" w:eastAsia="Times New Roman" w:hint="default"/>
        </w:rPr>
        <w:t>AGV</w:t>
      </w:r>
      <w:r>
        <w:rPr/>
        <w:t>及</w:t>
      </w:r>
    </w:p>
    <w:p>
      <w:pPr>
        <w:spacing w:after="0" w:line="468"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51" w:lineRule="auto"/>
        <w:ind w:right="1131"/>
        <w:jc w:val="both"/>
      </w:pPr>
      <w:r>
        <w:rPr>
          <w:spacing w:val="-2"/>
        </w:rPr>
        <w:t>小于</w:t>
      </w:r>
      <w:r>
        <w:rPr>
          <w:rFonts w:ascii="Times New Roman" w:hAnsi="Times New Roman" w:cs="Times New Roman" w:eastAsia="Times New Roman" w:hint="default"/>
          <w:spacing w:val="-2"/>
        </w:rPr>
        <w:t>2mm</w:t>
      </w:r>
      <w:r>
        <w:rPr>
          <w:spacing w:val="-2"/>
        </w:rPr>
        <w:t>装卸货精度的激光导引</w:t>
      </w:r>
      <w:r>
        <w:rPr>
          <w:rFonts w:ascii="Times New Roman" w:hAnsi="Times New Roman" w:cs="Times New Roman" w:eastAsia="Times New Roman" w:hint="default"/>
          <w:spacing w:val="-2"/>
        </w:rPr>
        <w:t>AGV</w:t>
      </w:r>
      <w:r>
        <w:rPr>
          <w:spacing w:val="-2"/>
        </w:rPr>
        <w:t>、二维码</w:t>
      </w:r>
      <w:r>
        <w:rPr>
          <w:rFonts w:ascii="Times New Roman" w:hAnsi="Times New Roman" w:cs="Times New Roman" w:eastAsia="Times New Roman" w:hint="default"/>
          <w:spacing w:val="-2"/>
        </w:rPr>
        <w:t>+</w:t>
      </w:r>
      <w:r>
        <w:rPr>
          <w:spacing w:val="-2"/>
        </w:rPr>
        <w:t>陀螺仪导引潜伏式</w:t>
      </w:r>
      <w:r>
        <w:rPr>
          <w:rFonts w:ascii="Times New Roman" w:hAnsi="Times New Roman" w:cs="Times New Roman" w:eastAsia="Times New Roman" w:hint="default"/>
          <w:spacing w:val="-2"/>
        </w:rPr>
        <w:t>AGV</w:t>
      </w:r>
      <w:r>
        <w:rPr>
          <w:spacing w:val="-2"/>
        </w:rPr>
        <w:t>、履带式自然导引巡拣机器人、机器人柔性夹具、人</w:t>
      </w:r>
      <w:r>
        <w:rPr>
          <w:spacing w:val="-54"/>
        </w:rPr>
        <w:t> </w:t>
      </w:r>
      <w:r>
        <w:rPr>
          <w:spacing w:val="-54"/>
        </w:rPr>
      </w:r>
      <w:r>
        <w:rPr/>
        <w:t>机协作机器人、人工智能与机器学习、</w:t>
      </w:r>
      <w:r>
        <w:rPr>
          <w:rFonts w:ascii="Times New Roman" w:hAnsi="Times New Roman" w:cs="Times New Roman" w:eastAsia="Times New Roman" w:hint="default"/>
        </w:rPr>
        <w:t>Flexsim</w:t>
      </w:r>
      <w:r>
        <w:rPr/>
        <w:t>技术、</w:t>
      </w:r>
      <w:r>
        <w:rPr>
          <w:rFonts w:ascii="Times New Roman" w:hAnsi="Times New Roman" w:cs="Times New Roman" w:eastAsia="Times New Roman" w:hint="default"/>
        </w:rPr>
        <w:t>EPLAN</w:t>
      </w:r>
      <w:r>
        <w:rPr/>
        <w:t>标准化设计、数据分析工具开发及应用、汽车、家居制造、医</w:t>
      </w:r>
      <w:r>
        <w:rPr>
          <w:spacing w:val="-77"/>
        </w:rPr>
        <w:t> </w:t>
      </w:r>
      <w:r>
        <w:rPr>
          <w:spacing w:val="-77"/>
        </w:rPr>
      </w:r>
      <w:r>
        <w:rPr/>
        <w:t>院医药等行业物流系统设计应用、一轨多车调度控制技术的研发。</w:t>
      </w:r>
    </w:p>
    <w:p>
      <w:pPr>
        <w:pStyle w:val="BodyText"/>
        <w:spacing w:line="463" w:lineRule="auto" w:before="74"/>
        <w:ind w:left="1134" w:right="1129" w:firstLine="360"/>
        <w:jc w:val="both"/>
      </w:pPr>
      <w:r>
        <w:rPr/>
        <w:t>（</w:t>
      </w:r>
      <w:r>
        <w:rPr>
          <w:rFonts w:ascii="Times New Roman" w:hAnsi="Times New Roman" w:cs="Times New Roman" w:eastAsia="Times New Roman" w:hint="default"/>
        </w:rPr>
        <w:t>3</w:t>
      </w:r>
      <w:r>
        <w:rPr/>
        <w:t>）加强管理，提高公司运营效率。完善参股公司和控股子公司的系统性、制度化管理；完善公司</w:t>
      </w:r>
      <w:r>
        <w:rPr>
          <w:rFonts w:ascii="Times New Roman" w:hAnsi="Times New Roman" w:cs="Times New Roman" w:eastAsia="Times New Roman" w:hint="default"/>
        </w:rPr>
        <w:t>ERP</w:t>
      </w:r>
      <w:r>
        <w:rPr/>
        <w:t>管理系统；实 </w:t>
      </w:r>
      <w:r>
        <w:rPr>
          <w:spacing w:val="-2"/>
        </w:rPr>
        <w:t>现规划集成、电控标准化；实现办公、财务软件标准化；持续推进股权激励政策，完善人才激励和约束机制；修订和完善公</w:t>
      </w:r>
      <w:r>
        <w:rPr>
          <w:spacing w:val="-68"/>
        </w:rPr>
        <w:t> </w:t>
      </w:r>
      <w:r>
        <w:rPr>
          <w:spacing w:val="-68"/>
        </w:rPr>
      </w:r>
      <w:r>
        <w:rPr/>
        <w:t>司的权限体系，优化公司的治理机制。</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8"/>
          <w:szCs w:val="18"/>
        </w:rPr>
      </w:pPr>
    </w:p>
    <w:p>
      <w:pPr>
        <w:pStyle w:val="Heading2"/>
        <w:spacing w:line="240" w:lineRule="auto"/>
        <w:ind w:left="1134" w:right="0"/>
        <w:jc w:val="both"/>
        <w:rPr>
          <w:b w:val="0"/>
          <w:bCs w:val="0"/>
        </w:rPr>
      </w:pPr>
      <w:bookmarkStart w:name="十、接待调研、沟通、采访等活动登记表" w:id="58"/>
      <w:bookmarkEnd w:id="58"/>
      <w:r>
        <w:rPr>
          <w:b w:val="0"/>
          <w:bCs w:val="0"/>
        </w:rPr>
      </w:r>
      <w:r>
        <w:rPr/>
        <w:t>十、接待调研、沟通、采访等活动登记表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both"/>
        <w:rPr>
          <w:b w:val="0"/>
          <w:bCs w:val="0"/>
        </w:rPr>
      </w:pPr>
      <w:bookmarkStart w:name="1、报告期内接待调研、沟通、采访等活动登记表" w:id="59"/>
      <w:bookmarkEnd w:id="59"/>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2178"/>
        <w:gridCol w:w="1792"/>
        <w:gridCol w:w="1560"/>
        <w:gridCol w:w="4040"/>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4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0"/>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投资者关系互动平台（</w:t>
            </w:r>
            <w:hyperlink r:id="rId14">
              <w:r>
                <w:rPr>
                  <w:rFonts w:ascii="Times New Roman" w:hAnsi="Times New Roman" w:cs="Times New Roman" w:eastAsia="Times New Roman" w:hint="default"/>
                  <w:spacing w:val="-1"/>
                  <w:sz w:val="18"/>
                  <w:szCs w:val="18"/>
                </w:rPr>
                <w:t>http://irm.p5w.net</w:t>
              </w:r>
            </w:hyperlink>
            <w:r>
              <w:rPr>
                <w:rFonts w:ascii="宋体" w:hAnsi="宋体" w:cs="宋体" w:eastAsia="宋体" w:hint="default"/>
                <w:spacing w:val="-1"/>
                <w:sz w:val="18"/>
                <w:szCs w:val="18"/>
              </w:rPr>
              <w:t>）投资者关</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系活动记录表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2017-001</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0"/>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投资者关系互动平台（</w:t>
            </w:r>
            <w:hyperlink r:id="rId14">
              <w:r>
                <w:rPr>
                  <w:rFonts w:ascii="Times New Roman" w:hAnsi="Times New Roman" w:cs="Times New Roman" w:eastAsia="Times New Roman" w:hint="default"/>
                  <w:spacing w:val="-1"/>
                  <w:sz w:val="18"/>
                  <w:szCs w:val="18"/>
                </w:rPr>
                <w:t>http://irm.p5w.net</w:t>
              </w:r>
            </w:hyperlink>
            <w:r>
              <w:rPr>
                <w:rFonts w:ascii="宋体" w:hAnsi="宋体" w:cs="宋体" w:eastAsia="宋体" w:hint="default"/>
                <w:spacing w:val="-1"/>
                <w:sz w:val="18"/>
                <w:szCs w:val="18"/>
              </w:rPr>
              <w:t>）投资者关</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系活动记录表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2017-002</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0"/>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投资者关系互动平台（</w:t>
            </w:r>
            <w:hyperlink r:id="rId14">
              <w:r>
                <w:rPr>
                  <w:rFonts w:ascii="Times New Roman" w:hAnsi="Times New Roman" w:cs="Times New Roman" w:eastAsia="Times New Roman" w:hint="default"/>
                  <w:spacing w:val="-1"/>
                  <w:sz w:val="18"/>
                  <w:szCs w:val="18"/>
                </w:rPr>
                <w:t>http://irm.p5w.net</w:t>
              </w:r>
            </w:hyperlink>
            <w:r>
              <w:rPr>
                <w:rFonts w:ascii="宋体" w:hAnsi="宋体" w:cs="宋体" w:eastAsia="宋体" w:hint="default"/>
                <w:spacing w:val="-1"/>
                <w:sz w:val="18"/>
                <w:szCs w:val="18"/>
              </w:rPr>
              <w:t>）投资者关</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系活动记录表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2017-003</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0"/>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投资者关系互动平台（</w:t>
            </w:r>
            <w:hyperlink r:id="rId14">
              <w:r>
                <w:rPr>
                  <w:rFonts w:ascii="Times New Roman" w:hAnsi="Times New Roman" w:cs="Times New Roman" w:eastAsia="Times New Roman" w:hint="default"/>
                  <w:spacing w:val="-1"/>
                  <w:sz w:val="18"/>
                  <w:szCs w:val="18"/>
                </w:rPr>
                <w:t>http://irm.p5w.net</w:t>
              </w:r>
            </w:hyperlink>
            <w:r>
              <w:rPr>
                <w:rFonts w:ascii="宋体" w:hAnsi="宋体" w:cs="宋体" w:eastAsia="宋体" w:hint="default"/>
                <w:spacing w:val="-1"/>
                <w:sz w:val="18"/>
                <w:szCs w:val="18"/>
              </w:rPr>
              <w:t>）投资者关</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系活动记录表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2017-004</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0"/>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投资者关系互动平台（</w:t>
            </w:r>
            <w:hyperlink r:id="rId14">
              <w:r>
                <w:rPr>
                  <w:rFonts w:ascii="Times New Roman" w:hAnsi="Times New Roman" w:cs="Times New Roman" w:eastAsia="Times New Roman" w:hint="default"/>
                  <w:spacing w:val="-1"/>
                  <w:sz w:val="18"/>
                  <w:szCs w:val="18"/>
                </w:rPr>
                <w:t>http://irm.p5w.net</w:t>
              </w:r>
            </w:hyperlink>
            <w:r>
              <w:rPr>
                <w:rFonts w:ascii="宋体" w:hAnsi="宋体" w:cs="宋体" w:eastAsia="宋体" w:hint="default"/>
                <w:spacing w:val="-1"/>
                <w:sz w:val="18"/>
                <w:szCs w:val="18"/>
              </w:rPr>
              <w:t>）投资者关</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系活动记录表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2017-005</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0"/>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投资者关系互动平台（</w:t>
            </w:r>
            <w:hyperlink r:id="rId14">
              <w:r>
                <w:rPr>
                  <w:rFonts w:ascii="Times New Roman" w:hAnsi="Times New Roman" w:cs="Times New Roman" w:eastAsia="Times New Roman" w:hint="default"/>
                  <w:spacing w:val="-1"/>
                  <w:sz w:val="18"/>
                  <w:szCs w:val="18"/>
                </w:rPr>
                <w:t>http://irm.p5w.net</w:t>
              </w:r>
            </w:hyperlink>
            <w:r>
              <w:rPr>
                <w:rFonts w:ascii="宋体" w:hAnsi="宋体" w:cs="宋体" w:eastAsia="宋体" w:hint="default"/>
                <w:spacing w:val="-1"/>
                <w:sz w:val="18"/>
                <w:szCs w:val="18"/>
              </w:rPr>
              <w:t>）投资者关</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系活动记录表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2017-006</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0"/>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投资者关系互动平台（</w:t>
            </w:r>
            <w:hyperlink r:id="rId14">
              <w:r>
                <w:rPr>
                  <w:rFonts w:ascii="Times New Roman" w:hAnsi="Times New Roman" w:cs="Times New Roman" w:eastAsia="Times New Roman" w:hint="default"/>
                  <w:spacing w:val="-1"/>
                  <w:sz w:val="18"/>
                  <w:szCs w:val="18"/>
                </w:rPr>
                <w:t>http://irm.p5w.net</w:t>
              </w:r>
            </w:hyperlink>
            <w:r>
              <w:rPr>
                <w:rFonts w:ascii="宋体" w:hAnsi="宋体" w:cs="宋体" w:eastAsia="宋体" w:hint="default"/>
                <w:spacing w:val="-1"/>
                <w:sz w:val="18"/>
                <w:szCs w:val="18"/>
              </w:rPr>
              <w:t>）投资者关</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系活动记录表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2017-007</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0"/>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投资者关系互动平台（</w:t>
            </w:r>
            <w:hyperlink r:id="rId14">
              <w:r>
                <w:rPr>
                  <w:rFonts w:ascii="Times New Roman" w:hAnsi="Times New Roman" w:cs="Times New Roman" w:eastAsia="Times New Roman" w:hint="default"/>
                  <w:spacing w:val="-1"/>
                  <w:sz w:val="18"/>
                  <w:szCs w:val="18"/>
                </w:rPr>
                <w:t>http://irm.p5w.net</w:t>
              </w:r>
            </w:hyperlink>
            <w:r>
              <w:rPr>
                <w:rFonts w:ascii="宋体" w:hAnsi="宋体" w:cs="宋体" w:eastAsia="宋体" w:hint="default"/>
                <w:spacing w:val="-1"/>
                <w:sz w:val="18"/>
                <w:szCs w:val="18"/>
              </w:rPr>
              <w:t>）投资者关</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系活动记录表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2017-008</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0"/>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投资者关系互动平台（</w:t>
            </w:r>
            <w:hyperlink r:id="rId14">
              <w:r>
                <w:rPr>
                  <w:rFonts w:ascii="Times New Roman" w:hAnsi="Times New Roman" w:cs="Times New Roman" w:eastAsia="Times New Roman" w:hint="default"/>
                  <w:spacing w:val="-1"/>
                  <w:sz w:val="18"/>
                  <w:szCs w:val="18"/>
                </w:rPr>
                <w:t>http://irm.p5w.net</w:t>
              </w:r>
            </w:hyperlink>
            <w:r>
              <w:rPr>
                <w:rFonts w:ascii="宋体" w:hAnsi="宋体" w:cs="宋体" w:eastAsia="宋体" w:hint="default"/>
                <w:spacing w:val="-1"/>
                <w:sz w:val="18"/>
                <w:szCs w:val="18"/>
              </w:rPr>
              <w:t>）投资者关</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系活动记录表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2017-009</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0"/>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投资者关系互动平台（</w:t>
            </w:r>
            <w:hyperlink r:id="rId14">
              <w:r>
                <w:rPr>
                  <w:rFonts w:ascii="Times New Roman" w:hAnsi="Times New Roman" w:cs="Times New Roman" w:eastAsia="Times New Roman" w:hint="default"/>
                  <w:spacing w:val="-1"/>
                  <w:sz w:val="18"/>
                  <w:szCs w:val="18"/>
                </w:rPr>
                <w:t>http://irm.p5w.net</w:t>
              </w:r>
            </w:hyperlink>
            <w:r>
              <w:rPr>
                <w:rFonts w:ascii="宋体" w:hAnsi="宋体" w:cs="宋体" w:eastAsia="宋体" w:hint="default"/>
                <w:spacing w:val="-1"/>
                <w:sz w:val="18"/>
                <w:szCs w:val="18"/>
              </w:rPr>
              <w:t>）投资者关</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系活动记录表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2017-010</w:t>
            </w:r>
          </w:p>
        </w:tc>
      </w:tr>
      <w:tr>
        <w:trPr>
          <w:trHeight w:val="715"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0"/>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投资者关系互动平台（</w:t>
            </w:r>
            <w:hyperlink r:id="rId14">
              <w:r>
                <w:rPr>
                  <w:rFonts w:ascii="Times New Roman" w:hAnsi="Times New Roman" w:cs="Times New Roman" w:eastAsia="Times New Roman" w:hint="default"/>
                  <w:spacing w:val="-1"/>
                  <w:sz w:val="18"/>
                  <w:szCs w:val="18"/>
                </w:rPr>
                <w:t>http://irm.p5w.net</w:t>
              </w:r>
            </w:hyperlink>
            <w:r>
              <w:rPr>
                <w:rFonts w:ascii="宋体" w:hAnsi="宋体" w:cs="宋体" w:eastAsia="宋体" w:hint="default"/>
                <w:spacing w:val="-1"/>
                <w:sz w:val="18"/>
                <w:szCs w:val="18"/>
              </w:rPr>
              <w:t>）投资者关</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系活动记录表</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2017-011</w:t>
            </w:r>
          </w:p>
        </w:tc>
      </w:tr>
    </w:tbl>
    <w:p>
      <w:pPr>
        <w:spacing w:after="0" w:line="30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2861"/>
        <w:jc w:val="center"/>
        <w:rPr>
          <w:b w:val="0"/>
          <w:bCs w:val="0"/>
        </w:rPr>
      </w:pPr>
      <w:bookmarkStart w:name="第五节 重要事项" w:id="60"/>
      <w:bookmarkEnd w:id="60"/>
      <w:r>
        <w:rPr>
          <w:b w:val="0"/>
          <w:bCs w:val="0"/>
        </w:rPr>
      </w:r>
      <w:bookmarkStart w:name="_bookmark3" w:id="61"/>
      <w:bookmarkEnd w:id="61"/>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2"/>
      <w:bookmarkEnd w:id="62"/>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412" w:lineRule="auto" w:before="117"/>
        <w:ind w:left="1493"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公司严格按照《公司章程》相关利润分配政策和审议程序实施利润分配方案，分红标准和分红比例明确清晰，相关的决</w:t>
      </w:r>
    </w:p>
    <w:p>
      <w:pPr>
        <w:pStyle w:val="BodyText"/>
        <w:spacing w:line="477" w:lineRule="auto" w:before="103"/>
        <w:ind w:right="1033"/>
        <w:jc w:val="left"/>
      </w:pPr>
      <w:r>
        <w:rPr/>
        <w:t>策程序和机制完备。公司利润分配方案须经由董事会、监事会审议通过，提交股东大会审议，并由独立董事发表独立意见， 审议通过后在规定时间内进行实施，切实保证了全体股东的利益。报告期内，公司实施了</w:t>
      </w:r>
      <w:r>
        <w:rPr>
          <w:rFonts w:ascii="Times New Roman" w:hAnsi="Times New Roman" w:cs="Times New Roman" w:eastAsia="Times New Roman" w:hint="default"/>
        </w:rPr>
        <w:t>2016</w:t>
      </w:r>
      <w:r>
        <w:rPr/>
        <w:t>年度利润分配方案。</w:t>
      </w:r>
    </w:p>
    <w:p>
      <w:pPr>
        <w:pStyle w:val="BodyText"/>
        <w:spacing w:line="451" w:lineRule="auto" w:before="21"/>
        <w:ind w:right="1130" w:firstLine="360"/>
        <w:jc w:val="both"/>
      </w:pPr>
      <w:r>
        <w:rPr>
          <w:rFonts w:ascii="Times New Roman" w:hAnsi="Times New Roman" w:cs="Times New Roman" w:eastAsia="Times New Roman" w:hint="default"/>
          <w:spacing w:val="-2"/>
        </w:rPr>
        <w:t>2016</w:t>
      </w:r>
      <w:r>
        <w:rPr>
          <w:spacing w:val="-2"/>
        </w:rPr>
        <w:t>年利润分配方案内容：以总股本</w:t>
      </w:r>
      <w:r>
        <w:rPr>
          <w:rFonts w:ascii="Times New Roman" w:hAnsi="Times New Roman" w:cs="Times New Roman" w:eastAsia="Times New Roman" w:hint="default"/>
          <w:spacing w:val="-2"/>
        </w:rPr>
        <w:t>84,000,000</w:t>
      </w:r>
      <w:r>
        <w:rPr>
          <w:spacing w:val="-2"/>
        </w:rPr>
        <w:t>股为基数向全体股东每</w:t>
      </w:r>
      <w:r>
        <w:rPr>
          <w:rFonts w:ascii="Times New Roman" w:hAnsi="Times New Roman" w:cs="Times New Roman" w:eastAsia="Times New Roman" w:hint="default"/>
          <w:spacing w:val="-2"/>
        </w:rPr>
        <w:t>10</w:t>
      </w:r>
      <w:r>
        <w:rPr>
          <w:spacing w:val="-2"/>
        </w:rPr>
        <w:t>股派发现金股利人民币</w:t>
      </w:r>
      <w:r>
        <w:rPr>
          <w:rFonts w:ascii="Times New Roman" w:hAnsi="Times New Roman" w:cs="Times New Roman" w:eastAsia="Times New Roman" w:hint="default"/>
          <w:spacing w:val="-2"/>
        </w:rPr>
        <w:t>6</w:t>
      </w:r>
      <w:r>
        <w:rPr>
          <w:spacing w:val="-2"/>
        </w:rPr>
        <w:t>元（含税），合计派发</w:t>
      </w:r>
      <w:r>
        <w:rPr/>
        <w:t> 现金</w:t>
      </w:r>
      <w:r>
        <w:rPr>
          <w:rFonts w:ascii="Times New Roman" w:hAnsi="Times New Roman" w:cs="Times New Roman" w:eastAsia="Times New Roman" w:hint="default"/>
        </w:rPr>
        <w:t>50,400,000.00</w:t>
      </w:r>
      <w:r>
        <w:rPr/>
        <w:t>元，不送红股，以资本公积转增股本，每</w:t>
      </w:r>
      <w:r>
        <w:rPr>
          <w:rFonts w:ascii="Times New Roman" w:hAnsi="Times New Roman" w:cs="Times New Roman" w:eastAsia="Times New Roman" w:hint="default"/>
        </w:rPr>
        <w:t>10</w:t>
      </w:r>
      <w:r>
        <w:rPr/>
        <w:t>股转增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股，合计转增</w:t>
      </w:r>
      <w:r>
        <w:rPr>
          <w:rFonts w:ascii="Times New Roman" w:hAnsi="Times New Roman" w:cs="Times New Roman" w:eastAsia="Times New Roman" w:hint="default"/>
        </w:rPr>
        <w:t>67,200,000</w:t>
      </w:r>
      <w:r>
        <w:rPr/>
        <w:t>股。详见巨潮资讯网《</w:t>
      </w:r>
      <w:r>
        <w:rPr>
          <w:rFonts w:ascii="Times New Roman" w:hAnsi="Times New Roman" w:cs="Times New Roman" w:eastAsia="Times New Roman" w:hint="default"/>
        </w:rPr>
        <w:t>2016 </w:t>
      </w:r>
      <w:r>
        <w:rPr/>
        <w:t>年年度权益分派实施的公告》（公告编号：</w:t>
      </w:r>
      <w:r>
        <w:rPr>
          <w:rFonts w:ascii="Times New Roman" w:hAnsi="Times New Roman" w:cs="Times New Roman" w:eastAsia="Times New Roman" w:hint="default"/>
        </w:rPr>
        <w:t>2017-036</w:t>
      </w:r>
      <w:r>
        <w:rPr/>
        <w:t>）。</w:t>
      </w:r>
    </w:p>
    <w:p>
      <w:pPr>
        <w:spacing w:line="240" w:lineRule="auto" w:before="5"/>
        <w:rPr>
          <w:rFonts w:ascii="宋体" w:hAnsi="宋体" w:cs="宋体" w:eastAsia="宋体" w:hint="default"/>
          <w:sz w:val="20"/>
          <w:szCs w:val="20"/>
        </w:rPr>
      </w:pPr>
    </w:p>
    <w:tbl>
      <w:tblPr>
        <w:tblW w:w="0" w:type="auto"/>
        <w:jc w:val="left"/>
        <w:tblInd w:w="114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left="1134" w:right="0"/>
        <w:jc w:val="left"/>
      </w:pPr>
      <w:r>
        <w:rPr/>
        <w:t>公司报告期利润分配预案及资本公积金转增股本预案与公司章程和分红管理办法等的相关规定一致</w:t>
      </w:r>
    </w:p>
    <w:p>
      <w:pPr>
        <w:pStyle w:val="BodyText"/>
        <w:spacing w:line="338" w:lineRule="auto" w:before="117"/>
        <w:ind w:right="42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公司报告期利润分配预案及资本公积金转增股本预案符合公司章程等的相关规定。</w:t>
      </w:r>
    </w:p>
    <w:p>
      <w:pPr>
        <w:pStyle w:val="BodyText"/>
        <w:spacing w:line="240" w:lineRule="auto" w:before="121"/>
        <w:ind w:right="0"/>
        <w:jc w:val="left"/>
      </w:pPr>
      <w:r>
        <w:rPr/>
        <w:t>本年度利润分配及资本公积金转增股本预案</w:t>
      </w:r>
    </w:p>
    <w:p>
      <w:pPr>
        <w:spacing w:line="240" w:lineRule="auto" w:before="12"/>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3769"/>
        <w:gridCol w:w="5932"/>
      </w:tblGrid>
      <w:tr>
        <w:trPr>
          <w:trHeight w:val="402" w:hRule="exact"/>
        </w:trPr>
        <w:tc>
          <w:tcPr>
            <w:tcW w:w="3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6" w:hRule="exact"/>
        </w:trPr>
        <w:tc>
          <w:tcPr>
            <w:tcW w:w="3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3.00</w:t>
            </w:r>
          </w:p>
        </w:tc>
      </w:tr>
      <w:tr>
        <w:trPr>
          <w:trHeight w:val="403" w:hRule="exact"/>
        </w:trPr>
        <w:tc>
          <w:tcPr>
            <w:tcW w:w="3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w:t>
            </w:r>
          </w:p>
        </w:tc>
      </w:tr>
      <w:tr>
        <w:trPr>
          <w:trHeight w:val="402" w:hRule="exact"/>
        </w:trPr>
        <w:tc>
          <w:tcPr>
            <w:tcW w:w="3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154,029,600</w:t>
            </w:r>
          </w:p>
        </w:tc>
      </w:tr>
      <w:tr>
        <w:trPr>
          <w:trHeight w:val="402" w:hRule="exact"/>
        </w:trPr>
        <w:tc>
          <w:tcPr>
            <w:tcW w:w="3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46,208,880.00</w:t>
            </w:r>
          </w:p>
        </w:tc>
      </w:tr>
      <w:tr>
        <w:trPr>
          <w:trHeight w:val="406" w:hRule="exact"/>
        </w:trPr>
        <w:tc>
          <w:tcPr>
            <w:tcW w:w="3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252,869,478.90</w:t>
            </w:r>
          </w:p>
        </w:tc>
      </w:tr>
      <w:tr>
        <w:trPr>
          <w:trHeight w:val="403" w:hRule="exact"/>
        </w:trPr>
        <w:tc>
          <w:tcPr>
            <w:tcW w:w="3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094" w:type="dxa"/>
        <w:tblLayout w:type="fixed"/>
        <w:tblCellMar>
          <w:top w:w="0" w:type="dxa"/>
          <w:left w:w="0" w:type="dxa"/>
          <w:bottom w:w="0" w:type="dxa"/>
          <w:right w:w="0" w:type="dxa"/>
        </w:tblCellMar>
        <w:tblLook w:val="01E0"/>
      </w:tblPr>
      <w:tblGrid>
        <w:gridCol w:w="9788"/>
      </w:tblGrid>
      <w:tr>
        <w:trPr>
          <w:trHeight w:val="402" w:hRule="exact"/>
        </w:trPr>
        <w:tc>
          <w:tcPr>
            <w:tcW w:w="9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7" w:hRule="exact"/>
        </w:trPr>
        <w:tc>
          <w:tcPr>
            <w:tcW w:w="9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77"/>
              <w:jc w:val="center"/>
              <w:rPr>
                <w:rFonts w:ascii="宋体" w:hAnsi="宋体" w:cs="宋体" w:eastAsia="宋体" w:hint="default"/>
                <w:sz w:val="18"/>
                <w:szCs w:val="18"/>
              </w:rPr>
            </w:pPr>
            <w:r>
              <w:rPr>
                <w:rFonts w:ascii="宋体" w:hAnsi="宋体" w:cs="宋体" w:eastAsia="宋体" w:hint="default"/>
                <w:sz w:val="18"/>
                <w:szCs w:val="18"/>
              </w:rPr>
              <w:t>公司发展阶段属成长期且有重大资金支出安排的，进行利润分配时，现金分红在本次利润分配中所占比例最低应达到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27" w:hRule="exact"/>
        </w:trPr>
        <w:tc>
          <w:tcPr>
            <w:tcW w:w="9788" w:type="dxa"/>
            <w:tcBorders>
              <w:top w:val="single" w:sz="4" w:space="0" w:color="000000"/>
              <w:left w:val="single" w:sz="4" w:space="0" w:color="000000"/>
              <w:bottom w:val="single" w:sz="24" w:space="0" w:color="000000"/>
              <w:right w:val="single" w:sz="4" w:space="0" w:color="000000"/>
            </w:tcBorders>
            <w:shd w:val="clear" w:color="auto" w:fill="D2D2D2"/>
          </w:tcPr>
          <w:p>
            <w:pPr>
              <w:pStyle w:val="TableParagraph"/>
              <w:spacing w:line="240" w:lineRule="auto" w:before="51"/>
              <w:ind w:right="17"/>
              <w:jc w:val="center"/>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2885" w:hRule="exact"/>
        </w:trPr>
        <w:tc>
          <w:tcPr>
            <w:tcW w:w="9788" w:type="dxa"/>
            <w:tcBorders>
              <w:top w:val="single" w:sz="24" w:space="0" w:color="000000"/>
              <w:left w:val="single" w:sz="4" w:space="0" w:color="000000"/>
              <w:bottom w:val="single" w:sz="4" w:space="0" w:color="000000"/>
              <w:right w:val="single" w:sz="4" w:space="0" w:color="000000"/>
            </w:tcBorders>
          </w:tcPr>
          <w:p>
            <w:pPr>
              <w:pStyle w:val="TableParagraph"/>
              <w:spacing w:line="240" w:lineRule="auto" w:before="110"/>
              <w:ind w:left="390" w:right="0"/>
              <w:jc w:val="left"/>
              <w:rPr>
                <w:rFonts w:ascii="宋体" w:hAnsi="宋体" w:cs="宋体" w:eastAsia="宋体" w:hint="default"/>
                <w:sz w:val="18"/>
                <w:szCs w:val="18"/>
              </w:rPr>
            </w:pPr>
            <w:r>
              <w:rPr>
                <w:rFonts w:ascii="宋体" w:hAnsi="宋体" w:cs="宋体" w:eastAsia="宋体" w:hint="default"/>
                <w:spacing w:val="-3"/>
                <w:sz w:val="18"/>
                <w:szCs w:val="18"/>
              </w:rPr>
              <w:t>经立信会计师事务所（特殊普通合伙）审计，截至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日，公司可供分配利润为 </w:t>
            </w:r>
            <w:r>
              <w:rPr>
                <w:rFonts w:ascii="Times New Roman" w:hAnsi="Times New Roman" w:cs="Times New Roman" w:eastAsia="Times New Roman" w:hint="default"/>
                <w:sz w:val="18"/>
                <w:szCs w:val="18"/>
              </w:rPr>
              <w:t>252,869,478.90</w:t>
            </w:r>
            <w:r>
              <w:rPr>
                <w:rFonts w:ascii="Times New Roman" w:hAnsi="Times New Roman" w:cs="Times New Roman" w:eastAsia="Times New Roman" w:hint="default"/>
                <w:spacing w:val="44"/>
                <w:sz w:val="18"/>
                <w:szCs w:val="18"/>
              </w:rPr>
              <w:t> </w:t>
            </w:r>
            <w:r>
              <w:rPr>
                <w:rFonts w:ascii="宋体" w:hAnsi="宋体" w:cs="宋体" w:eastAsia="宋体" w:hint="default"/>
                <w:spacing w:val="-6"/>
                <w:sz w:val="18"/>
                <w:szCs w:val="18"/>
              </w:rPr>
              <w:t>元，资</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本公积余额  </w:t>
            </w:r>
            <w:r>
              <w:rPr>
                <w:rFonts w:ascii="Times New Roman" w:hAnsi="Times New Roman" w:cs="Times New Roman" w:eastAsia="Times New Roman" w:hint="default"/>
                <w:sz w:val="18"/>
                <w:szCs w:val="18"/>
              </w:rPr>
              <w:t>342,084,642.27  </w:t>
            </w:r>
            <w:r>
              <w:rPr>
                <w:rFonts w:ascii="宋体" w:hAnsi="宋体" w:cs="宋体" w:eastAsia="宋体" w:hint="default"/>
                <w:spacing w:val="-10"/>
                <w:sz w:val="18"/>
                <w:szCs w:val="18"/>
              </w:rPr>
              <w:t>元。公司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年度利润分配拟以截至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日公司股本总数 </w:t>
            </w:r>
            <w:r>
              <w:rPr>
                <w:rFonts w:ascii="Times New Roman" w:hAnsi="Times New Roman" w:cs="Times New Roman" w:eastAsia="Times New Roman" w:hint="default"/>
                <w:sz w:val="18"/>
                <w:szCs w:val="18"/>
              </w:rPr>
              <w:t>154,029,600 </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股为</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基数，向全体股东每 </w:t>
            </w:r>
            <w:r>
              <w:rPr>
                <w:rFonts w:ascii="Times New Roman" w:hAnsi="Times New Roman" w:cs="Times New Roman" w:eastAsia="Times New Roman" w:hint="default"/>
                <w:sz w:val="18"/>
                <w:szCs w:val="18"/>
              </w:rPr>
              <w:t>10  </w:t>
            </w:r>
            <w:r>
              <w:rPr>
                <w:rFonts w:ascii="宋体" w:hAnsi="宋体" w:cs="宋体" w:eastAsia="宋体" w:hint="default"/>
                <w:sz w:val="18"/>
                <w:szCs w:val="18"/>
              </w:rPr>
              <w:t>股派送现金股利人民币 </w:t>
            </w:r>
            <w:r>
              <w:rPr>
                <w:rFonts w:ascii="Times New Roman" w:hAnsi="Times New Roman" w:cs="Times New Roman" w:eastAsia="Times New Roman" w:hint="default"/>
                <w:sz w:val="18"/>
                <w:szCs w:val="18"/>
              </w:rPr>
              <w:t>3.00  </w:t>
            </w:r>
            <w:r>
              <w:rPr>
                <w:rFonts w:ascii="宋体" w:hAnsi="宋体" w:cs="宋体" w:eastAsia="宋体" w:hint="default"/>
                <w:spacing w:val="-2"/>
                <w:sz w:val="18"/>
                <w:szCs w:val="18"/>
              </w:rPr>
              <w:t>元</w:t>
            </w:r>
            <w:r>
              <w:rPr>
                <w:rFonts w:ascii="宋体" w:hAnsi="宋体" w:cs="宋体" w:eastAsia="宋体" w:hint="default"/>
                <w:sz w:val="18"/>
                <w:szCs w:val="18"/>
              </w:rPr>
              <w:t>（含税</w:t>
            </w:r>
            <w:r>
              <w:rPr>
                <w:rFonts w:ascii="宋体" w:hAnsi="宋体" w:cs="宋体" w:eastAsia="宋体" w:hint="default"/>
                <w:spacing w:val="-90"/>
                <w:sz w:val="18"/>
                <w:szCs w:val="18"/>
              </w:rPr>
              <w:t>）</w:t>
            </w:r>
            <w:r>
              <w:rPr>
                <w:rFonts w:ascii="宋体" w:hAnsi="宋体" w:cs="宋体" w:eastAsia="宋体" w:hint="default"/>
                <w:sz w:val="18"/>
                <w:szCs w:val="18"/>
              </w:rPr>
              <w:t>， 合计派发现金股利</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46,208,88</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，剩余未分</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配利润结转以后年度；同时，以截至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日公司股本总数 </w:t>
            </w:r>
            <w:r>
              <w:rPr>
                <w:rFonts w:ascii="Times New Roman" w:hAnsi="Times New Roman" w:cs="Times New Roman" w:eastAsia="Times New Roman" w:hint="default"/>
                <w:sz w:val="18"/>
                <w:szCs w:val="18"/>
              </w:rPr>
              <w:t>154,029,600 </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股为基数，以资本公积转增股本，每</w:t>
            </w:r>
          </w:p>
          <w:p>
            <w:pPr>
              <w:pStyle w:val="TableParagraph"/>
              <w:spacing w:line="240" w:lineRule="auto" w:before="9"/>
              <w:ind w:right="0"/>
              <w:jc w:val="left"/>
              <w:rPr>
                <w:rFonts w:ascii="宋体" w:hAnsi="宋体" w:cs="宋体" w:eastAsia="宋体" w:hint="default"/>
                <w:sz w:val="16"/>
                <w:szCs w:val="16"/>
              </w:rPr>
            </w:pPr>
          </w:p>
          <w:p>
            <w:pPr>
              <w:pStyle w:val="TableParagraph"/>
              <w:spacing w:line="453" w:lineRule="auto"/>
              <w:ind w:left="30"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股转增 </w:t>
            </w:r>
            <w:r>
              <w:rPr>
                <w:rFonts w:ascii="Times New Roman" w:hAnsi="Times New Roman" w:cs="Times New Roman" w:eastAsia="Times New Roman" w:hint="default"/>
                <w:sz w:val="18"/>
                <w:szCs w:val="18"/>
              </w:rPr>
              <w:t>8 </w:t>
            </w:r>
            <w:r>
              <w:rPr>
                <w:rFonts w:ascii="宋体" w:hAnsi="宋体" w:cs="宋体" w:eastAsia="宋体" w:hint="default"/>
                <w:spacing w:val="-7"/>
                <w:sz w:val="18"/>
                <w:szCs w:val="18"/>
              </w:rPr>
              <w:t>股，合计转增 </w:t>
            </w:r>
            <w:r>
              <w:rPr>
                <w:rFonts w:ascii="Times New Roman" w:hAnsi="Times New Roman" w:cs="Times New Roman" w:eastAsia="Times New Roman" w:hint="default"/>
                <w:sz w:val="18"/>
                <w:szCs w:val="18"/>
              </w:rPr>
              <w:t>123,223,680 </w:t>
            </w:r>
            <w:r>
              <w:rPr>
                <w:rFonts w:ascii="宋体" w:hAnsi="宋体" w:cs="宋体" w:eastAsia="宋体" w:hint="default"/>
                <w:spacing w:val="-5"/>
                <w:sz w:val="18"/>
                <w:szCs w:val="18"/>
              </w:rPr>
              <w:t>股；本年度不送红股。本预案需提交公司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年度股东大会审议批准后方可实施， 若未来在权益分派实施时发生总股本变动的情况，则以分配总额不变的原则按比例进行调整。</w:t>
            </w:r>
          </w:p>
        </w:tc>
      </w:tr>
    </w:tbl>
    <w:p>
      <w:pPr>
        <w:pStyle w:val="BodyText"/>
        <w:spacing w:line="240" w:lineRule="auto" w:before="51"/>
        <w:ind w:left="1134"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spacing w:line="240" w:lineRule="auto" w:before="9"/>
        <w:rPr>
          <w:rFonts w:ascii="宋体" w:hAnsi="宋体" w:cs="宋体" w:eastAsia="宋体" w:hint="default"/>
          <w:sz w:val="13"/>
          <w:szCs w:val="13"/>
        </w:rPr>
      </w:pPr>
    </w:p>
    <w:p>
      <w:pPr>
        <w:pStyle w:val="BodyText"/>
        <w:spacing w:line="468" w:lineRule="auto"/>
        <w:ind w:right="0" w:firstLine="360"/>
        <w:jc w:val="left"/>
      </w:pPr>
      <w:r>
        <w:rPr>
          <w:rFonts w:ascii="Times New Roman" w:hAnsi="Times New Roman" w:cs="Times New Roman" w:eastAsia="Times New Roman" w:hint="default"/>
          <w:spacing w:val="-2"/>
        </w:rPr>
        <w:t>2015</w:t>
      </w:r>
      <w:r>
        <w:rPr>
          <w:spacing w:val="-2"/>
        </w:rPr>
        <w:t>年度利润分配方案：根据《证券承销与发行管理办法》第十七条规定，上市公司发行证券，存在利润分配方案、公</w:t>
      </w:r>
      <w:r>
        <w:rPr/>
        <w:t> </w:t>
      </w:r>
      <w:r>
        <w:rPr>
          <w:spacing w:val="-4"/>
        </w:rPr>
        <w:t>积金转增股本方案尚未提交股东大会表决或者虽经股东大会表决通过但未实施的，应当在方案实施后发行。相关方案实施前，</w:t>
      </w:r>
      <w:r>
        <w:rPr>
          <w:spacing w:val="-44"/>
        </w:rPr>
        <w:t> </w:t>
      </w:r>
      <w:r>
        <w:rPr>
          <w:spacing w:val="-44"/>
        </w:rPr>
      </w:r>
      <w:r>
        <w:rPr>
          <w:spacing w:val="-2"/>
        </w:rPr>
        <w:t>主承销商不得承销上市公司发行的证券。为不影响公司新股发行，公司股东大会决定不进行现金分红，不送红股，不以资本</w:t>
      </w:r>
      <w:r>
        <w:rPr>
          <w:spacing w:val="-66"/>
        </w:rPr>
        <w:t> </w:t>
      </w:r>
      <w:r>
        <w:rPr>
          <w:spacing w:val="-66"/>
        </w:rPr>
      </w:r>
      <w:r>
        <w:rPr/>
        <w:t>公积金转增股本。</w:t>
      </w:r>
    </w:p>
    <w:p>
      <w:pPr>
        <w:pStyle w:val="BodyText"/>
        <w:spacing w:line="451" w:lineRule="auto" w:before="101"/>
        <w:ind w:right="1130" w:firstLine="360"/>
        <w:jc w:val="both"/>
      </w:pPr>
      <w:r>
        <w:rPr>
          <w:rFonts w:ascii="Times New Roman" w:hAnsi="Times New Roman" w:cs="Times New Roman" w:eastAsia="Times New Roman" w:hint="default"/>
          <w:spacing w:val="-2"/>
        </w:rPr>
        <w:t>2016</w:t>
      </w:r>
      <w:r>
        <w:rPr>
          <w:spacing w:val="-2"/>
        </w:rPr>
        <w:t>年度利润分配方案：以总股本</w:t>
      </w:r>
      <w:r>
        <w:rPr>
          <w:rFonts w:ascii="Times New Roman" w:hAnsi="Times New Roman" w:cs="Times New Roman" w:eastAsia="Times New Roman" w:hint="default"/>
          <w:spacing w:val="-2"/>
        </w:rPr>
        <w:t>84,000,000</w:t>
      </w:r>
      <w:r>
        <w:rPr>
          <w:spacing w:val="-2"/>
        </w:rPr>
        <w:t>股为基数向全体股东每</w:t>
      </w:r>
      <w:r>
        <w:rPr>
          <w:rFonts w:ascii="Times New Roman" w:hAnsi="Times New Roman" w:cs="Times New Roman" w:eastAsia="Times New Roman" w:hint="default"/>
          <w:spacing w:val="-2"/>
        </w:rPr>
        <w:t>10</w:t>
      </w:r>
      <w:r>
        <w:rPr>
          <w:spacing w:val="-2"/>
        </w:rPr>
        <w:t>股派发现金股利人民币</w:t>
      </w:r>
      <w:r>
        <w:rPr>
          <w:rFonts w:ascii="Times New Roman" w:hAnsi="Times New Roman" w:cs="Times New Roman" w:eastAsia="Times New Roman" w:hint="default"/>
          <w:spacing w:val="-2"/>
        </w:rPr>
        <w:t>6</w:t>
      </w:r>
      <w:r>
        <w:rPr>
          <w:spacing w:val="-2"/>
        </w:rPr>
        <w:t>元（含税），合计派发现</w:t>
      </w:r>
      <w:r>
        <w:rPr/>
        <w:t> 金</w:t>
      </w:r>
      <w:r>
        <w:rPr>
          <w:rFonts w:ascii="Times New Roman" w:hAnsi="Times New Roman" w:cs="Times New Roman" w:eastAsia="Times New Roman" w:hint="default"/>
        </w:rPr>
        <w:t>50,400,000.00</w:t>
      </w:r>
      <w:r>
        <w:rPr/>
        <w:t>元，不送红股，以资本公积转增股本，每 </w:t>
      </w:r>
      <w:r>
        <w:rPr>
          <w:rFonts w:ascii="Times New Roman" w:hAnsi="Times New Roman" w:cs="Times New Roman" w:eastAsia="Times New Roman" w:hint="default"/>
        </w:rPr>
        <w:t>10 </w:t>
      </w:r>
      <w:r>
        <w:rPr/>
        <w:t>股转增 </w:t>
      </w:r>
      <w:r>
        <w:rPr>
          <w:rFonts w:ascii="Times New Roman" w:hAnsi="Times New Roman" w:cs="Times New Roman" w:eastAsia="Times New Roman" w:hint="default"/>
        </w:rPr>
        <w:t>8 </w:t>
      </w:r>
      <w:r>
        <w:rPr/>
        <w:t>股，合计转增</w:t>
      </w:r>
      <w:r>
        <w:rPr>
          <w:spacing w:val="-45"/>
        </w:rPr>
        <w:t> </w:t>
      </w:r>
      <w:r>
        <w:rPr>
          <w:rFonts w:ascii="Times New Roman" w:hAnsi="Times New Roman" w:cs="Times New Roman" w:eastAsia="Times New Roman" w:hint="default"/>
        </w:rPr>
        <w:t>67,200,000</w:t>
      </w:r>
      <w:r>
        <w:rPr/>
        <w:t>股。该利润分配方案已实施 完毕。</w:t>
      </w:r>
    </w:p>
    <w:p>
      <w:pPr>
        <w:pStyle w:val="BodyText"/>
        <w:spacing w:line="451" w:lineRule="auto" w:before="112"/>
        <w:ind w:right="1130" w:firstLine="360"/>
        <w:jc w:val="both"/>
      </w:pPr>
      <w:r>
        <w:rPr>
          <w:rFonts w:ascii="Times New Roman" w:hAnsi="Times New Roman" w:cs="Times New Roman" w:eastAsia="Times New Roman" w:hint="default"/>
          <w:spacing w:val="-3"/>
        </w:rPr>
        <w:t>2017</w:t>
      </w:r>
      <w:r>
        <w:rPr>
          <w:spacing w:val="-3"/>
        </w:rPr>
        <w:t>年度利润分配预案：以截至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日公司股本总数 </w:t>
      </w:r>
      <w:r>
        <w:rPr>
          <w:rFonts w:ascii="Times New Roman" w:hAnsi="Times New Roman" w:cs="Times New Roman" w:eastAsia="Times New Roman" w:hint="default"/>
        </w:rPr>
        <w:t>154,029,600 </w:t>
      </w:r>
      <w:r>
        <w:rPr>
          <w:spacing w:val="-4"/>
        </w:rPr>
        <w:t>股为基数，向全体股东每 </w:t>
      </w: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t>股派送现 金股利人民币 </w:t>
      </w:r>
      <w:r>
        <w:rPr>
          <w:rFonts w:ascii="Times New Roman" w:hAnsi="Times New Roman" w:cs="Times New Roman" w:eastAsia="Times New Roman" w:hint="default"/>
        </w:rPr>
        <w:t>3.00 </w:t>
      </w:r>
      <w:r>
        <w:rPr/>
        <w:t>元（含税），</w:t>
      </w:r>
      <w:r>
        <w:rPr>
          <w:spacing w:val="-44"/>
        </w:rPr>
        <w:t> </w:t>
      </w:r>
      <w:r>
        <w:rPr/>
        <w:t>合计派发现金股利</w:t>
      </w:r>
      <w:r>
        <w:rPr>
          <w:rFonts w:ascii="Times New Roman" w:hAnsi="Times New Roman" w:cs="Times New Roman" w:eastAsia="Times New Roman" w:hint="default"/>
        </w:rPr>
        <w:t>46,208,880.00</w:t>
      </w:r>
      <w:r>
        <w:rPr/>
        <w:t>元（含税），剩余未分配利润结转以后年度。同时，以截 至</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spacing w:val="-1"/>
        </w:rPr>
        <w:t>日公司股本总数</w:t>
      </w:r>
      <w:r>
        <w:rPr>
          <w:rFonts w:ascii="Times New Roman" w:hAnsi="Times New Roman" w:cs="Times New Roman" w:eastAsia="Times New Roman" w:hint="default"/>
          <w:spacing w:val="-1"/>
        </w:rPr>
        <w:t>154,029,600</w:t>
      </w:r>
      <w:r>
        <w:rPr>
          <w:rFonts w:ascii="Times New Roman" w:hAnsi="Times New Roman" w:cs="Times New Roman" w:eastAsia="Times New Roman" w:hint="default"/>
        </w:rPr>
        <w:t> </w:t>
      </w:r>
      <w:r>
        <w:rPr>
          <w:spacing w:val="-11"/>
        </w:rPr>
        <w:t>股为基数，以资本公积转增股本，每</w:t>
      </w:r>
      <w:r>
        <w:rPr/>
        <w:t> </w:t>
      </w:r>
      <w:r>
        <w:rPr>
          <w:rFonts w:ascii="Times New Roman" w:hAnsi="Times New Roman" w:cs="Times New Roman" w:eastAsia="Times New Roman" w:hint="default"/>
        </w:rPr>
        <w:t>10 </w:t>
      </w:r>
      <w:r>
        <w:rPr/>
        <w:t>股转增 </w:t>
      </w:r>
      <w:r>
        <w:rPr>
          <w:rFonts w:ascii="Times New Roman" w:hAnsi="Times New Roman" w:cs="Times New Roman" w:eastAsia="Times New Roman" w:hint="default"/>
        </w:rPr>
        <w:t>8 </w:t>
      </w:r>
      <w:r>
        <w:rPr>
          <w:spacing w:val="-14"/>
        </w:rPr>
        <w:t>股，合计转增</w:t>
      </w:r>
      <w:r>
        <w:rPr>
          <w:spacing w:val="17"/>
        </w:rPr>
        <w:t> </w:t>
      </w:r>
      <w:r>
        <w:rPr>
          <w:rFonts w:ascii="Times New Roman" w:hAnsi="Times New Roman" w:cs="Times New Roman" w:eastAsia="Times New Roman" w:hint="default"/>
          <w:spacing w:val="-1"/>
        </w:rPr>
        <w:t>123,223,680</w:t>
      </w:r>
      <w:r>
        <w:rPr>
          <w:rFonts w:ascii="Times New Roman" w:hAnsi="Times New Roman" w:cs="Times New Roman" w:eastAsia="Times New Roman" w:hint="default"/>
        </w:rPr>
        <w:t> </w:t>
      </w:r>
      <w:r>
        <w:rPr/>
        <w:t>股。本年度不送红股。</w:t>
      </w:r>
      <w:r>
        <w:rPr>
          <w:spacing w:val="-19"/>
        </w:rPr>
        <w:t> </w:t>
      </w:r>
      <w:r>
        <w:rPr/>
        <w:t>本预案尚需提交股东大会审议。</w:t>
      </w:r>
    </w:p>
    <w:p>
      <w:pPr>
        <w:spacing w:line="240" w:lineRule="auto" w:before="3"/>
        <w:rPr>
          <w:rFonts w:ascii="宋体" w:hAnsi="宋体" w:cs="宋体" w:eastAsia="宋体" w:hint="default"/>
          <w:sz w:val="26"/>
          <w:szCs w:val="26"/>
        </w:rPr>
      </w:pPr>
    </w:p>
    <w:p>
      <w:pPr>
        <w:pStyle w:val="BodyText"/>
        <w:spacing w:line="240" w:lineRule="auto" w:before="44"/>
        <w:ind w:right="0"/>
        <w:jc w:val="left"/>
      </w:pPr>
      <w:r>
        <w:rPr/>
        <w:t>公司近三年（包括本报告期）普通股现金分红情况表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585"/>
        <w:gridCol w:w="1594"/>
        <w:gridCol w:w="1773"/>
        <w:gridCol w:w="1842"/>
        <w:gridCol w:w="1168"/>
        <w:gridCol w:w="1595"/>
      </w:tblGrid>
      <w:tr>
        <w:trPr>
          <w:trHeight w:val="162" w:hRule="exact"/>
        </w:trPr>
        <w:tc>
          <w:tcPr>
            <w:tcW w:w="1585"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77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71" w:right="69"/>
              <w:jc w:val="center"/>
              <w:rPr>
                <w:rFonts w:ascii="宋体" w:hAnsi="宋体" w:cs="宋体" w:eastAsia="宋体" w:hint="default"/>
                <w:sz w:val="18"/>
                <w:szCs w:val="18"/>
              </w:rPr>
            </w:pPr>
            <w:r>
              <w:rPr>
                <w:rFonts w:ascii="宋体" w:hAnsi="宋体" w:cs="宋体" w:eastAsia="宋体" w:hint="default"/>
                <w:sz w:val="18"/>
                <w:szCs w:val="18"/>
              </w:rPr>
              <w:t>分红年度合并报表中 归属于上市公司普通 股股东的净利润</w:t>
            </w:r>
          </w:p>
        </w:tc>
        <w:tc>
          <w:tcPr>
            <w:tcW w:w="184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5" w:right="104"/>
              <w:jc w:val="center"/>
              <w:rPr>
                <w:rFonts w:ascii="宋体" w:hAnsi="宋体" w:cs="宋体" w:eastAsia="宋体" w:hint="default"/>
                <w:sz w:val="18"/>
                <w:szCs w:val="18"/>
              </w:rPr>
            </w:pPr>
            <w:r>
              <w:rPr>
                <w:rFonts w:ascii="宋体" w:hAnsi="宋体" w:cs="宋体" w:eastAsia="宋体" w:hint="default"/>
                <w:sz w:val="18"/>
                <w:szCs w:val="18"/>
              </w:rPr>
              <w:t>占合并报表中归属于 上市公司普通股股东 的净利润的比率</w:t>
            </w:r>
          </w:p>
        </w:tc>
        <w:tc>
          <w:tcPr>
            <w:tcW w:w="11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8" w:right="39"/>
              <w:jc w:val="left"/>
              <w:rPr>
                <w:rFonts w:ascii="宋体" w:hAnsi="宋体" w:cs="宋体" w:eastAsia="宋体" w:hint="default"/>
                <w:sz w:val="18"/>
                <w:szCs w:val="18"/>
              </w:rPr>
            </w:pPr>
            <w:r>
              <w:rPr>
                <w:rFonts w:ascii="宋体" w:hAnsi="宋体" w:cs="宋体" w:eastAsia="宋体" w:hint="default"/>
                <w:sz w:val="18"/>
                <w:szCs w:val="18"/>
              </w:rPr>
              <w:t>以其他方式现 金分红的金额</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156" w:hRule="exact"/>
        </w:trPr>
        <w:tc>
          <w:tcPr>
            <w:tcW w:w="1585"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773" w:type="dxa"/>
            <w:vMerge/>
            <w:tcBorders>
              <w:left w:val="single" w:sz="4" w:space="0" w:color="000000"/>
              <w:right w:val="single" w:sz="4" w:space="0" w:color="000000"/>
            </w:tcBorders>
            <w:shd w:val="clear" w:color="auto" w:fill="D2D2D2"/>
          </w:tcPr>
          <w:p>
            <w:pPr/>
          </w:p>
        </w:tc>
        <w:tc>
          <w:tcPr>
            <w:tcW w:w="1842" w:type="dxa"/>
            <w:vMerge/>
            <w:tcBorders>
              <w:left w:val="single" w:sz="4" w:space="0" w:color="000000"/>
              <w:right w:val="single" w:sz="4" w:space="0" w:color="000000"/>
            </w:tcBorders>
            <w:shd w:val="clear" w:color="auto" w:fill="D2D2D2"/>
          </w:tcPr>
          <w:p>
            <w:pPr/>
          </w:p>
        </w:tc>
        <w:tc>
          <w:tcPr>
            <w:tcW w:w="1168"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391" w:hRule="exact"/>
        </w:trPr>
        <w:tc>
          <w:tcPr>
            <w:tcW w:w="15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773" w:type="dxa"/>
            <w:vMerge/>
            <w:tcBorders>
              <w:left w:val="single" w:sz="4" w:space="0" w:color="000000"/>
              <w:right w:val="single" w:sz="4" w:space="0" w:color="000000"/>
            </w:tcBorders>
            <w:shd w:val="clear" w:color="auto" w:fill="D2D2D2"/>
          </w:tcPr>
          <w:p>
            <w:pPr/>
          </w:p>
        </w:tc>
        <w:tc>
          <w:tcPr>
            <w:tcW w:w="1842" w:type="dxa"/>
            <w:vMerge/>
            <w:tcBorders>
              <w:left w:val="single" w:sz="4" w:space="0" w:color="000000"/>
              <w:right w:val="single" w:sz="4" w:space="0" w:color="000000"/>
            </w:tcBorders>
            <w:shd w:val="clear" w:color="auto" w:fill="D2D2D2"/>
          </w:tcPr>
          <w:p>
            <w:pPr/>
          </w:p>
        </w:tc>
        <w:tc>
          <w:tcPr>
            <w:tcW w:w="1168"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85"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773" w:type="dxa"/>
            <w:vMerge/>
            <w:tcBorders>
              <w:left w:val="single" w:sz="4" w:space="0" w:color="000000"/>
              <w:right w:val="single" w:sz="4" w:space="0" w:color="000000"/>
            </w:tcBorders>
            <w:shd w:val="clear" w:color="auto" w:fill="D2D2D2"/>
          </w:tcPr>
          <w:p>
            <w:pPr/>
          </w:p>
        </w:tc>
        <w:tc>
          <w:tcPr>
            <w:tcW w:w="1842" w:type="dxa"/>
            <w:vMerge/>
            <w:tcBorders>
              <w:left w:val="single" w:sz="4" w:space="0" w:color="000000"/>
              <w:right w:val="single" w:sz="4" w:space="0" w:color="000000"/>
            </w:tcBorders>
            <w:shd w:val="clear" w:color="auto" w:fill="D2D2D2"/>
          </w:tcPr>
          <w:p>
            <w:pPr/>
          </w:p>
        </w:tc>
        <w:tc>
          <w:tcPr>
            <w:tcW w:w="1168"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61" w:hRule="exact"/>
        </w:trPr>
        <w:tc>
          <w:tcPr>
            <w:tcW w:w="1585"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773" w:type="dxa"/>
            <w:vMerge/>
            <w:tcBorders>
              <w:left w:val="single" w:sz="4" w:space="0" w:color="000000"/>
              <w:bottom w:val="single" w:sz="4" w:space="0" w:color="000000"/>
              <w:right w:val="single" w:sz="4" w:space="0" w:color="000000"/>
            </w:tcBorders>
            <w:shd w:val="clear" w:color="auto" w:fill="D2D2D2"/>
          </w:tcPr>
          <w:p>
            <w:pPr/>
          </w:p>
        </w:tc>
        <w:tc>
          <w:tcPr>
            <w:tcW w:w="1842" w:type="dxa"/>
            <w:vMerge/>
            <w:tcBorders>
              <w:left w:val="single" w:sz="4" w:space="0" w:color="000000"/>
              <w:bottom w:val="single" w:sz="4" w:space="0" w:color="000000"/>
              <w:right w:val="single" w:sz="4" w:space="0" w:color="000000"/>
            </w:tcBorders>
            <w:shd w:val="clear" w:color="auto" w:fill="D2D2D2"/>
          </w:tcPr>
          <w:p>
            <w:pPr/>
          </w:p>
        </w:tc>
        <w:tc>
          <w:tcPr>
            <w:tcW w:w="1168"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46,208,880.00</w:t>
            </w:r>
          </w:p>
        </w:tc>
        <w:tc>
          <w:tcPr>
            <w:tcW w:w="1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93,204,793.30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49.58%</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50,400,000.00</w:t>
            </w:r>
          </w:p>
        </w:tc>
        <w:tc>
          <w:tcPr>
            <w:tcW w:w="1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54,640,292.85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92.24%</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62,302,752.07</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公司报告期内盈利且母公司可供普通股股东分配利润为正但未提出普通股现金红利分配预案</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二、承诺事项履行情况" w:id="63"/>
      <w:bookmarkEnd w:id="63"/>
      <w:r>
        <w:rPr>
          <w:b w:val="0"/>
          <w:bCs w:val="0"/>
        </w:rPr>
      </w: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59" w:lineRule="auto"/>
        <w:ind w:right="0"/>
        <w:jc w:val="left"/>
        <w:rPr>
          <w:b w:val="0"/>
          <w:bCs w:val="0"/>
        </w:rPr>
      </w:pPr>
      <w:bookmarkStart w:name="1、公司实际控制人、股东、关联方、收购人以及公司等承诺相关方在报告期内履行完毕及" w:id="64"/>
      <w:bookmarkEnd w:id="64"/>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276"/>
        <w:gridCol w:w="2268"/>
        <w:gridCol w:w="852"/>
        <w:gridCol w:w="4110"/>
        <w:gridCol w:w="566"/>
        <w:gridCol w:w="578"/>
        <w:gridCol w:w="415"/>
      </w:tblGrid>
      <w:tr>
        <w:trPr>
          <w:trHeight w:val="317"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2268" w:type="dxa"/>
            <w:vMerge w:val="restart"/>
            <w:tcBorders>
              <w:top w:val="single" w:sz="4" w:space="0" w:color="000000"/>
              <w:left w:val="single" w:sz="4" w:space="0" w:color="000000"/>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4110" w:type="dxa"/>
            <w:vMerge w:val="restart"/>
            <w:tcBorders>
              <w:top w:val="single" w:sz="4" w:space="0" w:color="000000"/>
              <w:left w:val="single" w:sz="4" w:space="0" w:color="000000"/>
              <w:right w:val="single" w:sz="4" w:space="0" w:color="000000"/>
            </w:tcBorders>
            <w:shd w:val="clear" w:color="auto" w:fill="D2D2D2"/>
          </w:tcPr>
          <w:p>
            <w:pPr/>
          </w:p>
        </w:tc>
        <w:tc>
          <w:tcPr>
            <w:tcW w:w="56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1" w:right="113"/>
              <w:jc w:val="both"/>
              <w:rPr>
                <w:rFonts w:ascii="宋体" w:hAnsi="宋体" w:cs="宋体" w:eastAsia="宋体" w:hint="default"/>
                <w:sz w:val="18"/>
                <w:szCs w:val="18"/>
              </w:rPr>
            </w:pPr>
            <w:r>
              <w:rPr>
                <w:rFonts w:ascii="宋体" w:hAnsi="宋体" w:cs="宋体" w:eastAsia="宋体" w:hint="default"/>
                <w:sz w:val="18"/>
                <w:szCs w:val="18"/>
              </w:rPr>
              <w:t>履 行 情 况</w:t>
            </w:r>
          </w:p>
        </w:tc>
      </w:tr>
      <w:tr>
        <w:trPr>
          <w:trHeight w:val="156" w:hRule="exact"/>
        </w:trPr>
        <w:tc>
          <w:tcPr>
            <w:tcW w:w="1276" w:type="dxa"/>
            <w:vMerge/>
            <w:tcBorders>
              <w:left w:val="single" w:sz="4" w:space="0" w:color="000000"/>
              <w:bottom w:val="nil" w:sz="6" w:space="0" w:color="auto"/>
              <w:right w:val="single" w:sz="4" w:space="0" w:color="000000"/>
            </w:tcBorders>
            <w:shd w:val="clear" w:color="auto" w:fill="D2D2D2"/>
          </w:tcPr>
          <w:p>
            <w:pPr/>
          </w:p>
        </w:tc>
        <w:tc>
          <w:tcPr>
            <w:tcW w:w="2268"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4110" w:type="dxa"/>
            <w:vMerge/>
            <w:tcBorders>
              <w:left w:val="single" w:sz="4" w:space="0" w:color="000000"/>
              <w:bottom w:val="nil" w:sz="6" w:space="0" w:color="auto"/>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98" w:right="96"/>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5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03" w:right="103"/>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415" w:type="dxa"/>
            <w:vMerge/>
            <w:tcBorders>
              <w:left w:val="single" w:sz="4" w:space="0" w:color="000000"/>
              <w:right w:val="single" w:sz="4" w:space="0" w:color="000000"/>
            </w:tcBorders>
            <w:shd w:val="clear" w:color="auto" w:fill="D2D2D2"/>
          </w:tcPr>
          <w:p>
            <w:pPr/>
          </w:p>
        </w:tc>
      </w:tr>
      <w:tr>
        <w:trPr>
          <w:trHeight w:val="392" w:hRule="exact"/>
        </w:trPr>
        <w:tc>
          <w:tcPr>
            <w:tcW w:w="12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22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8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6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41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56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415" w:type="dxa"/>
            <w:vMerge/>
            <w:tcBorders>
              <w:left w:val="single" w:sz="4" w:space="0" w:color="000000"/>
              <w:right w:val="single" w:sz="4" w:space="0" w:color="000000"/>
            </w:tcBorders>
            <w:shd w:val="clear" w:color="auto" w:fill="D2D2D2"/>
          </w:tcPr>
          <w:p>
            <w:pPr/>
          </w:p>
        </w:tc>
      </w:tr>
      <w:tr>
        <w:trPr>
          <w:trHeight w:val="156" w:hRule="exact"/>
        </w:trPr>
        <w:tc>
          <w:tcPr>
            <w:tcW w:w="1276" w:type="dxa"/>
            <w:vMerge w:val="restart"/>
            <w:tcBorders>
              <w:top w:val="nil" w:sz="6" w:space="0" w:color="auto"/>
              <w:left w:val="single" w:sz="4" w:space="0" w:color="000000"/>
              <w:right w:val="single" w:sz="4" w:space="0" w:color="000000"/>
            </w:tcBorders>
            <w:shd w:val="clear" w:color="auto" w:fill="D2D2D2"/>
          </w:tcPr>
          <w:p>
            <w:pPr/>
          </w:p>
        </w:tc>
        <w:tc>
          <w:tcPr>
            <w:tcW w:w="2268" w:type="dxa"/>
            <w:vMerge w:val="restart"/>
            <w:tcBorders>
              <w:top w:val="nil" w:sz="6" w:space="0" w:color="auto"/>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4110" w:type="dxa"/>
            <w:vMerge w:val="restart"/>
            <w:tcBorders>
              <w:top w:val="nil" w:sz="6" w:space="0" w:color="auto"/>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bottom w:val="nil" w:sz="6" w:space="0" w:color="auto"/>
              <w:right w:val="single" w:sz="4" w:space="0" w:color="000000"/>
            </w:tcBorders>
            <w:shd w:val="clear" w:color="auto" w:fill="D2D2D2"/>
          </w:tcPr>
          <w:p>
            <w:pPr/>
          </w:p>
        </w:tc>
        <w:tc>
          <w:tcPr>
            <w:tcW w:w="415" w:type="dxa"/>
            <w:vMerge/>
            <w:tcBorders>
              <w:left w:val="single" w:sz="4" w:space="0" w:color="000000"/>
              <w:right w:val="single" w:sz="4" w:space="0" w:color="000000"/>
            </w:tcBorders>
            <w:shd w:val="clear" w:color="auto" w:fill="D2D2D2"/>
          </w:tcPr>
          <w:p>
            <w:pPr/>
          </w:p>
        </w:tc>
      </w:tr>
      <w:tr>
        <w:trPr>
          <w:trHeight w:val="317"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2268"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4110" w:type="dxa"/>
            <w:vMerge/>
            <w:tcBorders>
              <w:left w:val="single" w:sz="4" w:space="0" w:color="000000"/>
              <w:bottom w:val="single" w:sz="4" w:space="0" w:color="000000"/>
              <w:right w:val="single" w:sz="4" w:space="0" w:color="000000"/>
            </w:tcBorders>
            <w:shd w:val="clear" w:color="auto" w:fill="D2D2D2"/>
          </w:tcPr>
          <w:p>
            <w:pPr/>
          </w:p>
        </w:tc>
        <w:tc>
          <w:tcPr>
            <w:tcW w:w="56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8" w:type="dxa"/>
            <w:tcBorders>
              <w:top w:val="nil" w:sz="6" w:space="0" w:color="auto"/>
              <w:left w:val="single" w:sz="4" w:space="0" w:color="000000"/>
              <w:bottom w:val="single" w:sz="4" w:space="0" w:color="000000"/>
              <w:right w:val="single" w:sz="4" w:space="0" w:color="000000"/>
            </w:tcBorders>
            <w:shd w:val="clear" w:color="auto" w:fill="D2D2D2"/>
          </w:tcPr>
          <w:p>
            <w:pPr/>
          </w:p>
        </w:tc>
        <w:tc>
          <w:tcPr>
            <w:tcW w:w="415" w:type="dxa"/>
            <w:vMerge/>
            <w:tcBorders>
              <w:left w:val="single" w:sz="4" w:space="0" w:color="000000"/>
              <w:bottom w:val="single" w:sz="4" w:space="0" w:color="000000"/>
              <w:right w:val="single" w:sz="4" w:space="0" w:color="000000"/>
            </w:tcBorders>
            <w:shd w:val="clear" w:color="auto" w:fill="D2D2D2"/>
          </w:tcPr>
          <w:p>
            <w:pPr/>
          </w:p>
        </w:tc>
      </w:tr>
      <w:tr>
        <w:trPr>
          <w:trHeight w:val="1650"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72"/>
              <w:jc w:val="both"/>
              <w:rPr>
                <w:rFonts w:ascii="宋体" w:hAnsi="宋体" w:cs="宋体" w:eastAsia="宋体" w:hint="default"/>
                <w:sz w:val="18"/>
                <w:szCs w:val="18"/>
              </w:rPr>
            </w:pPr>
            <w:r>
              <w:rPr>
                <w:rFonts w:ascii="宋体" w:hAnsi="宋体" w:cs="宋体" w:eastAsia="宋体" w:hint="default"/>
                <w:sz w:val="18"/>
                <w:szCs w:val="18"/>
              </w:rPr>
              <w:t>邵健伟、邵健锋、深圳市华 锐丰投资合伙企业（有限合 伙）</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60" w:lineRule="auto"/>
              <w:ind w:left="24" w:right="96"/>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自今天国际股票上市之日起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 </w:t>
            </w:r>
            <w:r>
              <w:rPr>
                <w:rFonts w:ascii="宋体" w:hAnsi="宋体" w:cs="宋体" w:eastAsia="宋体" w:hint="default"/>
                <w:spacing w:val="-5"/>
                <w:sz w:val="18"/>
                <w:szCs w:val="18"/>
              </w:rPr>
              <w:t>个月内，本人</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企业不</w:t>
            </w:r>
            <w:r>
              <w:rPr>
                <w:rFonts w:ascii="宋体" w:hAnsi="宋体" w:cs="宋体" w:eastAsia="宋体" w:hint="default"/>
                <w:sz w:val="18"/>
                <w:szCs w:val="18"/>
              </w:rPr>
              <w:t> 转让或者委托他人管理本人</w:t>
            </w:r>
            <w:r>
              <w:rPr>
                <w:rFonts w:ascii="Times New Roman" w:hAnsi="Times New Roman" w:cs="Times New Roman" w:eastAsia="Times New Roman" w:hint="default"/>
                <w:sz w:val="18"/>
                <w:szCs w:val="18"/>
              </w:rPr>
              <w:t>/</w:t>
            </w:r>
            <w:r>
              <w:rPr>
                <w:rFonts w:ascii="宋体" w:hAnsi="宋体" w:cs="宋体" w:eastAsia="宋体" w:hint="default"/>
                <w:sz w:val="18"/>
                <w:szCs w:val="18"/>
              </w:rPr>
              <w:t>企业直接或间接持有的 </w:t>
            </w:r>
            <w:r>
              <w:rPr>
                <w:rFonts w:ascii="宋体" w:hAnsi="宋体" w:cs="宋体" w:eastAsia="宋体" w:hint="default"/>
                <w:spacing w:val="-4"/>
                <w:sz w:val="18"/>
                <w:szCs w:val="18"/>
              </w:rPr>
              <w:t>今天国际在首次公开发行前已发行的股份，也不由今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天国际回购本人</w:t>
            </w:r>
            <w:r>
              <w:rPr>
                <w:rFonts w:ascii="Times New Roman" w:hAnsi="Times New Roman" w:cs="Times New Roman" w:eastAsia="Times New Roman" w:hint="default"/>
                <w:sz w:val="18"/>
                <w:szCs w:val="18"/>
              </w:rPr>
              <w:t>/</w:t>
            </w:r>
            <w:r>
              <w:rPr>
                <w:rFonts w:ascii="宋体" w:hAnsi="宋体" w:cs="宋体" w:eastAsia="宋体" w:hint="default"/>
                <w:sz w:val="18"/>
                <w:szCs w:val="18"/>
              </w:rPr>
              <w:t>企业直接或间接持有的今天国际在 首次公开发行前已发行的股份。</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00" w:lineRule="auto"/>
              <w:ind w:left="22" w:right="139"/>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00"/>
              <w:jc w:val="both"/>
              <w:rPr>
                <w:rFonts w:ascii="宋体" w:hAnsi="宋体" w:cs="宋体" w:eastAsia="宋体" w:hint="default"/>
                <w:sz w:val="18"/>
                <w:szCs w:val="18"/>
              </w:rPr>
            </w:pPr>
            <w:r>
              <w:rPr>
                <w:rFonts w:ascii="宋体" w:hAnsi="宋体" w:cs="宋体" w:eastAsia="宋体" w:hint="default"/>
                <w:sz w:val="18"/>
                <w:szCs w:val="18"/>
              </w:rPr>
              <w:t>正 在 履 行</w:t>
            </w:r>
          </w:p>
        </w:tc>
      </w:tr>
      <w:tr>
        <w:trPr>
          <w:trHeight w:val="2898" w:hRule="exact"/>
        </w:trPr>
        <w:tc>
          <w:tcPr>
            <w:tcW w:w="1276" w:type="dxa"/>
            <w:vMerge/>
            <w:tcBorders>
              <w:left w:val="single" w:sz="4" w:space="0" w:color="000000"/>
              <w:right w:val="single" w:sz="4" w:space="0" w:color="000000"/>
            </w:tcBorders>
            <w:shd w:val="clear" w:color="auto" w:fill="D2D2D2"/>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
              <w:jc w:val="left"/>
              <w:rPr>
                <w:rFonts w:ascii="宋体" w:hAnsi="宋体" w:cs="宋体" w:eastAsia="宋体" w:hint="default"/>
                <w:sz w:val="18"/>
                <w:szCs w:val="18"/>
              </w:rPr>
            </w:pPr>
            <w:r>
              <w:rPr>
                <w:rFonts w:ascii="宋体" w:hAnsi="宋体" w:cs="宋体" w:eastAsia="宋体" w:hint="default"/>
                <w:sz w:val="18"/>
                <w:szCs w:val="18"/>
              </w:rPr>
              <w:t>陈伟国、皖江（芜湖）物流 </w:t>
            </w:r>
            <w:r>
              <w:rPr>
                <w:rFonts w:ascii="宋体" w:hAnsi="宋体" w:cs="宋体" w:eastAsia="宋体" w:hint="default"/>
                <w:spacing w:val="-7"/>
                <w:sz w:val="18"/>
                <w:szCs w:val="18"/>
              </w:rPr>
              <w:t>产业投资基金（有限合伙）、</w:t>
            </w:r>
            <w:r>
              <w:rPr>
                <w:rFonts w:ascii="宋体" w:hAnsi="宋体" w:cs="宋体" w:eastAsia="宋体" w:hint="default"/>
                <w:sz w:val="18"/>
                <w:szCs w:val="18"/>
              </w:rPr>
              <w:t> 深圳市盛桥创源投资合伙企 </w:t>
            </w:r>
            <w:r>
              <w:rPr>
                <w:rFonts w:ascii="宋体" w:hAnsi="宋体" w:cs="宋体" w:eastAsia="宋体" w:hint="default"/>
                <w:spacing w:val="-11"/>
                <w:sz w:val="18"/>
                <w:szCs w:val="18"/>
              </w:rPr>
              <w:t>业（有限合伙）、颜明霞、陈</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锦棣、深圳市新智丰投资合 </w:t>
            </w:r>
            <w:r>
              <w:rPr>
                <w:rFonts w:ascii="宋体" w:hAnsi="宋体" w:cs="宋体" w:eastAsia="宋体" w:hint="default"/>
                <w:spacing w:val="-10"/>
                <w:sz w:val="18"/>
                <w:szCs w:val="18"/>
              </w:rPr>
              <w:t>伙企业（有限合伙）、深圳市</w:t>
            </w:r>
            <w:r>
              <w:rPr>
                <w:rFonts w:ascii="宋体" w:hAnsi="宋体" w:cs="宋体" w:eastAsia="宋体" w:hint="default"/>
                <w:sz w:val="18"/>
                <w:szCs w:val="18"/>
              </w:rPr>
              <w:t> 金美华投资合伙企业（有限 </w:t>
            </w:r>
            <w:r>
              <w:rPr>
                <w:rFonts w:ascii="宋体" w:hAnsi="宋体" w:cs="宋体" w:eastAsia="宋体" w:hint="default"/>
                <w:spacing w:val="-8"/>
                <w:sz w:val="18"/>
                <w:szCs w:val="18"/>
              </w:rPr>
              <w:t>合伙）、巨丰企业管理咨询</w:t>
            </w:r>
          </w:p>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（深圳）有限公司、林宜生</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360" w:lineRule="auto"/>
              <w:ind w:left="24" w:right="96"/>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04" w:lineRule="auto"/>
              <w:ind w:left="22" w:right="23"/>
              <w:jc w:val="both"/>
              <w:rPr>
                <w:rFonts w:ascii="宋体" w:hAnsi="宋体" w:cs="宋体" w:eastAsia="宋体" w:hint="default"/>
                <w:sz w:val="18"/>
                <w:szCs w:val="18"/>
              </w:rPr>
            </w:pPr>
            <w:r>
              <w:rPr>
                <w:rFonts w:ascii="宋体" w:hAnsi="宋体" w:cs="宋体" w:eastAsia="宋体" w:hint="default"/>
                <w:sz w:val="18"/>
                <w:szCs w:val="18"/>
              </w:rPr>
              <w:t>自今天国际股票上市之日起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pacing w:val="-5"/>
                <w:sz w:val="18"/>
                <w:szCs w:val="18"/>
              </w:rPr>
              <w:t>个月内，本人</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企业不</w:t>
            </w:r>
            <w:r>
              <w:rPr>
                <w:rFonts w:ascii="宋体" w:hAnsi="宋体" w:cs="宋体" w:eastAsia="宋体" w:hint="default"/>
                <w:sz w:val="18"/>
                <w:szCs w:val="18"/>
              </w:rPr>
              <w:t> 转让或者委托他人管理本人</w:t>
            </w:r>
            <w:r>
              <w:rPr>
                <w:rFonts w:ascii="Times New Roman" w:hAnsi="Times New Roman" w:cs="Times New Roman" w:eastAsia="Times New Roman" w:hint="default"/>
                <w:sz w:val="18"/>
                <w:szCs w:val="18"/>
              </w:rPr>
              <w:t>/</w:t>
            </w:r>
            <w:r>
              <w:rPr>
                <w:rFonts w:ascii="宋体" w:hAnsi="宋体" w:cs="宋体" w:eastAsia="宋体" w:hint="default"/>
                <w:sz w:val="18"/>
                <w:szCs w:val="18"/>
              </w:rPr>
              <w:t>企业直接持有的今天国 </w:t>
            </w:r>
            <w:r>
              <w:rPr>
                <w:rFonts w:ascii="宋体" w:hAnsi="宋体" w:cs="宋体" w:eastAsia="宋体" w:hint="default"/>
                <w:spacing w:val="-4"/>
                <w:sz w:val="18"/>
                <w:szCs w:val="18"/>
              </w:rPr>
              <w:t>际在首次公开发行前已发行的股份，也不由今天国际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回购本人</w:t>
            </w:r>
            <w:r>
              <w:rPr>
                <w:rFonts w:ascii="Times New Roman" w:hAnsi="Times New Roman" w:cs="Times New Roman" w:eastAsia="Times New Roman" w:hint="default"/>
                <w:sz w:val="18"/>
                <w:szCs w:val="18"/>
              </w:rPr>
              <w:t>/</w:t>
            </w:r>
            <w:r>
              <w:rPr>
                <w:rFonts w:ascii="宋体" w:hAnsi="宋体" w:cs="宋体" w:eastAsia="宋体" w:hint="default"/>
                <w:sz w:val="18"/>
                <w:szCs w:val="18"/>
              </w:rPr>
              <w:t>企业直接持有的今天国际在首次公开发行 前已发行的股份。</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00" w:lineRule="auto"/>
              <w:ind w:left="22" w:right="139"/>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200"/>
              <w:jc w:val="both"/>
              <w:rPr>
                <w:rFonts w:ascii="宋体" w:hAnsi="宋体" w:cs="宋体" w:eastAsia="宋体" w:hint="default"/>
                <w:sz w:val="18"/>
                <w:szCs w:val="18"/>
              </w:rPr>
            </w:pPr>
            <w:r>
              <w:rPr>
                <w:rFonts w:ascii="宋体" w:hAnsi="宋体" w:cs="宋体" w:eastAsia="宋体" w:hint="default"/>
                <w:sz w:val="18"/>
                <w:szCs w:val="18"/>
              </w:rPr>
              <w:t>履 行 完 毕</w:t>
            </w:r>
          </w:p>
        </w:tc>
      </w:tr>
      <w:tr>
        <w:trPr>
          <w:trHeight w:val="124" w:hRule="exact"/>
        </w:trPr>
        <w:tc>
          <w:tcPr>
            <w:tcW w:w="1276" w:type="dxa"/>
            <w:vMerge/>
            <w:tcBorders>
              <w:left w:val="single" w:sz="4" w:space="0" w:color="000000"/>
              <w:bottom w:val="nil" w:sz="6" w:space="0" w:color="auto"/>
              <w:right w:val="single" w:sz="4" w:space="0" w:color="000000"/>
            </w:tcBorders>
            <w:shd w:val="clear" w:color="auto" w:fill="D2D2D2"/>
          </w:tcPr>
          <w:p>
            <w:pPr/>
          </w:p>
        </w:tc>
        <w:tc>
          <w:tcPr>
            <w:tcW w:w="2268"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邵健伟、邵健锋</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360" w:lineRule="auto"/>
              <w:ind w:left="24" w:right="96"/>
              <w:jc w:val="left"/>
              <w:rPr>
                <w:rFonts w:ascii="宋体" w:hAnsi="宋体" w:cs="宋体" w:eastAsia="宋体" w:hint="default"/>
                <w:sz w:val="18"/>
                <w:szCs w:val="18"/>
              </w:rPr>
            </w:pPr>
            <w:r>
              <w:rPr>
                <w:rFonts w:ascii="宋体" w:hAnsi="宋体" w:cs="宋体" w:eastAsia="宋体" w:hint="default"/>
                <w:sz w:val="18"/>
                <w:szCs w:val="18"/>
              </w:rPr>
              <w:t>股份减持 承诺</w:t>
            </w:r>
          </w:p>
        </w:tc>
        <w:tc>
          <w:tcPr>
            <w:tcW w:w="41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314" w:lineRule="auto"/>
              <w:ind w:left="22" w:right="22"/>
              <w:jc w:val="left"/>
              <w:rPr>
                <w:rFonts w:ascii="宋体" w:hAnsi="宋体" w:cs="宋体" w:eastAsia="宋体" w:hint="default"/>
                <w:sz w:val="18"/>
                <w:szCs w:val="18"/>
              </w:rPr>
            </w:pPr>
            <w:r>
              <w:rPr>
                <w:rFonts w:ascii="宋体" w:hAnsi="宋体" w:cs="宋体" w:eastAsia="宋体" w:hint="default"/>
                <w:spacing w:val="-4"/>
                <w:sz w:val="18"/>
                <w:szCs w:val="18"/>
              </w:rPr>
              <w:t>对于本人在本次发行前持有的公司股份，本人将严格</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遵守已做出的关于所持公司股份流通限制及自愿锁 </w:t>
            </w:r>
            <w:r>
              <w:rPr>
                <w:rFonts w:ascii="宋体" w:hAnsi="宋体" w:cs="宋体" w:eastAsia="宋体" w:hint="default"/>
                <w:spacing w:val="-4"/>
                <w:sz w:val="18"/>
                <w:szCs w:val="18"/>
              </w:rPr>
              <w:t>定的承诺，在限售期内，不出售本次发行前持有的公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司股份。限售期届满后的两年内，本人将根据自身需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要选择集中竞价、大宗交易及协议转让等法律、法规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规定的方式减持，每年减持的比例不超过本人持有公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，减持价格不低于本次发行时的 </w:t>
            </w:r>
            <w:r>
              <w:rPr>
                <w:rFonts w:ascii="宋体" w:hAnsi="宋体" w:cs="宋体" w:eastAsia="宋体" w:hint="default"/>
                <w:spacing w:val="-4"/>
                <w:sz w:val="18"/>
                <w:szCs w:val="18"/>
              </w:rPr>
              <w:t>发行价格（公司上市后发生除权除息事项的，减持价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格做相应调整，下同）。今天国际上市后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个月内，</w:t>
            </w:r>
          </w:p>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如今天国际股票连续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个交易日的收盘价均低于首</w:t>
            </w:r>
          </w:p>
          <w:p>
            <w:pPr>
              <w:pStyle w:val="TableParagraph"/>
              <w:spacing w:line="309" w:lineRule="auto" w:before="63"/>
              <w:ind w:left="22" w:right="22"/>
              <w:jc w:val="left"/>
              <w:rPr>
                <w:rFonts w:ascii="宋体" w:hAnsi="宋体" w:cs="宋体" w:eastAsia="宋体" w:hint="default"/>
                <w:sz w:val="18"/>
                <w:szCs w:val="18"/>
              </w:rPr>
            </w:pPr>
            <w:r>
              <w:rPr>
                <w:rFonts w:ascii="宋体" w:hAnsi="宋体" w:cs="宋体" w:eastAsia="宋体" w:hint="default"/>
                <w:spacing w:val="-6"/>
                <w:sz w:val="18"/>
                <w:szCs w:val="18"/>
              </w:rPr>
              <w:t>次公开发行的发行价，或者上市后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个月期末收盘价 </w:t>
            </w:r>
            <w:r>
              <w:rPr>
                <w:rFonts w:ascii="宋体" w:hAnsi="宋体" w:cs="宋体" w:eastAsia="宋体" w:hint="default"/>
                <w:spacing w:val="-4"/>
                <w:sz w:val="18"/>
                <w:szCs w:val="18"/>
              </w:rPr>
              <w:t>低于首次公开发行的发行价，本人持有的今天国际首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次公开发行股票前已发行的股票将在上述锁定期限 届满后自动延长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pacing w:val="-6"/>
                <w:sz w:val="18"/>
                <w:szCs w:val="18"/>
              </w:rPr>
              <w:t>个月的锁定期。本人不会因职务变</w:t>
            </w:r>
            <w:r>
              <w:rPr>
                <w:rFonts w:ascii="宋体" w:hAnsi="宋体" w:cs="宋体" w:eastAsia="宋体" w:hint="default"/>
                <w:sz w:val="18"/>
                <w:szCs w:val="18"/>
              </w:rPr>
              <w:t> 更、离职等原因而放弃履行上述承诺。</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300" w:lineRule="auto"/>
              <w:ind w:left="22" w:right="139"/>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w:t>
            </w:r>
          </w:p>
        </w:tc>
        <w:tc>
          <w:tcPr>
            <w:tcW w:w="41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2" w:right="200"/>
              <w:jc w:val="both"/>
              <w:rPr>
                <w:rFonts w:ascii="宋体" w:hAnsi="宋体" w:cs="宋体" w:eastAsia="宋体" w:hint="default"/>
                <w:sz w:val="18"/>
                <w:szCs w:val="18"/>
              </w:rPr>
            </w:pPr>
            <w:r>
              <w:rPr>
                <w:rFonts w:ascii="宋体" w:hAnsi="宋体" w:cs="宋体" w:eastAsia="宋体" w:hint="default"/>
                <w:sz w:val="18"/>
                <w:szCs w:val="18"/>
              </w:rPr>
              <w:t>正 在 履 行</w:t>
            </w:r>
          </w:p>
        </w:tc>
      </w:tr>
      <w:tr>
        <w:trPr>
          <w:trHeight w:val="1016" w:hRule="exact"/>
        </w:trPr>
        <w:tc>
          <w:tcPr>
            <w:tcW w:w="12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首次公开发行 或再融资时所 作承诺</w:t>
            </w:r>
          </w:p>
        </w:tc>
        <w:tc>
          <w:tcPr>
            <w:tcW w:w="2268" w:type="dxa"/>
            <w:vMerge/>
            <w:tcBorders>
              <w:left w:val="single" w:sz="9" w:space="0" w:color="D2D2D2"/>
              <w:right w:val="single" w:sz="4" w:space="0" w:color="000000"/>
            </w:tcBorders>
          </w:tcPr>
          <w:p>
            <w:pPr/>
          </w:p>
        </w:tc>
        <w:tc>
          <w:tcPr>
            <w:tcW w:w="852" w:type="dxa"/>
            <w:vMerge/>
            <w:tcBorders>
              <w:left w:val="single" w:sz="4" w:space="0" w:color="000000"/>
              <w:right w:val="single" w:sz="4" w:space="0" w:color="000000"/>
            </w:tcBorders>
          </w:tcPr>
          <w:p>
            <w:pPr/>
          </w:p>
        </w:tc>
        <w:tc>
          <w:tcPr>
            <w:tcW w:w="41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415" w:type="dxa"/>
            <w:vMerge/>
            <w:tcBorders>
              <w:left w:val="single" w:sz="4" w:space="0" w:color="000000"/>
              <w:right w:val="single" w:sz="4" w:space="0" w:color="000000"/>
            </w:tcBorders>
          </w:tcPr>
          <w:p>
            <w:pPr/>
          </w:p>
        </w:tc>
      </w:tr>
      <w:tr>
        <w:trPr>
          <w:trHeight w:val="4672" w:hRule="exact"/>
        </w:trPr>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268" w:type="dxa"/>
            <w:vMerge/>
            <w:tcBorders>
              <w:left w:val="single" w:sz="9" w:space="0" w:color="D2D2D2"/>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4110"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415"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10"/>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979" w:top="1060" w:bottom="1160" w:left="0" w:right="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6"/>
          <w:szCs w:val="26"/>
        </w:rPr>
      </w:pPr>
    </w:p>
    <w:p>
      <w:pPr>
        <w:pStyle w:val="BodyText"/>
        <w:spacing w:line="240" w:lineRule="auto"/>
        <w:ind w:left="0" w:right="0"/>
        <w:jc w:val="right"/>
      </w:pPr>
      <w:r>
        <w:rPr/>
        <w:t>陈伟国</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3"/>
          <w:szCs w:val="13"/>
        </w:rPr>
      </w:pPr>
    </w:p>
    <w:p>
      <w:pPr>
        <w:pStyle w:val="BodyText"/>
        <w:spacing w:line="357" w:lineRule="auto"/>
        <w:ind w:left="852" w:right="-20"/>
        <w:jc w:val="left"/>
      </w:pPr>
      <w:r>
        <w:rPr/>
        <w:t>股份减持 承诺</w:t>
      </w:r>
    </w:p>
    <w:p>
      <w:pPr>
        <w:pStyle w:val="BodyText"/>
        <w:spacing w:line="316" w:lineRule="auto" w:before="44"/>
        <w:ind w:left="91" w:right="2280"/>
        <w:jc w:val="left"/>
      </w:pPr>
      <w:r>
        <w:rPr>
          <w:spacing w:val="-4"/>
        </w:rPr>
        <w:br w:type="column"/>
      </w:r>
      <w:r>
        <w:rPr>
          <w:spacing w:val="-4"/>
        </w:rPr>
        <w:t>对于本人在本次发行前持有的公司股份，本人将严格</w:t>
      </w:r>
      <w:r>
        <w:rPr>
          <w:spacing w:val="-85"/>
        </w:rPr>
        <w:t> </w:t>
      </w:r>
      <w:r>
        <w:rPr>
          <w:spacing w:val="-85"/>
        </w:rPr>
      </w:r>
      <w:r>
        <w:rPr/>
        <w:t>遵守已做出的关于所持公司股份流通限制及自愿锁 </w:t>
      </w:r>
      <w:r>
        <w:rPr>
          <w:spacing w:val="-4"/>
        </w:rPr>
        <w:t>定的承诺，在限售期内，不出售本次发行前持有的公</w:t>
      </w:r>
      <w:r>
        <w:rPr>
          <w:spacing w:val="-86"/>
        </w:rPr>
        <w:t> </w:t>
      </w:r>
      <w:r>
        <w:rPr>
          <w:spacing w:val="-86"/>
        </w:rPr>
      </w:r>
      <w:r>
        <w:rPr>
          <w:spacing w:val="-4"/>
        </w:rPr>
        <w:t>司股份。限售期届满后的两年内，本人将根据自身需</w:t>
      </w:r>
      <w:r>
        <w:rPr>
          <w:spacing w:val="-86"/>
        </w:rPr>
        <w:t> </w:t>
      </w:r>
      <w:r>
        <w:rPr>
          <w:spacing w:val="-86"/>
        </w:rPr>
      </w:r>
      <w:r>
        <w:rPr>
          <w:spacing w:val="-4"/>
        </w:rPr>
        <w:t>要选择集中竞价、大宗交易及协议转让等法律、法规</w:t>
      </w:r>
      <w:r>
        <w:rPr>
          <w:spacing w:val="-86"/>
        </w:rPr>
        <w:t> </w:t>
      </w:r>
      <w:r>
        <w:rPr>
          <w:spacing w:val="-86"/>
        </w:rPr>
      </w:r>
      <w:r>
        <w:rPr>
          <w:spacing w:val="-4"/>
        </w:rPr>
        <w:t>规定的方式减持，每年减持的比例不超过本人持有公</w:t>
      </w:r>
      <w:r>
        <w:rPr>
          <w:spacing w:val="-85"/>
        </w:rPr>
        <w:t> </w:t>
      </w:r>
      <w:r>
        <w:rPr>
          <w:spacing w:val="-85"/>
        </w:rPr>
      </w:r>
      <w:r>
        <w:rPr/>
        <w:t>司股份总数的</w:t>
      </w:r>
      <w:r>
        <w:rPr>
          <w:spacing w:val="-46"/>
        </w:rPr>
        <w:t> </w:t>
      </w:r>
      <w:r>
        <w:rPr>
          <w:rFonts w:ascii="Times New Roman" w:hAnsi="Times New Roman" w:cs="Times New Roman" w:eastAsia="Times New Roman" w:hint="default"/>
        </w:rPr>
        <w:t>20%</w:t>
      </w:r>
      <w:r>
        <w:rPr/>
        <w:t>，减持价格不低于本次发行时的 </w:t>
      </w:r>
      <w:r>
        <w:rPr>
          <w:spacing w:val="-4"/>
        </w:rPr>
        <w:t>发行价格。公司上市后发生除权除息事项的，减持价</w:t>
      </w:r>
      <w:r>
        <w:rPr>
          <w:spacing w:val="-86"/>
        </w:rPr>
        <w:t> </w:t>
      </w:r>
      <w:r>
        <w:rPr>
          <w:spacing w:val="-86"/>
        </w:rPr>
      </w:r>
      <w:r>
        <w:rPr/>
        <w:t>格做相应调整。</w:t>
      </w:r>
    </w:p>
    <w:p>
      <w:pPr>
        <w:spacing w:after="0" w:line="316" w:lineRule="auto"/>
        <w:jc w:val="left"/>
        <w:sectPr>
          <w:type w:val="continuous"/>
          <w:pgSz w:w="11910" w:h="16840"/>
          <w:pgMar w:top="1060" w:bottom="1160" w:left="0" w:right="0"/>
          <w:cols w:num="3" w:equalWidth="0">
            <w:col w:w="3815" w:space="40"/>
            <w:col w:w="1573" w:space="40"/>
            <w:col w:w="6442"/>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9"/>
          <w:szCs w:val="19"/>
        </w:rPr>
      </w:pPr>
    </w:p>
    <w:p>
      <w:pPr>
        <w:pStyle w:val="BodyText"/>
        <w:spacing w:line="240" w:lineRule="auto"/>
        <w:ind w:left="0" w:right="0"/>
        <w:jc w:val="right"/>
      </w:pPr>
      <w:r>
        <w:rPr/>
        <w:t>邵健伟</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3"/>
          <w:szCs w:val="13"/>
        </w:rPr>
      </w:pPr>
    </w:p>
    <w:p>
      <w:pPr>
        <w:pStyle w:val="BodyText"/>
        <w:spacing w:line="319" w:lineRule="auto"/>
        <w:ind w:left="852" w:right="0"/>
        <w:jc w:val="both"/>
      </w:pPr>
      <w:r>
        <w:rPr/>
        <w:t>避免同业 竞争的承 诺</w:t>
      </w:r>
    </w:p>
    <w:p>
      <w:pPr>
        <w:pStyle w:val="BodyText"/>
        <w:spacing w:line="319" w:lineRule="auto" w:before="107"/>
        <w:ind w:left="91" w:right="2280"/>
        <w:jc w:val="left"/>
      </w:pPr>
      <w:r>
        <w:rPr/>
        <w:br w:type="column"/>
      </w:r>
      <w:r>
        <w:rPr/>
        <w:t>本人及本人控制的其它企业目前未从事与公司有竞 </w:t>
      </w:r>
      <w:r>
        <w:rPr>
          <w:spacing w:val="-4"/>
        </w:rPr>
        <w:t>争或可能构成竞争的任何业务。本人及本人控制的其</w:t>
      </w:r>
      <w:r>
        <w:rPr>
          <w:spacing w:val="-85"/>
        </w:rPr>
        <w:t> </w:t>
      </w:r>
      <w:r>
        <w:rPr>
          <w:spacing w:val="-85"/>
        </w:rPr>
      </w:r>
      <w:r>
        <w:rPr/>
        <w:t>它企业不会直接或间接从事与公司的产品或业务相 </w:t>
      </w:r>
      <w:r>
        <w:rPr>
          <w:spacing w:val="-4"/>
        </w:rPr>
        <w:t>竞争或可能构成竞争的任何活动。对于本人及本人控</w:t>
      </w:r>
      <w:r>
        <w:rPr>
          <w:spacing w:val="-85"/>
        </w:rPr>
        <w:t> </w:t>
      </w:r>
      <w:r>
        <w:rPr>
          <w:spacing w:val="-85"/>
        </w:rPr>
      </w:r>
      <w:r>
        <w:rPr>
          <w:spacing w:val="-4"/>
        </w:rPr>
        <w:t>制的其它企业将来以收购、兼并或其他方式增加的与</w:t>
      </w:r>
      <w:r>
        <w:rPr>
          <w:spacing w:val="-85"/>
        </w:rPr>
        <w:t> </w:t>
      </w:r>
      <w:r>
        <w:rPr>
          <w:spacing w:val="-85"/>
        </w:rPr>
      </w:r>
      <w:r>
        <w:rPr/>
        <w:t>公司的产品或业务相竞争或可能构成竞争的任何资 产、业务，公司有优先购买该等资产、业务的权益 本人及本人控制的其它企业拟出售或转让其任何与 </w:t>
      </w:r>
      <w:r>
        <w:rPr>
          <w:spacing w:val="-4"/>
        </w:rPr>
        <w:t>公司的产品或业务相关的任何资产、业务时，公司有</w:t>
      </w:r>
      <w:r>
        <w:rPr>
          <w:spacing w:val="-86"/>
        </w:rPr>
        <w:t> </w:t>
      </w:r>
      <w:r>
        <w:rPr>
          <w:spacing w:val="-86"/>
        </w:rPr>
      </w:r>
      <w:r>
        <w:rPr/>
        <w:t>优先购买该等资产、业务的权益。如违反上述承诺 本人同意承担给公司造成的全部损失。</w:t>
      </w:r>
    </w:p>
    <w:p>
      <w:pPr>
        <w:spacing w:after="0" w:line="319" w:lineRule="auto"/>
        <w:jc w:val="left"/>
        <w:sectPr>
          <w:type w:val="continuous"/>
          <w:pgSz w:w="11910" w:h="16840"/>
          <w:pgMar w:top="1060" w:bottom="1160" w:left="0" w:right="0"/>
          <w:cols w:num="3" w:equalWidth="0">
            <w:col w:w="3815" w:space="40"/>
            <w:col w:w="1573" w:space="40"/>
            <w:col w:w="6442"/>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5"/>
          <w:szCs w:val="25"/>
        </w:rPr>
      </w:pPr>
    </w:p>
    <w:p>
      <w:pPr>
        <w:pStyle w:val="BodyText"/>
        <w:spacing w:line="319" w:lineRule="auto"/>
        <w:ind w:left="2438" w:right="-20"/>
        <w:jc w:val="left"/>
      </w:pPr>
      <w:r>
        <w:rPr/>
        <w:t>张小麒、梁建平、徐峰、张 永清、刘成凯</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5"/>
          <w:szCs w:val="25"/>
        </w:rPr>
      </w:pPr>
    </w:p>
    <w:p>
      <w:pPr>
        <w:pStyle w:val="BodyText"/>
        <w:spacing w:line="319" w:lineRule="auto"/>
        <w:ind w:left="67" w:right="-19"/>
        <w:jc w:val="left"/>
      </w:pPr>
      <w:r>
        <w:rPr/>
        <w:t>股份减持 承诺</w:t>
      </w:r>
    </w:p>
    <w:p>
      <w:pPr>
        <w:pStyle w:val="BodyText"/>
        <w:spacing w:line="312" w:lineRule="auto" w:before="106"/>
        <w:ind w:left="91" w:right="-19"/>
        <w:jc w:val="left"/>
      </w:pPr>
      <w:r>
        <w:rPr/>
        <w:br w:type="column"/>
      </w:r>
      <w:r>
        <w:rPr/>
        <w:t>如本人在上述锁定期届满后两年内减持今天国际首 </w:t>
      </w:r>
      <w:r>
        <w:rPr>
          <w:spacing w:val="-4"/>
        </w:rPr>
        <w:t>次公开发行股票前已发行的股票，减持价格不低于首</w:t>
      </w:r>
      <w:r>
        <w:rPr>
          <w:spacing w:val="-85"/>
        </w:rPr>
        <w:t> </w:t>
      </w:r>
      <w:r>
        <w:rPr>
          <w:spacing w:val="-85"/>
        </w:rPr>
      </w:r>
      <w:r>
        <w:rPr>
          <w:spacing w:val="-4"/>
        </w:rPr>
        <w:t>次公开发行的发行价（今天国际上市后发生除权、除</w:t>
      </w:r>
      <w:r>
        <w:rPr>
          <w:spacing w:val="-86"/>
        </w:rPr>
        <w:t> </w:t>
      </w:r>
      <w:r>
        <w:rPr>
          <w:spacing w:val="-86"/>
        </w:rPr>
      </w:r>
      <w:r>
        <w:rPr>
          <w:spacing w:val="-4"/>
        </w:rPr>
        <w:t>息事项的，发行价格作相应调整，下同）；今天国际</w:t>
      </w:r>
      <w:r>
        <w:rPr/>
        <w:t> 上市后</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个月内，如今天国际股票连续</w:t>
      </w:r>
      <w:r>
        <w:rPr>
          <w:spacing w:val="-46"/>
        </w:rPr>
        <w:t> </w:t>
      </w:r>
      <w:r>
        <w:rPr>
          <w:rFonts w:ascii="Times New Roman" w:hAnsi="Times New Roman" w:cs="Times New Roman" w:eastAsia="Times New Roman" w:hint="default"/>
        </w:rPr>
        <w:t>20 </w:t>
      </w:r>
      <w:r>
        <w:rPr/>
        <w:t>个交易日 </w:t>
      </w:r>
      <w:r>
        <w:rPr>
          <w:spacing w:val="-4"/>
        </w:rPr>
        <w:t>的收盘价均低于首次公开发行的发行价，或者上市后</w:t>
      </w:r>
      <w:r>
        <w:rPr>
          <w:spacing w:val="-85"/>
        </w:rPr>
        <w:t> </w:t>
      </w:r>
      <w:r>
        <w:rPr>
          <w:spacing w:val="-85"/>
        </w:rPr>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spacing w:val="-2"/>
        </w:rPr>
        <w:t>个月期末收盘价低于首次公开发行的发行价，本人</w:t>
      </w:r>
      <w:r>
        <w:rPr/>
        <w:t> 持有的今天国际首次公开发行股票前已发行的股票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2"/>
          <w:szCs w:val="22"/>
        </w:rPr>
      </w:pPr>
    </w:p>
    <w:p>
      <w:pPr>
        <w:pStyle w:val="BodyText"/>
        <w:spacing w:line="240" w:lineRule="auto"/>
        <w:ind w:left="16" w:right="-19"/>
        <w:jc w:val="left"/>
        <w:rPr>
          <w:rFonts w:ascii="Times New Roman" w:hAnsi="Times New Roman" w:cs="Times New Roman" w:eastAsia="Times New Roman" w:hint="default"/>
        </w:rPr>
      </w:pPr>
      <w:r>
        <w:rPr/>
        <w:pict>
          <v:shape style="position:absolute;margin-left:482.040009pt;margin-top:-380.437653pt;width:69.4pt;height:321.05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66"/>
                    <w:gridCol w:w="578"/>
                    <w:gridCol w:w="243"/>
                  </w:tblGrid>
                  <w:tr>
                    <w:trPr>
                      <w:trHeight w:val="1455" w:hRule="exact"/>
                    </w:trPr>
                    <w:tc>
                      <w:tcPr>
                        <w:tcW w:w="56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5"/>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tc>
                    <w:tc>
                      <w:tcPr>
                        <w:tcW w:w="5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24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7" w:right="33"/>
                          <w:jc w:val="left"/>
                          <w:rPr>
                            <w:rFonts w:ascii="宋体" w:hAnsi="宋体" w:cs="宋体" w:eastAsia="宋体" w:hint="default"/>
                            <w:sz w:val="18"/>
                            <w:szCs w:val="18"/>
                          </w:rPr>
                        </w:pPr>
                        <w:r>
                          <w:rPr>
                            <w:rFonts w:ascii="宋体" w:hAnsi="宋体" w:cs="宋体" w:eastAsia="宋体" w:hint="default"/>
                            <w:sz w:val="18"/>
                            <w:szCs w:val="18"/>
                          </w:rPr>
                          <w:t>正 在</w:t>
                        </w:r>
                      </w:p>
                    </w:tc>
                  </w:tr>
                  <w:tr>
                    <w:trPr>
                      <w:trHeight w:val="1444" w:hRule="exact"/>
                    </w:trPr>
                    <w:tc>
                      <w:tcPr>
                        <w:tcW w:w="566" w:type="dxa"/>
                        <w:tcBorders>
                          <w:top w:val="nil" w:sz="6" w:space="0" w:color="auto"/>
                          <w:left w:val="nil" w:sz="6" w:space="0" w:color="auto"/>
                          <w:bottom w:val="nil" w:sz="6" w:space="0" w:color="auto"/>
                          <w:right w:val="nil" w:sz="6" w:space="0" w:color="auto"/>
                        </w:tcBorders>
                      </w:tcPr>
                      <w:p>
                        <w:pPr>
                          <w:pStyle w:val="TableParagraph"/>
                          <w:spacing w:line="240" w:lineRule="auto" w:before="5"/>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78" w:type="dxa"/>
                        <w:tcBorders>
                          <w:top w:val="nil" w:sz="6" w:space="0" w:color="auto"/>
                          <w:left w:val="nil" w:sz="6" w:space="0" w:color="auto"/>
                          <w:bottom w:val="nil" w:sz="6" w:space="0" w:color="auto"/>
                          <w:right w:val="nil" w:sz="6" w:space="0" w:color="auto"/>
                        </w:tcBorders>
                      </w:tcPr>
                      <w:p>
                        <w:pPr>
                          <w:pStyle w:val="TableParagraph"/>
                          <w:spacing w:line="240" w:lineRule="auto" w:before="7"/>
                          <w:ind w:left="27" w:right="0"/>
                          <w:jc w:val="left"/>
                          <w:rPr>
                            <w:rFonts w:ascii="宋体" w:hAnsi="宋体" w:cs="宋体" w:eastAsia="宋体" w:hint="default"/>
                            <w:sz w:val="18"/>
                            <w:szCs w:val="18"/>
                          </w:rPr>
                        </w:pPr>
                        <w:r>
                          <w:rPr>
                            <w:rFonts w:ascii="宋体" w:hAnsi="宋体" w:cs="宋体" w:eastAsia="宋体" w:hint="default"/>
                            <w:sz w:val="18"/>
                            <w:szCs w:val="18"/>
                          </w:rPr>
                          <w:t>月</w:t>
                        </w:r>
                      </w:p>
                    </w:tc>
                    <w:tc>
                      <w:tcPr>
                        <w:tcW w:w="243" w:type="dxa"/>
                        <w:tcBorders>
                          <w:top w:val="nil" w:sz="6" w:space="0" w:color="auto"/>
                          <w:left w:val="nil" w:sz="6" w:space="0" w:color="auto"/>
                          <w:bottom w:val="nil" w:sz="6" w:space="0" w:color="auto"/>
                          <w:right w:val="nil" w:sz="6" w:space="0" w:color="auto"/>
                        </w:tcBorders>
                      </w:tcPr>
                      <w:p>
                        <w:pPr>
                          <w:pStyle w:val="TableParagraph"/>
                          <w:spacing w:line="319" w:lineRule="auto" w:before="5"/>
                          <w:ind w:left="27" w:right="33"/>
                          <w:jc w:val="left"/>
                          <w:rPr>
                            <w:rFonts w:ascii="宋体" w:hAnsi="宋体" w:cs="宋体" w:eastAsia="宋体" w:hint="default"/>
                            <w:sz w:val="18"/>
                            <w:szCs w:val="18"/>
                          </w:rPr>
                        </w:pPr>
                        <w:r>
                          <w:rPr>
                            <w:rFonts w:ascii="宋体" w:hAnsi="宋体" w:cs="宋体" w:eastAsia="宋体" w:hint="default"/>
                            <w:sz w:val="18"/>
                            <w:szCs w:val="18"/>
                          </w:rPr>
                          <w:t>履 行</w:t>
                        </w:r>
                      </w:p>
                    </w:tc>
                  </w:tr>
                  <w:tr>
                    <w:trPr>
                      <w:trHeight w:val="3522" w:hRule="exact"/>
                    </w:trPr>
                    <w:tc>
                      <w:tcPr>
                        <w:tcW w:w="1387" w:type="dxa"/>
                        <w:gridSpan w:val="3"/>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tabs>
                            <w:tab w:pos="1172" w:val="left" w:leader="none"/>
                          </w:tabs>
                          <w:spacing w:line="240" w:lineRule="auto"/>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tab/>
                        </w:r>
                        <w:r>
                          <w:rPr>
                            <w:rFonts w:ascii="宋体" w:hAnsi="宋体" w:cs="宋体" w:eastAsia="宋体" w:hint="default"/>
                            <w:sz w:val="18"/>
                            <w:szCs w:val="18"/>
                          </w:rPr>
                          <w:t>正</w:t>
                        </w:r>
                      </w:p>
                      <w:p>
                        <w:pPr>
                          <w:pStyle w:val="TableParagraph"/>
                          <w:tabs>
                            <w:tab w:pos="1172" w:val="left" w:leader="none"/>
                          </w:tabs>
                          <w:spacing w:line="314" w:lineRule="exact" w:before="22"/>
                          <w:ind w:left="27" w:right="33"/>
                          <w:jc w:val="left"/>
                          <w:rPr>
                            <w:rFonts w:ascii="宋体" w:hAnsi="宋体" w:cs="宋体" w:eastAsia="宋体"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08 </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长期</w:t>
                          <w:tab/>
                          <w:t>在 月 </w:t>
                        </w:r>
                        <w:r>
                          <w:rPr>
                            <w:rFonts w:ascii="Times New Roman" w:hAnsi="Times New Roman" w:cs="Times New Roman" w:eastAsia="Times New Roman" w:hint="default"/>
                            <w:sz w:val="18"/>
                            <w:szCs w:val="18"/>
                          </w:rPr>
                          <w:t>18 </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有效</w:t>
                          <w:tab/>
                          <w:t>履</w:t>
                        </w:r>
                      </w:p>
                      <w:p>
                        <w:pPr>
                          <w:pStyle w:val="TableParagraph"/>
                          <w:spacing w:line="78"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tabs>
                            <w:tab w:pos="1172" w:val="left" w:leader="none"/>
                          </w:tabs>
                          <w:spacing w:line="196" w:lineRule="exact"/>
                          <w:ind w:left="27" w:right="0"/>
                          <w:jc w:val="left"/>
                          <w:rPr>
                            <w:rFonts w:ascii="宋体" w:hAnsi="宋体" w:cs="宋体" w:eastAsia="宋体" w:hint="default"/>
                            <w:sz w:val="18"/>
                            <w:szCs w:val="18"/>
                          </w:rPr>
                        </w:pPr>
                        <w:r>
                          <w:rPr>
                            <w:rFonts w:ascii="宋体" w:hAnsi="宋体" w:cs="宋体" w:eastAsia="宋体" w:hint="default"/>
                            <w:sz w:val="18"/>
                            <w:szCs w:val="18"/>
                          </w:rPr>
                          <w:t>日</w:t>
                          <w:tab/>
                          <w:t>行</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w:t>
                        </w:r>
                      </w:p>
                    </w:tc>
                  </w:tr>
                </w:tbl>
                <w:p>
                  <w:pPr/>
                </w:p>
              </w:txbxContent>
            </v:textbox>
            <w10:wrap type="none"/>
          </v:shape>
        </w:pict>
      </w:r>
      <w:r>
        <w:rPr>
          <w:rFonts w:ascii="Times New Roman"/>
        </w:rPr>
        <w:t>2016</w:t>
      </w:r>
    </w:p>
    <w:p>
      <w:pPr>
        <w:pStyle w:val="BodyText"/>
        <w:spacing w:line="240" w:lineRule="auto" w:before="65"/>
        <w:ind w:left="16" w:right="-19"/>
        <w:jc w:val="left"/>
        <w:rPr>
          <w:rFonts w:ascii="Times New Roman" w:hAnsi="Times New Roman" w:cs="Times New Roman" w:eastAsia="Times New Roman" w:hint="default"/>
        </w:rPr>
      </w:pPr>
      <w:r>
        <w:rPr/>
        <w:t>年</w:t>
      </w:r>
      <w:r>
        <w:rPr>
          <w:spacing w:val="-46"/>
        </w:rPr>
        <w:t> </w:t>
      </w:r>
      <w:r>
        <w:rPr>
          <w:rFonts w:ascii="Times New Roman" w:hAnsi="Times New Roman" w:cs="Times New Roman" w:eastAsia="Times New Roman" w:hint="default"/>
        </w:rPr>
        <w:t>08</w:t>
      </w:r>
    </w:p>
    <w:p>
      <w:pPr>
        <w:pStyle w:val="BodyText"/>
        <w:spacing w:line="240" w:lineRule="auto" w:before="63"/>
        <w:ind w:left="16" w:right="-19"/>
        <w:jc w:val="left"/>
        <w:rPr>
          <w:rFonts w:ascii="Times New Roman" w:hAnsi="Times New Roman" w:cs="Times New Roman" w:eastAsia="Times New Roman" w:hint="default"/>
        </w:rPr>
      </w:pPr>
      <w:r>
        <w:rPr/>
        <w:t>月</w:t>
      </w:r>
      <w:r>
        <w:rPr>
          <w:spacing w:val="-46"/>
        </w:rPr>
        <w:t> </w:t>
      </w:r>
      <w:r>
        <w:rPr>
          <w:rFonts w:ascii="Times New Roman" w:hAnsi="Times New Roman" w:cs="Times New Roman" w:eastAsia="Times New Roman" w:hint="default"/>
        </w:rPr>
        <w:t>18</w:t>
      </w:r>
    </w:p>
    <w:p>
      <w:pPr>
        <w:pStyle w:val="BodyText"/>
        <w:spacing w:line="240" w:lineRule="auto" w:before="64"/>
        <w:ind w:left="16" w:right="-19"/>
        <w:jc w:val="left"/>
      </w:pP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9"/>
          <w:szCs w:val="19"/>
        </w:rPr>
      </w:pPr>
    </w:p>
    <w:p>
      <w:pPr>
        <w:pStyle w:val="BodyText"/>
        <w:spacing w:line="240" w:lineRule="auto"/>
        <w:ind w:left="681" w:right="891"/>
        <w:jc w:val="center"/>
      </w:pPr>
      <w:r>
        <w:rPr/>
        <w:t>正</w:t>
      </w:r>
    </w:p>
    <w:p>
      <w:pPr>
        <w:pStyle w:val="BodyText"/>
        <w:spacing w:line="240" w:lineRule="auto" w:before="76"/>
        <w:ind w:left="121" w:right="0"/>
        <w:jc w:val="left"/>
      </w:pPr>
      <w:r>
        <w:rPr>
          <w:rFonts w:ascii="Times New Roman" w:hAnsi="Times New Roman" w:cs="Times New Roman" w:eastAsia="Times New Roman" w:hint="default"/>
        </w:rPr>
        <w:t>36 </w:t>
      </w:r>
      <w:r>
        <w:rPr/>
        <w:t>个</w:t>
      </w:r>
      <w:r>
        <w:rPr>
          <w:spacing w:val="83"/>
        </w:rPr>
        <w:t> </w:t>
      </w:r>
      <w:r>
        <w:rPr/>
        <w:t>在</w:t>
      </w:r>
    </w:p>
    <w:p>
      <w:pPr>
        <w:pStyle w:val="BodyText"/>
        <w:tabs>
          <w:tab w:pos="700" w:val="left" w:leader="none"/>
        </w:tabs>
        <w:spacing w:line="240" w:lineRule="auto" w:before="64"/>
        <w:ind w:left="121" w:right="0"/>
        <w:jc w:val="left"/>
      </w:pPr>
      <w:r>
        <w:rPr/>
        <w:t>月</w:t>
        <w:tab/>
        <w:t>履</w:t>
      </w:r>
    </w:p>
    <w:p>
      <w:pPr>
        <w:pStyle w:val="BodyText"/>
        <w:spacing w:line="240" w:lineRule="auto" w:before="76"/>
        <w:ind w:left="681" w:right="891"/>
        <w:jc w:val="center"/>
      </w:pPr>
      <w:r>
        <w:rPr/>
        <w:t>行</w:t>
      </w:r>
    </w:p>
    <w:p>
      <w:pPr>
        <w:spacing w:after="0" w:line="240" w:lineRule="auto"/>
        <w:jc w:val="center"/>
        <w:sectPr>
          <w:type w:val="continuous"/>
          <w:pgSz w:w="11910" w:h="16840"/>
          <w:pgMar w:top="1060" w:bottom="1160" w:left="0" w:right="0"/>
          <w:cols w:num="5" w:equalWidth="0">
            <w:col w:w="4599" w:space="40"/>
            <w:col w:w="788" w:space="40"/>
            <w:col w:w="4145" w:space="40"/>
            <w:col w:w="422" w:space="40"/>
            <w:col w:w="1796"/>
          </w:cols>
        </w:sectPr>
      </w:pPr>
    </w:p>
    <w:p>
      <w:pPr>
        <w:pStyle w:val="BodyText"/>
        <w:spacing w:line="309" w:lineRule="auto" w:before="22"/>
        <w:ind w:left="5558" w:right="2190"/>
        <w:jc w:val="left"/>
      </w:pPr>
      <w:r>
        <w:rPr/>
        <w:t>将在上述锁定期限届满后自动延长</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个月的锁定期。 </w:t>
      </w:r>
      <w:r>
        <w:rPr>
          <w:spacing w:val="-4"/>
        </w:rPr>
        <w:t>本人不会因职务变更、离职等原因而放弃履行上述承</w:t>
      </w:r>
      <w:r>
        <w:rPr>
          <w:spacing w:val="-85"/>
        </w:rPr>
        <w:t> </w:t>
      </w:r>
      <w:r>
        <w:rPr>
          <w:spacing w:val="-85"/>
        </w:rPr>
      </w:r>
      <w:r>
        <w:rPr/>
        <w:t>诺。</w:t>
      </w:r>
    </w:p>
    <w:p>
      <w:pPr>
        <w:spacing w:line="240" w:lineRule="auto" w:before="12"/>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type w:val="continuous"/>
          <w:pgSz w:w="11910" w:h="16840"/>
          <w:pgMar w:top="1060" w:bottom="1160" w:left="0" w:right="0"/>
        </w:sectPr>
      </w:pPr>
    </w:p>
    <w:p>
      <w:pPr>
        <w:spacing w:line="240" w:lineRule="auto" w:before="0"/>
        <w:rPr>
          <w:rFonts w:ascii="宋体" w:hAnsi="宋体" w:cs="宋体" w:eastAsia="宋体" w:hint="default"/>
          <w:sz w:val="18"/>
          <w:szCs w:val="18"/>
        </w:rPr>
      </w:pPr>
      <w:r>
        <w:rPr/>
        <w:pict>
          <v:group style="position:absolute;margin-left:56.459999pt;margin-top:71.759979pt;width:503.85pt;height:681.7pt;mso-position-horizontal-relative:page;mso-position-vertical-relative:page;z-index:-881080" coordorigin="1129,1435" coordsize="10077,13634">
            <v:group style="position:absolute;left:1139;top:1450;width:1267;height:2889" coordorigin="1139,1450" coordsize="1267,2889">
              <v:shape style="position:absolute;left:1139;top:1450;width:1267;height:2889" coordorigin="1139,1450" coordsize="1267,2889" path="m1139,4338l2405,4338,2405,1450,1139,1450,1139,4338xe" filled="true" fillcolor="#d2d2d2" stroked="false">
                <v:path arrowok="t"/>
                <v:fill type="solid"/>
              </v:shape>
            </v:group>
            <v:group style="position:absolute;left:1139;top:1445;width:1267;height:2" coordorigin="1139,1445" coordsize="1267,2">
              <v:shape style="position:absolute;left:1139;top:1445;width:1267;height:2" coordorigin="1139,1445" coordsize="1267,0" path="m1139,1445l2405,1445e" filled="false" stroked="true" strokeweight=".48pt" strokecolor="#000000">
                <v:path arrowok="t"/>
              </v:shape>
            </v:group>
            <v:group style="position:absolute;left:2415;top:1445;width:2259;height:2" coordorigin="2415,1445" coordsize="2259,2">
              <v:shape style="position:absolute;left:2415;top:1445;width:2259;height:2" coordorigin="2415,1445" coordsize="2259,0" path="m2415,1445l4673,1445e" filled="false" stroked="true" strokeweight=".48pt" strokecolor="#000000">
                <v:path arrowok="t"/>
              </v:shape>
            </v:group>
            <v:group style="position:absolute;left:4683;top:1445;width:843;height:2" coordorigin="4683,1445" coordsize="843,2">
              <v:shape style="position:absolute;left:4683;top:1445;width:843;height:2" coordorigin="4683,1445" coordsize="843,0" path="m4683,1445l5526,1445e" filled="false" stroked="true" strokeweight=".48pt" strokecolor="#000000">
                <v:path arrowok="t"/>
              </v:shape>
            </v:group>
            <v:group style="position:absolute;left:5535;top:1445;width:4101;height:2" coordorigin="5535,1445" coordsize="4101,2">
              <v:shape style="position:absolute;left:5535;top:1445;width:4101;height:2" coordorigin="5535,1445" coordsize="4101,0" path="m5535,1445l9636,1445e" filled="false" stroked="true" strokeweight=".48pt" strokecolor="#000000">
                <v:path arrowok="t"/>
              </v:shape>
            </v:group>
            <v:group style="position:absolute;left:9646;top:1445;width:557;height:2" coordorigin="9646,1445" coordsize="557,2">
              <v:shape style="position:absolute;left:9646;top:1445;width:557;height:2" coordorigin="9646,1445" coordsize="557,0" path="m9646,1445l10202,1445e" filled="false" stroked="true" strokeweight=".48pt" strokecolor="#000000">
                <v:path arrowok="t"/>
              </v:shape>
            </v:group>
            <v:group style="position:absolute;left:10212;top:1445;width:569;height:2" coordorigin="10212,1445" coordsize="569,2">
              <v:shape style="position:absolute;left:10212;top:1445;width:569;height:2" coordorigin="10212,1445" coordsize="569,0" path="m10212,1445l10781,1445e" filled="false" stroked="true" strokeweight=".48pt" strokecolor="#000000">
                <v:path arrowok="t"/>
              </v:shape>
            </v:group>
            <v:group style="position:absolute;left:10790;top:1445;width:406;height:2" coordorigin="10790,1445" coordsize="406,2">
              <v:shape style="position:absolute;left:10790;top:1445;width:406;height:2" coordorigin="10790,1445" coordsize="406,0" path="m10790,1445l11196,1445e" filled="false" stroked="true" strokeweight=".48pt" strokecolor="#000000">
                <v:path arrowok="t"/>
              </v:shape>
            </v:group>
            <v:group style="position:absolute;left:1139;top:4338;width:1267;height:3522" coordorigin="1139,4338" coordsize="1267,3522">
              <v:shape style="position:absolute;left:1139;top:4338;width:1267;height:3522" coordorigin="1139,4338" coordsize="1267,3522" path="m1139,7860l2405,7860,2405,4338,1139,4338,1139,7860xe" filled="true" fillcolor="#d2d2d2" stroked="false">
                <v:path arrowok="t"/>
                <v:fill type="solid"/>
              </v:shape>
            </v:group>
            <v:group style="position:absolute;left:9657;top:5440;width:2;height:1329" coordorigin="9657,5440" coordsize="2,1329">
              <v:shape style="position:absolute;left:9657;top:5440;width:2;height:1329" coordorigin="9657,5440" coordsize="0,1329" path="m9657,5440l9657,6768e" filled="false" stroked="true" strokeweight="1.140pt" strokecolor="#ffffff">
                <v:path arrowok="t"/>
              </v:shape>
            </v:group>
            <v:group style="position:absolute;left:9646;top:6768;width:557;height:1092" coordorigin="9646,6768" coordsize="557,1092">
              <v:shape style="position:absolute;left:9646;top:6768;width:557;height:1092" coordorigin="9646,6768" coordsize="557,1092" path="m9646,7860l10202,7860,10202,6768,9646,6768,9646,7860xe" filled="true" fillcolor="#ffffff" stroked="false">
                <v:path arrowok="t"/>
                <v:fill type="solid"/>
              </v:shape>
            </v:group>
            <v:group style="position:absolute;left:9668;top:6105;width:512;height:312" coordorigin="9668,6105" coordsize="512,312">
              <v:shape style="position:absolute;left:9668;top:6105;width:512;height:312" coordorigin="9668,6105" coordsize="512,312" path="m9668,6417l10180,6417,10180,6105,9668,6105,9668,6417xe" filled="true" fillcolor="#ffffff" stroked="false">
                <v:path arrowok="t"/>
                <v:fill type="solid"/>
              </v:shape>
            </v:group>
            <v:group style="position:absolute;left:9668;top:6417;width:512;height:352" coordorigin="9668,6417" coordsize="512,352">
              <v:shape style="position:absolute;left:9668;top:6417;width:512;height:352" coordorigin="9668,6417" coordsize="512,352" path="m9668,6768l10180,6768,10180,6417,9668,6417,9668,6768xe" filled="true" fillcolor="#ffffff" stroked="false">
                <v:path arrowok="t"/>
                <v:fill type="solid"/>
              </v:shape>
            </v:group>
            <v:group style="position:absolute;left:2415;top:4343;width:2259;height:2" coordorigin="2415,4343" coordsize="2259,2">
              <v:shape style="position:absolute;left:2415;top:4343;width:2259;height:2" coordorigin="2415,4343" coordsize="2259,0" path="m2415,4343l4673,4343e" filled="false" stroked="true" strokeweight=".48pt" strokecolor="#000000">
                <v:path arrowok="t"/>
              </v:shape>
            </v:group>
            <v:group style="position:absolute;left:4683;top:4343;width:843;height:2" coordorigin="4683,4343" coordsize="843,2">
              <v:shape style="position:absolute;left:4683;top:4343;width:843;height:2" coordorigin="4683,4343" coordsize="843,0" path="m4683,4343l5526,4343e" filled="false" stroked="true" strokeweight=".48pt" strokecolor="#000000">
                <v:path arrowok="t"/>
              </v:shape>
            </v:group>
            <v:group style="position:absolute;left:5535;top:4343;width:4101;height:2" coordorigin="5535,4343" coordsize="4101,2">
              <v:shape style="position:absolute;left:5535;top:4343;width:4101;height:2" coordorigin="5535,4343" coordsize="4101,0" path="m5535,4343l9636,4343e" filled="false" stroked="true" strokeweight=".48pt" strokecolor="#000000">
                <v:path arrowok="t"/>
              </v:shape>
            </v:group>
            <v:group style="position:absolute;left:9646;top:4343;width:557;height:2" coordorigin="9646,4343" coordsize="557,2">
              <v:shape style="position:absolute;left:9646;top:4343;width:557;height:2" coordorigin="9646,4343" coordsize="557,0" path="m9646,4343l10202,4343e" filled="false" stroked="true" strokeweight=".48pt" strokecolor="#000000">
                <v:path arrowok="t"/>
              </v:shape>
            </v:group>
            <v:group style="position:absolute;left:10212;top:4343;width:569;height:2" coordorigin="10212,4343" coordsize="569,2">
              <v:shape style="position:absolute;left:10212;top:4343;width:569;height:2" coordorigin="10212,4343" coordsize="569,0" path="m10212,4343l10781,4343e" filled="false" stroked="true" strokeweight=".48pt" strokecolor="#000000">
                <v:path arrowok="t"/>
              </v:shape>
            </v:group>
            <v:group style="position:absolute;left:10790;top:4343;width:406;height:2" coordorigin="10790,4343" coordsize="406,2">
              <v:shape style="position:absolute;left:10790;top:4343;width:406;height:2" coordorigin="10790,4343" coordsize="406,0" path="m10790,4343l11196,4343e" filled="false" stroked="true" strokeweight=".48pt" strokecolor="#000000">
                <v:path arrowok="t"/>
              </v:shape>
            </v:group>
            <v:group style="position:absolute;left:1139;top:7860;width:1267;height:3523" coordorigin="1139,7860" coordsize="1267,3523">
              <v:shape style="position:absolute;left:1139;top:7860;width:1267;height:3523" coordorigin="1139,7860" coordsize="1267,3523" path="m1139,11383l2405,11383,2405,7860,1139,7860,1139,11383xe" filled="true" fillcolor="#d2d2d2" stroked="false">
                <v:path arrowok="t"/>
                <v:fill type="solid"/>
              </v:shape>
            </v:group>
            <v:group style="position:absolute;left:9646;top:10291;width:557;height:1092" coordorigin="9646,10291" coordsize="557,1092">
              <v:shape style="position:absolute;left:9646;top:10291;width:557;height:1092" coordorigin="9646,10291" coordsize="557,1092" path="m9646,11383l10202,11383,10202,10291,9646,10291,9646,11383xe" filled="true" fillcolor="#ffffff" stroked="false">
                <v:path arrowok="t"/>
                <v:fill type="solid"/>
              </v:shape>
            </v:group>
            <v:group style="position:absolute;left:2415;top:7865;width:2259;height:2" coordorigin="2415,7865" coordsize="2259,2">
              <v:shape style="position:absolute;left:2415;top:7865;width:2259;height:2" coordorigin="2415,7865" coordsize="2259,0" path="m2415,7865l4673,7865e" filled="false" stroked="true" strokeweight=".48pt" strokecolor="#000000">
                <v:path arrowok="t"/>
              </v:shape>
            </v:group>
            <v:group style="position:absolute;left:4683;top:7865;width:843;height:2" coordorigin="4683,7865" coordsize="843,2">
              <v:shape style="position:absolute;left:4683;top:7865;width:843;height:2" coordorigin="4683,7865" coordsize="843,0" path="m4683,7865l5526,7865e" filled="false" stroked="true" strokeweight=".48pt" strokecolor="#000000">
                <v:path arrowok="t"/>
              </v:shape>
            </v:group>
            <v:group style="position:absolute;left:5535;top:7865;width:4101;height:2" coordorigin="5535,7865" coordsize="4101,2">
              <v:shape style="position:absolute;left:5535;top:7865;width:4101;height:2" coordorigin="5535,7865" coordsize="4101,0" path="m5535,7865l9636,7865e" filled="false" stroked="true" strokeweight=".48pt" strokecolor="#000000">
                <v:path arrowok="t"/>
              </v:shape>
            </v:group>
            <v:group style="position:absolute;left:9646;top:7865;width:557;height:2" coordorigin="9646,7865" coordsize="557,2">
              <v:shape style="position:absolute;left:9646;top:7865;width:557;height:2" coordorigin="9646,7865" coordsize="557,0" path="m9646,7865l10202,7865e" filled="false" stroked="true" strokeweight=".48pt" strokecolor="#000000">
                <v:path arrowok="t"/>
              </v:shape>
            </v:group>
            <v:group style="position:absolute;left:10212;top:7865;width:569;height:2" coordorigin="10212,7865" coordsize="569,2">
              <v:shape style="position:absolute;left:10212;top:7865;width:569;height:2" coordorigin="10212,7865" coordsize="569,0" path="m10212,7865l10781,7865e" filled="false" stroked="true" strokeweight=".48pt" strokecolor="#000000">
                <v:path arrowok="t"/>
              </v:shape>
            </v:group>
            <v:group style="position:absolute;left:10790;top:7865;width:406;height:2" coordorigin="10790,7865" coordsize="406,2">
              <v:shape style="position:absolute;left:10790;top:7865;width:406;height:2" coordorigin="10790,7865" coordsize="406,0" path="m10790,7865l11196,7865e" filled="false" stroked="true" strokeweight=".48pt" strokecolor="#000000">
                <v:path arrowok="t"/>
              </v:shape>
            </v:group>
            <v:group style="position:absolute;left:1139;top:11383;width:1267;height:3670" coordorigin="1139,11383" coordsize="1267,3670">
              <v:shape style="position:absolute;left:1139;top:11383;width:1267;height:3670" coordorigin="1139,11383" coordsize="1267,3670" path="m1139,15053l2405,15053,2405,11383,1139,11383,1139,15053xe" filled="true" fillcolor="#d2d2d2" stroked="false">
                <v:path arrowok="t"/>
                <v:fill type="solid"/>
              </v:shape>
            </v:group>
            <v:group style="position:absolute;left:9646;top:11392;width:557;height:1167" coordorigin="9646,11392" coordsize="557,1167">
              <v:shape style="position:absolute;left:9646;top:11392;width:557;height:1167" coordorigin="9646,11392" coordsize="557,1167" path="m9646,12559l10202,12559,10202,11392,9646,11392,9646,12559xe" filled="true" fillcolor="#ffffff" stroked="false">
                <v:path arrowok="t"/>
                <v:fill type="solid"/>
              </v:shape>
            </v:group>
            <v:group style="position:absolute;left:2415;top:11388;width:2259;height:2" coordorigin="2415,11388" coordsize="2259,2">
              <v:shape style="position:absolute;left:2415;top:11388;width:2259;height:2" coordorigin="2415,11388" coordsize="2259,0" path="m2415,11388l4673,11388e" filled="false" stroked="true" strokeweight=".48pt" strokecolor="#000000">
                <v:path arrowok="t"/>
              </v:shape>
            </v:group>
            <v:group style="position:absolute;left:4683;top:11388;width:843;height:2" coordorigin="4683,11388" coordsize="843,2">
              <v:shape style="position:absolute;left:4683;top:11388;width:843;height:2" coordorigin="4683,11388" coordsize="843,0" path="m4683,11388l5526,11388e" filled="false" stroked="true" strokeweight=".48pt" strokecolor="#000000">
                <v:path arrowok="t"/>
              </v:shape>
            </v:group>
            <v:group style="position:absolute;left:5535;top:11388;width:4101;height:2" coordorigin="5535,11388" coordsize="4101,2">
              <v:shape style="position:absolute;left:5535;top:11388;width:4101;height:2" coordorigin="5535,11388" coordsize="4101,0" path="m5535,11388l9636,11388e" filled="false" stroked="true" strokeweight=".48pt" strokecolor="#000000">
                <v:path arrowok="t"/>
              </v:shape>
            </v:group>
            <v:group style="position:absolute;left:9646;top:11388;width:557;height:2" coordorigin="9646,11388" coordsize="557,2">
              <v:shape style="position:absolute;left:9646;top:11388;width:557;height:2" coordorigin="9646,11388" coordsize="557,0" path="m9646,11388l10202,11388e" filled="false" stroked="true" strokeweight=".48pt" strokecolor="#000000">
                <v:path arrowok="t"/>
              </v:shape>
            </v:group>
            <v:group style="position:absolute;left:10212;top:11388;width:569;height:2" coordorigin="10212,11388" coordsize="569,2">
              <v:shape style="position:absolute;left:10212;top:11388;width:569;height:2" coordorigin="10212,11388" coordsize="569,0" path="m10212,11388l10781,11388e" filled="false" stroked="true" strokeweight=".48pt" strokecolor="#000000">
                <v:path arrowok="t"/>
              </v:shape>
            </v:group>
            <v:group style="position:absolute;left:10790;top:11388;width:406;height:2" coordorigin="10790,11388" coordsize="406,2">
              <v:shape style="position:absolute;left:10790;top:11388;width:406;height:2" coordorigin="10790,11388" coordsize="406,0" path="m10790,11388l11196,11388e" filled="false" stroked="true" strokeweight=".48pt" strokecolor="#000000">
                <v:path arrowok="t"/>
              </v:shape>
            </v:group>
            <v:group style="position:absolute;left:1134;top:1440;width:2;height:13624" coordorigin="1134,1440" coordsize="2,13624">
              <v:shape style="position:absolute;left:1134;top:1440;width:2;height:13624" coordorigin="1134,1440" coordsize="0,13624" path="m1134,1440l1134,15064e" filled="false" stroked="true" strokeweight=".48pt" strokecolor="#000000">
                <v:path arrowok="t"/>
              </v:shape>
            </v:group>
            <v:group style="position:absolute;left:1139;top:15059;width:1267;height:2" coordorigin="1139,15059" coordsize="1267,2">
              <v:shape style="position:absolute;left:1139;top:15059;width:1267;height:2" coordorigin="1139,15059" coordsize="1267,0" path="m1139,15059l2405,15059e" filled="false" stroked="true" strokeweight=".48pt" strokecolor="#000000">
                <v:path arrowok="t"/>
              </v:shape>
            </v:group>
            <v:group style="position:absolute;left:2410;top:1440;width:2;height:13624" coordorigin="2410,1440" coordsize="2,13624">
              <v:shape style="position:absolute;left:2410;top:1440;width:2;height:13624" coordorigin="2410,1440" coordsize="0,13624" path="m2410,1440l2410,15064e" filled="false" stroked="true" strokeweight=".48pt" strokecolor="#000000">
                <v:path arrowok="t"/>
              </v:shape>
            </v:group>
            <v:group style="position:absolute;left:2415;top:15059;width:2259;height:2" coordorigin="2415,15059" coordsize="2259,2">
              <v:shape style="position:absolute;left:2415;top:15059;width:2259;height:2" coordorigin="2415,15059" coordsize="2259,0" path="m2415,15059l4673,15059e" filled="false" stroked="true" strokeweight=".48pt" strokecolor="#000000">
                <v:path arrowok="t"/>
              </v:shape>
            </v:group>
            <v:group style="position:absolute;left:4678;top:1440;width:2;height:13624" coordorigin="4678,1440" coordsize="2,13624">
              <v:shape style="position:absolute;left:4678;top:1440;width:2;height:13624" coordorigin="4678,1440" coordsize="0,13624" path="m4678,1440l4678,15064e" filled="false" stroked="true" strokeweight=".48pt" strokecolor="#000000">
                <v:path arrowok="t"/>
              </v:shape>
            </v:group>
            <v:group style="position:absolute;left:4683;top:15059;width:843;height:2" coordorigin="4683,15059" coordsize="843,2">
              <v:shape style="position:absolute;left:4683;top:15059;width:843;height:2" coordorigin="4683,15059" coordsize="843,0" path="m4683,15059l5526,15059e" filled="false" stroked="true" strokeweight=".48pt" strokecolor="#000000">
                <v:path arrowok="t"/>
              </v:shape>
            </v:group>
            <v:group style="position:absolute;left:5530;top:1440;width:2;height:13624" coordorigin="5530,1440" coordsize="2,13624">
              <v:shape style="position:absolute;left:5530;top:1440;width:2;height:13624" coordorigin="5530,1440" coordsize="0,13624" path="m5530,1440l5530,15064e" filled="false" stroked="true" strokeweight=".48pt" strokecolor="#000000">
                <v:path arrowok="t"/>
              </v:shape>
            </v:group>
            <v:group style="position:absolute;left:5535;top:15059;width:4101;height:2" coordorigin="5535,15059" coordsize="4101,2">
              <v:shape style="position:absolute;left:5535;top:15059;width:4101;height:2" coordorigin="5535,15059" coordsize="4101,0" path="m5535,15059l9636,15059e" filled="false" stroked="true" strokeweight=".48pt" strokecolor="#000000">
                <v:path arrowok="t"/>
              </v:shape>
            </v:group>
            <v:group style="position:absolute;left:9641;top:1440;width:2;height:13624" coordorigin="9641,1440" coordsize="2,13624">
              <v:shape style="position:absolute;left:9641;top:1440;width:2;height:13624" coordorigin="9641,1440" coordsize="0,13624" path="m9641,1440l9641,15064e" filled="false" stroked="true" strokeweight=".48pt" strokecolor="#000000">
                <v:path arrowok="t"/>
              </v:shape>
            </v:group>
            <v:group style="position:absolute;left:9646;top:15059;width:557;height:2" coordorigin="9646,15059" coordsize="557,2">
              <v:shape style="position:absolute;left:9646;top:15059;width:557;height:2" coordorigin="9646,15059" coordsize="557,0" path="m9646,15059l10202,15059e" filled="false" stroked="true" strokeweight=".48pt" strokecolor="#000000">
                <v:path arrowok="t"/>
              </v:shape>
            </v:group>
            <v:group style="position:absolute;left:10207;top:1440;width:2;height:13624" coordorigin="10207,1440" coordsize="2,13624">
              <v:shape style="position:absolute;left:10207;top:1440;width:2;height:13624" coordorigin="10207,1440" coordsize="0,13624" path="m10207,1440l10207,15064e" filled="false" stroked="true" strokeweight=".48pt" strokecolor="#000000">
                <v:path arrowok="t"/>
              </v:shape>
            </v:group>
            <v:group style="position:absolute;left:10212;top:15059;width:569;height:2" coordorigin="10212,15059" coordsize="569,2">
              <v:shape style="position:absolute;left:10212;top:15059;width:569;height:2" coordorigin="10212,15059" coordsize="569,0" path="m10212,15059l10781,15059e" filled="false" stroked="true" strokeweight=".48pt" strokecolor="#000000">
                <v:path arrowok="t"/>
              </v:shape>
            </v:group>
            <v:group style="position:absolute;left:10786;top:1440;width:2;height:13624" coordorigin="10786,1440" coordsize="2,13624">
              <v:shape style="position:absolute;left:10786;top:1440;width:2;height:13624" coordorigin="10786,1440" coordsize="0,13624" path="m10786,1440l10786,15064e" filled="false" stroked="true" strokeweight=".48pt" strokecolor="#000000">
                <v:path arrowok="t"/>
              </v:shape>
            </v:group>
            <v:group style="position:absolute;left:10790;top:15059;width:406;height:2" coordorigin="10790,15059" coordsize="406,2">
              <v:shape style="position:absolute;left:10790;top:15059;width:406;height:2" coordorigin="10790,15059" coordsize="406,0" path="m10790,15059l11196,15059e" filled="false" stroked="true" strokeweight=".48pt" strokecolor="#000000">
                <v:path arrowok="t"/>
              </v:shape>
            </v:group>
            <v:group style="position:absolute;left:11201;top:1440;width:2;height:13624" coordorigin="11201,1440" coordsize="2,13624">
              <v:shape style="position:absolute;left:11201;top:1440;width:2;height:13624" coordorigin="11201,1440" coordsize="0,13624" path="m11201,1440l11201,15064e" filled="false" stroked="true" strokeweight=".48pt" strokecolor="#000000">
                <v:path arrowok="t"/>
              </v:shape>
            </v:group>
            <w10:wrap type="none"/>
          </v:group>
        </w:pic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BodyText"/>
        <w:spacing w:line="316" w:lineRule="auto"/>
        <w:ind w:left="2438" w:right="0"/>
        <w:jc w:val="both"/>
      </w:pPr>
      <w:r>
        <w:rPr/>
        <w:t>邵健伟、张小麒、梁建平、 徐峰、金春保、冯文学、仪 春燕、邵健锋、张永清、刘 成凯</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BodyText"/>
        <w:spacing w:line="316" w:lineRule="auto"/>
        <w:ind w:left="67" w:right="-19"/>
        <w:jc w:val="left"/>
      </w:pPr>
      <w:r>
        <w:rPr/>
        <w:t>股份减持 承诺</w:t>
      </w:r>
    </w:p>
    <w:p>
      <w:pPr>
        <w:pStyle w:val="BodyText"/>
        <w:spacing w:line="316" w:lineRule="auto" w:before="44"/>
        <w:ind w:left="91" w:right="2188"/>
        <w:jc w:val="left"/>
      </w:pPr>
      <w:r>
        <w:rPr/>
        <w:br w:type="column"/>
      </w:r>
      <w:r>
        <w:rPr/>
        <w:t>除上述锁定期的承诺外，在本人担任今天国际董事、 </w:t>
      </w:r>
      <w:r>
        <w:rPr>
          <w:spacing w:val="-4"/>
        </w:rPr>
        <w:t>监事、高级管理人员期间，本人每年各自转让的股份</w:t>
      </w:r>
      <w:r>
        <w:rPr>
          <w:spacing w:val="-86"/>
        </w:rPr>
        <w:t> </w:t>
      </w:r>
      <w:r>
        <w:rPr>
          <w:spacing w:val="-86"/>
        </w:rPr>
      </w:r>
      <w:r>
        <w:rPr/>
        <w:t>不超过自身直接或间接持有今天国际股份总数的百</w:t>
      </w:r>
    </w:p>
    <w:p>
      <w:pPr>
        <w:pStyle w:val="BodyText"/>
        <w:spacing w:line="196" w:lineRule="exact" w:before="19"/>
        <w:ind w:left="91" w:right="2188"/>
        <w:jc w:val="left"/>
      </w:pPr>
      <w:r>
        <w:rPr/>
        <w:t>分之二十五</w:t>
      </w:r>
      <w:r>
        <w:rPr>
          <w:spacing w:val="-87"/>
        </w:rPr>
        <w:t>；</w:t>
      </w:r>
      <w:r>
        <w:rPr/>
        <w:t>在今天国际股票上市之日起六个月内申</w:t>
      </w:r>
    </w:p>
    <w:p>
      <w:pPr>
        <w:pStyle w:val="BodyText"/>
        <w:tabs>
          <w:tab w:pos="5346" w:val="left" w:leader="none"/>
        </w:tabs>
        <w:spacing w:line="163" w:lineRule="exact"/>
        <w:ind w:left="4201" w:right="0"/>
        <w:jc w:val="left"/>
      </w:pPr>
      <w:r>
        <w:rPr>
          <w:rFonts w:ascii="Times New Roman" w:hAnsi="Times New Roman" w:cs="Times New Roman" w:eastAsia="Times New Roman" w:hint="default"/>
        </w:rPr>
        <w:t>2016</w:t>
        <w:tab/>
      </w:r>
      <w:r>
        <w:rPr/>
        <w:t>正</w:t>
      </w:r>
    </w:p>
    <w:p>
      <w:pPr>
        <w:pStyle w:val="BodyText"/>
        <w:spacing w:line="149" w:lineRule="exact"/>
        <w:ind w:left="91" w:right="2188"/>
        <w:jc w:val="left"/>
      </w:pPr>
      <w:r>
        <w:rPr/>
        <w:t>报离职的</w:t>
      </w:r>
      <w:r>
        <w:rPr>
          <w:spacing w:val="-87"/>
        </w:rPr>
        <w:t>，</w:t>
      </w:r>
      <w:r>
        <w:rPr/>
        <w:t>自申报离职之日起十八个月内不转让直接</w:t>
      </w:r>
    </w:p>
    <w:p>
      <w:pPr>
        <w:pStyle w:val="BodyText"/>
        <w:tabs>
          <w:tab w:pos="5346" w:val="left" w:leader="none"/>
        </w:tabs>
        <w:spacing w:line="163" w:lineRule="exact"/>
        <w:ind w:left="4201" w:right="0"/>
        <w:jc w:val="left"/>
      </w:pPr>
      <w:r>
        <w:rPr/>
        <w:t>年 </w:t>
      </w:r>
      <w:r>
        <w:rPr>
          <w:rFonts w:ascii="Times New Roman" w:hAnsi="Times New Roman" w:cs="Times New Roman" w:eastAsia="Times New Roman" w:hint="default"/>
        </w:rPr>
        <w:t>08 </w:t>
      </w:r>
      <w:r>
        <w:rPr>
          <w:rFonts w:ascii="Times New Roman" w:hAnsi="Times New Roman" w:cs="Times New Roman" w:eastAsia="Times New Roman" w:hint="default"/>
          <w:spacing w:val="26"/>
        </w:rPr>
        <w:t> </w:t>
      </w:r>
      <w:r>
        <w:rPr/>
        <w:t>长期</w:t>
        <w:tab/>
        <w:t>在</w:t>
      </w:r>
    </w:p>
    <w:p>
      <w:pPr>
        <w:pStyle w:val="BodyText"/>
        <w:spacing w:line="149" w:lineRule="exact"/>
        <w:ind w:left="91" w:right="2188"/>
        <w:jc w:val="left"/>
      </w:pPr>
      <w:r>
        <w:rPr/>
        <w:t>或间接持有的今天国际股份</w:t>
      </w:r>
      <w:r>
        <w:rPr>
          <w:spacing w:val="-87"/>
        </w:rPr>
        <w:t>；</w:t>
      </w:r>
      <w:r>
        <w:rPr/>
        <w:t>在今天国际股票上市之</w:t>
      </w:r>
    </w:p>
    <w:p>
      <w:pPr>
        <w:pStyle w:val="BodyText"/>
        <w:tabs>
          <w:tab w:pos="5346" w:val="left" w:leader="none"/>
        </w:tabs>
        <w:spacing w:line="163" w:lineRule="exact"/>
        <w:ind w:left="4201" w:right="0"/>
        <w:jc w:val="left"/>
      </w:pPr>
      <w:r>
        <w:rPr/>
        <w:t>月 </w:t>
      </w:r>
      <w:r>
        <w:rPr>
          <w:rFonts w:ascii="Times New Roman" w:hAnsi="Times New Roman" w:cs="Times New Roman" w:eastAsia="Times New Roman" w:hint="default"/>
        </w:rPr>
        <w:t>18 </w:t>
      </w:r>
      <w:r>
        <w:rPr>
          <w:rFonts w:ascii="Times New Roman" w:hAnsi="Times New Roman" w:cs="Times New Roman" w:eastAsia="Times New Roman" w:hint="default"/>
          <w:spacing w:val="26"/>
        </w:rPr>
        <w:t> </w:t>
      </w:r>
      <w:r>
        <w:rPr/>
        <w:t>有效</w:t>
        <w:tab/>
        <w:t>履</w:t>
      </w:r>
    </w:p>
    <w:p>
      <w:pPr>
        <w:pStyle w:val="BodyText"/>
        <w:spacing w:line="149" w:lineRule="exact"/>
        <w:ind w:left="91" w:right="2188"/>
        <w:jc w:val="left"/>
      </w:pPr>
      <w:r>
        <w:rPr/>
        <w:t>日起第七个月至第十二个月之间申报离职的</w:t>
      </w:r>
      <w:r>
        <w:rPr>
          <w:spacing w:val="-87"/>
        </w:rPr>
        <w:t>，</w:t>
      </w:r>
      <w:r>
        <w:rPr/>
        <w:t>自申报</w:t>
      </w:r>
    </w:p>
    <w:p>
      <w:pPr>
        <w:pStyle w:val="BodyText"/>
        <w:tabs>
          <w:tab w:pos="5346" w:val="left" w:leader="none"/>
        </w:tabs>
        <w:spacing w:line="156" w:lineRule="exact"/>
        <w:ind w:left="4201" w:right="0"/>
        <w:jc w:val="left"/>
      </w:pPr>
      <w:r>
        <w:rPr/>
        <w:t>日</w:t>
        <w:tab/>
        <w:t>行</w:t>
      </w:r>
    </w:p>
    <w:p>
      <w:pPr>
        <w:pStyle w:val="BodyText"/>
        <w:spacing w:line="195" w:lineRule="exact"/>
        <w:ind w:left="91" w:right="2280"/>
        <w:jc w:val="left"/>
      </w:pPr>
      <w:r>
        <w:rPr/>
        <w:t>离职之日起十二个月内不转让直接或间接持有的今</w:t>
      </w:r>
    </w:p>
    <w:p>
      <w:pPr>
        <w:pStyle w:val="BodyText"/>
        <w:spacing w:line="319" w:lineRule="auto" w:before="77"/>
        <w:ind w:left="91" w:right="2292"/>
        <w:jc w:val="both"/>
      </w:pPr>
      <w:r>
        <w:rPr>
          <w:spacing w:val="-4"/>
        </w:rPr>
        <w:t>天国际股份；在今天国际股票上市之日起十二个月后</w:t>
      </w:r>
      <w:r>
        <w:rPr>
          <w:spacing w:val="-85"/>
        </w:rPr>
        <w:t> </w:t>
      </w:r>
      <w:r>
        <w:rPr>
          <w:spacing w:val="-85"/>
        </w:rPr>
      </w:r>
      <w:r>
        <w:rPr>
          <w:spacing w:val="-4"/>
        </w:rPr>
        <w:t>申报离职的，自申报离职之日起六个月内不转让直接</w:t>
      </w:r>
      <w:r>
        <w:rPr>
          <w:spacing w:val="-85"/>
        </w:rPr>
        <w:t> </w:t>
      </w:r>
      <w:r>
        <w:rPr>
          <w:spacing w:val="-85"/>
        </w:rPr>
      </w:r>
      <w:r>
        <w:rPr/>
        <w:t>或间接持有的今天国际股份。</w:t>
      </w:r>
    </w:p>
    <w:p>
      <w:pPr>
        <w:spacing w:after="0" w:line="319" w:lineRule="auto"/>
        <w:jc w:val="both"/>
        <w:sectPr>
          <w:type w:val="continuous"/>
          <w:pgSz w:w="11910" w:h="16840"/>
          <w:pgMar w:top="1060" w:bottom="1160" w:left="0" w:right="0"/>
          <w:cols w:num="3" w:equalWidth="0">
            <w:col w:w="4599" w:space="40"/>
            <w:col w:w="788" w:space="40"/>
            <w:col w:w="6443"/>
          </w:cols>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276"/>
        <w:gridCol w:w="2268"/>
        <w:gridCol w:w="852"/>
        <w:gridCol w:w="4110"/>
        <w:gridCol w:w="566"/>
        <w:gridCol w:w="578"/>
        <w:gridCol w:w="415"/>
      </w:tblGrid>
      <w:tr>
        <w:trPr>
          <w:trHeight w:val="2410"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319" w:lineRule="auto"/>
              <w:ind w:left="24" w:right="96"/>
              <w:jc w:val="both"/>
              <w:rPr>
                <w:rFonts w:ascii="宋体" w:hAnsi="宋体" w:cs="宋体" w:eastAsia="宋体" w:hint="default"/>
                <w:sz w:val="18"/>
                <w:szCs w:val="18"/>
              </w:rPr>
            </w:pPr>
            <w:r>
              <w:rPr>
                <w:rFonts w:ascii="宋体" w:hAnsi="宋体" w:cs="宋体" w:eastAsia="宋体" w:hint="default"/>
                <w:sz w:val="18"/>
                <w:szCs w:val="18"/>
              </w:rPr>
              <w:t>依法赔偿 和回购承 诺</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9"/>
              <w:ind w:left="22" w:right="23"/>
              <w:jc w:val="both"/>
              <w:rPr>
                <w:rFonts w:ascii="宋体" w:hAnsi="宋体" w:cs="宋体" w:eastAsia="宋体" w:hint="default"/>
                <w:sz w:val="18"/>
                <w:szCs w:val="18"/>
              </w:rPr>
            </w:pPr>
            <w:r>
              <w:rPr>
                <w:rFonts w:ascii="宋体" w:hAnsi="宋体" w:cs="宋体" w:eastAsia="宋体" w:hint="default"/>
                <w:spacing w:val="-4"/>
                <w:sz w:val="18"/>
                <w:szCs w:val="18"/>
              </w:rPr>
              <w:t>如《招股说明书》存在虚假记载、误导性陈述或者重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大遗漏，致使投资者在买卖公司股票的证券交易中遭</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受损失的，公司将依法赔偿投资者的损失。具体措施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为：在中国证监会对公司作出正式的行政处罚决定书</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并认定公司存在上述违法行为后，公司将对提出索赔</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要求的公众投资者进行登记，并在查实其主体资格及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损失金额后及时支付赔偿金。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319" w:lineRule="auto"/>
              <w:ind w:left="22" w:right="185"/>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9" w:lineRule="auto"/>
              <w:ind w:left="22" w:right="200"/>
              <w:jc w:val="both"/>
              <w:rPr>
                <w:rFonts w:ascii="宋体" w:hAnsi="宋体" w:cs="宋体" w:eastAsia="宋体" w:hint="default"/>
                <w:sz w:val="18"/>
                <w:szCs w:val="18"/>
              </w:rPr>
            </w:pPr>
            <w:r>
              <w:rPr>
                <w:rFonts w:ascii="宋体" w:hAnsi="宋体" w:cs="宋体" w:eastAsia="宋体" w:hint="default"/>
                <w:sz w:val="18"/>
                <w:szCs w:val="18"/>
              </w:rPr>
              <w:t>正 在 履 行</w:t>
            </w:r>
          </w:p>
        </w:tc>
      </w:tr>
      <w:tr>
        <w:trPr>
          <w:trHeight w:val="2273" w:hRule="exact"/>
        </w:trPr>
        <w:tc>
          <w:tcPr>
            <w:tcW w:w="1276"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161"/>
              <w:jc w:val="both"/>
              <w:rPr>
                <w:rFonts w:ascii="宋体" w:hAnsi="宋体" w:cs="宋体" w:eastAsia="宋体" w:hint="default"/>
                <w:sz w:val="18"/>
                <w:szCs w:val="18"/>
              </w:rPr>
            </w:pPr>
            <w:r>
              <w:rPr>
                <w:rFonts w:ascii="宋体" w:hAnsi="宋体" w:cs="宋体" w:eastAsia="宋体" w:hint="default"/>
                <w:sz w:val="18"/>
                <w:szCs w:val="18"/>
              </w:rPr>
              <w:t>其他对公司中 小股东所作承 诺</w:t>
            </w:r>
          </w:p>
        </w:tc>
        <w:tc>
          <w:tcPr>
            <w:tcW w:w="226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邵健伟</w:t>
            </w:r>
          </w:p>
        </w:tc>
        <w:tc>
          <w:tcPr>
            <w:tcW w:w="852"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社保承诺</w:t>
            </w:r>
          </w:p>
        </w:tc>
        <w:tc>
          <w:tcPr>
            <w:tcW w:w="4110"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2" w:right="22"/>
              <w:jc w:val="both"/>
              <w:rPr>
                <w:rFonts w:ascii="宋体" w:hAnsi="宋体" w:cs="宋体" w:eastAsia="宋体" w:hint="default"/>
                <w:sz w:val="18"/>
                <w:szCs w:val="18"/>
              </w:rPr>
            </w:pPr>
            <w:r>
              <w:rPr>
                <w:rFonts w:ascii="宋体" w:hAnsi="宋体" w:cs="宋体" w:eastAsia="宋体" w:hint="default"/>
                <w:sz w:val="18"/>
                <w:szCs w:val="18"/>
              </w:rPr>
              <w:t>若公司及其子公司将来被所在地社保主管部门追缴 全部或部分应缴未缴的社会保险费用和</w:t>
            </w:r>
            <w:r>
              <w:rPr>
                <w:rFonts w:ascii="Times New Roman" w:hAnsi="Times New Roman" w:cs="Times New Roman" w:eastAsia="Times New Roman" w:hint="default"/>
                <w:sz w:val="18"/>
                <w:szCs w:val="18"/>
              </w:rPr>
              <w:t>/</w:t>
            </w:r>
            <w:r>
              <w:rPr>
                <w:rFonts w:ascii="宋体" w:hAnsi="宋体" w:cs="宋体" w:eastAsia="宋体" w:hint="default"/>
                <w:sz w:val="18"/>
                <w:szCs w:val="18"/>
              </w:rPr>
              <w:t>或因此受到 </w:t>
            </w:r>
            <w:r>
              <w:rPr>
                <w:rFonts w:ascii="宋体" w:hAnsi="宋体" w:cs="宋体" w:eastAsia="宋体" w:hint="default"/>
                <w:spacing w:val="-4"/>
                <w:sz w:val="18"/>
                <w:szCs w:val="18"/>
              </w:rPr>
              <w:t>任何处罚、损失，本人将连带承担由此产生的全部费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用，在公司及其子公司必须先行支付相关费用的情况</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下，本人将及时向公司及其子公司给予全额补偿，以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确保公司及其子公司不会因此遭受任何损失</w:t>
            </w:r>
          </w:p>
        </w:tc>
        <w:tc>
          <w:tcPr>
            <w:tcW w:w="566"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7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2" w:right="185"/>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415"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200"/>
              <w:jc w:val="both"/>
              <w:rPr>
                <w:rFonts w:ascii="宋体" w:hAnsi="宋体" w:cs="宋体" w:eastAsia="宋体" w:hint="default"/>
                <w:sz w:val="18"/>
                <w:szCs w:val="18"/>
              </w:rPr>
            </w:pPr>
            <w:r>
              <w:rPr>
                <w:rFonts w:ascii="宋体" w:hAnsi="宋体" w:cs="宋体" w:eastAsia="宋体" w:hint="default"/>
                <w:sz w:val="18"/>
                <w:szCs w:val="18"/>
              </w:rPr>
              <w:t>正 在 履 行</w:t>
            </w:r>
          </w:p>
        </w:tc>
      </w:tr>
      <w:tr>
        <w:trPr>
          <w:trHeight w:val="846" w:hRule="exact"/>
        </w:trPr>
        <w:tc>
          <w:tcPr>
            <w:tcW w:w="1276"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316" w:lineRule="auto" w:before="118"/>
              <w:ind w:left="22" w:right="161"/>
              <w:jc w:val="left"/>
              <w:rPr>
                <w:rFonts w:ascii="宋体" w:hAnsi="宋体" w:cs="宋体" w:eastAsia="宋体" w:hint="default"/>
                <w:sz w:val="18"/>
                <w:szCs w:val="18"/>
              </w:rPr>
            </w:pPr>
            <w:r>
              <w:rPr>
                <w:rFonts w:ascii="宋体" w:hAnsi="宋体" w:cs="宋体" w:eastAsia="宋体" w:hint="default"/>
                <w:sz w:val="18"/>
                <w:szCs w:val="18"/>
              </w:rPr>
              <w:t>承诺是否按时 履行</w:t>
            </w:r>
          </w:p>
        </w:tc>
        <w:tc>
          <w:tcPr>
            <w:tcW w:w="8791" w:type="dxa"/>
            <w:gridSpan w:val="6"/>
            <w:tcBorders>
              <w:top w:val="single" w:sz="4" w:space="0" w:color="FFFFFF"/>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964"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如承诺超期未 </w:t>
            </w:r>
            <w:r>
              <w:rPr>
                <w:rFonts w:ascii="宋体" w:hAnsi="宋体" w:cs="宋体" w:eastAsia="宋体" w:hint="default"/>
                <w:spacing w:val="-6"/>
                <w:sz w:val="18"/>
                <w:szCs w:val="18"/>
              </w:rPr>
              <w:t>履行完毕的，应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当详细说明未 完成履行的具 体原因及下一 步的工作计划</w:t>
            </w:r>
          </w:p>
        </w:tc>
        <w:tc>
          <w:tcPr>
            <w:tcW w:w="879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9"/>
          <w:szCs w:val="19"/>
        </w:rPr>
      </w:pPr>
    </w:p>
    <w:p>
      <w:pPr>
        <w:pStyle w:val="Heading3"/>
        <w:spacing w:line="259" w:lineRule="auto" w:before="35"/>
        <w:ind w:left="1134" w:right="0"/>
        <w:jc w:val="left"/>
        <w:rPr>
          <w:b w:val="0"/>
          <w:bCs w:val="0"/>
        </w:rPr>
      </w:pPr>
      <w:bookmarkStart w:name="2、公司资产或项目存在盈利预测，且报告期仍处在盈利预测期间，公司就资产或项目达到" w:id="65"/>
      <w:bookmarkEnd w:id="65"/>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控股股东及其关联方对上市公司的非经营性占用资金情况" w:id="66"/>
      <w:bookmarkEnd w:id="66"/>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四、董事会对最近一期“非标准审计报告”相关情况的说明" w:id="67"/>
      <w:bookmarkEnd w:id="67"/>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五、董事会、监事会、独立董事（如有）对会计师事务所本报告期“非标准审计报告”的说" w:id="68"/>
      <w:bookmarkEnd w:id="68"/>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六、董事会关于报告期会计政策、会计估计变更或重大会计差错更正的说明" w:id="69"/>
      <w:bookmarkEnd w:id="69"/>
      <w:r>
        <w:rPr>
          <w:b w:val="0"/>
          <w:bCs w:val="0"/>
        </w:rPr>
      </w: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13"/>
          <w:szCs w:val="13"/>
        </w:rPr>
      </w:pPr>
    </w:p>
    <w:p>
      <w:pPr>
        <w:pStyle w:val="BodyText"/>
        <w:spacing w:line="451" w:lineRule="auto"/>
        <w:ind w:right="1230" w:firstLine="433"/>
        <w:jc w:val="left"/>
      </w:pPr>
      <w:r>
        <w:rPr/>
        <w:t>财政部于</w:t>
      </w:r>
      <w:r>
        <w:rPr>
          <w:rFonts w:ascii="Times New Roman" w:hAnsi="Times New Roman" w:cs="Times New Roman" w:eastAsia="Times New Roman" w:hint="default"/>
        </w:rPr>
        <w:t>2017</w:t>
      </w:r>
      <w:r>
        <w:rPr/>
        <w:t>年度发布了《企业会计准则第</w:t>
      </w:r>
      <w:r>
        <w:rPr>
          <w:rFonts w:ascii="Times New Roman" w:hAnsi="Times New Roman" w:cs="Times New Roman" w:eastAsia="Times New Roman" w:hint="default"/>
        </w:rPr>
        <w:t>42</w:t>
      </w:r>
      <w:r>
        <w:rPr/>
        <w:t>号</w:t>
      </w:r>
      <w:r>
        <w:rPr>
          <w:rFonts w:ascii="Times New Roman" w:hAnsi="Times New Roman" w:cs="Times New Roman" w:eastAsia="Times New Roman" w:hint="default"/>
        </w:rPr>
        <w:t>——</w:t>
      </w:r>
      <w:r>
        <w:rPr/>
        <w:t>持有待售的非流动资产、处置组和终止经营》，自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 </w:t>
      </w:r>
      <w:r>
        <w:rPr/>
        <w:t>日起施行，对于施行日存在的持有待售的非流动资产、处置组和终止经营，要求采用未来适用法处理。</w:t>
      </w:r>
    </w:p>
    <w:p>
      <w:pPr>
        <w:pStyle w:val="BodyText"/>
        <w:spacing w:line="451" w:lineRule="auto" w:before="74"/>
        <w:ind w:right="1130" w:firstLine="360"/>
        <w:jc w:val="both"/>
      </w:pPr>
      <w:r>
        <w:rPr>
          <w:spacing w:val="-2"/>
        </w:rPr>
        <w:t>财政部于</w:t>
      </w:r>
      <w:r>
        <w:rPr>
          <w:rFonts w:ascii="Times New Roman" w:hAnsi="Times New Roman" w:cs="Times New Roman" w:eastAsia="Times New Roman" w:hint="default"/>
          <w:spacing w:val="-2"/>
        </w:rPr>
        <w:t>2017</w:t>
      </w:r>
      <w:r>
        <w:rPr>
          <w:spacing w:val="-2"/>
        </w:rPr>
        <w:t>年度修订了《企业会计准则第</w:t>
      </w:r>
      <w:r>
        <w:rPr>
          <w:rFonts w:ascii="Times New Roman" w:hAnsi="Times New Roman" w:cs="Times New Roman" w:eastAsia="Times New Roman" w:hint="default"/>
          <w:spacing w:val="-2"/>
        </w:rPr>
        <w:t>16</w:t>
      </w:r>
      <w:r>
        <w:rPr>
          <w:spacing w:val="-2"/>
        </w:rPr>
        <w:t>号</w:t>
      </w:r>
      <w:r>
        <w:rPr>
          <w:rFonts w:ascii="Times New Roman" w:hAnsi="Times New Roman" w:cs="Times New Roman" w:eastAsia="Times New Roman" w:hint="default"/>
          <w:spacing w:val="-2"/>
        </w:rPr>
        <w:t>——</w:t>
      </w:r>
      <w:r>
        <w:rPr>
          <w:spacing w:val="-2"/>
        </w:rPr>
        <w:t>政府补助》，修订后的准则自</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12</w:t>
      </w:r>
      <w:r>
        <w:rPr>
          <w:spacing w:val="-2"/>
        </w:rPr>
        <w:t>日起施行，对于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rFonts w:ascii="Times New Roman" w:hAnsi="Times New Roman" w:cs="Times New Roman" w:eastAsia="Times New Roman" w:hint="default"/>
        </w:rPr>
        <w:t> </w:t>
      </w:r>
      <w:r>
        <w:rPr/>
        <w:t>月</w:t>
      </w:r>
      <w:r>
        <w:rPr>
          <w:rFonts w:ascii="Times New Roman" w:hAnsi="Times New Roman" w:cs="Times New Roman" w:eastAsia="Times New Roman" w:hint="default"/>
        </w:rPr>
        <w:t>1</w:t>
      </w:r>
      <w:r>
        <w:rPr/>
        <w:t>日存在的政府补助，要求采用未来适用法处理；对于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日至施行日新增的政府补助，也要求按照修订后的准则 进行调整。</w:t>
      </w:r>
    </w:p>
    <w:p>
      <w:pPr>
        <w:pStyle w:val="BodyText"/>
        <w:spacing w:line="451" w:lineRule="auto" w:before="74"/>
        <w:ind w:left="1134" w:right="1042" w:firstLine="360"/>
        <w:jc w:val="both"/>
      </w:pPr>
      <w:r>
        <w:rPr>
          <w:spacing w:val="-4"/>
        </w:rPr>
        <w:t>财政部于</w:t>
      </w:r>
      <w:r>
        <w:rPr>
          <w:rFonts w:ascii="Times New Roman" w:hAnsi="Times New Roman" w:cs="Times New Roman" w:eastAsia="Times New Roman" w:hint="default"/>
          <w:spacing w:val="-4"/>
        </w:rPr>
        <w:t>2017</w:t>
      </w:r>
      <w:r>
        <w:rPr>
          <w:spacing w:val="-4"/>
        </w:rPr>
        <w:t>年度发布了《财政部关于修订印发一般企业财务报表格式的通知》，对一般企业财务报表格式进行了修订，</w:t>
      </w:r>
      <w:r>
        <w:rPr/>
        <w:t> 适用于</w:t>
      </w:r>
      <w:r>
        <w:rPr>
          <w:rFonts w:ascii="Times New Roman" w:hAnsi="Times New Roman" w:cs="Times New Roman" w:eastAsia="Times New Roman" w:hint="default"/>
        </w:rPr>
        <w:t>2017</w:t>
      </w:r>
      <w:r>
        <w:rPr/>
        <w:t>年度及以后期间的财务报表。</w:t>
      </w:r>
    </w:p>
    <w:p>
      <w:pPr>
        <w:pStyle w:val="BodyText"/>
        <w:spacing w:line="240" w:lineRule="auto" w:before="43"/>
        <w:ind w:left="1493" w:right="0"/>
        <w:jc w:val="left"/>
      </w:pPr>
      <w:r>
        <w:rPr/>
        <w:t>公司根据上述规则的变化对相应的会计政策做了调整，主要影响如下：</w:t>
      </w:r>
    </w:p>
    <w:p>
      <w:pPr>
        <w:spacing w:line="240" w:lineRule="auto" w:before="13"/>
        <w:rPr>
          <w:rFonts w:ascii="宋体" w:hAnsi="宋体" w:cs="宋体" w:eastAsia="宋体" w:hint="default"/>
          <w:sz w:val="10"/>
          <w:szCs w:val="10"/>
        </w:rPr>
      </w:pPr>
    </w:p>
    <w:tbl>
      <w:tblPr>
        <w:tblW w:w="0" w:type="auto"/>
        <w:jc w:val="left"/>
        <w:tblInd w:w="1129" w:type="dxa"/>
        <w:tblLayout w:type="fixed"/>
        <w:tblCellMar>
          <w:top w:w="0" w:type="dxa"/>
          <w:left w:w="0" w:type="dxa"/>
          <w:bottom w:w="0" w:type="dxa"/>
          <w:right w:w="0" w:type="dxa"/>
        </w:tblCellMar>
        <w:tblLook w:val="01E0"/>
      </w:tblPr>
      <w:tblGrid>
        <w:gridCol w:w="4558"/>
        <w:gridCol w:w="5082"/>
      </w:tblGrid>
      <w:tr>
        <w:trPr>
          <w:trHeight w:val="342" w:hRule="exact"/>
        </w:trPr>
        <w:tc>
          <w:tcPr>
            <w:tcW w:w="4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194"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5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66" w:right="0"/>
              <w:jc w:val="left"/>
              <w:rPr>
                <w:rFonts w:ascii="宋体" w:hAnsi="宋体" w:cs="宋体" w:eastAsia="宋体" w:hint="default"/>
                <w:sz w:val="18"/>
                <w:szCs w:val="18"/>
              </w:rPr>
            </w:pPr>
            <w:r>
              <w:rPr>
                <w:rFonts w:ascii="宋体" w:hAnsi="宋体" w:cs="宋体" w:eastAsia="宋体" w:hint="default"/>
                <w:sz w:val="18"/>
                <w:szCs w:val="18"/>
              </w:rPr>
              <w:t>受影响的报表项目名称和金额</w:t>
            </w:r>
          </w:p>
        </w:tc>
      </w:tr>
      <w:tr>
        <w:trPr>
          <w:trHeight w:val="654" w:hRule="exact"/>
        </w:trPr>
        <w:tc>
          <w:tcPr>
            <w:tcW w:w="455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4" w:right="2"/>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）在利润表中分别列示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持续经营净利润</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终止经营</w:t>
            </w:r>
            <w:r>
              <w:rPr>
                <w:rFonts w:ascii="宋体" w:hAnsi="宋体" w:cs="宋体" w:eastAsia="宋体" w:hint="default"/>
                <w:spacing w:val="-84"/>
                <w:sz w:val="18"/>
                <w:szCs w:val="18"/>
              </w:rPr>
              <w:t> </w:t>
            </w:r>
            <w:r>
              <w:rPr>
                <w:rFonts w:ascii="宋体" w:hAnsi="宋体" w:cs="宋体" w:eastAsia="宋体" w:hint="default"/>
                <w:sz w:val="18"/>
                <w:szCs w:val="18"/>
              </w:rPr>
              <w:t>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。比较数据相应调整。</w:t>
            </w:r>
          </w:p>
        </w:tc>
        <w:tc>
          <w:tcPr>
            <w:tcW w:w="508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6" w:right="6"/>
              <w:jc w:val="left"/>
              <w:rPr>
                <w:rFonts w:ascii="宋体" w:hAnsi="宋体" w:cs="宋体" w:eastAsia="宋体" w:hint="default"/>
                <w:sz w:val="18"/>
                <w:szCs w:val="18"/>
              </w:rPr>
            </w:pPr>
            <w:r>
              <w:rPr>
                <w:rFonts w:ascii="宋体" w:hAnsi="宋体" w:cs="宋体" w:eastAsia="宋体" w:hint="default"/>
                <w:sz w:val="18"/>
                <w:szCs w:val="18"/>
              </w:rPr>
              <w:t>列示持续经营净利润本年金额</w:t>
            </w:r>
            <w:r>
              <w:rPr>
                <w:rFonts w:ascii="Times New Roman" w:hAnsi="Times New Roman" w:cs="Times New Roman" w:eastAsia="Times New Roman" w:hint="default"/>
                <w:sz w:val="18"/>
                <w:szCs w:val="18"/>
              </w:rPr>
              <w:t>92,835,525.94</w:t>
            </w:r>
            <w:r>
              <w:rPr>
                <w:rFonts w:ascii="宋体" w:hAnsi="宋体" w:cs="宋体" w:eastAsia="宋体" w:hint="default"/>
                <w:sz w:val="18"/>
                <w:szCs w:val="18"/>
              </w:rPr>
              <w:t>元；列示终止经营净</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z w:val="18"/>
                <w:szCs w:val="18"/>
              </w:rPr>
              <w:t>利润本年金额</w:t>
            </w:r>
            <w:r>
              <w:rPr>
                <w:rFonts w:ascii="Times New Roman" w:hAnsi="Times New Roman" w:cs="Times New Roman" w:eastAsia="Times New Roman" w:hint="default"/>
                <w:sz w:val="18"/>
                <w:szCs w:val="18"/>
              </w:rPr>
              <w:t>0.00</w:t>
            </w:r>
            <w:r>
              <w:rPr>
                <w:rFonts w:ascii="宋体" w:hAnsi="宋体" w:cs="宋体" w:eastAsia="宋体" w:hint="default"/>
                <w:sz w:val="18"/>
                <w:szCs w:val="18"/>
              </w:rPr>
              <w:t>元。</w:t>
            </w:r>
          </w:p>
        </w:tc>
      </w:tr>
      <w:tr>
        <w:trPr>
          <w:trHeight w:val="654" w:hRule="exact"/>
        </w:trPr>
        <w:tc>
          <w:tcPr>
            <w:tcW w:w="455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4" w:right="4"/>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）部分与资产相关的政府补助，冲减了相关资产账面价</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值。比较数据不调整。</w:t>
            </w:r>
          </w:p>
        </w:tc>
        <w:tc>
          <w:tcPr>
            <w:tcW w:w="508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6" w:right="2949"/>
              <w:jc w:val="left"/>
              <w:rPr>
                <w:rFonts w:ascii="宋体" w:hAnsi="宋体" w:cs="宋体" w:eastAsia="宋体" w:hint="default"/>
                <w:sz w:val="18"/>
                <w:szCs w:val="18"/>
              </w:rPr>
            </w:pPr>
            <w:r>
              <w:rPr>
                <w:rFonts w:ascii="宋体" w:hAnsi="宋体" w:cs="宋体" w:eastAsia="宋体" w:hint="default"/>
                <w:sz w:val="18"/>
                <w:szCs w:val="18"/>
              </w:rPr>
              <w:t>在建工程：减少</w:t>
            </w:r>
            <w:r>
              <w:rPr>
                <w:rFonts w:ascii="Times New Roman" w:hAnsi="Times New Roman" w:cs="Times New Roman" w:eastAsia="Times New Roman" w:hint="default"/>
                <w:sz w:val="18"/>
                <w:szCs w:val="18"/>
              </w:rPr>
              <w:t>2,426,431.9 5</w:t>
            </w:r>
            <w:r>
              <w:rPr>
                <w:rFonts w:ascii="宋体" w:hAnsi="宋体" w:cs="宋体" w:eastAsia="宋体" w:hint="default"/>
                <w:sz w:val="18"/>
                <w:szCs w:val="18"/>
              </w:rPr>
              <w:t>元。</w:t>
            </w:r>
          </w:p>
        </w:tc>
      </w:tr>
      <w:tr>
        <w:trPr>
          <w:trHeight w:val="654" w:hRule="exact"/>
        </w:trPr>
        <w:tc>
          <w:tcPr>
            <w:tcW w:w="455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4" w:right="-16"/>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）部分与收益相关的政府补助，冲减了相关成本费用。</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比较数据不调整。</w:t>
            </w:r>
          </w:p>
        </w:tc>
        <w:tc>
          <w:tcPr>
            <w:tcW w:w="5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管理费用：减少</w:t>
            </w:r>
            <w:r>
              <w:rPr>
                <w:rFonts w:ascii="Times New Roman" w:hAnsi="Times New Roman" w:cs="Times New Roman" w:eastAsia="Times New Roman" w:hint="default"/>
                <w:sz w:val="18"/>
                <w:szCs w:val="18"/>
              </w:rPr>
              <w:t>0.00</w:t>
            </w:r>
            <w:r>
              <w:rPr>
                <w:rFonts w:ascii="宋体" w:hAnsi="宋体" w:cs="宋体" w:eastAsia="宋体" w:hint="default"/>
                <w:sz w:val="18"/>
                <w:szCs w:val="18"/>
              </w:rPr>
              <w:t>元。</w:t>
            </w:r>
          </w:p>
        </w:tc>
      </w:tr>
      <w:tr>
        <w:trPr>
          <w:trHeight w:val="654" w:hRule="exact"/>
        </w:trPr>
        <w:tc>
          <w:tcPr>
            <w:tcW w:w="455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4" w:right="-16"/>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）与本公司日常活动相关的政府补助，计入其他收益，</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不再计入营业外收入。比较数据不调整。</w:t>
            </w:r>
          </w:p>
        </w:tc>
        <w:tc>
          <w:tcPr>
            <w:tcW w:w="508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6" w:right="2138"/>
              <w:jc w:val="left"/>
              <w:rPr>
                <w:rFonts w:ascii="宋体" w:hAnsi="宋体" w:cs="宋体" w:eastAsia="宋体" w:hint="default"/>
                <w:sz w:val="18"/>
                <w:szCs w:val="18"/>
              </w:rPr>
            </w:pPr>
            <w:r>
              <w:rPr>
                <w:rFonts w:ascii="宋体" w:hAnsi="宋体" w:cs="宋体" w:eastAsia="宋体" w:hint="default"/>
                <w:sz w:val="18"/>
                <w:szCs w:val="18"/>
              </w:rPr>
              <w:t>本期：营业外收入减少</w:t>
            </w:r>
            <w:r>
              <w:rPr>
                <w:rFonts w:ascii="Times New Roman" w:hAnsi="Times New Roman" w:cs="Times New Roman" w:eastAsia="Times New Roman" w:hint="default"/>
                <w:sz w:val="18"/>
                <w:szCs w:val="18"/>
              </w:rPr>
              <w:t>6,027,404.73</w:t>
            </w:r>
            <w:r>
              <w:rPr>
                <w:rFonts w:ascii="宋体" w:hAnsi="宋体" w:cs="宋体" w:eastAsia="宋体" w:hint="default"/>
                <w:sz w:val="18"/>
                <w:szCs w:val="18"/>
              </w:rPr>
              <w:t>元 本期：其他收益增加</w:t>
            </w:r>
            <w:r>
              <w:rPr>
                <w:rFonts w:ascii="Times New Roman" w:hAnsi="Times New Roman" w:cs="Times New Roman" w:eastAsia="Times New Roman" w:hint="default"/>
                <w:sz w:val="18"/>
                <w:szCs w:val="18"/>
              </w:rPr>
              <w:t>6,027,404.73</w:t>
            </w:r>
            <w:r>
              <w:rPr>
                <w:rFonts w:ascii="宋体" w:hAnsi="宋体" w:cs="宋体" w:eastAsia="宋体" w:hint="default"/>
                <w:sz w:val="18"/>
                <w:szCs w:val="18"/>
              </w:rPr>
              <w:t>元</w:t>
            </w:r>
          </w:p>
        </w:tc>
      </w:tr>
      <w:tr>
        <w:trPr>
          <w:trHeight w:val="1279" w:hRule="exact"/>
        </w:trPr>
        <w:tc>
          <w:tcPr>
            <w:tcW w:w="455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4" w:right="3"/>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）在利润表中新增</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资产处置收益</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项目，将部分原列示</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2"/>
                <w:sz w:val="18"/>
                <w:szCs w:val="18"/>
              </w:rPr>
              <w:t>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营业外收入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的资产处置损益重分类至</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资产处置收益</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项目。比较数据相应调整。</w:t>
            </w:r>
          </w:p>
        </w:tc>
        <w:tc>
          <w:tcPr>
            <w:tcW w:w="508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6" w:right="2184"/>
              <w:jc w:val="left"/>
              <w:rPr>
                <w:rFonts w:ascii="宋体" w:hAnsi="宋体" w:cs="宋体" w:eastAsia="宋体" w:hint="default"/>
                <w:sz w:val="18"/>
                <w:szCs w:val="18"/>
              </w:rPr>
            </w:pPr>
            <w:r>
              <w:rPr>
                <w:rFonts w:ascii="宋体" w:hAnsi="宋体" w:cs="宋体" w:eastAsia="宋体" w:hint="default"/>
                <w:sz w:val="18"/>
                <w:szCs w:val="18"/>
              </w:rPr>
              <w:t>本期：营业外收入减少</w:t>
            </w:r>
            <w:r>
              <w:rPr>
                <w:rFonts w:ascii="Times New Roman" w:hAnsi="Times New Roman" w:cs="Times New Roman" w:eastAsia="Times New Roman" w:hint="default"/>
                <w:sz w:val="18"/>
                <w:szCs w:val="18"/>
              </w:rPr>
              <w:t>50,017.56</w:t>
            </w:r>
            <w:r>
              <w:rPr>
                <w:rFonts w:ascii="宋体" w:hAnsi="宋体" w:cs="宋体" w:eastAsia="宋体" w:hint="default"/>
                <w:sz w:val="18"/>
                <w:szCs w:val="18"/>
              </w:rPr>
              <w:t>元 本期：资产处置收益增加</w:t>
            </w:r>
            <w:r>
              <w:rPr>
                <w:rFonts w:ascii="Times New Roman" w:hAnsi="Times New Roman" w:cs="Times New Roman" w:eastAsia="Times New Roman" w:hint="default"/>
                <w:sz w:val="18"/>
                <w:szCs w:val="18"/>
              </w:rPr>
              <w:t>50,017.56</w:t>
            </w:r>
            <w:r>
              <w:rPr>
                <w:rFonts w:ascii="宋体" w:hAnsi="宋体" w:cs="宋体" w:eastAsia="宋体" w:hint="default"/>
                <w:sz w:val="18"/>
                <w:szCs w:val="18"/>
              </w:rPr>
              <w:t>元 上期：营业外收入减少</w:t>
            </w:r>
            <w:r>
              <w:rPr>
                <w:rFonts w:ascii="Times New Roman" w:hAnsi="Times New Roman" w:cs="Times New Roman" w:eastAsia="Times New Roman" w:hint="default"/>
                <w:sz w:val="18"/>
                <w:szCs w:val="18"/>
              </w:rPr>
              <w:t>92,292.31</w:t>
            </w:r>
            <w:r>
              <w:rPr>
                <w:rFonts w:ascii="宋体" w:hAnsi="宋体" w:cs="宋体" w:eastAsia="宋体" w:hint="default"/>
                <w:sz w:val="18"/>
                <w:szCs w:val="18"/>
              </w:rPr>
              <w:t>元 上期：资产处置收益增加</w:t>
            </w:r>
            <w:r>
              <w:rPr>
                <w:rFonts w:ascii="Times New Roman" w:hAnsi="Times New Roman" w:cs="Times New Roman" w:eastAsia="Times New Roman" w:hint="default"/>
                <w:sz w:val="18"/>
                <w:szCs w:val="18"/>
              </w:rPr>
              <w:t>92,292.31</w:t>
            </w:r>
            <w:r>
              <w:rPr>
                <w:rFonts w:ascii="宋体" w:hAnsi="宋体" w:cs="宋体" w:eastAsia="宋体" w:hint="default"/>
                <w:sz w:val="18"/>
                <w:szCs w:val="18"/>
              </w:rPr>
              <w:t>元</w:t>
            </w:r>
          </w:p>
        </w:tc>
      </w:tr>
    </w:tbl>
    <w:p>
      <w:pPr>
        <w:pStyle w:val="BodyText"/>
        <w:spacing w:line="240" w:lineRule="auto" w:before="88"/>
        <w:ind w:left="1494" w:right="0"/>
        <w:jc w:val="left"/>
      </w:pPr>
      <w:r>
        <w:rPr/>
        <w:t>除上述外，本次修订对公司无其他重大影响。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8"/>
          <w:szCs w:val="18"/>
        </w:rPr>
      </w:pPr>
    </w:p>
    <w:p>
      <w:pPr>
        <w:pStyle w:val="Heading2"/>
        <w:spacing w:line="240" w:lineRule="auto"/>
        <w:ind w:left="1134" w:right="0"/>
        <w:jc w:val="left"/>
        <w:rPr>
          <w:b w:val="0"/>
          <w:bCs w:val="0"/>
        </w:rPr>
      </w:pPr>
      <w:bookmarkStart w:name="七、与上年度财务报告相比，合并报表范围发生变化的情况说明" w:id="70"/>
      <w:bookmarkEnd w:id="70"/>
      <w:r>
        <w:rPr>
          <w:b w:val="0"/>
          <w:bCs w:val="0"/>
        </w:rPr>
      </w:r>
      <w:r>
        <w:rPr/>
        <w:t>七、与上年度财务报告相比，合并报表范围发生变化的情况说明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spacing w:line="412" w:lineRule="auto" w:before="0"/>
        <w:ind w:left="1495" w:right="7590" w:hanging="362"/>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b/>
          <w:bCs/>
          <w:sz w:val="18"/>
          <w:szCs w:val="18"/>
        </w:rPr>
        <w:t>1</w:t>
      </w:r>
      <w:r>
        <w:rPr>
          <w:rFonts w:ascii="宋体" w:hAnsi="宋体" w:cs="宋体" w:eastAsia="宋体" w:hint="default"/>
          <w:b/>
          <w:bCs/>
          <w:sz w:val="18"/>
          <w:szCs w:val="18"/>
        </w:rPr>
        <w:t>、处置广东新阳物流设备有限公司</w:t>
      </w:r>
      <w:r>
        <w:rPr>
          <w:rFonts w:ascii="宋体" w:hAnsi="宋体" w:cs="宋体" w:eastAsia="宋体" w:hint="default"/>
          <w:sz w:val="18"/>
          <w:szCs w:val="18"/>
        </w:rPr>
      </w:r>
    </w:p>
    <w:p>
      <w:pPr>
        <w:pStyle w:val="BodyText"/>
        <w:spacing w:line="477" w:lineRule="auto" w:before="103"/>
        <w:ind w:right="0" w:firstLine="360"/>
        <w:jc w:val="left"/>
      </w:pPr>
      <w:r>
        <w:rPr>
          <w:rFonts w:ascii="宋体" w:hAnsi="宋体" w:cs="宋体" w:eastAsia="宋体" w:hint="default"/>
          <w:spacing w:val="-2"/>
        </w:rPr>
        <w:t>2016</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16</w:t>
      </w:r>
      <w:r>
        <w:rPr>
          <w:spacing w:val="-2"/>
        </w:rPr>
        <w:t>日第三届董事会第二次会议决议，将原全资子公司广东新阳物流设备有限公司</w:t>
      </w:r>
      <w:r>
        <w:rPr>
          <w:rFonts w:ascii="宋体" w:hAnsi="宋体" w:cs="宋体" w:eastAsia="宋体" w:hint="default"/>
          <w:spacing w:val="-2"/>
        </w:rPr>
        <w:t>100%</w:t>
      </w:r>
      <w:r>
        <w:rPr>
          <w:spacing w:val="-2"/>
        </w:rPr>
        <w:t>股权转让给自然人黄小</w:t>
      </w:r>
      <w:r>
        <w:rPr/>
        <w:t> 江，转让股权价格为人民币</w:t>
      </w:r>
      <w:r>
        <w:rPr>
          <w:rFonts w:ascii="宋体" w:hAnsi="宋体" w:cs="宋体" w:eastAsia="宋体" w:hint="default"/>
        </w:rPr>
        <w:t>2,800.00</w:t>
      </w:r>
      <w:r>
        <w:rPr/>
        <w:t>万元。</w:t>
      </w:r>
    </w:p>
    <w:p>
      <w:pPr>
        <w:pStyle w:val="Heading4"/>
        <w:spacing w:line="240" w:lineRule="auto" w:before="54"/>
        <w:ind w:left="1495" w:right="0"/>
        <w:jc w:val="left"/>
        <w:rPr>
          <w:b w:val="0"/>
          <w:bCs w:val="0"/>
        </w:rPr>
      </w:pPr>
      <w:r>
        <w:rPr>
          <w:rFonts w:ascii="宋体" w:hAnsi="宋体" w:cs="宋体" w:eastAsia="宋体" w:hint="default"/>
        </w:rPr>
        <w:t>2</w:t>
      </w:r>
      <w:r>
        <w:rPr/>
        <w:t>、新成立子公司北京今天华迅智能技术有限公司</w:t>
      </w:r>
      <w:r>
        <w:rPr>
          <w:b w:val="0"/>
          <w:bCs w:val="0"/>
        </w:rPr>
      </w:r>
    </w:p>
    <w:p>
      <w:pPr>
        <w:spacing w:line="240" w:lineRule="auto" w:before="10"/>
        <w:rPr>
          <w:rFonts w:ascii="宋体" w:hAnsi="宋体" w:cs="宋体" w:eastAsia="宋体" w:hint="default"/>
          <w:b/>
          <w:bCs/>
          <w:sz w:val="17"/>
          <w:szCs w:val="17"/>
        </w:rPr>
      </w:pPr>
    </w:p>
    <w:p>
      <w:pPr>
        <w:pStyle w:val="BodyText"/>
        <w:spacing w:line="477" w:lineRule="auto"/>
        <w:ind w:left="1134" w:right="1122" w:firstLine="360"/>
        <w:jc w:val="left"/>
      </w:pPr>
      <w:r>
        <w:rPr>
          <w:rFonts w:ascii="宋体" w:hAnsi="宋体" w:cs="宋体" w:eastAsia="宋体" w:hint="default"/>
        </w:rPr>
        <w:t>2017</w:t>
      </w:r>
      <w:r>
        <w:rPr/>
        <w:t>年</w:t>
      </w:r>
      <w:r>
        <w:rPr>
          <w:rFonts w:ascii="宋体" w:hAnsi="宋体" w:cs="宋体" w:eastAsia="宋体" w:hint="default"/>
        </w:rPr>
        <w:t>7</w:t>
      </w:r>
      <w:r>
        <w:rPr/>
        <w:t>月</w:t>
      </w:r>
      <w:r>
        <w:rPr>
          <w:rFonts w:ascii="宋体" w:hAnsi="宋体" w:cs="宋体" w:eastAsia="宋体" w:hint="default"/>
        </w:rPr>
        <w:t>31</w:t>
      </w:r>
      <w:r>
        <w:rPr/>
        <w:t>日，本公司召开第三届董事会第八次会议决议，通过了《关于对外投资设立子公司的议案》，公司拟对外 </w:t>
      </w:r>
      <w:r>
        <w:rPr>
          <w:spacing w:val="-2"/>
        </w:rPr>
        <w:t>投资，与北京皖江科技合伙企业、北京卓天城科技合伙企业合资设立一家控股子公司，北京今天华迅智能技术有限公司。北</w:t>
      </w:r>
    </w:p>
    <w:p>
      <w:pPr>
        <w:spacing w:after="0" w:line="477"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129"/>
        <w:jc w:val="both"/>
      </w:pPr>
      <w:r>
        <w:rPr/>
        <w:t>京今天华迅智能技术有限公司注册资本</w:t>
      </w:r>
      <w:r>
        <w:rPr>
          <w:rFonts w:ascii="宋体" w:hAnsi="宋体" w:cs="宋体" w:eastAsia="宋体" w:hint="default"/>
        </w:rPr>
        <w:t>5,000.00</w:t>
      </w:r>
      <w:r>
        <w:rPr/>
        <w:t>万元人民币，其中公司认缴注册资本</w:t>
      </w:r>
      <w:r>
        <w:rPr>
          <w:rFonts w:ascii="宋体" w:hAnsi="宋体" w:cs="宋体" w:eastAsia="宋体" w:hint="default"/>
        </w:rPr>
        <w:t>3,110.00</w:t>
      </w:r>
      <w:r>
        <w:rPr/>
        <w:t>万元人民币，持有</w:t>
      </w:r>
      <w:r>
        <w:rPr>
          <w:rFonts w:ascii="宋体" w:hAnsi="宋体" w:cs="宋体" w:eastAsia="宋体" w:hint="default"/>
        </w:rPr>
        <w:t>62.2%</w:t>
      </w:r>
      <w:r>
        <w:rPr/>
        <w:t>的股</w:t>
      </w:r>
      <w:r>
        <w:rPr>
          <w:spacing w:val="-83"/>
        </w:rPr>
        <w:t> </w:t>
      </w:r>
      <w:r>
        <w:rPr/>
        <w:t>权；北京皖江科技合伙企业认缴注册资本</w:t>
      </w:r>
      <w:r>
        <w:rPr>
          <w:rFonts w:ascii="宋体" w:hAnsi="宋体" w:cs="宋体" w:eastAsia="宋体" w:hint="default"/>
        </w:rPr>
        <w:t>1,160.00</w:t>
      </w:r>
      <w:r>
        <w:rPr/>
        <w:t>万元人民币，持有</w:t>
      </w:r>
      <w:r>
        <w:rPr>
          <w:rFonts w:ascii="宋体" w:hAnsi="宋体" w:cs="宋体" w:eastAsia="宋体" w:hint="default"/>
        </w:rPr>
        <w:t>23.2%</w:t>
      </w:r>
      <w:r>
        <w:rPr/>
        <w:t>的股权；北京卓天城科技合伙企业认缴注册资本</w:t>
      </w:r>
      <w:r>
        <w:rPr>
          <w:spacing w:val="-83"/>
        </w:rPr>
        <w:t> </w:t>
      </w:r>
      <w:r>
        <w:rPr>
          <w:spacing w:val="-83"/>
        </w:rPr>
      </w:r>
      <w:r>
        <w:rPr>
          <w:rFonts w:ascii="宋体" w:hAnsi="宋体" w:cs="宋体" w:eastAsia="宋体" w:hint="default"/>
        </w:rPr>
        <w:t>730.00</w:t>
      </w:r>
      <w:r>
        <w:rPr/>
        <w:t>万元人民币，持有</w:t>
      </w:r>
      <w:r>
        <w:rPr>
          <w:rFonts w:ascii="宋体" w:hAnsi="宋体" w:cs="宋体" w:eastAsia="宋体" w:hint="default"/>
        </w:rPr>
        <w:t>14.6%</w:t>
      </w:r>
      <w:r>
        <w:rPr/>
        <w:t>的股权。截至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日，本公司实际出资</w:t>
      </w:r>
      <w:r>
        <w:rPr>
          <w:rFonts w:ascii="宋体" w:hAnsi="宋体" w:cs="宋体" w:eastAsia="宋体" w:hint="default"/>
        </w:rPr>
        <w:t>186.60</w:t>
      </w:r>
      <w:r>
        <w:rPr/>
        <w:t>万元人民币。</w:t>
      </w:r>
    </w:p>
    <w:p>
      <w:pPr>
        <w:pStyle w:val="Heading4"/>
        <w:spacing w:line="240" w:lineRule="auto" w:before="54"/>
        <w:ind w:left="1495" w:right="0"/>
        <w:jc w:val="left"/>
        <w:rPr>
          <w:b w:val="0"/>
          <w:bCs w:val="0"/>
        </w:rPr>
      </w:pPr>
      <w:r>
        <w:rPr>
          <w:rFonts w:ascii="宋体" w:hAnsi="宋体" w:cs="宋体" w:eastAsia="宋体" w:hint="default"/>
        </w:rPr>
        <w:t>3</w:t>
      </w:r>
      <w:r>
        <w:rPr/>
        <w:t>、新成立全资子公司上海今天华峰智能系统有限公司</w:t>
      </w:r>
      <w:r>
        <w:rPr>
          <w:b w:val="0"/>
          <w:bCs w:val="0"/>
        </w:rPr>
      </w:r>
    </w:p>
    <w:p>
      <w:pPr>
        <w:spacing w:line="240" w:lineRule="auto" w:before="10"/>
        <w:rPr>
          <w:rFonts w:ascii="宋体" w:hAnsi="宋体" w:cs="宋体" w:eastAsia="宋体" w:hint="default"/>
          <w:b/>
          <w:bCs/>
          <w:sz w:val="17"/>
          <w:szCs w:val="17"/>
        </w:rPr>
      </w:pPr>
    </w:p>
    <w:p>
      <w:pPr>
        <w:pStyle w:val="BodyText"/>
        <w:spacing w:line="477" w:lineRule="auto"/>
        <w:ind w:right="1129" w:firstLine="360"/>
        <w:jc w:val="both"/>
      </w:pPr>
      <w:r>
        <w:rPr>
          <w:rFonts w:ascii="宋体" w:hAnsi="宋体" w:cs="宋体" w:eastAsia="宋体" w:hint="default"/>
          <w:spacing w:val="-3"/>
        </w:rPr>
        <w:t>2017</w:t>
      </w:r>
      <w:r>
        <w:rPr>
          <w:spacing w:val="-3"/>
        </w:rPr>
        <w:t>年</w:t>
      </w:r>
      <w:r>
        <w:rPr>
          <w:rFonts w:ascii="宋体" w:hAnsi="宋体" w:cs="宋体" w:eastAsia="宋体" w:hint="default"/>
          <w:spacing w:val="-3"/>
        </w:rPr>
        <w:t>9</w:t>
      </w:r>
      <w:r>
        <w:rPr>
          <w:spacing w:val="-3"/>
        </w:rPr>
        <w:t>月</w:t>
      </w:r>
      <w:r>
        <w:rPr>
          <w:rFonts w:ascii="宋体" w:hAnsi="宋体" w:cs="宋体" w:eastAsia="宋体" w:hint="default"/>
          <w:spacing w:val="-3"/>
        </w:rPr>
        <w:t>11</w:t>
      </w:r>
      <w:r>
        <w:rPr>
          <w:spacing w:val="-3"/>
        </w:rPr>
        <w:t>日，本公司召开第三届董事会第九次会议决议，通过了《关于投资设立上海子公司的议案》，同意使用</w:t>
      </w:r>
      <w:r>
        <w:rPr>
          <w:rFonts w:ascii="宋体" w:hAnsi="宋体" w:cs="宋体" w:eastAsia="宋体" w:hint="default"/>
          <w:spacing w:val="-3"/>
        </w:rPr>
        <w:t>5000</w:t>
      </w:r>
      <w:r>
        <w:rPr>
          <w:rFonts w:ascii="宋体" w:hAnsi="宋体" w:cs="宋体" w:eastAsia="宋体" w:hint="default"/>
        </w:rPr>
        <w:t> </w:t>
      </w:r>
      <w:r>
        <w:rPr/>
        <w:t>万元设立全资子公司上海今天华峰智能系统有限公司。该公司在</w:t>
      </w:r>
      <w:r>
        <w:rPr>
          <w:rFonts w:ascii="宋体" w:hAnsi="宋体" w:cs="宋体" w:eastAsia="宋体" w:hint="default"/>
        </w:rPr>
        <w:t>2017</w:t>
      </w:r>
      <w:r>
        <w:rPr/>
        <w:t>年</w:t>
      </w:r>
      <w:r>
        <w:rPr>
          <w:rFonts w:ascii="宋体" w:hAnsi="宋体" w:cs="宋体" w:eastAsia="宋体" w:hint="default"/>
        </w:rPr>
        <w:t>11</w:t>
      </w:r>
      <w:r>
        <w:rPr/>
        <w:t>月</w:t>
      </w:r>
      <w:r>
        <w:rPr>
          <w:rFonts w:ascii="宋体" w:hAnsi="宋体" w:cs="宋体" w:eastAsia="宋体" w:hint="default"/>
        </w:rPr>
        <w:t>7</w:t>
      </w:r>
      <w:r>
        <w:rPr/>
        <w:t>日成立，截至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日，本公司尚未实</w:t>
      </w:r>
      <w:r>
        <w:rPr>
          <w:spacing w:val="-82"/>
        </w:rPr>
        <w:t> </w:t>
      </w:r>
      <w:r>
        <w:rPr>
          <w:spacing w:val="-82"/>
        </w:rPr>
      </w:r>
      <w:r>
        <w:rPr/>
        <w:t>际出资。</w:t>
      </w:r>
    </w:p>
    <w:p>
      <w:pPr>
        <w:spacing w:line="240" w:lineRule="auto" w:before="7"/>
        <w:rPr>
          <w:rFonts w:ascii="宋体" w:hAnsi="宋体" w:cs="宋体" w:eastAsia="宋体" w:hint="default"/>
          <w:sz w:val="17"/>
          <w:szCs w:val="17"/>
        </w:rPr>
      </w:pPr>
    </w:p>
    <w:p>
      <w:pPr>
        <w:pStyle w:val="Heading2"/>
        <w:spacing w:line="240" w:lineRule="auto"/>
        <w:ind w:right="0"/>
        <w:jc w:val="both"/>
        <w:rPr>
          <w:b w:val="0"/>
          <w:bCs w:val="0"/>
        </w:rPr>
      </w:pPr>
      <w:bookmarkStart w:name="八、聘任、解聘会计师事务所情况" w:id="71"/>
      <w:bookmarkEnd w:id="71"/>
      <w:r>
        <w:rPr>
          <w:b w:val="0"/>
          <w:bCs w:val="0"/>
        </w:rPr>
      </w:r>
      <w:r>
        <w:rPr/>
        <w:t>八、聘任、解聘会计师事务所情况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现聘任的会计事务所</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792"/>
        <w:gridCol w:w="4777"/>
      </w:tblGrid>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45</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崔岩、付忠伟</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r>
              <w:rPr>
                <w:rFonts w:ascii="宋体" w:hAnsi="宋体" w:cs="宋体" w:eastAsia="宋体" w:hint="default"/>
                <w:spacing w:val="-90"/>
                <w:sz w:val="18"/>
                <w:szCs w:val="18"/>
              </w:rPr>
              <w:t>）</w:t>
            </w:r>
            <w:r>
              <w:rPr>
                <w:rFonts w:ascii="宋体" w:hAnsi="宋体" w:cs="宋体" w:eastAsia="宋体" w:hint="default"/>
                <w:sz w:val="18"/>
                <w:szCs w:val="18"/>
              </w:rPr>
              <w:t>（如有）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境外会计师事务所注册会计师审计服务的连续年限（如有）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6"/>
        <w:rPr>
          <w:rFonts w:ascii="宋体" w:hAnsi="宋体" w:cs="宋体" w:eastAsia="宋体" w:hint="default"/>
          <w:sz w:val="6"/>
          <w:szCs w:val="6"/>
        </w:rPr>
      </w:pPr>
    </w:p>
    <w:p>
      <w:pPr>
        <w:pStyle w:val="BodyText"/>
        <w:spacing w:line="240" w:lineRule="auto" w:before="44"/>
        <w:ind w:left="1134" w:right="0"/>
        <w:jc w:val="left"/>
      </w:pPr>
      <w:r>
        <w:rPr/>
        <w:t>是否改聘会计师事务所</w:t>
      </w:r>
    </w:p>
    <w:p>
      <w:pPr>
        <w:spacing w:line="240" w:lineRule="auto" w:before="10"/>
        <w:rPr>
          <w:rFonts w:ascii="宋体" w:hAnsi="宋体" w:cs="宋体" w:eastAsia="宋体" w:hint="default"/>
          <w:sz w:val="20"/>
          <w:szCs w:val="20"/>
        </w:rPr>
      </w:pPr>
    </w:p>
    <w:p>
      <w:pPr>
        <w:pStyle w:val="BodyText"/>
        <w:spacing w:line="489" w:lineRule="auto"/>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85"/>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pStyle w:val="Heading2"/>
        <w:spacing w:line="240" w:lineRule="auto" w:before="155"/>
        <w:ind w:right="0"/>
        <w:jc w:val="left"/>
        <w:rPr>
          <w:b w:val="0"/>
          <w:bCs w:val="0"/>
        </w:rPr>
      </w:pPr>
      <w:bookmarkStart w:name="九、年度报告披露后面临暂停上市和终止上市情况" w:id="72"/>
      <w:bookmarkEnd w:id="72"/>
      <w:r>
        <w:rPr>
          <w:b w:val="0"/>
          <w:bCs w:val="0"/>
        </w:rPr>
      </w:r>
      <w:r>
        <w:rPr/>
        <w:t>九、年度报告披露后面临暂停上市和终止上市情况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破产重整相关事项" w:id="73"/>
      <w:bookmarkEnd w:id="73"/>
      <w:r>
        <w:rPr>
          <w:b w:val="0"/>
          <w:bCs w:val="0"/>
        </w:rPr>
      </w:r>
      <w:r>
        <w:rPr/>
        <w:t>十、破产重整相关事项</w:t>
      </w:r>
      <w:r>
        <w:rPr>
          <w:b w:val="0"/>
          <w:bCs w:val="0"/>
        </w:rPr>
      </w:r>
    </w:p>
    <w:p>
      <w:pPr>
        <w:spacing w:line="240" w:lineRule="auto" w:before="8"/>
        <w:rPr>
          <w:rFonts w:ascii="宋体" w:hAnsi="宋体" w:cs="宋体" w:eastAsia="宋体" w:hint="default"/>
          <w:b/>
          <w:bCs/>
          <w:sz w:val="32"/>
          <w:szCs w:val="32"/>
        </w:rPr>
      </w:pPr>
    </w:p>
    <w:p>
      <w:pPr>
        <w:pStyle w:val="BodyText"/>
        <w:spacing w:line="489"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after="0" w:line="489"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一、重大诉讼、仲裁事项" w:id="74"/>
      <w:bookmarkEnd w:id="74"/>
      <w:r>
        <w:rPr>
          <w:b w:val="0"/>
          <w:bCs w:val="0"/>
        </w:rPr>
      </w:r>
      <w:r>
        <w:rPr/>
        <w:t>十一、重大诉讼、仲裁事项</w:t>
      </w:r>
      <w:r>
        <w:rPr>
          <w:b w:val="0"/>
          <w:bCs w:val="0"/>
        </w:rPr>
      </w:r>
    </w:p>
    <w:p>
      <w:pPr>
        <w:spacing w:line="240" w:lineRule="auto" w:before="8"/>
        <w:rPr>
          <w:rFonts w:ascii="宋体" w:hAnsi="宋体" w:cs="宋体" w:eastAsia="宋体" w:hint="default"/>
          <w:b/>
          <w:bCs/>
          <w:sz w:val="32"/>
          <w:szCs w:val="32"/>
        </w:rPr>
      </w:pPr>
    </w:p>
    <w:p>
      <w:pPr>
        <w:pStyle w:val="BodyText"/>
        <w:spacing w:line="489"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本年度公司无重大诉讼、仲裁事项。</w:t>
      </w:r>
    </w:p>
    <w:p>
      <w:pPr>
        <w:spacing w:line="240" w:lineRule="auto" w:before="9"/>
        <w:rPr>
          <w:rFonts w:ascii="宋体" w:hAnsi="宋体" w:cs="宋体" w:eastAsia="宋体" w:hint="default"/>
          <w:sz w:val="16"/>
          <w:szCs w:val="16"/>
        </w:rPr>
      </w:pPr>
    </w:p>
    <w:p>
      <w:pPr>
        <w:pStyle w:val="Heading2"/>
        <w:spacing w:line="240" w:lineRule="auto"/>
        <w:ind w:right="0"/>
        <w:jc w:val="left"/>
        <w:rPr>
          <w:b w:val="0"/>
          <w:bCs w:val="0"/>
        </w:rPr>
      </w:pPr>
      <w:bookmarkStart w:name="十二、处罚及整改情况" w:id="75"/>
      <w:bookmarkEnd w:id="75"/>
      <w:r>
        <w:rPr>
          <w:b w:val="0"/>
          <w:bCs w:val="0"/>
        </w:rPr>
      </w:r>
      <w:r>
        <w:rPr/>
        <w:t>十二、处罚及整改情况</w:t>
      </w:r>
      <w:r>
        <w:rPr>
          <w:b w:val="0"/>
          <w:bCs w:val="0"/>
        </w:rPr>
      </w:r>
    </w:p>
    <w:p>
      <w:pPr>
        <w:spacing w:line="240" w:lineRule="auto" w:before="7"/>
        <w:rPr>
          <w:rFonts w:ascii="宋体" w:hAnsi="宋体" w:cs="宋体" w:eastAsia="宋体" w:hint="default"/>
          <w:b/>
          <w:bCs/>
          <w:sz w:val="32"/>
          <w:szCs w:val="32"/>
        </w:rPr>
      </w:pPr>
    </w:p>
    <w:p>
      <w:pPr>
        <w:pStyle w:val="BodyText"/>
        <w:spacing w:line="489"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8"/>
        <w:rPr>
          <w:rFonts w:ascii="宋体" w:hAnsi="宋体" w:cs="宋体" w:eastAsia="宋体" w:hint="default"/>
          <w:sz w:val="16"/>
          <w:szCs w:val="16"/>
        </w:rPr>
      </w:pPr>
    </w:p>
    <w:p>
      <w:pPr>
        <w:pStyle w:val="Heading2"/>
        <w:spacing w:line="240" w:lineRule="auto"/>
        <w:ind w:right="0"/>
        <w:jc w:val="left"/>
        <w:rPr>
          <w:b w:val="0"/>
          <w:bCs w:val="0"/>
        </w:rPr>
      </w:pPr>
      <w:bookmarkStart w:name="十三、公司及其控股股东、实际控制人的诚信状况" w:id="76"/>
      <w:bookmarkEnd w:id="76"/>
      <w:r>
        <w:rPr>
          <w:b w:val="0"/>
          <w:bCs w:val="0"/>
        </w:rPr>
      </w:r>
      <w:r>
        <w:rPr/>
        <w:t>十三、公司及其控股股东、实际控制人的诚信状况</w:t>
      </w:r>
      <w:r>
        <w:rPr>
          <w:b w:val="0"/>
          <w:bCs w:val="0"/>
        </w:rPr>
      </w:r>
    </w:p>
    <w:p>
      <w:pPr>
        <w:spacing w:line="240" w:lineRule="auto" w:before="8"/>
        <w:rPr>
          <w:rFonts w:ascii="宋体" w:hAnsi="宋体" w:cs="宋体" w:eastAsia="宋体" w:hint="default"/>
          <w:b/>
          <w:bCs/>
          <w:sz w:val="32"/>
          <w:szCs w:val="32"/>
        </w:rPr>
      </w:pPr>
    </w:p>
    <w:p>
      <w:pPr>
        <w:pStyle w:val="BodyText"/>
        <w:spacing w:line="487" w:lineRule="auto"/>
        <w:ind w:right="21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公司实际控制人邵健伟先生诚实守信，不存在未履行法院生效判决、所负数额较大的债务到期未清偿等情况。</w:t>
      </w:r>
    </w:p>
    <w:p>
      <w:pPr>
        <w:spacing w:line="240" w:lineRule="auto" w:before="12"/>
        <w:rPr>
          <w:rFonts w:ascii="宋体" w:hAnsi="宋体" w:cs="宋体" w:eastAsia="宋体" w:hint="default"/>
          <w:sz w:val="16"/>
          <w:szCs w:val="16"/>
        </w:rPr>
      </w:pPr>
    </w:p>
    <w:p>
      <w:pPr>
        <w:pStyle w:val="Heading2"/>
        <w:spacing w:line="240" w:lineRule="auto"/>
        <w:ind w:right="0"/>
        <w:jc w:val="left"/>
        <w:rPr>
          <w:b w:val="0"/>
          <w:bCs w:val="0"/>
        </w:rPr>
      </w:pPr>
      <w:bookmarkStart w:name="十四、公司股权激励计划、员工持股计划或其他员工激励措施的实施情况" w:id="77"/>
      <w:bookmarkEnd w:id="77"/>
      <w:r>
        <w:rPr>
          <w:b w:val="0"/>
          <w:bCs w:val="0"/>
        </w:rPr>
      </w:r>
      <w:r>
        <w:rPr/>
        <w:t>十四、公司股权激励计划、员工持股计划或其他员工激励措施的实施情况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13"/>
          <w:szCs w:val="13"/>
        </w:rPr>
      </w:pPr>
    </w:p>
    <w:p>
      <w:pPr>
        <w:pStyle w:val="BodyText"/>
        <w:spacing w:line="451" w:lineRule="auto"/>
        <w:ind w:right="1112" w:firstLine="360"/>
        <w:jc w:val="left"/>
      </w:pP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日召开的</w:t>
      </w:r>
      <w:r>
        <w:rPr>
          <w:rFonts w:ascii="Times New Roman" w:hAnsi="Times New Roman" w:cs="Times New Roman" w:eastAsia="Times New Roman" w:hint="default"/>
        </w:rPr>
        <w:t>2016</w:t>
      </w:r>
      <w:r>
        <w:rPr/>
        <w:t>年年度股东大会审议通过公</w:t>
      </w:r>
      <w:r>
        <w:rPr>
          <w:spacing w:val="-71"/>
        </w:rPr>
        <w:t>司</w:t>
      </w:r>
      <w:r>
        <w:rPr/>
        <w:t>《</w:t>
      </w:r>
      <w:r>
        <w:rPr>
          <w:rFonts w:ascii="Times New Roman" w:hAnsi="Times New Roman" w:cs="Times New Roman" w:eastAsia="Times New Roman" w:hint="default"/>
        </w:rPr>
        <w:t>2017 </w:t>
      </w:r>
      <w:r>
        <w:rPr>
          <w:rFonts w:ascii="Times New Roman" w:hAnsi="Times New Roman" w:cs="Times New Roman" w:eastAsia="Times New Roman" w:hint="default"/>
          <w:spacing w:val="-17"/>
        </w:rPr>
        <w:t> </w:t>
      </w:r>
      <w:r>
        <w:rPr>
          <w:spacing w:val="-2"/>
        </w:rPr>
        <w:t>年</w:t>
      </w:r>
      <w:r>
        <w:rPr/>
        <w:t>限制性股票激励计</w:t>
      </w:r>
      <w:r>
        <w:rPr>
          <w:spacing w:val="-71"/>
        </w:rPr>
        <w:t>划</w:t>
      </w:r>
      <w:r>
        <w:rPr/>
        <w:t>（草案</w:t>
      </w:r>
      <w:r>
        <w:rPr>
          <w:spacing w:val="-71"/>
        </w:rPr>
        <w:t>）》</w:t>
      </w:r>
      <w:r>
        <w:rPr/>
        <w:t>及其摘要</w:t>
      </w:r>
      <w:r>
        <w:rPr>
          <w:spacing w:val="-142"/>
        </w:rPr>
        <w:t>、</w:t>
      </w:r>
      <w:r>
        <w:rPr/>
        <w:t>《</w:t>
      </w:r>
      <w:r>
        <w:rPr>
          <w:rFonts w:ascii="Times New Roman" w:hAnsi="Times New Roman" w:cs="Times New Roman" w:eastAsia="Times New Roman" w:hint="default"/>
        </w:rPr>
        <w:t>2017 </w:t>
      </w:r>
      <w:r>
        <w:rPr/>
        <w:t>年限制性股票激励计划实施考核管理办法</w:t>
      </w:r>
      <w:r>
        <w:rPr>
          <w:spacing w:val="-72"/>
        </w:rPr>
        <w:t>》</w:t>
      </w:r>
      <w:r>
        <w:rPr/>
        <w:t>等议案</w:t>
      </w:r>
      <w:r>
        <w:rPr>
          <w:spacing w:val="-72"/>
        </w:rPr>
        <w:t>，</w:t>
      </w:r>
      <w:r>
        <w:rPr/>
        <w:t>详见巨潮资讯</w:t>
      </w:r>
      <w:r>
        <w:rPr>
          <w:spacing w:val="-72"/>
        </w:rPr>
        <w:t>网</w:t>
      </w:r>
      <w:r>
        <w:rPr/>
        <w:t>《</w:t>
      </w:r>
      <w:r>
        <w:rPr>
          <w:rFonts w:ascii="Times New Roman" w:hAnsi="Times New Roman" w:cs="Times New Roman" w:eastAsia="Times New Roman" w:hint="default"/>
        </w:rPr>
        <w:t>2016</w:t>
      </w:r>
      <w:r>
        <w:rPr/>
        <w:t>年年度股东大会决议公告</w:t>
      </w:r>
      <w:r>
        <w:rPr>
          <w:spacing w:val="-144"/>
        </w:rPr>
        <w:t>》</w:t>
      </w:r>
      <w:r>
        <w:rPr/>
        <w:t>（公告编号</w:t>
      </w:r>
      <w:r>
        <w:rPr>
          <w:spacing w:val="-72"/>
        </w:rPr>
        <w:t>：</w:t>
      </w:r>
      <w:r>
        <w:rPr>
          <w:rFonts w:ascii="Times New Roman" w:hAnsi="Times New Roman" w:cs="Times New Roman" w:eastAsia="Times New Roman" w:hint="default"/>
        </w:rPr>
        <w:t>2017-032</w:t>
      </w:r>
      <w:r>
        <w:rPr>
          <w:spacing w:val="-71"/>
        </w:rPr>
        <w:t>）；</w:t>
      </w:r>
      <w:r>
        <w:rPr/>
      </w:r>
    </w:p>
    <w:p>
      <w:pPr>
        <w:pStyle w:val="BodyText"/>
        <w:spacing w:line="240" w:lineRule="auto" w:before="43"/>
        <w:ind w:left="1493" w:right="0"/>
        <w:jc w:val="left"/>
      </w:pP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17</w:t>
      </w:r>
      <w:r>
        <w:rPr/>
        <w:t>日第三届董事会第六次会议审议通过《关于调整公司</w:t>
      </w:r>
      <w:r>
        <w:rPr>
          <w:rFonts w:ascii="Times New Roman" w:hAnsi="Times New Roman" w:cs="Times New Roman" w:eastAsia="Times New Roman" w:hint="default"/>
        </w:rPr>
        <w:t>2017</w:t>
      </w:r>
      <w:r>
        <w:rPr/>
        <w:t>年限制性股票激励计划相关事项的议案》，</w:t>
      </w:r>
    </w:p>
    <w:p>
      <w:pPr>
        <w:spacing w:line="240" w:lineRule="auto" w:before="9"/>
        <w:rPr>
          <w:rFonts w:ascii="宋体" w:hAnsi="宋体" w:cs="宋体" w:eastAsia="宋体" w:hint="default"/>
          <w:sz w:val="16"/>
          <w:szCs w:val="16"/>
        </w:rPr>
      </w:pPr>
    </w:p>
    <w:p>
      <w:pPr>
        <w:pStyle w:val="BodyText"/>
        <w:spacing w:line="240" w:lineRule="auto"/>
        <w:ind w:right="0"/>
        <w:jc w:val="left"/>
      </w:pPr>
      <w:r>
        <w:rPr>
          <w:spacing w:val="4"/>
        </w:rPr>
        <w:t>《关于向激励对象首次授予限制性股票的议案》，详见巨潮资讯网《第三届董事会第六次会议决议公告》（公告编号：</w:t>
      </w:r>
    </w:p>
    <w:p>
      <w:pPr>
        <w:spacing w:line="240" w:lineRule="auto" w:before="10"/>
        <w:rPr>
          <w:rFonts w:ascii="宋体" w:hAnsi="宋体" w:cs="宋体" w:eastAsia="宋体" w:hint="default"/>
          <w:sz w:val="17"/>
          <w:szCs w:val="17"/>
        </w:rPr>
      </w:pPr>
    </w:p>
    <w:p>
      <w:pPr>
        <w:pStyle w:val="BodyText"/>
        <w:spacing w:line="240" w:lineRule="auto"/>
        <w:ind w:right="0"/>
        <w:jc w:val="left"/>
      </w:pPr>
      <w:r>
        <w:rPr>
          <w:rFonts w:ascii="Times New Roman" w:hAnsi="Times New Roman" w:cs="Times New Roman" w:eastAsia="Times New Roman" w:hint="default"/>
        </w:rPr>
        <w:t>2017-038</w:t>
      </w:r>
      <w:r>
        <w:rPr/>
        <w:t>）。</w:t>
      </w:r>
    </w:p>
    <w:p>
      <w:pPr>
        <w:spacing w:line="240" w:lineRule="auto" w:before="9"/>
        <w:rPr>
          <w:rFonts w:ascii="宋体" w:hAnsi="宋体" w:cs="宋体" w:eastAsia="宋体" w:hint="default"/>
          <w:sz w:val="16"/>
          <w:szCs w:val="16"/>
        </w:rPr>
      </w:pPr>
    </w:p>
    <w:p>
      <w:pPr>
        <w:pStyle w:val="BodyText"/>
        <w:spacing w:line="240" w:lineRule="auto"/>
        <w:ind w:left="1493" w:right="0"/>
        <w:jc w:val="left"/>
      </w:pPr>
      <w:r>
        <w:rPr/>
        <w:t>公司以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17</w:t>
      </w:r>
      <w:r>
        <w:rPr/>
        <w:t>日为授予日，授予</w:t>
      </w:r>
      <w:r>
        <w:rPr>
          <w:rFonts w:ascii="Times New Roman" w:hAnsi="Times New Roman" w:cs="Times New Roman" w:eastAsia="Times New Roman" w:hint="default"/>
        </w:rPr>
        <w:t>88</w:t>
      </w:r>
      <w:r>
        <w:rPr/>
        <w:t>名激励对象</w:t>
      </w:r>
      <w:r>
        <w:rPr>
          <w:rFonts w:ascii="Times New Roman" w:hAnsi="Times New Roman" w:cs="Times New Roman" w:eastAsia="Times New Roman" w:hint="default"/>
        </w:rPr>
        <w:t>2,829,600</w:t>
      </w:r>
      <w:r>
        <w:rPr/>
        <w:t>股限制性股票。本次授予完成后，公司注册资本相应增加</w:t>
      </w:r>
    </w:p>
    <w:p>
      <w:pPr>
        <w:spacing w:line="240" w:lineRule="auto" w:before="9"/>
        <w:rPr>
          <w:rFonts w:ascii="宋体" w:hAnsi="宋体" w:cs="宋体" w:eastAsia="宋体" w:hint="default"/>
          <w:sz w:val="16"/>
          <w:szCs w:val="16"/>
        </w:rPr>
      </w:pPr>
    </w:p>
    <w:p>
      <w:pPr>
        <w:pStyle w:val="BodyText"/>
        <w:spacing w:line="240" w:lineRule="auto"/>
        <w:ind w:left="1134" w:right="0"/>
        <w:jc w:val="left"/>
      </w:pPr>
      <w:r>
        <w:rPr>
          <w:rFonts w:ascii="Times New Roman" w:hAnsi="Times New Roman" w:cs="Times New Roman" w:eastAsia="Times New Roman" w:hint="default"/>
        </w:rPr>
        <w:t>2,829,600</w:t>
      </w:r>
      <w:r>
        <w:rPr/>
        <w:t>元。本次授予股份的上市日为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w:t>
      </w:r>
    </w:p>
    <w:p>
      <w:pPr>
        <w:spacing w:line="240" w:lineRule="auto" w:before="0"/>
        <w:rPr>
          <w:rFonts w:ascii="宋体" w:hAnsi="宋体" w:cs="宋体" w:eastAsia="宋体" w:hint="default"/>
          <w:sz w:val="18"/>
          <w:szCs w:val="18"/>
        </w:rPr>
      </w:pPr>
    </w:p>
    <w:p>
      <w:pPr>
        <w:pStyle w:val="Heading2"/>
        <w:spacing w:line="240" w:lineRule="auto" w:before="158"/>
        <w:ind w:left="1134" w:right="0"/>
        <w:jc w:val="left"/>
        <w:rPr>
          <w:b w:val="0"/>
          <w:bCs w:val="0"/>
        </w:rPr>
      </w:pPr>
      <w:bookmarkStart w:name="十五、重大关联交易" w:id="78"/>
      <w:bookmarkEnd w:id="78"/>
      <w:r>
        <w:rPr>
          <w:b w:val="0"/>
          <w:bCs w:val="0"/>
        </w:rPr>
      </w:r>
      <w:r>
        <w:rPr/>
        <w:t>十五、重大关联交易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与日常经营相关的关联交易" w:id="79"/>
      <w:bookmarkEnd w:id="79"/>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800"/>
        <w:gridCol w:w="677"/>
        <w:gridCol w:w="677"/>
        <w:gridCol w:w="703"/>
        <w:gridCol w:w="680"/>
        <w:gridCol w:w="674"/>
        <w:gridCol w:w="674"/>
        <w:gridCol w:w="674"/>
        <w:gridCol w:w="673"/>
        <w:gridCol w:w="674"/>
        <w:gridCol w:w="675"/>
        <w:gridCol w:w="673"/>
        <w:gridCol w:w="671"/>
        <w:gridCol w:w="644"/>
      </w:tblGrid>
      <w:tr>
        <w:trPr>
          <w:trHeight w:val="1955"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303" w:right="34"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43" w:right="6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63" w:right="6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319" w:lineRule="auto"/>
              <w:ind w:left="64" w:right="65"/>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61" w:right="60"/>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62" w:right="60"/>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9" w:lineRule="auto" w:before="19"/>
              <w:ind w:left="152" w:right="150"/>
              <w:jc w:val="left"/>
              <w:rPr>
                <w:rFonts w:ascii="宋体" w:hAnsi="宋体" w:cs="宋体" w:eastAsia="宋体" w:hint="default"/>
                <w:sz w:val="18"/>
                <w:szCs w:val="18"/>
              </w:rPr>
            </w:pPr>
            <w:r>
              <w:rPr>
                <w:rFonts w:ascii="宋体" w:hAnsi="宋体" w:cs="宋体" w:eastAsia="宋体" w:hint="default"/>
                <w:sz w:val="18"/>
                <w:szCs w:val="18"/>
              </w:rPr>
              <w:t>（万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61" w:right="61"/>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61" w:right="60"/>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319" w:lineRule="auto"/>
              <w:ind w:left="62" w:right="60"/>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319" w:lineRule="auto"/>
              <w:ind w:left="61" w:right="63"/>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61" w:right="60"/>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41"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6" w:right="47"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800"/>
        <w:gridCol w:w="677"/>
        <w:gridCol w:w="677"/>
        <w:gridCol w:w="703"/>
        <w:gridCol w:w="680"/>
        <w:gridCol w:w="674"/>
        <w:gridCol w:w="674"/>
        <w:gridCol w:w="674"/>
        <w:gridCol w:w="673"/>
        <w:gridCol w:w="674"/>
        <w:gridCol w:w="675"/>
        <w:gridCol w:w="673"/>
        <w:gridCol w:w="671"/>
        <w:gridCol w:w="644"/>
      </w:tblGrid>
      <w:tr>
        <w:trPr>
          <w:trHeight w:val="133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陈茂清</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实际控 制人邵 健伟的 母亲</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02"/>
              <w:jc w:val="left"/>
              <w:rPr>
                <w:rFonts w:ascii="宋体" w:hAnsi="宋体" w:cs="宋体" w:eastAsia="宋体" w:hint="default"/>
                <w:sz w:val="18"/>
                <w:szCs w:val="18"/>
              </w:rPr>
            </w:pPr>
            <w:r>
              <w:rPr>
                <w:rFonts w:ascii="宋体" w:hAnsi="宋体" w:cs="宋体" w:eastAsia="宋体" w:hint="default"/>
                <w:sz w:val="18"/>
                <w:szCs w:val="18"/>
              </w:rPr>
              <w:t>租入资 产</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办公室</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7"/>
              <w:jc w:val="both"/>
              <w:rPr>
                <w:rFonts w:ascii="宋体" w:hAnsi="宋体" w:cs="宋体" w:eastAsia="宋体" w:hint="default"/>
                <w:sz w:val="18"/>
                <w:szCs w:val="18"/>
              </w:rPr>
            </w:pPr>
            <w:r>
              <w:rPr>
                <w:rFonts w:ascii="宋体" w:hAnsi="宋体" w:cs="宋体" w:eastAsia="宋体" w:hint="default"/>
                <w:sz w:val="18"/>
                <w:szCs w:val="18"/>
              </w:rPr>
              <w:t>参照市 场价格 的协议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80.58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元</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平方米</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月</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38.4</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15.29%</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38.4</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80"/>
              <w:jc w:val="right"/>
              <w:rPr>
                <w:rFonts w:ascii="宋体" w:hAnsi="宋体" w:cs="宋体" w:eastAsia="宋体" w:hint="default"/>
                <w:sz w:val="18"/>
                <w:szCs w:val="18"/>
              </w:rPr>
            </w:pPr>
            <w:r>
              <w:rPr>
                <w:rFonts w:ascii="宋体" w:hAnsi="宋体" w:cs="宋体" w:eastAsia="宋体" w:hint="default"/>
                <w:sz w:val="18"/>
                <w:szCs w:val="18"/>
              </w:rPr>
              <w:t>转账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75-109</w:t>
            </w:r>
          </w:p>
          <w:p>
            <w:pPr>
              <w:pStyle w:val="TableParagraph"/>
              <w:spacing w:line="302" w:lineRule="auto" w:before="65"/>
              <w:ind w:left="22" w:right="48"/>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平方 米</w:t>
            </w:r>
            <w:r>
              <w:rPr>
                <w:rFonts w:ascii="Times New Roman" w:hAnsi="Times New Roman" w:cs="Times New Roman" w:eastAsia="Times New Roman" w:hint="default"/>
                <w:sz w:val="18"/>
                <w:szCs w:val="18"/>
              </w:rPr>
              <w:t>/</w:t>
            </w:r>
            <w:r>
              <w:rPr>
                <w:rFonts w:ascii="宋体" w:hAnsi="宋体" w:cs="宋体" w:eastAsia="宋体" w:hint="default"/>
                <w:sz w:val="18"/>
                <w:szCs w:val="18"/>
              </w:rPr>
              <w:t>月</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71"/>
              <w:jc w:val="both"/>
              <w:rPr>
                <w:rFonts w:ascii="宋体" w:hAnsi="宋体" w:cs="宋体" w:eastAsia="宋体" w:hint="default"/>
                <w:sz w:val="18"/>
                <w:szCs w:val="18"/>
              </w:rPr>
            </w:pPr>
            <w:r>
              <w:rPr>
                <w:rFonts w:ascii="宋体" w:hAnsi="宋体" w:cs="宋体" w:eastAsia="宋体" w:hint="default"/>
                <w:sz w:val="18"/>
                <w:szCs w:val="18"/>
              </w:rPr>
              <w:t>公司招 股说明 书</w:t>
            </w:r>
          </w:p>
        </w:tc>
      </w:tr>
      <w:tr>
        <w:trPr>
          <w:trHeight w:val="133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邵健锋</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02"/>
              <w:jc w:val="left"/>
              <w:rPr>
                <w:rFonts w:ascii="宋体" w:hAnsi="宋体" w:cs="宋体" w:eastAsia="宋体" w:hint="default"/>
                <w:sz w:val="18"/>
                <w:szCs w:val="18"/>
              </w:rPr>
            </w:pPr>
            <w:r>
              <w:rPr>
                <w:rFonts w:ascii="宋体" w:hAnsi="宋体" w:cs="宋体" w:eastAsia="宋体" w:hint="default"/>
                <w:sz w:val="18"/>
                <w:szCs w:val="18"/>
              </w:rPr>
              <w:t>上市公 司高管</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02"/>
              <w:jc w:val="left"/>
              <w:rPr>
                <w:rFonts w:ascii="宋体" w:hAnsi="宋体" w:cs="宋体" w:eastAsia="宋体" w:hint="default"/>
                <w:sz w:val="18"/>
                <w:szCs w:val="18"/>
              </w:rPr>
            </w:pPr>
            <w:r>
              <w:rPr>
                <w:rFonts w:ascii="宋体" w:hAnsi="宋体" w:cs="宋体" w:eastAsia="宋体" w:hint="default"/>
                <w:sz w:val="18"/>
                <w:szCs w:val="18"/>
              </w:rPr>
              <w:t>租入资 产</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办公室</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7"/>
              <w:jc w:val="both"/>
              <w:rPr>
                <w:rFonts w:ascii="宋体" w:hAnsi="宋体" w:cs="宋体" w:eastAsia="宋体" w:hint="default"/>
                <w:sz w:val="18"/>
                <w:szCs w:val="18"/>
              </w:rPr>
            </w:pPr>
            <w:r>
              <w:rPr>
                <w:rFonts w:ascii="宋体" w:hAnsi="宋体" w:cs="宋体" w:eastAsia="宋体" w:hint="default"/>
                <w:sz w:val="18"/>
                <w:szCs w:val="18"/>
              </w:rPr>
              <w:t>参照市 场价格 的协议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78.91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元</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平方米</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月</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11.47%</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80"/>
              <w:jc w:val="right"/>
              <w:rPr>
                <w:rFonts w:ascii="宋体" w:hAnsi="宋体" w:cs="宋体" w:eastAsia="宋体" w:hint="default"/>
                <w:sz w:val="18"/>
                <w:szCs w:val="18"/>
              </w:rPr>
            </w:pPr>
            <w:r>
              <w:rPr>
                <w:rFonts w:ascii="宋体" w:hAnsi="宋体" w:cs="宋体" w:eastAsia="宋体" w:hint="default"/>
                <w:sz w:val="18"/>
                <w:szCs w:val="18"/>
              </w:rPr>
              <w:t>转账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75-109</w:t>
            </w:r>
          </w:p>
          <w:p>
            <w:pPr>
              <w:pStyle w:val="TableParagraph"/>
              <w:spacing w:line="302" w:lineRule="auto" w:before="65"/>
              <w:ind w:left="22" w:right="48"/>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平方 米</w:t>
            </w:r>
            <w:r>
              <w:rPr>
                <w:rFonts w:ascii="Times New Roman" w:hAnsi="Times New Roman" w:cs="Times New Roman" w:eastAsia="Times New Roman" w:hint="default"/>
                <w:sz w:val="18"/>
                <w:szCs w:val="18"/>
              </w:rPr>
              <w:t>/</w:t>
            </w:r>
            <w:r>
              <w:rPr>
                <w:rFonts w:ascii="宋体" w:hAnsi="宋体" w:cs="宋体" w:eastAsia="宋体" w:hint="default"/>
                <w:sz w:val="18"/>
                <w:szCs w:val="18"/>
              </w:rPr>
              <w:t>月</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71"/>
              <w:jc w:val="both"/>
              <w:rPr>
                <w:rFonts w:ascii="宋体" w:hAnsi="宋体" w:cs="宋体" w:eastAsia="宋体" w:hint="default"/>
                <w:sz w:val="18"/>
                <w:szCs w:val="18"/>
              </w:rPr>
            </w:pPr>
            <w:r>
              <w:rPr>
                <w:rFonts w:ascii="宋体" w:hAnsi="宋体" w:cs="宋体" w:eastAsia="宋体" w:hint="default"/>
                <w:sz w:val="18"/>
                <w:szCs w:val="18"/>
              </w:rPr>
              <w:t>公司招 股说明 书</w:t>
            </w: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45"/>
              <w:jc w:val="left"/>
              <w:rPr>
                <w:rFonts w:ascii="宋体" w:hAnsi="宋体" w:cs="宋体" w:eastAsia="宋体" w:hint="default"/>
                <w:sz w:val="18"/>
                <w:szCs w:val="18"/>
              </w:rPr>
            </w:pPr>
            <w:r>
              <w:rPr>
                <w:rFonts w:ascii="宋体" w:hAnsi="宋体" w:cs="宋体" w:eastAsia="宋体" w:hint="default"/>
                <w:sz w:val="18"/>
                <w:szCs w:val="18"/>
              </w:rPr>
              <w:t>邵健伟、 马琳</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实际控 制人及 其配偶</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为上市 公司提 供担保</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为上市 公司提 供担保</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87"/>
              <w:jc w:val="right"/>
              <w:rPr>
                <w:rFonts w:ascii="宋体" w:hAnsi="宋体" w:cs="宋体" w:eastAsia="宋体" w:hint="default"/>
                <w:sz w:val="18"/>
                <w:szCs w:val="18"/>
              </w:rPr>
            </w:pPr>
            <w:r>
              <w:rPr>
                <w:rFonts w:ascii="宋体" w:hAnsi="宋体" w:cs="宋体" w:eastAsia="宋体" w:hint="default"/>
                <w:sz w:val="18"/>
                <w:szCs w:val="18"/>
              </w:rPr>
              <w:t>无偿</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79"/>
              <w:jc w:val="right"/>
              <w:rPr>
                <w:rFonts w:ascii="宋体" w:hAnsi="宋体" w:cs="宋体" w:eastAsia="宋体" w:hint="default"/>
                <w:sz w:val="18"/>
                <w:szCs w:val="18"/>
              </w:rPr>
            </w:pPr>
            <w:r>
              <w:rPr>
                <w:rFonts w:ascii="宋体" w:hAnsi="宋体" w:cs="宋体" w:eastAsia="宋体" w:hint="default"/>
                <w:sz w:val="18"/>
                <w:szCs w:val="18"/>
              </w:rPr>
              <w:t>无偿</w:t>
            </w: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80"/>
              <w:jc w:val="right"/>
              <w:rPr>
                <w:rFonts w:ascii="宋体" w:hAnsi="宋体" w:cs="宋体" w:eastAsia="宋体" w:hint="default"/>
                <w:sz w:val="18"/>
                <w:szCs w:val="18"/>
              </w:rPr>
            </w:pPr>
            <w:r>
              <w:rPr>
                <w:rFonts w:ascii="宋体" w:hAnsi="宋体" w:cs="宋体" w:eastAsia="宋体" w:hint="default"/>
                <w:sz w:val="18"/>
                <w:szCs w:val="18"/>
              </w:rPr>
              <w:t>无偿</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77"/>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both"/>
              <w:rPr>
                <w:rFonts w:ascii="宋体" w:hAnsi="宋体" w:cs="宋体" w:eastAsia="宋体" w:hint="default"/>
                <w:sz w:val="18"/>
                <w:szCs w:val="18"/>
              </w:rPr>
            </w:pPr>
            <w:r>
              <w:rPr>
                <w:rFonts w:ascii="宋体" w:hAnsi="宋体" w:cs="宋体" w:eastAsia="宋体" w:hint="default"/>
                <w:sz w:val="18"/>
                <w:szCs w:val="18"/>
              </w:rPr>
              <w:t>公司招 股说明 书</w:t>
            </w:r>
          </w:p>
        </w:tc>
      </w:tr>
      <w:tr>
        <w:trPr>
          <w:trHeight w:val="402" w:hRule="exact"/>
        </w:trPr>
        <w:tc>
          <w:tcPr>
            <w:tcW w:w="2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75"/>
              <w:jc w:val="right"/>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70"/>
              <w:jc w:val="right"/>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67.2</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67.2</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71"/>
              <w:jc w:val="right"/>
              <w:rPr>
                <w:rFonts w:ascii="Times New Roman" w:hAnsi="Times New Roman" w:cs="Times New Roman" w:eastAsia="Times New Roman" w:hint="default"/>
                <w:sz w:val="18"/>
                <w:szCs w:val="18"/>
              </w:rPr>
            </w:pPr>
            <w:r>
              <w:rPr>
                <w:rFonts w:ascii="Times New Roman"/>
                <w:sz w:val="18"/>
              </w:rPr>
              <w:t>--</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4"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2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6"/>
                <w:sz w:val="18"/>
                <w:szCs w:val="18"/>
              </w:rPr>
              <w:t>易进行总金额预计的，在报告期内的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实际履行情况（如有）</w:t>
            </w:r>
          </w:p>
        </w:tc>
        <w:tc>
          <w:tcPr>
            <w:tcW w:w="6714"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4"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资产或股权收购、出售发生的关联交易" w:id="80"/>
      <w:bookmarkEnd w:id="80"/>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32"/>
          <w:szCs w:val="32"/>
        </w:rPr>
      </w:pPr>
    </w:p>
    <w:p>
      <w:pPr>
        <w:pStyle w:val="BodyText"/>
        <w:spacing w:line="489" w:lineRule="auto"/>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5"/>
        <w:rPr>
          <w:rFonts w:ascii="宋体" w:hAnsi="宋体" w:cs="宋体" w:eastAsia="宋体" w:hint="default"/>
          <w:sz w:val="18"/>
          <w:szCs w:val="18"/>
        </w:rPr>
      </w:pPr>
    </w:p>
    <w:p>
      <w:pPr>
        <w:pStyle w:val="Heading3"/>
        <w:spacing w:line="240" w:lineRule="auto"/>
        <w:ind w:left="1134" w:right="0"/>
        <w:jc w:val="left"/>
        <w:rPr>
          <w:b w:val="0"/>
          <w:bCs w:val="0"/>
        </w:rPr>
      </w:pPr>
      <w:bookmarkStart w:name="3、共同对外投资的关联交易" w:id="81"/>
      <w:bookmarkEnd w:id="81"/>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32"/>
          <w:szCs w:val="32"/>
        </w:rPr>
      </w:pPr>
    </w:p>
    <w:p>
      <w:pPr>
        <w:pStyle w:val="BodyText"/>
        <w:spacing w:line="489"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bookmarkStart w:name="4、关联债权债务往来" w:id="82"/>
      <w:bookmarkEnd w:id="82"/>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32"/>
          <w:szCs w:val="32"/>
        </w:rPr>
      </w:pPr>
    </w:p>
    <w:p>
      <w:pPr>
        <w:pStyle w:val="BodyText"/>
        <w:spacing w:line="489"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bookmarkStart w:name="5、其他重大关联交易" w:id="83"/>
      <w:bookmarkEnd w:id="83"/>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32"/>
          <w:szCs w:val="32"/>
        </w:rPr>
      </w:pPr>
    </w:p>
    <w:p>
      <w:pPr>
        <w:pStyle w:val="BodyText"/>
        <w:spacing w:line="489"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after="0" w:line="489"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六、重大合同及其履行情况" w:id="84"/>
      <w:bookmarkEnd w:id="84"/>
      <w:r>
        <w:rPr>
          <w:b w:val="0"/>
          <w:bCs w:val="0"/>
        </w:rPr>
      </w:r>
      <w:r>
        <w:rPr/>
        <w:t>十六、重大合同及其履行情况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托管、承包、租赁事项情况" w:id="85"/>
      <w:bookmarkEnd w:id="85"/>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托管情况" w:id="86"/>
      <w:bookmarkEnd w:id="86"/>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7"/>
        <w:rPr>
          <w:rFonts w:ascii="宋体" w:hAnsi="宋体" w:cs="宋体" w:eastAsia="宋体" w:hint="default"/>
          <w:b/>
          <w:bCs/>
          <w:sz w:val="32"/>
          <w:szCs w:val="32"/>
        </w:rPr>
      </w:pPr>
    </w:p>
    <w:p>
      <w:pPr>
        <w:pStyle w:val="BodyText"/>
        <w:spacing w:line="489"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bookmarkStart w:name="（2）承包情况" w:id="87"/>
      <w:bookmarkEnd w:id="87"/>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8"/>
        <w:rPr>
          <w:rFonts w:ascii="宋体" w:hAnsi="宋体" w:cs="宋体" w:eastAsia="宋体" w:hint="default"/>
          <w:b/>
          <w:bCs/>
          <w:sz w:val="32"/>
          <w:szCs w:val="32"/>
        </w:rPr>
      </w:pPr>
    </w:p>
    <w:p>
      <w:pPr>
        <w:pStyle w:val="BodyText"/>
        <w:spacing w:line="489"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bookmarkStart w:name="（3）租赁情况" w:id="88"/>
      <w:bookmarkEnd w:id="88"/>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412" w:lineRule="auto"/>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租赁情况说明</w:t>
      </w:r>
    </w:p>
    <w:p>
      <w:pPr>
        <w:pStyle w:val="BodyText"/>
        <w:spacing w:line="240" w:lineRule="auto" w:before="65"/>
        <w:ind w:left="1494" w:right="0"/>
        <w:jc w:val="left"/>
      </w:pPr>
      <w:r>
        <w:rPr/>
        <w:t>公司及附属子公司生产经营租用的房产具体情况如下：</w:t>
      </w:r>
    </w:p>
    <w:p>
      <w:pPr>
        <w:pStyle w:val="BodyText"/>
        <w:spacing w:line="240" w:lineRule="auto" w:before="115"/>
        <w:ind w:left="1494" w:right="0"/>
        <w:jc w:val="left"/>
        <w:rPr>
          <w:rFonts w:ascii="Times New Roman" w:hAnsi="Times New Roman" w:cs="Times New Roman" w:eastAsia="Times New Roman" w:hint="default"/>
        </w:rPr>
      </w:pPr>
      <w:r>
        <w:rPr>
          <w:rFonts w:ascii="Times New Roman" w:hAnsi="Times New Roman" w:cs="Times New Roman" w:eastAsia="Times New Roman" w:hint="default"/>
        </w:rPr>
        <w:t>1</w:t>
      </w:r>
      <w:r>
        <w:rPr>
          <w:spacing w:val="-85"/>
        </w:rPr>
        <w:t>、</w:t>
      </w:r>
      <w:r>
        <w:rPr/>
        <w:t>向高良伟租赁其位于罗湖区笋岗东东路宝安广场</w:t>
      </w:r>
      <w:r>
        <w:rPr>
          <w:spacing w:val="-46"/>
        </w:rPr>
        <w:t> </w:t>
      </w:r>
      <w:r>
        <w:rPr>
          <w:rFonts w:ascii="Times New Roman" w:hAnsi="Times New Roman" w:cs="Times New Roman" w:eastAsia="Times New Roman" w:hint="default"/>
          <w:w w:val="99"/>
        </w:rPr>
        <w:t>A</w:t>
      </w:r>
      <w:r>
        <w:rPr>
          <w:rFonts w:ascii="Times New Roman" w:hAnsi="Times New Roman" w:cs="Times New Roman" w:eastAsia="Times New Roman" w:hint="default"/>
        </w:rPr>
        <w:t> </w:t>
      </w:r>
      <w:r>
        <w:rPr/>
        <w:t>座</w:t>
      </w:r>
      <w:r>
        <w:rPr>
          <w:spacing w:val="-45"/>
        </w:rPr>
        <w:t> </w:t>
      </w:r>
      <w:r>
        <w:rPr>
          <w:rFonts w:ascii="Times New Roman" w:hAnsi="Times New Roman" w:cs="Times New Roman" w:eastAsia="Times New Roman" w:hint="default"/>
          <w:w w:val="99"/>
        </w:rPr>
        <w:t>6</w:t>
      </w:r>
      <w:r>
        <w:rPr>
          <w:rFonts w:ascii="Times New Roman" w:hAnsi="Times New Roman" w:cs="Times New Roman" w:eastAsia="Times New Roman" w:hint="default"/>
          <w:spacing w:val="-1"/>
          <w:w w:val="99"/>
        </w:rPr>
        <w:t>G</w:t>
      </w:r>
      <w:r>
        <w:rPr>
          <w:rFonts w:ascii="Times New Roman" w:hAnsi="Times New Roman" w:cs="Times New Roman" w:eastAsia="Times New Roman" w:hint="default"/>
        </w:rPr>
        <w:t>\</w:t>
      </w:r>
      <w:r>
        <w:rPr>
          <w:rFonts w:ascii="Times New Roman" w:hAnsi="Times New Roman" w:cs="Times New Roman" w:eastAsia="Times New Roman" w:hint="default"/>
          <w:w w:val="99"/>
        </w:rPr>
        <w:t>H</w:t>
      </w:r>
      <w:r>
        <w:rPr>
          <w:rFonts w:ascii="Times New Roman" w:hAnsi="Times New Roman" w:cs="Times New Roman" w:eastAsia="Times New Roman" w:hint="default"/>
          <w:spacing w:val="-1"/>
        </w:rPr>
        <w:t> </w:t>
      </w:r>
      <w:r>
        <w:rPr/>
        <w:t>的房产</w:t>
      </w:r>
      <w:r>
        <w:rPr>
          <w:spacing w:val="1"/>
        </w:rPr>
        <w:t>用</w:t>
      </w:r>
      <w:r>
        <w:rPr/>
        <w:t>于公司办公</w:t>
      </w:r>
      <w:r>
        <w:rPr>
          <w:spacing w:val="-85"/>
        </w:rPr>
        <w:t>，</w:t>
      </w:r>
      <w:r>
        <w:rPr/>
        <w:t>建筑面积</w:t>
      </w:r>
      <w:r>
        <w:rPr>
          <w:spacing w:val="-46"/>
        </w:rPr>
        <w:t> </w:t>
      </w:r>
      <w:r>
        <w:rPr>
          <w:rFonts w:ascii="Times New Roman" w:hAnsi="Times New Roman" w:cs="Times New Roman" w:eastAsia="Times New Roman" w:hint="default"/>
        </w:rPr>
        <w:t>198.47</w:t>
      </w:r>
      <w:r>
        <w:rPr>
          <w:rFonts w:ascii="Times New Roman" w:hAnsi="Times New Roman" w:cs="Times New Roman" w:eastAsia="Times New Roman" w:hint="default"/>
          <w:spacing w:val="-1"/>
        </w:rPr>
        <w:t> </w:t>
      </w:r>
      <w:r>
        <w:rPr/>
        <w:t>㎡</w:t>
      </w:r>
      <w:r>
        <w:rPr>
          <w:spacing w:val="-85"/>
        </w:rPr>
        <w:t>，</w:t>
      </w:r>
      <w:r>
        <w:rPr/>
        <w:t>有效期至</w:t>
      </w:r>
      <w:r>
        <w:rPr>
          <w:spacing w:val="-46"/>
        </w:rPr>
        <w:t> </w:t>
      </w:r>
      <w:r>
        <w:rPr>
          <w:rFonts w:ascii="Times New Roman" w:hAnsi="Times New Roman" w:cs="Times New Roman" w:eastAsia="Times New Roman" w:hint="default"/>
        </w:rPr>
        <w:t>2019</w:t>
      </w:r>
    </w:p>
    <w:p>
      <w:pPr>
        <w:pStyle w:val="BodyText"/>
        <w:spacing w:line="240" w:lineRule="auto" w:before="64"/>
        <w:ind w:right="0"/>
        <w:jc w:val="left"/>
      </w:pPr>
      <w:r>
        <w:rPr/>
        <w:t>年</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日，租金</w:t>
      </w:r>
      <w:r>
        <w:rPr>
          <w:spacing w:val="-46"/>
        </w:rPr>
        <w:t> </w:t>
      </w:r>
      <w:r>
        <w:rPr>
          <w:rFonts w:ascii="Times New Roman" w:hAnsi="Times New Roman" w:cs="Times New Roman" w:eastAsia="Times New Roman" w:hint="default"/>
        </w:rPr>
        <w:t>18000</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月；</w:t>
      </w:r>
    </w:p>
    <w:p>
      <w:pPr>
        <w:pStyle w:val="BodyText"/>
        <w:spacing w:line="302" w:lineRule="auto" w:before="101"/>
        <w:ind w:right="1117" w:firstLine="360"/>
        <w:jc w:val="left"/>
      </w:pPr>
      <w:r>
        <w:rPr>
          <w:rFonts w:ascii="Times New Roman" w:hAnsi="Times New Roman" w:cs="Times New Roman" w:eastAsia="Times New Roman" w:hint="default"/>
        </w:rPr>
        <w:t>2</w:t>
      </w:r>
      <w:r>
        <w:rPr/>
        <w:t>、向邵健锋租赁其位于罗湖区笋岗东路宝安广场</w:t>
      </w:r>
      <w:r>
        <w:rPr>
          <w:spacing w:val="-39"/>
        </w:rPr>
        <w:t> </w:t>
      </w:r>
      <w:r>
        <w:rPr>
          <w:rFonts w:ascii="Times New Roman" w:hAnsi="Times New Roman" w:cs="Times New Roman" w:eastAsia="Times New Roman" w:hint="default"/>
        </w:rPr>
        <w:t>A</w:t>
      </w:r>
      <w:r>
        <w:rPr>
          <w:rFonts w:ascii="Times New Roman" w:hAnsi="Times New Roman" w:cs="Times New Roman" w:eastAsia="Times New Roman" w:hint="default"/>
          <w:spacing w:val="5"/>
        </w:rPr>
        <w:t> </w:t>
      </w:r>
      <w:r>
        <w:rPr/>
        <w:t>座</w:t>
      </w:r>
      <w:r>
        <w:rPr>
          <w:spacing w:val="-40"/>
        </w:rPr>
        <w:t> </w:t>
      </w:r>
      <w:r>
        <w:rPr>
          <w:rFonts w:ascii="Times New Roman" w:hAnsi="Times New Roman" w:cs="Times New Roman" w:eastAsia="Times New Roman" w:hint="default"/>
        </w:rPr>
        <w:t>9A</w:t>
      </w:r>
      <w:r>
        <w:rPr/>
        <w:t>、</w:t>
      </w:r>
      <w:r>
        <w:rPr>
          <w:rFonts w:ascii="Times New Roman" w:hAnsi="Times New Roman" w:cs="Times New Roman" w:eastAsia="Times New Roman" w:hint="default"/>
        </w:rPr>
        <w:t>10C\D</w:t>
      </w:r>
      <w:r>
        <w:rPr>
          <w:rFonts w:ascii="Times New Roman" w:hAnsi="Times New Roman" w:cs="Times New Roman" w:eastAsia="Times New Roman" w:hint="default"/>
          <w:spacing w:val="5"/>
        </w:rPr>
        <w:t> </w:t>
      </w:r>
      <w:r>
        <w:rPr/>
        <w:t>的房产用于公司办公，建筑面积</w:t>
      </w:r>
      <w:r>
        <w:rPr>
          <w:spacing w:val="-40"/>
        </w:rPr>
        <w:t> </w:t>
      </w:r>
      <w:r>
        <w:rPr>
          <w:rFonts w:ascii="Times New Roman" w:hAnsi="Times New Roman" w:cs="Times New Roman" w:eastAsia="Times New Roman" w:hint="default"/>
        </w:rPr>
        <w:t>304.14</w:t>
      </w:r>
      <w:r>
        <w:rPr>
          <w:rFonts w:ascii="Times New Roman" w:hAnsi="Times New Roman" w:cs="Times New Roman" w:eastAsia="Times New Roman" w:hint="default"/>
          <w:spacing w:val="5"/>
        </w:rPr>
        <w:t> </w:t>
      </w:r>
      <w:r>
        <w:rPr/>
        <w:t>㎡，有效期 至</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日，租金</w:t>
      </w:r>
      <w:r>
        <w:rPr>
          <w:spacing w:val="-46"/>
        </w:rPr>
        <w:t> </w:t>
      </w:r>
      <w:r>
        <w:rPr>
          <w:rFonts w:ascii="Times New Roman" w:hAnsi="Times New Roman" w:cs="Times New Roman" w:eastAsia="Times New Roman" w:hint="default"/>
        </w:rPr>
        <w:t>24,000</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月；</w:t>
      </w:r>
    </w:p>
    <w:p>
      <w:pPr>
        <w:pStyle w:val="BodyText"/>
        <w:spacing w:line="240" w:lineRule="auto" w:before="50"/>
        <w:ind w:left="1494" w:right="0"/>
        <w:jc w:val="left"/>
      </w:pPr>
      <w:r>
        <w:rPr>
          <w:rFonts w:ascii="Times New Roman" w:hAnsi="Times New Roman" w:cs="Times New Roman" w:eastAsia="Times New Roman" w:hint="default"/>
        </w:rPr>
        <w:t>3</w:t>
      </w:r>
      <w:r>
        <w:rPr/>
        <w:t>、向陈茂清租赁其位于罗湖区笋岗东路宝安广场</w:t>
      </w:r>
      <w:r>
        <w:rPr>
          <w:spacing w:val="-31"/>
        </w:rPr>
        <w:t> </w:t>
      </w:r>
      <w:r>
        <w:rPr>
          <w:rFonts w:ascii="Times New Roman" w:hAnsi="Times New Roman" w:cs="Times New Roman" w:eastAsia="Times New Roman" w:hint="default"/>
        </w:rPr>
        <w:t>A</w:t>
      </w:r>
      <w:r>
        <w:rPr>
          <w:rFonts w:ascii="Times New Roman" w:hAnsi="Times New Roman" w:cs="Times New Roman" w:eastAsia="Times New Roman" w:hint="default"/>
          <w:spacing w:val="14"/>
        </w:rPr>
        <w:t> </w:t>
      </w:r>
      <w:r>
        <w:rPr/>
        <w:t>座</w:t>
      </w:r>
      <w:r>
        <w:rPr>
          <w:spacing w:val="-31"/>
        </w:rPr>
        <w:t> </w:t>
      </w:r>
      <w:r>
        <w:rPr>
          <w:rFonts w:ascii="Times New Roman" w:hAnsi="Times New Roman" w:cs="Times New Roman" w:eastAsia="Times New Roman" w:hint="default"/>
        </w:rPr>
        <w:t>10F\G\H</w:t>
      </w:r>
      <w:r>
        <w:rPr>
          <w:rFonts w:ascii="Times New Roman" w:hAnsi="Times New Roman" w:cs="Times New Roman" w:eastAsia="Times New Roman" w:hint="default"/>
          <w:spacing w:val="13"/>
        </w:rPr>
        <w:t> </w:t>
      </w:r>
      <w:r>
        <w:rPr/>
        <w:t>的房产用于公司办公，建筑面积</w:t>
      </w:r>
      <w:r>
        <w:rPr>
          <w:spacing w:val="-31"/>
        </w:rPr>
        <w:t> </w:t>
      </w:r>
      <w:r>
        <w:rPr>
          <w:rFonts w:ascii="Times New Roman" w:hAnsi="Times New Roman" w:cs="Times New Roman" w:eastAsia="Times New Roman" w:hint="default"/>
        </w:rPr>
        <w:t>298.89</w:t>
      </w:r>
      <w:r>
        <w:rPr>
          <w:rFonts w:ascii="Times New Roman" w:hAnsi="Times New Roman" w:cs="Times New Roman" w:eastAsia="Times New Roman" w:hint="default"/>
          <w:spacing w:val="14"/>
        </w:rPr>
        <w:t> </w:t>
      </w:r>
      <w:r>
        <w:rPr/>
        <w:t>㎡，有效期至</w:t>
      </w:r>
    </w:p>
    <w:p>
      <w:pPr>
        <w:pStyle w:val="BodyText"/>
        <w:spacing w:line="240" w:lineRule="auto" w:before="64"/>
        <w:ind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6 </w:t>
      </w:r>
      <w:r>
        <w:rPr/>
        <w:t>月</w:t>
      </w:r>
      <w:r>
        <w:rPr>
          <w:spacing w:val="-46"/>
        </w:rPr>
        <w:t> </w:t>
      </w:r>
      <w:r>
        <w:rPr>
          <w:rFonts w:ascii="Times New Roman" w:hAnsi="Times New Roman" w:cs="Times New Roman" w:eastAsia="Times New Roman" w:hint="default"/>
        </w:rPr>
        <w:t>23 </w:t>
      </w:r>
      <w:r>
        <w:rPr/>
        <w:t>日，租金</w:t>
      </w:r>
      <w:r>
        <w:rPr>
          <w:spacing w:val="-46"/>
        </w:rPr>
        <w:t> </w:t>
      </w:r>
      <w:r>
        <w:rPr>
          <w:rFonts w:ascii="Times New Roman" w:hAnsi="Times New Roman" w:cs="Times New Roman" w:eastAsia="Times New Roman" w:hint="default"/>
        </w:rPr>
        <w:t>24,000</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月；</w:t>
      </w:r>
    </w:p>
    <w:p>
      <w:pPr>
        <w:pStyle w:val="BodyText"/>
        <w:spacing w:line="240" w:lineRule="auto" w:before="101"/>
        <w:ind w:left="1494" w:right="0"/>
        <w:jc w:val="left"/>
        <w:rPr>
          <w:rFonts w:ascii="Times New Roman" w:hAnsi="Times New Roman" w:cs="Times New Roman" w:eastAsia="Times New Roman" w:hint="default"/>
        </w:rPr>
      </w:pPr>
      <w:r>
        <w:rPr>
          <w:rFonts w:ascii="Times New Roman" w:hAnsi="Times New Roman" w:cs="Times New Roman" w:eastAsia="Times New Roman" w:hint="default"/>
        </w:rPr>
        <w:t>4</w:t>
      </w:r>
      <w:r>
        <w:rPr/>
        <w:t>、向陈茂清租赁其位于罗湖区笋岗东路宝安广场 </w:t>
      </w:r>
      <w:r>
        <w:rPr>
          <w:rFonts w:ascii="Times New Roman" w:hAnsi="Times New Roman" w:cs="Times New Roman" w:eastAsia="Times New Roman" w:hint="default"/>
        </w:rPr>
        <w:t>A </w:t>
      </w:r>
      <w:r>
        <w:rPr/>
        <w:t>座 </w:t>
      </w:r>
      <w:r>
        <w:rPr>
          <w:rFonts w:ascii="Times New Roman" w:hAnsi="Times New Roman" w:cs="Times New Roman" w:eastAsia="Times New Roman" w:hint="default"/>
        </w:rPr>
        <w:t>10E </w:t>
      </w:r>
      <w:r>
        <w:rPr/>
        <w:t>的房产用于公司办公，建筑面积 </w:t>
      </w:r>
      <w:r>
        <w:rPr>
          <w:rFonts w:ascii="Times New Roman" w:hAnsi="Times New Roman" w:cs="Times New Roman" w:eastAsia="Times New Roman" w:hint="default"/>
        </w:rPr>
        <w:t>98.22 </w:t>
      </w:r>
      <w:r>
        <w:rPr/>
        <w:t>㎡，有效期至</w:t>
      </w:r>
      <w:r>
        <w:rPr>
          <w:spacing w:val="-56"/>
        </w:rPr>
        <w:t> </w:t>
      </w:r>
      <w:r>
        <w:rPr>
          <w:rFonts w:ascii="Times New Roman" w:hAnsi="Times New Roman" w:cs="Times New Roman" w:eastAsia="Times New Roman" w:hint="default"/>
        </w:rPr>
        <w:t>2019</w:t>
      </w:r>
    </w:p>
    <w:p>
      <w:pPr>
        <w:pStyle w:val="BodyText"/>
        <w:spacing w:line="240" w:lineRule="auto" w:before="64"/>
        <w:ind w:right="0"/>
        <w:jc w:val="left"/>
      </w:pPr>
      <w:r>
        <w:rPr/>
        <w:t>年</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日，租金</w:t>
      </w:r>
      <w:r>
        <w:rPr>
          <w:spacing w:val="-46"/>
        </w:rPr>
        <w:t> </w:t>
      </w:r>
      <w:r>
        <w:rPr>
          <w:rFonts w:ascii="Times New Roman" w:hAnsi="Times New Roman" w:cs="Times New Roman" w:eastAsia="Times New Roman" w:hint="default"/>
        </w:rPr>
        <w:t>8,000</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月；</w:t>
      </w:r>
    </w:p>
    <w:p>
      <w:pPr>
        <w:pStyle w:val="BodyText"/>
        <w:spacing w:line="240" w:lineRule="auto" w:before="101"/>
        <w:ind w:left="1494" w:right="0"/>
        <w:jc w:val="left"/>
      </w:pPr>
      <w:r>
        <w:rPr>
          <w:rFonts w:ascii="Times New Roman" w:hAnsi="Times New Roman" w:cs="Times New Roman" w:eastAsia="Times New Roman" w:hint="default"/>
        </w:rPr>
        <w:t>5</w:t>
      </w:r>
      <w:r>
        <w:rPr/>
        <w:t>、向何娟租赁其位于罗湖区笋岗东路宝安广场</w:t>
      </w:r>
      <w:r>
        <w:rPr>
          <w:spacing w:val="-37"/>
        </w:rPr>
        <w:t> </w:t>
      </w:r>
      <w:r>
        <w:rPr>
          <w:rFonts w:ascii="Times New Roman" w:hAnsi="Times New Roman" w:cs="Times New Roman" w:eastAsia="Times New Roman" w:hint="default"/>
        </w:rPr>
        <w:t>A</w:t>
      </w:r>
      <w:r>
        <w:rPr>
          <w:rFonts w:ascii="Times New Roman" w:hAnsi="Times New Roman" w:cs="Times New Roman" w:eastAsia="Times New Roman" w:hint="default"/>
          <w:spacing w:val="7"/>
        </w:rPr>
        <w:t> </w:t>
      </w:r>
      <w:r>
        <w:rPr/>
        <w:t>座</w:t>
      </w:r>
      <w:r>
        <w:rPr>
          <w:spacing w:val="-38"/>
        </w:rPr>
        <w:t> </w:t>
      </w:r>
      <w:r>
        <w:rPr>
          <w:rFonts w:ascii="Times New Roman" w:hAnsi="Times New Roman" w:cs="Times New Roman" w:eastAsia="Times New Roman" w:hint="default"/>
        </w:rPr>
        <w:t>16A</w:t>
      </w:r>
      <w:r>
        <w:rPr>
          <w:rFonts w:ascii="Times New Roman" w:hAnsi="Times New Roman" w:cs="Times New Roman" w:eastAsia="Times New Roman" w:hint="default"/>
          <w:spacing w:val="8"/>
        </w:rPr>
        <w:t> </w:t>
      </w:r>
      <w:r>
        <w:rPr/>
        <w:t>的房产用于公司办公，建筑面积</w:t>
      </w:r>
      <w:r>
        <w:rPr>
          <w:spacing w:val="-37"/>
        </w:rPr>
        <w:t> </w:t>
      </w:r>
      <w:r>
        <w:rPr>
          <w:rFonts w:ascii="Times New Roman" w:hAnsi="Times New Roman" w:cs="Times New Roman" w:eastAsia="Times New Roman" w:hint="default"/>
        </w:rPr>
        <w:t>98.22</w:t>
      </w:r>
      <w:r>
        <w:rPr>
          <w:rFonts w:ascii="Times New Roman" w:hAnsi="Times New Roman" w:cs="Times New Roman" w:eastAsia="Times New Roman" w:hint="default"/>
          <w:spacing w:val="8"/>
        </w:rPr>
        <w:t> </w:t>
      </w:r>
      <w:r>
        <w:rPr/>
        <w:t>㎡，有效期至</w:t>
      </w:r>
      <w:r>
        <w:rPr>
          <w:spacing w:val="-3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w:t>
      </w:r>
    </w:p>
    <w:p>
      <w:pPr>
        <w:pStyle w:val="BodyText"/>
        <w:spacing w:line="240" w:lineRule="auto" w:before="64"/>
        <w:ind w:left="1134" w:right="0"/>
        <w:jc w:val="left"/>
      </w:pP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日，租金</w:t>
      </w:r>
      <w:r>
        <w:rPr>
          <w:spacing w:val="-46"/>
        </w:rPr>
        <w:t> </w:t>
      </w:r>
      <w:r>
        <w:rPr>
          <w:rFonts w:ascii="Times New Roman" w:hAnsi="Times New Roman" w:cs="Times New Roman" w:eastAsia="Times New Roman" w:hint="default"/>
        </w:rPr>
        <w:t>9500</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月；</w:t>
      </w:r>
    </w:p>
    <w:p>
      <w:pPr>
        <w:pStyle w:val="BodyText"/>
        <w:spacing w:line="240" w:lineRule="auto" w:before="102"/>
        <w:ind w:left="1494" w:right="0"/>
        <w:jc w:val="left"/>
        <w:rPr>
          <w:rFonts w:ascii="Times New Roman" w:hAnsi="Times New Roman" w:cs="Times New Roman" w:eastAsia="Times New Roman" w:hint="default"/>
        </w:rPr>
      </w:pPr>
      <w:r>
        <w:rPr>
          <w:rFonts w:ascii="Times New Roman" w:hAnsi="Times New Roman" w:cs="Times New Roman" w:eastAsia="Times New Roman" w:hint="default"/>
        </w:rPr>
        <w:t>6</w:t>
      </w:r>
      <w:r>
        <w:rPr/>
        <w:t>、向余惜妹租赁其位于罗湖区笋岗东路宝安广场</w:t>
      </w:r>
      <w:r>
        <w:rPr>
          <w:spacing w:val="-38"/>
        </w:rPr>
        <w:t> </w:t>
      </w:r>
      <w:r>
        <w:rPr>
          <w:rFonts w:ascii="Times New Roman" w:hAnsi="Times New Roman" w:cs="Times New Roman" w:eastAsia="Times New Roman" w:hint="default"/>
        </w:rPr>
        <w:t>A</w:t>
      </w:r>
      <w:r>
        <w:rPr>
          <w:rFonts w:ascii="Times New Roman" w:hAnsi="Times New Roman" w:cs="Times New Roman" w:eastAsia="Times New Roman" w:hint="default"/>
          <w:spacing w:val="6"/>
        </w:rPr>
        <w:t> </w:t>
      </w:r>
      <w:r>
        <w:rPr/>
        <w:t>座</w:t>
      </w:r>
      <w:r>
        <w:rPr>
          <w:spacing w:val="-39"/>
        </w:rPr>
        <w:t> </w:t>
      </w:r>
      <w:r>
        <w:rPr>
          <w:rFonts w:ascii="Times New Roman" w:hAnsi="Times New Roman" w:cs="Times New Roman" w:eastAsia="Times New Roman" w:hint="default"/>
        </w:rPr>
        <w:t>16F</w:t>
      </w:r>
      <w:r>
        <w:rPr>
          <w:rFonts w:ascii="Times New Roman" w:hAnsi="Times New Roman" w:cs="Times New Roman" w:eastAsia="Times New Roman" w:hint="default"/>
          <w:spacing w:val="6"/>
        </w:rPr>
        <w:t> </w:t>
      </w:r>
      <w:r>
        <w:rPr/>
        <w:t>的房产用于公司办公，建筑面积</w:t>
      </w:r>
      <w:r>
        <w:rPr>
          <w:spacing w:val="-38"/>
        </w:rPr>
        <w:t> </w:t>
      </w:r>
      <w:r>
        <w:rPr>
          <w:rFonts w:ascii="Times New Roman" w:hAnsi="Times New Roman" w:cs="Times New Roman" w:eastAsia="Times New Roman" w:hint="default"/>
        </w:rPr>
        <w:t>100.42</w:t>
      </w:r>
      <w:r>
        <w:rPr>
          <w:rFonts w:ascii="Times New Roman" w:hAnsi="Times New Roman" w:cs="Times New Roman" w:eastAsia="Times New Roman" w:hint="default"/>
          <w:spacing w:val="6"/>
        </w:rPr>
        <w:t> </w:t>
      </w:r>
      <w:r>
        <w:rPr/>
        <w:t>㎡，有效期至</w:t>
      </w:r>
      <w:r>
        <w:rPr>
          <w:spacing w:val="-39"/>
        </w:rPr>
        <w:t> </w:t>
      </w:r>
      <w:r>
        <w:rPr>
          <w:rFonts w:ascii="Times New Roman" w:hAnsi="Times New Roman" w:cs="Times New Roman" w:eastAsia="Times New Roman" w:hint="default"/>
        </w:rPr>
        <w:t>2018</w:t>
      </w:r>
    </w:p>
    <w:p>
      <w:pPr>
        <w:pStyle w:val="BodyText"/>
        <w:spacing w:line="240" w:lineRule="auto" w:before="64"/>
        <w:ind w:left="1134" w:right="0"/>
        <w:jc w:val="left"/>
      </w:pPr>
      <w:r>
        <w:rPr/>
        <w:t>年</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日，租金</w:t>
      </w:r>
      <w:r>
        <w:rPr>
          <w:spacing w:val="-46"/>
        </w:rPr>
        <w:t> </w:t>
      </w:r>
      <w:r>
        <w:rPr>
          <w:rFonts w:ascii="Times New Roman" w:hAnsi="Times New Roman" w:cs="Times New Roman" w:eastAsia="Times New Roman" w:hint="default"/>
        </w:rPr>
        <w:t>8500</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月；</w:t>
      </w:r>
    </w:p>
    <w:p>
      <w:pPr>
        <w:pStyle w:val="BodyText"/>
        <w:spacing w:line="240" w:lineRule="auto" w:before="101"/>
        <w:ind w:left="1494" w:right="0"/>
        <w:jc w:val="left"/>
        <w:rPr>
          <w:rFonts w:ascii="Times New Roman" w:hAnsi="Times New Roman" w:cs="Times New Roman" w:eastAsia="Times New Roman" w:hint="default"/>
        </w:rPr>
      </w:pPr>
      <w:r>
        <w:rPr>
          <w:rFonts w:ascii="Times New Roman" w:hAnsi="Times New Roman" w:cs="Times New Roman" w:eastAsia="Times New Roman" w:hint="default"/>
        </w:rPr>
        <w:t>7</w:t>
      </w:r>
      <w:r>
        <w:rPr/>
        <w:t>、向罗玉琼租赁其位于罗湖区笋岗东路宝安广场 </w:t>
      </w:r>
      <w:r>
        <w:rPr>
          <w:rFonts w:ascii="Times New Roman" w:hAnsi="Times New Roman" w:cs="Times New Roman" w:eastAsia="Times New Roman" w:hint="default"/>
        </w:rPr>
        <w:t>A </w:t>
      </w:r>
      <w:r>
        <w:rPr/>
        <w:t>座 </w:t>
      </w:r>
      <w:r>
        <w:rPr>
          <w:rFonts w:ascii="Times New Roman" w:hAnsi="Times New Roman" w:cs="Times New Roman" w:eastAsia="Times New Roman" w:hint="default"/>
        </w:rPr>
        <w:t>16E </w:t>
      </w:r>
      <w:r>
        <w:rPr/>
        <w:t>的房产用于公司办公，建筑面积 </w:t>
      </w:r>
      <w:r>
        <w:rPr>
          <w:rFonts w:ascii="Times New Roman" w:hAnsi="Times New Roman" w:cs="Times New Roman" w:eastAsia="Times New Roman" w:hint="default"/>
        </w:rPr>
        <w:t>98.22 </w:t>
      </w:r>
      <w:r>
        <w:rPr/>
        <w:t>㎡，有效期至</w:t>
      </w:r>
      <w:r>
        <w:rPr>
          <w:spacing w:val="-55"/>
        </w:rPr>
        <w:t> </w:t>
      </w:r>
      <w:r>
        <w:rPr>
          <w:rFonts w:ascii="Times New Roman" w:hAnsi="Times New Roman" w:cs="Times New Roman" w:eastAsia="Times New Roman" w:hint="default"/>
        </w:rPr>
        <w:t>2019</w:t>
      </w:r>
    </w:p>
    <w:p>
      <w:pPr>
        <w:pStyle w:val="BodyText"/>
        <w:spacing w:line="240" w:lineRule="auto" w:before="64"/>
        <w:ind w:right="0"/>
        <w:jc w:val="left"/>
      </w:pPr>
      <w:r>
        <w:rPr/>
        <w:t>年</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日，租金</w:t>
      </w:r>
      <w:r>
        <w:rPr>
          <w:spacing w:val="-46"/>
        </w:rPr>
        <w:t> </w:t>
      </w:r>
      <w:r>
        <w:rPr>
          <w:rFonts w:ascii="Times New Roman" w:hAnsi="Times New Roman" w:cs="Times New Roman" w:eastAsia="Times New Roman" w:hint="default"/>
        </w:rPr>
        <w:t>9600</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月；</w:t>
      </w:r>
    </w:p>
    <w:p>
      <w:pPr>
        <w:pStyle w:val="BodyText"/>
        <w:spacing w:line="240" w:lineRule="auto" w:before="101"/>
        <w:ind w:left="1494" w:right="0"/>
        <w:jc w:val="left"/>
        <w:rPr>
          <w:rFonts w:ascii="Times New Roman" w:hAnsi="Times New Roman" w:cs="Times New Roman" w:eastAsia="Times New Roman" w:hint="default"/>
        </w:rPr>
      </w:pPr>
      <w:r>
        <w:rPr>
          <w:rFonts w:ascii="Times New Roman" w:hAnsi="Times New Roman" w:cs="Times New Roman" w:eastAsia="Times New Roman" w:hint="default"/>
        </w:rPr>
        <w:t>8</w:t>
      </w:r>
      <w:r>
        <w:rPr/>
        <w:t>、向邵建莲租赁其位于罗湖区笋岗东路宝安广场 </w:t>
      </w:r>
      <w:r>
        <w:rPr>
          <w:rFonts w:ascii="Times New Roman" w:hAnsi="Times New Roman" w:cs="Times New Roman" w:eastAsia="Times New Roman" w:hint="default"/>
        </w:rPr>
        <w:t>A </w:t>
      </w:r>
      <w:r>
        <w:rPr/>
        <w:t>栋 </w:t>
      </w:r>
      <w:r>
        <w:rPr>
          <w:rFonts w:ascii="Times New Roman" w:hAnsi="Times New Roman" w:cs="Times New Roman" w:eastAsia="Times New Roman" w:hint="default"/>
        </w:rPr>
        <w:t>23E </w:t>
      </w:r>
      <w:r>
        <w:rPr/>
        <w:t>的房产用于公司办公，建筑面积 </w:t>
      </w:r>
      <w:r>
        <w:rPr>
          <w:rFonts w:ascii="Times New Roman" w:hAnsi="Times New Roman" w:cs="Times New Roman" w:eastAsia="Times New Roman" w:hint="default"/>
        </w:rPr>
        <w:t>98.22 </w:t>
      </w:r>
      <w:r>
        <w:rPr/>
        <w:t>㎡，有效期至</w:t>
      </w:r>
      <w:r>
        <w:rPr>
          <w:spacing w:val="-55"/>
        </w:rPr>
        <w:t> </w:t>
      </w:r>
      <w:r>
        <w:rPr>
          <w:rFonts w:ascii="Times New Roman" w:hAnsi="Times New Roman" w:cs="Times New Roman" w:eastAsia="Times New Roman" w:hint="default"/>
        </w:rPr>
        <w:t>2019</w:t>
      </w:r>
    </w:p>
    <w:p>
      <w:pPr>
        <w:pStyle w:val="BodyText"/>
        <w:spacing w:line="240" w:lineRule="auto" w:before="64"/>
        <w:ind w:right="0"/>
        <w:jc w:val="left"/>
      </w:pP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日，租金</w:t>
      </w:r>
      <w:r>
        <w:rPr>
          <w:spacing w:val="-46"/>
        </w:rPr>
        <w:t> </w:t>
      </w:r>
      <w:r>
        <w:rPr>
          <w:rFonts w:ascii="Times New Roman" w:hAnsi="Times New Roman" w:cs="Times New Roman" w:eastAsia="Times New Roman" w:hint="default"/>
        </w:rPr>
        <w:t>9000</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月；</w:t>
      </w:r>
    </w:p>
    <w:p>
      <w:pPr>
        <w:pStyle w:val="BodyText"/>
        <w:spacing w:line="240" w:lineRule="auto" w:before="102"/>
        <w:ind w:left="1494" w:right="0"/>
        <w:jc w:val="left"/>
        <w:rPr>
          <w:rFonts w:ascii="Times New Roman" w:hAnsi="Times New Roman" w:cs="Times New Roman" w:eastAsia="Times New Roman" w:hint="default"/>
        </w:rPr>
      </w:pPr>
      <w:r>
        <w:rPr>
          <w:rFonts w:ascii="Times New Roman" w:hAnsi="Times New Roman" w:cs="Times New Roman" w:eastAsia="Times New Roman" w:hint="default"/>
        </w:rPr>
        <w:t>9</w:t>
      </w:r>
      <w:r>
        <w:rPr/>
        <w:t>、向方凌艳租赁其位于罗湖区笋岗东路宝安广场</w:t>
      </w:r>
      <w:r>
        <w:rPr>
          <w:spacing w:val="-38"/>
        </w:rPr>
        <w:t> </w:t>
      </w:r>
      <w:r>
        <w:rPr>
          <w:rFonts w:ascii="Times New Roman" w:hAnsi="Times New Roman" w:cs="Times New Roman" w:eastAsia="Times New Roman" w:hint="default"/>
        </w:rPr>
        <w:t>A</w:t>
      </w:r>
      <w:r>
        <w:rPr>
          <w:rFonts w:ascii="Times New Roman" w:hAnsi="Times New Roman" w:cs="Times New Roman" w:eastAsia="Times New Roman" w:hint="default"/>
          <w:spacing w:val="6"/>
        </w:rPr>
        <w:t> </w:t>
      </w:r>
      <w:r>
        <w:rPr/>
        <w:t>座</w:t>
      </w:r>
      <w:r>
        <w:rPr>
          <w:spacing w:val="-39"/>
        </w:rPr>
        <w:t> </w:t>
      </w:r>
      <w:r>
        <w:rPr>
          <w:rFonts w:ascii="Times New Roman" w:hAnsi="Times New Roman" w:cs="Times New Roman" w:eastAsia="Times New Roman" w:hint="default"/>
        </w:rPr>
        <w:t>23F</w:t>
      </w:r>
      <w:r>
        <w:rPr>
          <w:rFonts w:ascii="Times New Roman" w:hAnsi="Times New Roman" w:cs="Times New Roman" w:eastAsia="Times New Roman" w:hint="default"/>
          <w:spacing w:val="6"/>
        </w:rPr>
        <w:t> </w:t>
      </w:r>
      <w:r>
        <w:rPr/>
        <w:t>的房产用于公司办公，建筑面积</w:t>
      </w:r>
      <w:r>
        <w:rPr>
          <w:spacing w:val="-38"/>
        </w:rPr>
        <w:t> </w:t>
      </w:r>
      <w:r>
        <w:rPr>
          <w:rFonts w:ascii="Times New Roman" w:hAnsi="Times New Roman" w:cs="Times New Roman" w:eastAsia="Times New Roman" w:hint="default"/>
        </w:rPr>
        <w:t>100.42</w:t>
      </w:r>
      <w:r>
        <w:rPr>
          <w:rFonts w:ascii="Times New Roman" w:hAnsi="Times New Roman" w:cs="Times New Roman" w:eastAsia="Times New Roman" w:hint="default"/>
          <w:spacing w:val="6"/>
        </w:rPr>
        <w:t> </w:t>
      </w:r>
      <w:r>
        <w:rPr/>
        <w:t>㎡，有效期至</w:t>
      </w:r>
      <w:r>
        <w:rPr>
          <w:spacing w:val="-39"/>
        </w:rPr>
        <w:t> </w:t>
      </w:r>
      <w:r>
        <w:rPr>
          <w:rFonts w:ascii="Times New Roman" w:hAnsi="Times New Roman" w:cs="Times New Roman" w:eastAsia="Times New Roman" w:hint="default"/>
        </w:rPr>
        <w:t>2019</w:t>
      </w:r>
    </w:p>
    <w:p>
      <w:pPr>
        <w:pStyle w:val="BodyText"/>
        <w:spacing w:line="240" w:lineRule="auto" w:before="64"/>
        <w:ind w:left="1134" w:right="0"/>
        <w:jc w:val="left"/>
      </w:pP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日，租金</w:t>
      </w:r>
      <w:r>
        <w:rPr>
          <w:spacing w:val="-46"/>
        </w:rPr>
        <w:t> </w:t>
      </w:r>
      <w:r>
        <w:rPr>
          <w:rFonts w:ascii="Times New Roman" w:hAnsi="Times New Roman" w:cs="Times New Roman" w:eastAsia="Times New Roman" w:hint="default"/>
        </w:rPr>
        <w:t>9,000</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月；</w:t>
      </w:r>
    </w:p>
    <w:p>
      <w:pPr>
        <w:pStyle w:val="BodyText"/>
        <w:spacing w:line="240" w:lineRule="auto" w:before="101"/>
        <w:ind w:left="1494" w:right="0"/>
        <w:jc w:val="left"/>
        <w:rPr>
          <w:rFonts w:ascii="Times New Roman" w:hAnsi="Times New Roman" w:cs="Times New Roman" w:eastAsia="Times New Roman" w:hint="default"/>
        </w:rPr>
      </w:pPr>
      <w:r>
        <w:rPr>
          <w:rFonts w:ascii="Times New Roman" w:hAnsi="Times New Roman" w:cs="Times New Roman" w:eastAsia="Times New Roman" w:hint="default"/>
        </w:rPr>
        <w:t>10</w:t>
      </w:r>
      <w:r>
        <w:rPr/>
        <w:t>、向陈振兴租赁其位于罗湖区笋岗东路宝安广场</w:t>
      </w:r>
      <w:r>
        <w:rPr>
          <w:spacing w:val="-30"/>
        </w:rPr>
        <w:t> </w:t>
      </w:r>
      <w:r>
        <w:rPr>
          <w:rFonts w:ascii="Times New Roman" w:hAnsi="Times New Roman" w:cs="Times New Roman" w:eastAsia="Times New Roman" w:hint="default"/>
        </w:rPr>
        <w:t>A</w:t>
      </w:r>
      <w:r>
        <w:rPr>
          <w:rFonts w:ascii="Times New Roman" w:hAnsi="Times New Roman" w:cs="Times New Roman" w:eastAsia="Times New Roman" w:hint="default"/>
          <w:spacing w:val="14"/>
        </w:rPr>
        <w:t> </w:t>
      </w:r>
      <w:r>
        <w:rPr/>
        <w:t>座</w:t>
      </w:r>
      <w:r>
        <w:rPr>
          <w:spacing w:val="-29"/>
        </w:rPr>
        <w:t> </w:t>
      </w:r>
      <w:r>
        <w:rPr>
          <w:rFonts w:ascii="Times New Roman" w:hAnsi="Times New Roman" w:cs="Times New Roman" w:eastAsia="Times New Roman" w:hint="default"/>
        </w:rPr>
        <w:t>23H</w:t>
      </w:r>
      <w:r>
        <w:rPr>
          <w:rFonts w:ascii="Times New Roman" w:hAnsi="Times New Roman" w:cs="Times New Roman" w:eastAsia="Times New Roman" w:hint="default"/>
          <w:spacing w:val="14"/>
        </w:rPr>
        <w:t> </w:t>
      </w:r>
      <w:r>
        <w:rPr/>
        <w:t>的房产用于公司办公，建筑面积</w:t>
      </w:r>
      <w:r>
        <w:rPr>
          <w:spacing w:val="-30"/>
        </w:rPr>
        <w:t> </w:t>
      </w:r>
      <w:r>
        <w:rPr>
          <w:rFonts w:ascii="Times New Roman" w:hAnsi="Times New Roman" w:cs="Times New Roman" w:eastAsia="Times New Roman" w:hint="default"/>
        </w:rPr>
        <w:t>98.5</w:t>
      </w:r>
      <w:r>
        <w:rPr>
          <w:rFonts w:ascii="Times New Roman" w:hAnsi="Times New Roman" w:cs="Times New Roman" w:eastAsia="Times New Roman" w:hint="default"/>
          <w:spacing w:val="15"/>
        </w:rPr>
        <w:t> </w:t>
      </w:r>
      <w:r>
        <w:rPr/>
        <w:t>㎡，有效期至</w:t>
      </w:r>
      <w:r>
        <w:rPr>
          <w:spacing w:val="-30"/>
        </w:rPr>
        <w:t> </w:t>
      </w:r>
      <w:r>
        <w:rPr>
          <w:rFonts w:ascii="Times New Roman" w:hAnsi="Times New Roman" w:cs="Times New Roman" w:eastAsia="Times New Roman" w:hint="default"/>
        </w:rPr>
        <w:t>2019</w:t>
      </w:r>
    </w:p>
    <w:p>
      <w:pPr>
        <w:pStyle w:val="BodyText"/>
        <w:spacing w:line="240" w:lineRule="auto" w:before="64"/>
        <w:ind w:right="0"/>
        <w:jc w:val="left"/>
      </w:pPr>
      <w:r>
        <w:rPr/>
        <w:t>年</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日，租金</w:t>
      </w:r>
      <w:r>
        <w:rPr>
          <w:spacing w:val="-46"/>
        </w:rPr>
        <w:t> </w:t>
      </w:r>
      <w:r>
        <w:rPr>
          <w:rFonts w:ascii="Times New Roman" w:hAnsi="Times New Roman" w:cs="Times New Roman" w:eastAsia="Times New Roman" w:hint="default"/>
        </w:rPr>
        <w:t>8500</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月；</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2" w:lineRule="auto" w:before="44"/>
        <w:ind w:left="1134" w:right="1123" w:firstLine="360"/>
        <w:jc w:val="left"/>
      </w:pPr>
      <w:r>
        <w:rPr>
          <w:rFonts w:ascii="Times New Roman" w:hAnsi="Times New Roman" w:cs="Times New Roman" w:eastAsia="Times New Roman" w:hint="default"/>
        </w:rPr>
        <w:t>11</w:t>
      </w:r>
      <w:r>
        <w:rPr/>
        <w:t>、向全记有限公司租赁其位于罗湖区笋岗东路宝安广场</w:t>
      </w:r>
      <w:r>
        <w:rPr>
          <w:spacing w:val="-36"/>
        </w:rPr>
        <w:t> </w:t>
      </w:r>
      <w:r>
        <w:rPr>
          <w:rFonts w:ascii="Times New Roman" w:hAnsi="Times New Roman" w:cs="Times New Roman" w:eastAsia="Times New Roman" w:hint="default"/>
        </w:rPr>
        <w:t>A</w:t>
      </w:r>
      <w:r>
        <w:rPr>
          <w:rFonts w:ascii="Times New Roman" w:hAnsi="Times New Roman" w:cs="Times New Roman" w:eastAsia="Times New Roman" w:hint="default"/>
          <w:spacing w:val="9"/>
        </w:rPr>
        <w:t> </w:t>
      </w:r>
      <w:r>
        <w:rPr/>
        <w:t>座</w:t>
      </w:r>
      <w:r>
        <w:rPr>
          <w:spacing w:val="-36"/>
        </w:rPr>
        <w:t> </w:t>
      </w:r>
      <w:r>
        <w:rPr>
          <w:rFonts w:ascii="Times New Roman" w:hAnsi="Times New Roman" w:cs="Times New Roman" w:eastAsia="Times New Roman" w:hint="default"/>
        </w:rPr>
        <w:t>16D</w:t>
      </w:r>
      <w:r>
        <w:rPr>
          <w:rFonts w:ascii="Times New Roman" w:hAnsi="Times New Roman" w:cs="Times New Roman" w:eastAsia="Times New Roman" w:hint="default"/>
          <w:spacing w:val="9"/>
        </w:rPr>
        <w:t> </w:t>
      </w:r>
      <w:r>
        <w:rPr/>
        <w:t>的房产用于公司办公，建筑面积</w:t>
      </w:r>
      <w:r>
        <w:rPr>
          <w:spacing w:val="-36"/>
        </w:rPr>
        <w:t> </w:t>
      </w:r>
      <w:r>
        <w:rPr>
          <w:rFonts w:ascii="Times New Roman" w:hAnsi="Times New Roman" w:cs="Times New Roman" w:eastAsia="Times New Roman" w:hint="default"/>
        </w:rPr>
        <w:t>105.5</w:t>
      </w:r>
      <w:r>
        <w:rPr>
          <w:rFonts w:ascii="Times New Roman" w:hAnsi="Times New Roman" w:cs="Times New Roman" w:eastAsia="Times New Roman" w:hint="default"/>
          <w:spacing w:val="9"/>
        </w:rPr>
        <w:t> </w:t>
      </w:r>
      <w:r>
        <w:rPr/>
        <w:t>㎡，有效期 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日，租金</w:t>
      </w:r>
      <w:r>
        <w:rPr>
          <w:spacing w:val="-46"/>
        </w:rPr>
        <w:t> </w:t>
      </w:r>
      <w:r>
        <w:rPr>
          <w:rFonts w:ascii="Times New Roman" w:hAnsi="Times New Roman" w:cs="Times New Roman" w:eastAsia="Times New Roman" w:hint="default"/>
        </w:rPr>
        <w:t>8,240</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月；</w:t>
      </w:r>
    </w:p>
    <w:p>
      <w:pPr>
        <w:pStyle w:val="BodyText"/>
        <w:spacing w:line="240" w:lineRule="auto" w:before="49"/>
        <w:ind w:left="1494" w:right="0"/>
        <w:jc w:val="left"/>
      </w:pPr>
      <w:r>
        <w:rPr>
          <w:rFonts w:ascii="Times New Roman" w:hAnsi="Times New Roman" w:cs="Times New Roman" w:eastAsia="Times New Roman" w:hint="default"/>
        </w:rPr>
        <w:t>12</w:t>
      </w:r>
      <w:r>
        <w:rPr/>
        <w:t>、向李莉租赁其位于罗湖区笋岗东路宝安广场</w:t>
      </w:r>
      <w:r>
        <w:rPr>
          <w:spacing w:val="-47"/>
        </w:rPr>
        <w:t> </w:t>
      </w:r>
      <w:r>
        <w:rPr>
          <w:rFonts w:ascii="Times New Roman" w:hAnsi="Times New Roman" w:cs="Times New Roman" w:eastAsia="Times New Roman" w:hint="default"/>
        </w:rPr>
        <w:t>A</w:t>
      </w:r>
      <w:r>
        <w:rPr>
          <w:rFonts w:ascii="Times New Roman" w:hAnsi="Times New Roman" w:cs="Times New Roman" w:eastAsia="Times New Roman" w:hint="default"/>
          <w:spacing w:val="-1"/>
        </w:rPr>
        <w:t> </w:t>
      </w:r>
      <w:r>
        <w:rPr/>
        <w:t>座</w:t>
      </w:r>
      <w:r>
        <w:rPr>
          <w:spacing w:val="-47"/>
        </w:rPr>
        <w:t> </w:t>
      </w:r>
      <w:r>
        <w:rPr>
          <w:rFonts w:ascii="Times New Roman" w:hAnsi="Times New Roman" w:cs="Times New Roman" w:eastAsia="Times New Roman" w:hint="default"/>
        </w:rPr>
        <w:t>22E</w:t>
      </w:r>
      <w:r>
        <w:rPr>
          <w:rFonts w:ascii="Times New Roman" w:hAnsi="Times New Roman" w:cs="Times New Roman" w:eastAsia="Times New Roman" w:hint="default"/>
          <w:spacing w:val="-2"/>
        </w:rPr>
        <w:t> </w:t>
      </w:r>
      <w:r>
        <w:rPr/>
        <w:t>的房产用于公司办公，建筑面积</w:t>
      </w:r>
      <w:r>
        <w:rPr>
          <w:spacing w:val="-47"/>
        </w:rPr>
        <w:t> </w:t>
      </w:r>
      <w:r>
        <w:rPr>
          <w:rFonts w:ascii="Times New Roman" w:hAnsi="Times New Roman" w:cs="Times New Roman" w:eastAsia="Times New Roman" w:hint="default"/>
        </w:rPr>
        <w:t>98.22</w:t>
      </w:r>
      <w:r>
        <w:rPr>
          <w:rFonts w:ascii="Times New Roman" w:hAnsi="Times New Roman" w:cs="Times New Roman" w:eastAsia="Times New Roman" w:hint="default"/>
          <w:spacing w:val="-2"/>
        </w:rPr>
        <w:t> </w:t>
      </w:r>
      <w:r>
        <w:rPr/>
        <w:t>㎡，有效期至</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p>
    <w:p>
      <w:pPr>
        <w:pStyle w:val="BodyText"/>
        <w:spacing w:line="240" w:lineRule="auto" w:before="64"/>
        <w:ind w:left="1134" w:right="0"/>
        <w:jc w:val="left"/>
      </w:pP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 租金</w:t>
      </w:r>
      <w:r>
        <w:rPr>
          <w:spacing w:val="-46"/>
        </w:rPr>
        <w:t> </w:t>
      </w:r>
      <w:r>
        <w:rPr>
          <w:rFonts w:ascii="Times New Roman" w:hAnsi="Times New Roman" w:cs="Times New Roman" w:eastAsia="Times New Roman" w:hint="default"/>
        </w:rPr>
        <w:t>9500</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月；</w:t>
      </w:r>
    </w:p>
    <w:p>
      <w:pPr>
        <w:pStyle w:val="BodyText"/>
        <w:spacing w:line="302" w:lineRule="auto" w:before="103"/>
        <w:ind w:right="1121" w:firstLine="360"/>
        <w:jc w:val="left"/>
      </w:pPr>
      <w:r>
        <w:rPr>
          <w:rFonts w:ascii="Times New Roman" w:hAnsi="Times New Roman" w:cs="Times New Roman" w:eastAsia="Times New Roman" w:hint="default"/>
        </w:rPr>
        <w:t>13</w:t>
      </w:r>
      <w:r>
        <w:rPr/>
        <w:t>、向严小铅租赁其位于罗湖区笋岗东路宝安广场</w:t>
      </w:r>
      <w:r>
        <w:rPr>
          <w:spacing w:val="-42"/>
        </w:rPr>
        <w:t> </w:t>
      </w:r>
      <w:r>
        <w:rPr>
          <w:rFonts w:ascii="Times New Roman" w:hAnsi="Times New Roman" w:cs="Times New Roman" w:eastAsia="Times New Roman" w:hint="default"/>
        </w:rPr>
        <w:t>A</w:t>
      </w:r>
      <w:r>
        <w:rPr>
          <w:rFonts w:ascii="Times New Roman" w:hAnsi="Times New Roman" w:cs="Times New Roman" w:eastAsia="Times New Roman" w:hint="default"/>
          <w:spacing w:val="3"/>
        </w:rPr>
        <w:t> </w:t>
      </w:r>
      <w:r>
        <w:rPr/>
        <w:t>栋</w:t>
      </w:r>
      <w:r>
        <w:rPr>
          <w:spacing w:val="-43"/>
        </w:rPr>
        <w:t> </w:t>
      </w:r>
      <w:r>
        <w:rPr>
          <w:rFonts w:ascii="Times New Roman" w:hAnsi="Times New Roman" w:cs="Times New Roman" w:eastAsia="Times New Roman" w:hint="default"/>
        </w:rPr>
        <w:t>15E\F\G\H</w:t>
      </w:r>
      <w:r>
        <w:rPr>
          <w:rFonts w:ascii="Times New Roman" w:hAnsi="Times New Roman" w:cs="Times New Roman" w:eastAsia="Times New Roman" w:hint="default"/>
          <w:spacing w:val="3"/>
        </w:rPr>
        <w:t> </w:t>
      </w:r>
      <w:r>
        <w:rPr/>
        <w:t>的房产用于公司办公，建筑面积</w:t>
      </w:r>
      <w:r>
        <w:rPr>
          <w:spacing w:val="-42"/>
        </w:rPr>
        <w:t> </w:t>
      </w:r>
      <w:r>
        <w:rPr>
          <w:rFonts w:ascii="Times New Roman" w:hAnsi="Times New Roman" w:cs="Times New Roman" w:eastAsia="Times New Roman" w:hint="default"/>
        </w:rPr>
        <w:t>397.11</w:t>
      </w:r>
      <w:r>
        <w:rPr>
          <w:rFonts w:ascii="Times New Roman" w:hAnsi="Times New Roman" w:cs="Times New Roman" w:eastAsia="Times New Roman" w:hint="default"/>
          <w:spacing w:val="3"/>
        </w:rPr>
        <w:t> </w:t>
      </w:r>
      <w:r>
        <w:rPr/>
        <w:t>㎡，有效期 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日，租金</w:t>
      </w:r>
      <w:r>
        <w:rPr>
          <w:spacing w:val="-46"/>
        </w:rPr>
        <w:t> </w:t>
      </w:r>
      <w:r>
        <w:rPr>
          <w:rFonts w:ascii="Times New Roman" w:hAnsi="Times New Roman" w:cs="Times New Roman" w:eastAsia="Times New Roman" w:hint="default"/>
        </w:rPr>
        <w:t>36,931</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月；</w:t>
      </w:r>
    </w:p>
    <w:p>
      <w:pPr>
        <w:pStyle w:val="BodyText"/>
        <w:spacing w:line="240" w:lineRule="auto" w:before="49"/>
        <w:ind w:left="1494" w:right="0"/>
        <w:jc w:val="left"/>
        <w:rPr>
          <w:rFonts w:ascii="Times New Roman" w:hAnsi="Times New Roman" w:cs="Times New Roman" w:eastAsia="Times New Roman" w:hint="default"/>
        </w:rPr>
      </w:pPr>
      <w:r>
        <w:rPr>
          <w:rFonts w:ascii="Times New Roman" w:hAnsi="Times New Roman" w:cs="Times New Roman" w:eastAsia="Times New Roman" w:hint="default"/>
        </w:rPr>
        <w:t>14</w:t>
      </w:r>
      <w:r>
        <w:rPr/>
        <w:t>、向罗国斌租赁其位于罗湖区笋岗东路宝安广场</w:t>
      </w:r>
      <w:r>
        <w:rPr>
          <w:spacing w:val="-42"/>
        </w:rPr>
        <w:t> </w:t>
      </w:r>
      <w:r>
        <w:rPr>
          <w:rFonts w:ascii="Times New Roman" w:hAnsi="Times New Roman" w:cs="Times New Roman" w:eastAsia="Times New Roman" w:hint="default"/>
        </w:rPr>
        <w:t>A</w:t>
      </w:r>
      <w:r>
        <w:rPr>
          <w:rFonts w:ascii="Times New Roman" w:hAnsi="Times New Roman" w:cs="Times New Roman" w:eastAsia="Times New Roman" w:hint="default"/>
          <w:spacing w:val="2"/>
        </w:rPr>
        <w:t> </w:t>
      </w:r>
      <w:r>
        <w:rPr/>
        <w:t>栋</w:t>
      </w:r>
      <w:r>
        <w:rPr>
          <w:spacing w:val="-44"/>
        </w:rPr>
        <w:t> </w:t>
      </w:r>
      <w:r>
        <w:rPr>
          <w:rFonts w:ascii="Times New Roman" w:hAnsi="Times New Roman" w:cs="Times New Roman" w:eastAsia="Times New Roman" w:hint="default"/>
        </w:rPr>
        <w:t>15D</w:t>
      </w:r>
      <w:r>
        <w:rPr>
          <w:rFonts w:ascii="Times New Roman" w:hAnsi="Times New Roman" w:cs="Times New Roman" w:eastAsia="Times New Roman" w:hint="default"/>
          <w:spacing w:val="2"/>
        </w:rPr>
        <w:t> </w:t>
      </w:r>
      <w:r>
        <w:rPr/>
        <w:t>的房产用于公司办公，建筑面积</w:t>
      </w:r>
      <w:r>
        <w:rPr>
          <w:spacing w:val="-42"/>
        </w:rPr>
        <w:t> </w:t>
      </w:r>
      <w:r>
        <w:rPr>
          <w:rFonts w:ascii="Times New Roman" w:hAnsi="Times New Roman" w:cs="Times New Roman" w:eastAsia="Times New Roman" w:hint="default"/>
        </w:rPr>
        <w:t>105.5</w:t>
      </w:r>
      <w:r>
        <w:rPr>
          <w:rFonts w:ascii="Times New Roman" w:hAnsi="Times New Roman" w:cs="Times New Roman" w:eastAsia="Times New Roman" w:hint="default"/>
          <w:spacing w:val="2"/>
        </w:rPr>
        <w:t> </w:t>
      </w:r>
      <w:r>
        <w:rPr/>
        <w:t>㎡，有效期至</w:t>
      </w:r>
      <w:r>
        <w:rPr>
          <w:spacing w:val="-42"/>
        </w:rPr>
        <w:t> </w:t>
      </w:r>
      <w:r>
        <w:rPr>
          <w:rFonts w:ascii="Times New Roman" w:hAnsi="Times New Roman" w:cs="Times New Roman" w:eastAsia="Times New Roman" w:hint="default"/>
        </w:rPr>
        <w:t>2018</w:t>
      </w:r>
    </w:p>
    <w:p>
      <w:pPr>
        <w:pStyle w:val="BodyText"/>
        <w:spacing w:line="240" w:lineRule="auto" w:before="64"/>
        <w:ind w:right="0"/>
        <w:jc w:val="left"/>
      </w:pP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日，租金</w:t>
      </w:r>
      <w:r>
        <w:rPr>
          <w:spacing w:val="-46"/>
        </w:rPr>
        <w:t> </w:t>
      </w:r>
      <w:r>
        <w:rPr>
          <w:rFonts w:ascii="Times New Roman" w:hAnsi="Times New Roman" w:cs="Times New Roman" w:eastAsia="Times New Roman" w:hint="default"/>
        </w:rPr>
        <w:t>10,450</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月；</w:t>
      </w:r>
    </w:p>
    <w:p>
      <w:pPr>
        <w:pStyle w:val="BodyText"/>
        <w:spacing w:line="240" w:lineRule="auto" w:before="101"/>
        <w:ind w:left="1494" w:right="0"/>
        <w:jc w:val="left"/>
        <w:rPr>
          <w:rFonts w:ascii="Times New Roman" w:hAnsi="Times New Roman" w:cs="Times New Roman" w:eastAsia="Times New Roman" w:hint="default"/>
        </w:rPr>
      </w:pPr>
      <w:r>
        <w:rPr>
          <w:rFonts w:ascii="Times New Roman" w:hAnsi="Times New Roman" w:cs="Times New Roman" w:eastAsia="Times New Roman" w:hint="default"/>
        </w:rPr>
        <w:t>15</w:t>
      </w:r>
      <w:r>
        <w:rPr/>
        <w:t>、向郭奇艳租赁其位于罗湖区笋岗东路宝安广场</w:t>
      </w:r>
      <w:r>
        <w:rPr>
          <w:spacing w:val="-52"/>
        </w:rPr>
        <w:t> </w:t>
      </w:r>
      <w:r>
        <w:rPr>
          <w:rFonts w:ascii="Times New Roman" w:hAnsi="Times New Roman" w:cs="Times New Roman" w:eastAsia="Times New Roman" w:hint="default"/>
        </w:rPr>
        <w:t>A</w:t>
      </w:r>
      <w:r>
        <w:rPr>
          <w:rFonts w:ascii="Times New Roman" w:hAnsi="Times New Roman" w:cs="Times New Roman" w:eastAsia="Times New Roman" w:hint="default"/>
          <w:spacing w:val="-6"/>
        </w:rPr>
        <w:t> </w:t>
      </w:r>
      <w:r>
        <w:rPr/>
        <w:t>栋</w:t>
      </w:r>
      <w:r>
        <w:rPr>
          <w:spacing w:val="-51"/>
        </w:rPr>
        <w:t> </w:t>
      </w:r>
      <w:r>
        <w:rPr>
          <w:rFonts w:ascii="Times New Roman" w:hAnsi="Times New Roman" w:cs="Times New Roman" w:eastAsia="Times New Roman" w:hint="default"/>
        </w:rPr>
        <w:t>20C</w:t>
      </w:r>
      <w:r>
        <w:rPr>
          <w:rFonts w:ascii="Times New Roman" w:hAnsi="Times New Roman" w:cs="Times New Roman" w:eastAsia="Times New Roman" w:hint="default"/>
          <w:spacing w:val="-7"/>
        </w:rPr>
        <w:t> </w:t>
      </w:r>
      <w:r>
        <w:rPr/>
        <w:t>的房产用于公司办公，建筑面积</w:t>
      </w:r>
      <w:r>
        <w:rPr>
          <w:spacing w:val="-52"/>
        </w:rPr>
        <w:t> </w:t>
      </w:r>
      <w:r>
        <w:rPr>
          <w:rFonts w:ascii="Times New Roman" w:hAnsi="Times New Roman" w:cs="Times New Roman" w:eastAsia="Times New Roman" w:hint="default"/>
        </w:rPr>
        <w:t>100.42</w:t>
      </w:r>
      <w:r>
        <w:rPr>
          <w:rFonts w:ascii="Times New Roman" w:hAnsi="Times New Roman" w:cs="Times New Roman" w:eastAsia="Times New Roman" w:hint="default"/>
          <w:spacing w:val="-7"/>
        </w:rPr>
        <w:t> </w:t>
      </w:r>
      <w:r>
        <w:rPr>
          <w:spacing w:val="-4"/>
        </w:rPr>
        <w:t>㎡，有效期至</w:t>
      </w:r>
      <w:r>
        <w:rPr>
          <w:spacing w:val="-52"/>
        </w:rPr>
        <w:t> </w:t>
      </w:r>
      <w:r>
        <w:rPr>
          <w:rFonts w:ascii="Times New Roman" w:hAnsi="Times New Roman" w:cs="Times New Roman" w:eastAsia="Times New Roman" w:hint="default"/>
        </w:rPr>
        <w:t>2019</w:t>
      </w:r>
    </w:p>
    <w:p>
      <w:pPr>
        <w:pStyle w:val="BodyText"/>
        <w:spacing w:line="240" w:lineRule="auto" w:before="64"/>
        <w:ind w:right="0"/>
        <w:jc w:val="left"/>
      </w:pPr>
      <w:r>
        <w:rPr/>
        <w:t>年</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44"/>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日，租金</w:t>
      </w:r>
      <w:r>
        <w:rPr>
          <w:spacing w:val="-46"/>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月；</w:t>
      </w:r>
    </w:p>
    <w:p>
      <w:pPr>
        <w:pStyle w:val="BodyText"/>
        <w:spacing w:line="240" w:lineRule="auto" w:before="102"/>
        <w:ind w:left="1494" w:right="0"/>
        <w:jc w:val="left"/>
        <w:rPr>
          <w:rFonts w:ascii="Times New Roman" w:hAnsi="Times New Roman" w:cs="Times New Roman" w:eastAsia="Times New Roman" w:hint="default"/>
        </w:rPr>
      </w:pPr>
      <w:r>
        <w:rPr>
          <w:rFonts w:ascii="Times New Roman" w:hAnsi="Times New Roman" w:cs="Times New Roman" w:eastAsia="Times New Roman" w:hint="default"/>
        </w:rPr>
        <w:t>16</w:t>
      </w:r>
      <w:r>
        <w:rPr/>
        <w:t>、向龙美琦租赁其位于罗湖区笋岗东路宝安广场</w:t>
      </w:r>
      <w:r>
        <w:rPr>
          <w:spacing w:val="-36"/>
        </w:rPr>
        <w:t> </w:t>
      </w:r>
      <w:r>
        <w:rPr>
          <w:rFonts w:ascii="Times New Roman" w:hAnsi="Times New Roman" w:cs="Times New Roman" w:eastAsia="Times New Roman" w:hint="default"/>
        </w:rPr>
        <w:t>A</w:t>
      </w:r>
      <w:r>
        <w:rPr>
          <w:rFonts w:ascii="Times New Roman" w:hAnsi="Times New Roman" w:cs="Times New Roman" w:eastAsia="Times New Roman" w:hint="default"/>
          <w:spacing w:val="8"/>
        </w:rPr>
        <w:t> </w:t>
      </w:r>
      <w:r>
        <w:rPr/>
        <w:t>栋</w:t>
      </w:r>
      <w:r>
        <w:rPr>
          <w:spacing w:val="-35"/>
        </w:rPr>
        <w:t> </w:t>
      </w:r>
      <w:r>
        <w:rPr>
          <w:rFonts w:ascii="Times New Roman" w:hAnsi="Times New Roman" w:cs="Times New Roman" w:eastAsia="Times New Roman" w:hint="default"/>
        </w:rPr>
        <w:t>16C</w:t>
      </w:r>
      <w:r>
        <w:rPr>
          <w:rFonts w:ascii="Times New Roman" w:hAnsi="Times New Roman" w:cs="Times New Roman" w:eastAsia="Times New Roman" w:hint="default"/>
          <w:spacing w:val="9"/>
        </w:rPr>
        <w:t> </w:t>
      </w:r>
      <w:r>
        <w:rPr/>
        <w:t>的房产用于公司办公</w:t>
      </w:r>
      <w:r>
        <w:rPr>
          <w:rFonts w:ascii="Times New Roman" w:hAnsi="Times New Roman" w:cs="Times New Roman" w:eastAsia="Times New Roman" w:hint="default"/>
        </w:rPr>
        <w:t>,</w:t>
      </w:r>
      <w:r>
        <w:rPr/>
        <w:t>建筑面积</w:t>
      </w:r>
      <w:r>
        <w:rPr>
          <w:spacing w:val="-36"/>
        </w:rPr>
        <w:t> </w:t>
      </w:r>
      <w:r>
        <w:rPr>
          <w:rFonts w:ascii="Times New Roman" w:hAnsi="Times New Roman" w:cs="Times New Roman" w:eastAsia="Times New Roman" w:hint="default"/>
        </w:rPr>
        <w:t>100.42</w:t>
      </w:r>
      <w:r>
        <w:rPr>
          <w:rFonts w:ascii="Times New Roman" w:hAnsi="Times New Roman" w:cs="Times New Roman" w:eastAsia="Times New Roman" w:hint="default"/>
          <w:spacing w:val="9"/>
        </w:rPr>
        <w:t> </w:t>
      </w:r>
      <w:r>
        <w:rPr/>
        <w:t>㎡，有效期至</w:t>
      </w:r>
      <w:r>
        <w:rPr>
          <w:spacing w:val="-36"/>
        </w:rPr>
        <w:t> </w:t>
      </w:r>
      <w:r>
        <w:rPr>
          <w:rFonts w:ascii="Times New Roman" w:hAnsi="Times New Roman" w:cs="Times New Roman" w:eastAsia="Times New Roman" w:hint="default"/>
        </w:rPr>
        <w:t>2019</w:t>
      </w:r>
    </w:p>
    <w:p>
      <w:pPr>
        <w:pStyle w:val="BodyText"/>
        <w:spacing w:line="338" w:lineRule="auto" w:before="64"/>
        <w:ind w:left="1494" w:right="7872" w:hanging="360"/>
        <w:jc w:val="left"/>
      </w:pPr>
      <w:r>
        <w:rPr/>
        <w:t>年</w:t>
      </w:r>
      <w:r>
        <w:rPr>
          <w:spacing w:val="-47"/>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28</w:t>
      </w:r>
      <w:r>
        <w:rPr>
          <w:rFonts w:ascii="Times New Roman" w:hAnsi="Times New Roman" w:cs="Times New Roman" w:eastAsia="Times New Roman" w:hint="default"/>
          <w:spacing w:val="-2"/>
        </w:rPr>
        <w:t> </w:t>
      </w:r>
      <w:r>
        <w:rPr/>
        <w:t>日，租金</w:t>
      </w:r>
      <w:r>
        <w:rPr>
          <w:spacing w:val="-47"/>
        </w:rPr>
        <w:t> </w:t>
      </w:r>
      <w:r>
        <w:rPr>
          <w:rFonts w:ascii="Times New Roman" w:hAnsi="Times New Roman" w:cs="Times New Roman" w:eastAsia="Times New Roman" w:hint="default"/>
        </w:rPr>
        <w:t>11000</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月。 公司对外出租的房产情况如下：</w:t>
      </w:r>
    </w:p>
    <w:p>
      <w:pPr>
        <w:pStyle w:val="BodyText"/>
        <w:spacing w:line="302" w:lineRule="auto" w:before="41"/>
        <w:ind w:left="1134" w:right="1120" w:firstLine="360"/>
        <w:jc w:val="left"/>
      </w:pPr>
      <w:r>
        <w:rPr>
          <w:rFonts w:ascii="Times New Roman" w:hAnsi="Times New Roman" w:cs="Times New Roman" w:eastAsia="Times New Roman" w:hint="default"/>
        </w:rPr>
        <w:t>1</w:t>
      </w:r>
      <w:r>
        <w:rPr/>
        <w:t>、将公司龙城街道黄阁路</w:t>
      </w:r>
      <w:r>
        <w:rPr>
          <w:spacing w:val="-42"/>
        </w:rPr>
        <w:t> </w:t>
      </w:r>
      <w:r>
        <w:rPr>
          <w:rFonts w:ascii="Times New Roman" w:hAnsi="Times New Roman" w:cs="Times New Roman" w:eastAsia="Times New Roman" w:hint="default"/>
        </w:rPr>
        <w:t>441</w:t>
      </w:r>
      <w:r>
        <w:rPr>
          <w:rFonts w:ascii="Times New Roman" w:hAnsi="Times New Roman" w:cs="Times New Roman" w:eastAsia="Times New Roman" w:hint="default"/>
          <w:spacing w:val="3"/>
        </w:rPr>
        <w:t> </w:t>
      </w:r>
      <w:r>
        <w:rPr/>
        <w:t>号龙岗天安数码创新园三号厂房</w:t>
      </w:r>
      <w:r>
        <w:rPr>
          <w:spacing w:val="-42"/>
        </w:rPr>
        <w:t> </w:t>
      </w:r>
      <w:r>
        <w:rPr>
          <w:rFonts w:ascii="Times New Roman" w:hAnsi="Times New Roman" w:cs="Times New Roman" w:eastAsia="Times New Roman" w:hint="default"/>
        </w:rPr>
        <w:t>A1202</w:t>
      </w:r>
      <w:r>
        <w:rPr/>
        <w:t>、</w:t>
      </w:r>
      <w:r>
        <w:rPr>
          <w:rFonts w:ascii="Times New Roman" w:hAnsi="Times New Roman" w:cs="Times New Roman" w:eastAsia="Times New Roman" w:hint="default"/>
        </w:rPr>
        <w:t>A1203</w:t>
      </w:r>
      <w:r>
        <w:rPr>
          <w:rFonts w:ascii="Times New Roman" w:hAnsi="Times New Roman" w:cs="Times New Roman" w:eastAsia="Times New Roman" w:hint="default"/>
          <w:spacing w:val="3"/>
        </w:rPr>
        <w:t> </w:t>
      </w:r>
      <w:r>
        <w:rPr/>
        <w:t>单元，租赁给广东都市丽人实业有限公 司，租赁面积</w:t>
      </w:r>
      <w:r>
        <w:rPr>
          <w:spacing w:val="-47"/>
        </w:rPr>
        <w:t> </w:t>
      </w:r>
      <w:r>
        <w:rPr>
          <w:rFonts w:ascii="Times New Roman" w:hAnsi="Times New Roman" w:cs="Times New Roman" w:eastAsia="Times New Roman" w:hint="default"/>
        </w:rPr>
        <w:t>1,062.85</w:t>
      </w:r>
      <w:r>
        <w:rPr>
          <w:rFonts w:ascii="Times New Roman" w:hAnsi="Times New Roman" w:cs="Times New Roman" w:eastAsia="Times New Roman" w:hint="default"/>
          <w:spacing w:val="-2"/>
        </w:rPr>
        <w:t> </w:t>
      </w:r>
      <w:r>
        <w:rPr/>
        <w:t>㎡，租赁期限截止至</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pStyle w:val="BodyText"/>
        <w:spacing w:line="302" w:lineRule="auto" w:before="50"/>
        <w:ind w:left="1134" w:right="1120" w:firstLine="360"/>
        <w:jc w:val="left"/>
      </w:pPr>
      <w:r>
        <w:rPr>
          <w:rFonts w:ascii="Times New Roman" w:hAnsi="Times New Roman" w:cs="Times New Roman" w:eastAsia="Times New Roman" w:hint="default"/>
        </w:rPr>
        <w:t>2</w:t>
      </w:r>
      <w:r>
        <w:rPr/>
        <w:t>、将公司龙城街道黄阁路</w:t>
      </w:r>
      <w:r>
        <w:rPr>
          <w:spacing w:val="-42"/>
        </w:rPr>
        <w:t> </w:t>
      </w:r>
      <w:r>
        <w:rPr>
          <w:rFonts w:ascii="Times New Roman" w:hAnsi="Times New Roman" w:cs="Times New Roman" w:eastAsia="Times New Roman" w:hint="default"/>
        </w:rPr>
        <w:t>441</w:t>
      </w:r>
      <w:r>
        <w:rPr>
          <w:rFonts w:ascii="Times New Roman" w:hAnsi="Times New Roman" w:cs="Times New Roman" w:eastAsia="Times New Roman" w:hint="default"/>
          <w:spacing w:val="3"/>
        </w:rPr>
        <w:t> </w:t>
      </w:r>
      <w:r>
        <w:rPr/>
        <w:t>号龙岗天安数码创新园三号厂房</w:t>
      </w:r>
      <w:r>
        <w:rPr>
          <w:spacing w:val="-42"/>
        </w:rPr>
        <w:t> </w:t>
      </w:r>
      <w:r>
        <w:rPr>
          <w:rFonts w:ascii="Times New Roman" w:hAnsi="Times New Roman" w:cs="Times New Roman" w:eastAsia="Times New Roman" w:hint="default"/>
        </w:rPr>
        <w:t>A1201</w:t>
      </w:r>
      <w:r>
        <w:rPr/>
        <w:t>、</w:t>
      </w:r>
      <w:r>
        <w:rPr>
          <w:rFonts w:ascii="Times New Roman" w:hAnsi="Times New Roman" w:cs="Times New Roman" w:eastAsia="Times New Roman" w:hint="default"/>
        </w:rPr>
        <w:t>A1204</w:t>
      </w:r>
      <w:r>
        <w:rPr>
          <w:rFonts w:ascii="Times New Roman" w:hAnsi="Times New Roman" w:cs="Times New Roman" w:eastAsia="Times New Roman" w:hint="default"/>
          <w:spacing w:val="3"/>
        </w:rPr>
        <w:t> </w:t>
      </w:r>
      <w:r>
        <w:rPr/>
        <w:t>单元，租赁给广东都市丽人实业有限公 司，租赁面积</w:t>
      </w:r>
      <w:r>
        <w:rPr>
          <w:spacing w:val="-46"/>
        </w:rPr>
        <w:t> </w:t>
      </w:r>
      <w:r>
        <w:rPr>
          <w:rFonts w:ascii="Times New Roman" w:hAnsi="Times New Roman" w:cs="Times New Roman" w:eastAsia="Times New Roman" w:hint="default"/>
        </w:rPr>
        <w:t>708.1</w:t>
      </w:r>
      <w:r>
        <w:rPr>
          <w:rFonts w:ascii="Times New Roman" w:hAnsi="Times New Roman" w:cs="Times New Roman" w:eastAsia="Times New Roman" w:hint="default"/>
          <w:spacing w:val="-1"/>
        </w:rPr>
        <w:t> </w:t>
      </w:r>
      <w:r>
        <w:rPr/>
        <w:t>㎡，租赁期限截止至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10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8"/>
          <w:szCs w:val="18"/>
        </w:rPr>
      </w:pPr>
    </w:p>
    <w:p>
      <w:pPr>
        <w:pStyle w:val="BodyText"/>
        <w:spacing w:line="240" w:lineRule="auto"/>
        <w:ind w:left="1134" w:right="0"/>
        <w:jc w:val="left"/>
      </w:pPr>
      <w:r>
        <w:rPr/>
        <w:t>为公司带来的损益达到公司报告期利润总额</w:t>
      </w:r>
      <w:r>
        <w:rPr>
          <w:spacing w:val="-46"/>
        </w:rPr>
        <w:t> </w:t>
      </w:r>
      <w:r>
        <w:rPr>
          <w:rFonts w:ascii="Times New Roman" w:hAnsi="Times New Roman" w:cs="Times New Roman" w:eastAsia="Times New Roman" w:hint="default"/>
        </w:rPr>
        <w:t>10%</w:t>
      </w:r>
      <w:r>
        <w:rPr/>
        <w:t>以上的项目</w:t>
      </w:r>
    </w:p>
    <w:p>
      <w:pPr>
        <w:spacing w:line="240" w:lineRule="auto" w:before="11"/>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19"/>
          <w:szCs w:val="19"/>
        </w:rPr>
      </w:pPr>
    </w:p>
    <w:p>
      <w:pPr>
        <w:pStyle w:val="BodyText"/>
        <w:spacing w:line="240" w:lineRule="auto"/>
        <w:ind w:right="0"/>
        <w:jc w:val="left"/>
      </w:pPr>
      <w:r>
        <w:rPr/>
        <w:t>公司报告期不存在为公司带来的损益达到公司报告期利润总额</w:t>
      </w:r>
      <w:r>
        <w:rPr>
          <w:spacing w:val="-45"/>
        </w:rPr>
        <w:t> </w:t>
      </w:r>
      <w:r>
        <w:rPr>
          <w:rFonts w:ascii="Times New Roman" w:hAnsi="Times New Roman" w:cs="Times New Roman" w:eastAsia="Times New Roman" w:hint="default"/>
        </w:rPr>
        <w:t>10%</w:t>
      </w:r>
      <w:r>
        <w:rPr/>
        <w:t>以上的租赁项目。</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right="0"/>
        <w:jc w:val="left"/>
        <w:rPr>
          <w:b w:val="0"/>
          <w:bCs w:val="0"/>
        </w:rPr>
      </w:pPr>
      <w:bookmarkStart w:name="2、重大担保" w:id="89"/>
      <w:bookmarkEnd w:id="89"/>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8"/>
        <w:rPr>
          <w:rFonts w:ascii="宋体" w:hAnsi="宋体" w:cs="宋体" w:eastAsia="宋体" w:hint="default"/>
          <w:b/>
          <w:bCs/>
          <w:sz w:val="32"/>
          <w:szCs w:val="32"/>
        </w:rPr>
      </w:pPr>
    </w:p>
    <w:p>
      <w:pPr>
        <w:pStyle w:val="BodyText"/>
        <w:spacing w:line="489"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公司报告期不存在担保情况。</w:t>
      </w:r>
    </w:p>
    <w:p>
      <w:pPr>
        <w:spacing w:line="240" w:lineRule="auto" w:before="6"/>
        <w:rPr>
          <w:rFonts w:ascii="宋体" w:hAnsi="宋体" w:cs="宋体" w:eastAsia="宋体" w:hint="default"/>
          <w:sz w:val="18"/>
          <w:szCs w:val="18"/>
        </w:rPr>
      </w:pPr>
    </w:p>
    <w:p>
      <w:pPr>
        <w:pStyle w:val="Heading3"/>
        <w:spacing w:line="240" w:lineRule="auto"/>
        <w:ind w:left="1134" w:right="0"/>
        <w:jc w:val="left"/>
        <w:rPr>
          <w:b w:val="0"/>
          <w:bCs w:val="0"/>
        </w:rPr>
      </w:pPr>
      <w:bookmarkStart w:name="3、委托他人进行现金资产管理情况" w:id="90"/>
      <w:bookmarkEnd w:id="90"/>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委托理财情况" w:id="91"/>
      <w:bookmarkEnd w:id="91"/>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38"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113" w:right="1112"/>
        <w:jc w:val="center"/>
      </w:pPr>
      <w:r>
        <w:rPr/>
        <w:t>单位：万元</w:t>
      </w:r>
    </w:p>
    <w:p>
      <w:pPr>
        <w:spacing w:after="0" w:line="240" w:lineRule="auto"/>
        <w:jc w:val="center"/>
        <w:sectPr>
          <w:type w:val="continuous"/>
          <w:pgSz w:w="11910" w:h="16840"/>
          <w:pgMar w:top="1060" w:bottom="1160" w:left="0" w:right="0"/>
          <w:cols w:num="2" w:equalWidth="0">
            <w:col w:w="2935" w:space="5805"/>
            <w:col w:w="3170"/>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869"/>
        <w:gridCol w:w="1962"/>
        <w:gridCol w:w="1981"/>
        <w:gridCol w:w="1908"/>
        <w:gridCol w:w="1848"/>
      </w:tblGrid>
      <w:tr>
        <w:trPr>
          <w:trHeight w:val="401"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闲置自有、募集资金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单项金额重大或安全性较低、流动性较差、不保本的高风险委托理财具体情况</w:t>
      </w:r>
    </w:p>
    <w:p>
      <w:pPr>
        <w:pStyle w:val="BodyText"/>
        <w:spacing w:line="240" w:lineRule="auto" w:before="116"/>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987" w:type="dxa"/>
        <w:tblLayout w:type="fixed"/>
        <w:tblCellMar>
          <w:top w:w="0" w:type="dxa"/>
          <w:left w:w="0" w:type="dxa"/>
          <w:bottom w:w="0" w:type="dxa"/>
          <w:right w:w="0" w:type="dxa"/>
        </w:tblCellMar>
        <w:tblLook w:val="01E0"/>
      </w:tblPr>
      <w:tblGrid>
        <w:gridCol w:w="713"/>
        <w:gridCol w:w="590"/>
        <w:gridCol w:w="606"/>
        <w:gridCol w:w="575"/>
        <w:gridCol w:w="560"/>
        <w:gridCol w:w="562"/>
        <w:gridCol w:w="561"/>
        <w:gridCol w:w="562"/>
        <w:gridCol w:w="560"/>
        <w:gridCol w:w="562"/>
        <w:gridCol w:w="560"/>
        <w:gridCol w:w="562"/>
        <w:gridCol w:w="561"/>
        <w:gridCol w:w="550"/>
        <w:gridCol w:w="547"/>
        <w:gridCol w:w="546"/>
        <w:gridCol w:w="539"/>
      </w:tblGrid>
      <w:tr>
        <w:trPr>
          <w:trHeight w:val="2274" w:hRule="exact"/>
        </w:trPr>
        <w:tc>
          <w:tcPr>
            <w:tcW w:w="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1" w:right="81"/>
              <w:jc w:val="both"/>
              <w:rPr>
                <w:rFonts w:ascii="宋体" w:hAnsi="宋体" w:cs="宋体" w:eastAsia="宋体" w:hint="default"/>
                <w:sz w:val="18"/>
                <w:szCs w:val="18"/>
              </w:rPr>
            </w:pPr>
            <w:r>
              <w:rPr>
                <w:rFonts w:ascii="宋体" w:hAnsi="宋体" w:cs="宋体" w:eastAsia="宋体" w:hint="default"/>
                <w:sz w:val="18"/>
                <w:szCs w:val="18"/>
              </w:rPr>
              <w:t>受托机 构名称</w:t>
            </w:r>
          </w:p>
          <w:p>
            <w:pPr>
              <w:pStyle w:val="TableParagraph"/>
              <w:spacing w:line="319" w:lineRule="auto" w:before="19"/>
              <w:ind w:left="81" w:right="81"/>
              <w:jc w:val="both"/>
              <w:rPr>
                <w:rFonts w:ascii="宋体" w:hAnsi="宋体" w:cs="宋体" w:eastAsia="宋体" w:hint="default"/>
                <w:sz w:val="18"/>
                <w:szCs w:val="18"/>
              </w:rPr>
            </w:pPr>
            <w:r>
              <w:rPr>
                <w:rFonts w:ascii="宋体" w:hAnsi="宋体" w:cs="宋体" w:eastAsia="宋体" w:hint="default"/>
                <w:sz w:val="18"/>
                <w:szCs w:val="18"/>
              </w:rPr>
              <w:t>（或受 托人姓 名）</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9" w:right="109"/>
              <w:jc w:val="center"/>
              <w:rPr>
                <w:rFonts w:ascii="宋体" w:hAnsi="宋体" w:cs="宋体" w:eastAsia="宋体" w:hint="default"/>
                <w:sz w:val="18"/>
                <w:szCs w:val="18"/>
              </w:rPr>
            </w:pPr>
            <w:r>
              <w:rPr>
                <w:rFonts w:ascii="宋体" w:hAnsi="宋体" w:cs="宋体" w:eastAsia="宋体" w:hint="default"/>
                <w:sz w:val="18"/>
                <w:szCs w:val="18"/>
              </w:rPr>
              <w:t>受托 机构</w:t>
            </w:r>
          </w:p>
          <w:p>
            <w:pPr>
              <w:pStyle w:val="TableParagraph"/>
              <w:spacing w:line="319" w:lineRule="auto" w:before="19"/>
              <w:ind w:left="22" w:right="21" w:hanging="2"/>
              <w:jc w:val="center"/>
              <w:rPr>
                <w:rFonts w:ascii="宋体" w:hAnsi="宋体" w:cs="宋体" w:eastAsia="宋体" w:hint="default"/>
                <w:sz w:val="18"/>
                <w:szCs w:val="18"/>
              </w:rPr>
            </w:pPr>
            <w:r>
              <w:rPr>
                <w:rFonts w:ascii="宋体" w:hAnsi="宋体" w:cs="宋体" w:eastAsia="宋体" w:hint="default"/>
                <w:sz w:val="18"/>
                <w:szCs w:val="18"/>
              </w:rPr>
              <w:t>（或 受托 </w:t>
            </w:r>
            <w:r>
              <w:rPr>
                <w:rFonts w:ascii="宋体" w:hAnsi="宋体" w:cs="宋体" w:eastAsia="宋体" w:hint="default"/>
                <w:spacing w:val="-2"/>
                <w:sz w:val="18"/>
                <w:szCs w:val="18"/>
              </w:rPr>
              <w:t>人）类</w:t>
            </w:r>
            <w:r>
              <w:rPr>
                <w:rFonts w:ascii="宋体" w:hAnsi="宋体" w:cs="宋体" w:eastAsia="宋体" w:hint="default"/>
                <w:sz w:val="18"/>
                <w:szCs w:val="18"/>
              </w:rPr>
              <w:t> 型</w:t>
            </w:r>
          </w:p>
        </w:tc>
        <w:tc>
          <w:tcPr>
            <w:tcW w:w="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7" w:right="26"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4" w:right="95"/>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4" w:right="95"/>
              <w:jc w:val="left"/>
              <w:rPr>
                <w:rFonts w:ascii="宋体" w:hAnsi="宋体" w:cs="宋体" w:eastAsia="宋体" w:hint="default"/>
                <w:sz w:val="18"/>
                <w:szCs w:val="18"/>
              </w:rPr>
            </w:pPr>
            <w:r>
              <w:rPr>
                <w:rFonts w:ascii="宋体" w:hAnsi="宋体" w:cs="宋体" w:eastAsia="宋体" w:hint="default"/>
                <w:sz w:val="18"/>
                <w:szCs w:val="18"/>
              </w:rPr>
              <w:t>起始 日期</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4" w:right="94"/>
              <w:jc w:val="left"/>
              <w:rPr>
                <w:rFonts w:ascii="宋体" w:hAnsi="宋体" w:cs="宋体" w:eastAsia="宋体" w:hint="default"/>
                <w:sz w:val="18"/>
                <w:szCs w:val="18"/>
              </w:rPr>
            </w:pPr>
            <w:r>
              <w:rPr>
                <w:rFonts w:ascii="宋体" w:hAnsi="宋体" w:cs="宋体" w:eastAsia="宋体" w:hint="default"/>
                <w:sz w:val="18"/>
                <w:szCs w:val="18"/>
              </w:rPr>
              <w:t>终止 日期</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4" w:right="95"/>
              <w:jc w:val="left"/>
              <w:rPr>
                <w:rFonts w:ascii="宋体" w:hAnsi="宋体" w:cs="宋体" w:eastAsia="宋体" w:hint="default"/>
                <w:sz w:val="18"/>
                <w:szCs w:val="18"/>
              </w:rPr>
            </w:pPr>
            <w:r>
              <w:rPr>
                <w:rFonts w:ascii="宋体" w:hAnsi="宋体" w:cs="宋体" w:eastAsia="宋体" w:hint="default"/>
                <w:sz w:val="18"/>
                <w:szCs w:val="18"/>
              </w:rPr>
              <w:t>资金 投向</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94" w:right="95"/>
              <w:jc w:val="both"/>
              <w:rPr>
                <w:rFonts w:ascii="宋体" w:hAnsi="宋体" w:cs="宋体" w:eastAsia="宋体" w:hint="default"/>
                <w:sz w:val="18"/>
                <w:szCs w:val="18"/>
              </w:rPr>
            </w:pPr>
            <w:r>
              <w:rPr>
                <w:rFonts w:ascii="宋体" w:hAnsi="宋体" w:cs="宋体" w:eastAsia="宋体" w:hint="default"/>
                <w:sz w:val="18"/>
                <w:szCs w:val="18"/>
              </w:rPr>
              <w:t>报酬 确定 方式</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4" w:right="95"/>
              <w:jc w:val="both"/>
              <w:rPr>
                <w:rFonts w:ascii="宋体" w:hAnsi="宋体" w:cs="宋体" w:eastAsia="宋体" w:hint="default"/>
                <w:sz w:val="18"/>
                <w:szCs w:val="18"/>
              </w:rPr>
            </w:pPr>
            <w:r>
              <w:rPr>
                <w:rFonts w:ascii="宋体" w:hAnsi="宋体" w:cs="宋体" w:eastAsia="宋体" w:hint="default"/>
                <w:sz w:val="18"/>
                <w:szCs w:val="18"/>
              </w:rPr>
              <w:t>参考 年化 收益 率</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4" w:right="95"/>
              <w:jc w:val="left"/>
              <w:rPr>
                <w:rFonts w:ascii="宋体" w:hAnsi="宋体" w:cs="宋体" w:eastAsia="宋体" w:hint="default"/>
                <w:sz w:val="18"/>
                <w:szCs w:val="18"/>
              </w:rPr>
            </w:pPr>
            <w:r>
              <w:rPr>
                <w:rFonts w:ascii="宋体" w:hAnsi="宋体" w:cs="宋体" w:eastAsia="宋体" w:hint="default"/>
                <w:sz w:val="18"/>
                <w:szCs w:val="18"/>
              </w:rPr>
              <w:t>预期 收益</w:t>
            </w:r>
          </w:p>
          <w:p>
            <w:pPr>
              <w:pStyle w:val="TableParagraph"/>
              <w:spacing w:line="319" w:lineRule="auto" w:before="19"/>
              <w:ind w:left="184" w:right="95" w:hanging="90"/>
              <w:jc w:val="left"/>
              <w:rPr>
                <w:rFonts w:ascii="宋体" w:hAnsi="宋体" w:cs="宋体" w:eastAsia="宋体" w:hint="default"/>
                <w:sz w:val="18"/>
                <w:szCs w:val="18"/>
              </w:rPr>
            </w:pPr>
            <w:r>
              <w:rPr>
                <w:rFonts w:ascii="宋体" w:hAnsi="宋体" w:cs="宋体" w:eastAsia="宋体" w:hint="default"/>
                <w:sz w:val="18"/>
                <w:szCs w:val="18"/>
              </w:rPr>
              <w:t>（如 有</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4" w:right="95"/>
              <w:jc w:val="both"/>
              <w:rPr>
                <w:rFonts w:ascii="宋体" w:hAnsi="宋体" w:cs="宋体" w:eastAsia="宋体" w:hint="default"/>
                <w:sz w:val="18"/>
                <w:szCs w:val="18"/>
              </w:rPr>
            </w:pPr>
            <w:r>
              <w:rPr>
                <w:rFonts w:ascii="宋体" w:hAnsi="宋体" w:cs="宋体" w:eastAsia="宋体" w:hint="default"/>
                <w:sz w:val="18"/>
                <w:szCs w:val="18"/>
              </w:rPr>
              <w:t>报告 期实 际损 益金 额</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4" w:right="94"/>
              <w:jc w:val="both"/>
              <w:rPr>
                <w:rFonts w:ascii="宋体" w:hAnsi="宋体" w:cs="宋体" w:eastAsia="宋体" w:hint="default"/>
                <w:sz w:val="18"/>
                <w:szCs w:val="18"/>
              </w:rPr>
            </w:pPr>
            <w:r>
              <w:rPr>
                <w:rFonts w:ascii="宋体" w:hAnsi="宋体" w:cs="宋体" w:eastAsia="宋体" w:hint="default"/>
                <w:sz w:val="18"/>
                <w:szCs w:val="18"/>
              </w:rPr>
              <w:t>报告 期损 益实 际收 回情 况</w:t>
            </w:r>
          </w:p>
        </w:tc>
        <w:tc>
          <w:tcPr>
            <w:tcW w:w="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8" w:right="89"/>
              <w:jc w:val="both"/>
              <w:rPr>
                <w:rFonts w:ascii="宋体" w:hAnsi="宋体" w:cs="宋体" w:eastAsia="宋体" w:hint="default"/>
                <w:sz w:val="18"/>
                <w:szCs w:val="18"/>
              </w:rPr>
            </w:pPr>
            <w:r>
              <w:rPr>
                <w:rFonts w:ascii="宋体" w:hAnsi="宋体" w:cs="宋体" w:eastAsia="宋体" w:hint="default"/>
                <w:sz w:val="18"/>
                <w:szCs w:val="18"/>
              </w:rPr>
              <w:t>计提 减值 准备 金额</w:t>
            </w:r>
          </w:p>
          <w:p>
            <w:pPr>
              <w:pStyle w:val="TableParagraph"/>
              <w:spacing w:line="319" w:lineRule="auto" w:before="19"/>
              <w:ind w:left="88" w:right="89"/>
              <w:jc w:val="both"/>
              <w:rPr>
                <w:rFonts w:ascii="宋体" w:hAnsi="宋体" w:cs="宋体" w:eastAsia="宋体" w:hint="default"/>
                <w:sz w:val="18"/>
                <w:szCs w:val="18"/>
              </w:rPr>
            </w:pPr>
            <w:r>
              <w:rPr>
                <w:rFonts w:ascii="宋体" w:hAnsi="宋体" w:cs="宋体" w:eastAsia="宋体" w:hint="default"/>
                <w:sz w:val="18"/>
                <w:szCs w:val="18"/>
              </w:rPr>
              <w:t>（如 有）</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87" w:right="89"/>
              <w:jc w:val="both"/>
              <w:rPr>
                <w:rFonts w:ascii="宋体" w:hAnsi="宋体" w:cs="宋体" w:eastAsia="宋体" w:hint="default"/>
                <w:sz w:val="18"/>
                <w:szCs w:val="18"/>
              </w:rPr>
            </w:pPr>
            <w:r>
              <w:rPr>
                <w:rFonts w:ascii="宋体" w:hAnsi="宋体" w:cs="宋体" w:eastAsia="宋体" w:hint="default"/>
                <w:sz w:val="18"/>
                <w:szCs w:val="18"/>
              </w:rPr>
              <w:t>是否 经过 法定 程序</w:t>
            </w:r>
          </w:p>
        </w:tc>
        <w:tc>
          <w:tcPr>
            <w:tcW w:w="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7" w:right="86"/>
              <w:jc w:val="both"/>
              <w:rPr>
                <w:rFonts w:ascii="宋体" w:hAnsi="宋体" w:cs="宋体" w:eastAsia="宋体" w:hint="default"/>
                <w:sz w:val="18"/>
                <w:szCs w:val="18"/>
              </w:rPr>
            </w:pPr>
            <w:r>
              <w:rPr>
                <w:rFonts w:ascii="宋体" w:hAnsi="宋体" w:cs="宋体" w:eastAsia="宋体" w:hint="default"/>
                <w:sz w:val="18"/>
                <w:szCs w:val="18"/>
              </w:rPr>
              <w:t>未来 是否 还有 委托 理财 计划</w:t>
            </w:r>
          </w:p>
        </w:tc>
        <w:tc>
          <w:tcPr>
            <w:tcW w:w="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0"/>
              <w:jc w:val="center"/>
              <w:rPr>
                <w:rFonts w:ascii="宋体" w:hAnsi="宋体" w:cs="宋体" w:eastAsia="宋体" w:hint="default"/>
                <w:sz w:val="18"/>
                <w:szCs w:val="18"/>
              </w:rPr>
            </w:pPr>
            <w:r>
              <w:rPr>
                <w:rFonts w:ascii="宋体" w:hAnsi="宋体" w:cs="宋体" w:eastAsia="宋体" w:hint="default"/>
                <w:sz w:val="18"/>
                <w:szCs w:val="18"/>
              </w:rPr>
              <w:t>事项 概述 及相 关查 询索 </w:t>
            </w:r>
            <w:r>
              <w:rPr>
                <w:rFonts w:ascii="宋体" w:hAnsi="宋体" w:cs="宋体" w:eastAsia="宋体" w:hint="default"/>
                <w:spacing w:val="-20"/>
                <w:sz w:val="18"/>
                <w:szCs w:val="18"/>
              </w:rPr>
              <w:t>引（如</w:t>
            </w:r>
            <w:r>
              <w:rPr>
                <w:rFonts w:ascii="宋体" w:hAnsi="宋体" w:cs="宋体" w:eastAsia="宋体" w:hint="default"/>
                <w:sz w:val="18"/>
                <w:szCs w:val="18"/>
              </w:rPr>
              <w:t> 有）</w:t>
            </w:r>
          </w:p>
        </w:tc>
      </w:tr>
      <w:tr>
        <w:trPr>
          <w:trHeight w:val="1338"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8"/>
              <w:jc w:val="both"/>
              <w:rPr>
                <w:rFonts w:ascii="宋体" w:hAnsi="宋体" w:cs="宋体" w:eastAsia="宋体" w:hint="default"/>
                <w:sz w:val="18"/>
                <w:szCs w:val="18"/>
              </w:rPr>
            </w:pPr>
            <w:r>
              <w:rPr>
                <w:rFonts w:ascii="宋体" w:hAnsi="宋体" w:cs="宋体" w:eastAsia="宋体" w:hint="default"/>
                <w:sz w:val="18"/>
                <w:szCs w:val="18"/>
              </w:rPr>
              <w:t>中国工 商银行 深圳宝 湖支行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37" w:right="0"/>
              <w:jc w:val="left"/>
              <w:rPr>
                <w:rFonts w:ascii="Times New Roman" w:hAnsi="Times New Roman" w:cs="Times New Roman" w:eastAsia="Times New Roman" w:hint="default"/>
                <w:sz w:val="18"/>
                <w:szCs w:val="18"/>
              </w:rPr>
            </w:pPr>
            <w:r>
              <w:rPr>
                <w:rFonts w:ascii="Times New Roman"/>
                <w:sz w:val="18"/>
              </w:rPr>
              <w:t>5,000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保本 型理 财</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67"/>
              <w:jc w:val="left"/>
              <w:rPr>
                <w:rFonts w:ascii="宋体" w:hAnsi="宋体" w:cs="宋体" w:eastAsia="宋体" w:hint="default"/>
                <w:sz w:val="18"/>
                <w:szCs w:val="18"/>
              </w:rPr>
            </w:pPr>
            <w:r>
              <w:rPr>
                <w:rFonts w:ascii="宋体" w:hAnsi="宋体" w:cs="宋体" w:eastAsia="宋体" w:hint="default"/>
                <w:sz w:val="18"/>
                <w:szCs w:val="18"/>
              </w:rPr>
              <w:t>到期 赎回</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2.60%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32.41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32.41</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8"/>
              <w:jc w:val="both"/>
              <w:rPr>
                <w:rFonts w:ascii="宋体" w:hAnsi="宋体" w:cs="宋体" w:eastAsia="宋体" w:hint="default"/>
                <w:sz w:val="18"/>
                <w:szCs w:val="18"/>
              </w:rPr>
            </w:pPr>
            <w:r>
              <w:rPr>
                <w:rFonts w:ascii="宋体" w:hAnsi="宋体" w:cs="宋体" w:eastAsia="宋体" w:hint="default"/>
                <w:sz w:val="18"/>
                <w:szCs w:val="18"/>
              </w:rPr>
              <w:t>中国银 行深圳 市分行</w:t>
            </w:r>
          </w:p>
          <w:p>
            <w:pPr>
              <w:pStyle w:val="TableParagraph"/>
              <w:spacing w:line="319" w:lineRule="auto" w:before="19"/>
              <w:ind w:left="22" w:right="138"/>
              <w:jc w:val="both"/>
              <w:rPr>
                <w:rFonts w:ascii="宋体" w:hAnsi="宋体" w:cs="宋体" w:eastAsia="宋体" w:hint="default"/>
                <w:sz w:val="18"/>
                <w:szCs w:val="18"/>
              </w:rPr>
            </w:pPr>
            <w:r>
              <w:rPr>
                <w:rFonts w:ascii="宋体" w:hAnsi="宋体" w:cs="宋体" w:eastAsia="宋体" w:hint="default"/>
                <w:sz w:val="18"/>
                <w:szCs w:val="18"/>
              </w:rPr>
              <w:t>（文锦 广场支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37" w:right="0"/>
              <w:jc w:val="left"/>
              <w:rPr>
                <w:rFonts w:ascii="Times New Roman" w:hAnsi="Times New Roman" w:cs="Times New Roman" w:eastAsia="Times New Roman" w:hint="default"/>
                <w:sz w:val="18"/>
                <w:szCs w:val="18"/>
              </w:rPr>
            </w:pPr>
            <w:r>
              <w:rPr>
                <w:rFonts w:ascii="Times New Roman"/>
                <w:sz w:val="18"/>
              </w:rPr>
              <w:t>1,000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保本 型理 财</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到期 赎回</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2.30%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91" w:right="0"/>
              <w:jc w:val="center"/>
              <w:rPr>
                <w:rFonts w:ascii="Times New Roman" w:hAnsi="Times New Roman" w:cs="Times New Roman" w:eastAsia="Times New Roman" w:hint="default"/>
                <w:sz w:val="18"/>
                <w:szCs w:val="18"/>
              </w:rPr>
            </w:pPr>
            <w:r>
              <w:rPr>
                <w:rFonts w:ascii="Times New Roman"/>
                <w:sz w:val="18"/>
              </w:rPr>
              <w:t>5.73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5.73</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8"/>
              <w:jc w:val="both"/>
              <w:rPr>
                <w:rFonts w:ascii="宋体" w:hAnsi="宋体" w:cs="宋体" w:eastAsia="宋体" w:hint="default"/>
                <w:sz w:val="18"/>
                <w:szCs w:val="18"/>
              </w:rPr>
            </w:pPr>
            <w:r>
              <w:rPr>
                <w:rFonts w:ascii="宋体" w:hAnsi="宋体" w:cs="宋体" w:eastAsia="宋体" w:hint="default"/>
                <w:sz w:val="18"/>
                <w:szCs w:val="18"/>
              </w:rPr>
              <w:t>平安银 行深圳 南海支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37" w:right="0"/>
              <w:jc w:val="left"/>
              <w:rPr>
                <w:rFonts w:ascii="Times New Roman" w:hAnsi="Times New Roman" w:cs="Times New Roman" w:eastAsia="Times New Roman" w:hint="default"/>
                <w:sz w:val="18"/>
                <w:szCs w:val="18"/>
              </w:rPr>
            </w:pPr>
            <w:r>
              <w:rPr>
                <w:rFonts w:ascii="Times New Roman"/>
                <w:sz w:val="18"/>
              </w:rPr>
              <w:t>1,000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保本 型理 财</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67"/>
              <w:jc w:val="left"/>
              <w:rPr>
                <w:rFonts w:ascii="宋体" w:hAnsi="宋体" w:cs="宋体" w:eastAsia="宋体" w:hint="default"/>
                <w:sz w:val="18"/>
                <w:szCs w:val="18"/>
              </w:rPr>
            </w:pPr>
            <w:r>
              <w:rPr>
                <w:rFonts w:ascii="宋体" w:hAnsi="宋体" w:cs="宋体" w:eastAsia="宋体" w:hint="default"/>
                <w:sz w:val="18"/>
                <w:szCs w:val="18"/>
              </w:rPr>
              <w:t>到期 赎回</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2.65%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91" w:right="0"/>
              <w:jc w:val="center"/>
              <w:rPr>
                <w:rFonts w:ascii="Times New Roman" w:hAnsi="Times New Roman" w:cs="Times New Roman" w:eastAsia="Times New Roman" w:hint="default"/>
                <w:sz w:val="18"/>
                <w:szCs w:val="18"/>
              </w:rPr>
            </w:pPr>
            <w:r>
              <w:rPr>
                <w:rFonts w:ascii="Times New Roman"/>
                <w:sz w:val="18"/>
              </w:rPr>
              <w:t>6.83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6.83</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8"/>
              <w:jc w:val="both"/>
              <w:rPr>
                <w:rFonts w:ascii="宋体" w:hAnsi="宋体" w:cs="宋体" w:eastAsia="宋体" w:hint="default"/>
                <w:sz w:val="18"/>
                <w:szCs w:val="18"/>
              </w:rPr>
            </w:pPr>
            <w:r>
              <w:rPr>
                <w:rFonts w:ascii="宋体" w:hAnsi="宋体" w:cs="宋体" w:eastAsia="宋体" w:hint="default"/>
                <w:sz w:val="18"/>
                <w:szCs w:val="18"/>
              </w:rPr>
              <w:t>中国工 商银行 深圳宝 湖支行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37" w:right="0"/>
              <w:jc w:val="left"/>
              <w:rPr>
                <w:rFonts w:ascii="Times New Roman" w:hAnsi="Times New Roman" w:cs="Times New Roman" w:eastAsia="Times New Roman" w:hint="default"/>
                <w:sz w:val="18"/>
                <w:szCs w:val="18"/>
              </w:rPr>
            </w:pPr>
            <w:r>
              <w:rPr>
                <w:rFonts w:ascii="Times New Roman"/>
                <w:sz w:val="18"/>
              </w:rPr>
              <w:t>3,000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保本 型理 财</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67"/>
              <w:jc w:val="left"/>
              <w:rPr>
                <w:rFonts w:ascii="宋体" w:hAnsi="宋体" w:cs="宋体" w:eastAsia="宋体" w:hint="default"/>
                <w:sz w:val="18"/>
                <w:szCs w:val="18"/>
              </w:rPr>
            </w:pPr>
            <w:r>
              <w:rPr>
                <w:rFonts w:ascii="宋体" w:hAnsi="宋体" w:cs="宋体" w:eastAsia="宋体" w:hint="default"/>
                <w:sz w:val="18"/>
                <w:szCs w:val="18"/>
              </w:rPr>
              <w:t>到期 赎回</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2.55%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91" w:right="0"/>
              <w:jc w:val="center"/>
              <w:rPr>
                <w:rFonts w:ascii="Times New Roman" w:hAnsi="Times New Roman" w:cs="Times New Roman" w:eastAsia="Times New Roman" w:hint="default"/>
                <w:sz w:val="18"/>
                <w:szCs w:val="18"/>
              </w:rPr>
            </w:pPr>
            <w:r>
              <w:rPr>
                <w:rFonts w:ascii="Times New Roman"/>
                <w:sz w:val="18"/>
              </w:rPr>
              <w:t>13.2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13.2</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8"/>
              <w:jc w:val="both"/>
              <w:rPr>
                <w:rFonts w:ascii="宋体" w:hAnsi="宋体" w:cs="宋体" w:eastAsia="宋体" w:hint="default"/>
                <w:sz w:val="18"/>
                <w:szCs w:val="18"/>
              </w:rPr>
            </w:pPr>
            <w:r>
              <w:rPr>
                <w:rFonts w:ascii="宋体" w:hAnsi="宋体" w:cs="宋体" w:eastAsia="宋体" w:hint="default"/>
                <w:sz w:val="18"/>
                <w:szCs w:val="18"/>
              </w:rPr>
              <w:t>中国工 商银行 深圳宝 湖支行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37" w:right="0"/>
              <w:jc w:val="left"/>
              <w:rPr>
                <w:rFonts w:ascii="Times New Roman" w:hAnsi="Times New Roman" w:cs="Times New Roman" w:eastAsia="Times New Roman" w:hint="default"/>
                <w:sz w:val="18"/>
                <w:szCs w:val="18"/>
              </w:rPr>
            </w:pPr>
            <w:r>
              <w:rPr>
                <w:rFonts w:ascii="Times New Roman"/>
                <w:sz w:val="18"/>
              </w:rPr>
              <w:t>5,000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保本 型理 财</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67"/>
              <w:jc w:val="left"/>
              <w:rPr>
                <w:rFonts w:ascii="宋体" w:hAnsi="宋体" w:cs="宋体" w:eastAsia="宋体" w:hint="default"/>
                <w:sz w:val="18"/>
                <w:szCs w:val="18"/>
              </w:rPr>
            </w:pPr>
            <w:r>
              <w:rPr>
                <w:rFonts w:ascii="宋体" w:hAnsi="宋体" w:cs="宋体" w:eastAsia="宋体" w:hint="default"/>
                <w:sz w:val="18"/>
                <w:szCs w:val="18"/>
              </w:rPr>
              <w:t>到期 赎回</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2.65%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66.07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66.07</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8"/>
              <w:jc w:val="both"/>
              <w:rPr>
                <w:rFonts w:ascii="宋体" w:hAnsi="宋体" w:cs="宋体" w:eastAsia="宋体" w:hint="default"/>
                <w:sz w:val="18"/>
                <w:szCs w:val="18"/>
              </w:rPr>
            </w:pPr>
            <w:r>
              <w:rPr>
                <w:rFonts w:ascii="宋体" w:hAnsi="宋体" w:cs="宋体" w:eastAsia="宋体" w:hint="default"/>
                <w:sz w:val="18"/>
                <w:szCs w:val="18"/>
              </w:rPr>
              <w:t>中国银 行深圳 市分行</w:t>
            </w:r>
          </w:p>
          <w:p>
            <w:pPr>
              <w:pStyle w:val="TableParagraph"/>
              <w:spacing w:line="319" w:lineRule="auto" w:before="19"/>
              <w:ind w:left="22" w:right="138"/>
              <w:jc w:val="both"/>
              <w:rPr>
                <w:rFonts w:ascii="宋体" w:hAnsi="宋体" w:cs="宋体" w:eastAsia="宋体" w:hint="default"/>
                <w:sz w:val="18"/>
                <w:szCs w:val="18"/>
              </w:rPr>
            </w:pPr>
            <w:r>
              <w:rPr>
                <w:rFonts w:ascii="宋体" w:hAnsi="宋体" w:cs="宋体" w:eastAsia="宋体" w:hint="default"/>
                <w:sz w:val="18"/>
                <w:szCs w:val="18"/>
              </w:rPr>
              <w:t>（文锦 广场支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37" w:right="0"/>
              <w:jc w:val="left"/>
              <w:rPr>
                <w:rFonts w:ascii="Times New Roman" w:hAnsi="Times New Roman" w:cs="Times New Roman" w:eastAsia="Times New Roman" w:hint="default"/>
                <w:sz w:val="18"/>
                <w:szCs w:val="18"/>
              </w:rPr>
            </w:pPr>
            <w:r>
              <w:rPr>
                <w:rFonts w:ascii="Times New Roman"/>
                <w:sz w:val="18"/>
              </w:rPr>
              <w:t>2,000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保本 型理 财</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到期 赎回</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2.70%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13.46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13.46</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8"/>
              <w:jc w:val="both"/>
              <w:rPr>
                <w:rFonts w:ascii="宋体" w:hAnsi="宋体" w:cs="宋体" w:eastAsia="宋体" w:hint="default"/>
                <w:sz w:val="18"/>
                <w:szCs w:val="18"/>
              </w:rPr>
            </w:pPr>
            <w:r>
              <w:rPr>
                <w:rFonts w:ascii="宋体" w:hAnsi="宋体" w:cs="宋体" w:eastAsia="宋体" w:hint="default"/>
                <w:sz w:val="18"/>
                <w:szCs w:val="18"/>
              </w:rPr>
              <w:t>平安银 行深圳 南海支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37" w:right="0"/>
              <w:jc w:val="left"/>
              <w:rPr>
                <w:rFonts w:ascii="Times New Roman" w:hAnsi="Times New Roman" w:cs="Times New Roman" w:eastAsia="Times New Roman" w:hint="default"/>
                <w:sz w:val="18"/>
                <w:szCs w:val="18"/>
              </w:rPr>
            </w:pPr>
            <w:r>
              <w:rPr>
                <w:rFonts w:ascii="Times New Roman"/>
                <w:sz w:val="18"/>
              </w:rPr>
              <w:t>3,000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保本 型理 财</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67"/>
              <w:jc w:val="left"/>
              <w:rPr>
                <w:rFonts w:ascii="宋体" w:hAnsi="宋体" w:cs="宋体" w:eastAsia="宋体" w:hint="default"/>
                <w:sz w:val="18"/>
                <w:szCs w:val="18"/>
              </w:rPr>
            </w:pPr>
            <w:r>
              <w:rPr>
                <w:rFonts w:ascii="宋体" w:hAnsi="宋体" w:cs="宋体" w:eastAsia="宋体" w:hint="default"/>
                <w:sz w:val="18"/>
                <w:szCs w:val="18"/>
              </w:rPr>
              <w:t>到期 赎回</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2.65%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19.82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19.82</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987" w:type="dxa"/>
        <w:tblLayout w:type="fixed"/>
        <w:tblCellMar>
          <w:top w:w="0" w:type="dxa"/>
          <w:left w:w="0" w:type="dxa"/>
          <w:bottom w:w="0" w:type="dxa"/>
          <w:right w:w="0" w:type="dxa"/>
        </w:tblCellMar>
        <w:tblLook w:val="01E0"/>
      </w:tblPr>
      <w:tblGrid>
        <w:gridCol w:w="713"/>
        <w:gridCol w:w="590"/>
        <w:gridCol w:w="606"/>
        <w:gridCol w:w="575"/>
        <w:gridCol w:w="560"/>
        <w:gridCol w:w="562"/>
        <w:gridCol w:w="561"/>
        <w:gridCol w:w="562"/>
        <w:gridCol w:w="560"/>
        <w:gridCol w:w="562"/>
        <w:gridCol w:w="560"/>
        <w:gridCol w:w="562"/>
        <w:gridCol w:w="561"/>
        <w:gridCol w:w="550"/>
        <w:gridCol w:w="547"/>
        <w:gridCol w:w="546"/>
        <w:gridCol w:w="539"/>
      </w:tblGrid>
      <w:tr>
        <w:trPr>
          <w:trHeight w:val="1338"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8"/>
              <w:jc w:val="both"/>
              <w:rPr>
                <w:rFonts w:ascii="宋体" w:hAnsi="宋体" w:cs="宋体" w:eastAsia="宋体" w:hint="default"/>
                <w:sz w:val="18"/>
                <w:szCs w:val="18"/>
              </w:rPr>
            </w:pPr>
            <w:r>
              <w:rPr>
                <w:rFonts w:ascii="宋体" w:hAnsi="宋体" w:cs="宋体" w:eastAsia="宋体" w:hint="default"/>
                <w:sz w:val="18"/>
                <w:szCs w:val="18"/>
              </w:rPr>
              <w:t>中国工 商银行 深圳宝 湖支行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4,000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保本 型理 财</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67"/>
              <w:jc w:val="left"/>
              <w:rPr>
                <w:rFonts w:ascii="宋体" w:hAnsi="宋体" w:cs="宋体" w:eastAsia="宋体" w:hint="default"/>
                <w:sz w:val="18"/>
                <w:szCs w:val="18"/>
              </w:rPr>
            </w:pPr>
            <w:r>
              <w:rPr>
                <w:rFonts w:ascii="宋体" w:hAnsi="宋体" w:cs="宋体" w:eastAsia="宋体" w:hint="default"/>
                <w:sz w:val="18"/>
                <w:szCs w:val="18"/>
              </w:rPr>
              <w:t>到期 赎回</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3" w:right="0"/>
              <w:jc w:val="left"/>
              <w:rPr>
                <w:rFonts w:ascii="Times New Roman" w:hAnsi="Times New Roman" w:cs="Times New Roman" w:eastAsia="Times New Roman" w:hint="default"/>
                <w:sz w:val="18"/>
                <w:szCs w:val="18"/>
              </w:rPr>
            </w:pPr>
            <w:r>
              <w:rPr>
                <w:rFonts w:ascii="Times New Roman"/>
                <w:sz w:val="18"/>
              </w:rPr>
              <w:t>2.60%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91" w:right="0"/>
              <w:jc w:val="center"/>
              <w:rPr>
                <w:rFonts w:ascii="Times New Roman" w:hAnsi="Times New Roman" w:cs="Times New Roman" w:eastAsia="Times New Roman" w:hint="default"/>
                <w:sz w:val="18"/>
                <w:szCs w:val="18"/>
              </w:rPr>
            </w:pPr>
            <w:r>
              <w:rPr>
                <w:rFonts w:ascii="Times New Roman"/>
                <w:sz w:val="18"/>
              </w:rPr>
              <w:t>9.97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90" w:right="0"/>
              <w:jc w:val="center"/>
              <w:rPr>
                <w:rFonts w:ascii="Times New Roman" w:hAnsi="Times New Roman" w:cs="Times New Roman" w:eastAsia="Times New Roman" w:hint="default"/>
                <w:sz w:val="18"/>
                <w:szCs w:val="18"/>
              </w:rPr>
            </w:pPr>
            <w:r>
              <w:rPr>
                <w:rFonts w:ascii="Times New Roman"/>
                <w:sz w:val="18"/>
              </w:rPr>
              <w:t>9.97</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8"/>
              <w:jc w:val="both"/>
              <w:rPr>
                <w:rFonts w:ascii="宋体" w:hAnsi="宋体" w:cs="宋体" w:eastAsia="宋体" w:hint="default"/>
                <w:sz w:val="18"/>
                <w:szCs w:val="18"/>
              </w:rPr>
            </w:pPr>
            <w:r>
              <w:rPr>
                <w:rFonts w:ascii="宋体" w:hAnsi="宋体" w:cs="宋体" w:eastAsia="宋体" w:hint="default"/>
                <w:sz w:val="18"/>
                <w:szCs w:val="18"/>
              </w:rPr>
              <w:t>中国银 行深圳 市分行</w:t>
            </w:r>
          </w:p>
          <w:p>
            <w:pPr>
              <w:pStyle w:val="TableParagraph"/>
              <w:spacing w:line="319" w:lineRule="auto" w:before="19"/>
              <w:ind w:left="22" w:right="138"/>
              <w:jc w:val="both"/>
              <w:rPr>
                <w:rFonts w:ascii="宋体" w:hAnsi="宋体" w:cs="宋体" w:eastAsia="宋体" w:hint="default"/>
                <w:sz w:val="18"/>
                <w:szCs w:val="18"/>
              </w:rPr>
            </w:pPr>
            <w:r>
              <w:rPr>
                <w:rFonts w:ascii="宋体" w:hAnsi="宋体" w:cs="宋体" w:eastAsia="宋体" w:hint="default"/>
                <w:sz w:val="18"/>
                <w:szCs w:val="18"/>
              </w:rPr>
              <w:t>（文锦 广场支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2" w:right="167"/>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2" w:right="167"/>
              <w:jc w:val="both"/>
              <w:rPr>
                <w:rFonts w:ascii="宋体" w:hAnsi="宋体" w:cs="宋体" w:eastAsia="宋体" w:hint="default"/>
                <w:sz w:val="18"/>
                <w:szCs w:val="18"/>
              </w:rPr>
            </w:pPr>
            <w:r>
              <w:rPr>
                <w:rFonts w:ascii="宋体" w:hAnsi="宋体" w:cs="宋体" w:eastAsia="宋体" w:hint="default"/>
                <w:sz w:val="18"/>
                <w:szCs w:val="18"/>
              </w:rPr>
              <w:t>保本 型理 财</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到期 赎回</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2.68%</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91" w:right="0"/>
              <w:jc w:val="center"/>
              <w:rPr>
                <w:rFonts w:ascii="Times New Roman" w:hAnsi="Times New Roman" w:cs="Times New Roman" w:eastAsia="Times New Roman" w:hint="default"/>
                <w:sz w:val="18"/>
                <w:szCs w:val="18"/>
              </w:rPr>
            </w:pPr>
            <w:r>
              <w:rPr>
                <w:rFonts w:ascii="Times New Roman"/>
                <w:sz w:val="18"/>
              </w:rPr>
              <w:t>7.71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7.71</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9"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8"/>
              <w:jc w:val="both"/>
              <w:rPr>
                <w:rFonts w:ascii="宋体" w:hAnsi="宋体" w:cs="宋体" w:eastAsia="宋体" w:hint="default"/>
                <w:sz w:val="18"/>
                <w:szCs w:val="18"/>
              </w:rPr>
            </w:pPr>
            <w:r>
              <w:rPr>
                <w:rFonts w:ascii="宋体" w:hAnsi="宋体" w:cs="宋体" w:eastAsia="宋体" w:hint="default"/>
                <w:sz w:val="18"/>
                <w:szCs w:val="18"/>
              </w:rPr>
              <w:t>中国银 行深圳 市分行</w:t>
            </w:r>
          </w:p>
          <w:p>
            <w:pPr>
              <w:pStyle w:val="TableParagraph"/>
              <w:spacing w:line="319" w:lineRule="auto" w:before="19"/>
              <w:ind w:left="22" w:right="138"/>
              <w:jc w:val="both"/>
              <w:rPr>
                <w:rFonts w:ascii="宋体" w:hAnsi="宋体" w:cs="宋体" w:eastAsia="宋体" w:hint="default"/>
                <w:sz w:val="18"/>
                <w:szCs w:val="18"/>
              </w:rPr>
            </w:pPr>
            <w:r>
              <w:rPr>
                <w:rFonts w:ascii="宋体" w:hAnsi="宋体" w:cs="宋体" w:eastAsia="宋体" w:hint="default"/>
                <w:sz w:val="18"/>
                <w:szCs w:val="18"/>
              </w:rPr>
              <w:t>（文锦 广场支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67"/>
              <w:jc w:val="both"/>
              <w:rPr>
                <w:rFonts w:ascii="宋体" w:hAnsi="宋体" w:cs="宋体" w:eastAsia="宋体" w:hint="default"/>
                <w:sz w:val="18"/>
                <w:szCs w:val="18"/>
              </w:rPr>
            </w:pPr>
            <w:r>
              <w:rPr>
                <w:rFonts w:ascii="宋体" w:hAnsi="宋体" w:cs="宋体" w:eastAsia="宋体" w:hint="default"/>
                <w:sz w:val="18"/>
                <w:szCs w:val="18"/>
              </w:rPr>
              <w:t>保本 型理 财</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到期 赎回</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2.68%</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91" w:right="0"/>
              <w:jc w:val="center"/>
              <w:rPr>
                <w:rFonts w:ascii="Times New Roman" w:hAnsi="Times New Roman" w:cs="Times New Roman" w:eastAsia="Times New Roman" w:hint="default"/>
                <w:sz w:val="18"/>
                <w:szCs w:val="18"/>
              </w:rPr>
            </w:pPr>
            <w:r>
              <w:rPr>
                <w:rFonts w:ascii="Times New Roman"/>
                <w:sz w:val="18"/>
              </w:rPr>
              <w:t>7.71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7.71</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8"/>
              <w:jc w:val="both"/>
              <w:rPr>
                <w:rFonts w:ascii="宋体" w:hAnsi="宋体" w:cs="宋体" w:eastAsia="宋体" w:hint="default"/>
                <w:sz w:val="18"/>
                <w:szCs w:val="18"/>
              </w:rPr>
            </w:pPr>
            <w:r>
              <w:rPr>
                <w:rFonts w:ascii="宋体" w:hAnsi="宋体" w:cs="宋体" w:eastAsia="宋体" w:hint="default"/>
                <w:sz w:val="18"/>
                <w:szCs w:val="18"/>
              </w:rPr>
              <w:t>平安银 行深圳 南海支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5,000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保本 型理 财</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67"/>
              <w:jc w:val="left"/>
              <w:rPr>
                <w:rFonts w:ascii="宋体" w:hAnsi="宋体" w:cs="宋体" w:eastAsia="宋体" w:hint="default"/>
                <w:sz w:val="18"/>
                <w:szCs w:val="18"/>
              </w:rPr>
            </w:pPr>
            <w:r>
              <w:rPr>
                <w:rFonts w:ascii="宋体" w:hAnsi="宋体" w:cs="宋体" w:eastAsia="宋体" w:hint="default"/>
                <w:sz w:val="18"/>
                <w:szCs w:val="18"/>
              </w:rPr>
              <w:t>到期 赎回</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3" w:right="0"/>
              <w:jc w:val="left"/>
              <w:rPr>
                <w:rFonts w:ascii="Times New Roman" w:hAnsi="Times New Roman" w:cs="Times New Roman" w:eastAsia="Times New Roman" w:hint="default"/>
                <w:sz w:val="18"/>
                <w:szCs w:val="18"/>
              </w:rPr>
            </w:pPr>
            <w:r>
              <w:rPr>
                <w:rFonts w:ascii="Times New Roman"/>
                <w:sz w:val="18"/>
              </w:rPr>
              <w:t>3.30%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01" w:right="0"/>
              <w:jc w:val="center"/>
              <w:rPr>
                <w:rFonts w:ascii="Times New Roman" w:hAnsi="Times New Roman" w:cs="Times New Roman" w:eastAsia="Times New Roman" w:hint="default"/>
                <w:sz w:val="18"/>
                <w:szCs w:val="18"/>
              </w:rPr>
            </w:pPr>
            <w:r>
              <w:rPr>
                <w:rFonts w:ascii="Times New Roman"/>
                <w:sz w:val="18"/>
              </w:rPr>
              <w:t>53.89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00" w:right="0"/>
              <w:jc w:val="center"/>
              <w:rPr>
                <w:rFonts w:ascii="Times New Roman" w:hAnsi="Times New Roman" w:cs="Times New Roman" w:eastAsia="Times New Roman" w:hint="default"/>
                <w:sz w:val="18"/>
                <w:szCs w:val="18"/>
              </w:rPr>
            </w:pPr>
            <w:r>
              <w:rPr>
                <w:rFonts w:ascii="Times New Roman"/>
                <w:sz w:val="18"/>
              </w:rPr>
              <w:t>53.89</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8"/>
              <w:jc w:val="both"/>
              <w:rPr>
                <w:rFonts w:ascii="宋体" w:hAnsi="宋体" w:cs="宋体" w:eastAsia="宋体" w:hint="default"/>
                <w:sz w:val="18"/>
                <w:szCs w:val="18"/>
              </w:rPr>
            </w:pPr>
            <w:r>
              <w:rPr>
                <w:rFonts w:ascii="宋体" w:hAnsi="宋体" w:cs="宋体" w:eastAsia="宋体" w:hint="default"/>
                <w:sz w:val="18"/>
                <w:szCs w:val="18"/>
              </w:rPr>
              <w:t>中国建 设银行 深圳田 背支行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10,000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保本 型理 财</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67"/>
              <w:jc w:val="left"/>
              <w:rPr>
                <w:rFonts w:ascii="宋体" w:hAnsi="宋体" w:cs="宋体" w:eastAsia="宋体" w:hint="default"/>
                <w:sz w:val="18"/>
                <w:szCs w:val="18"/>
              </w:rPr>
            </w:pPr>
            <w:r>
              <w:rPr>
                <w:rFonts w:ascii="宋体" w:hAnsi="宋体" w:cs="宋体" w:eastAsia="宋体" w:hint="default"/>
                <w:sz w:val="18"/>
                <w:szCs w:val="18"/>
              </w:rPr>
              <w:t>到期 赎回</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3" w:right="0"/>
              <w:jc w:val="left"/>
              <w:rPr>
                <w:rFonts w:ascii="Times New Roman" w:hAnsi="Times New Roman" w:cs="Times New Roman" w:eastAsia="Times New Roman" w:hint="default"/>
                <w:sz w:val="18"/>
                <w:szCs w:val="18"/>
              </w:rPr>
            </w:pPr>
            <w:r>
              <w:rPr>
                <w:rFonts w:ascii="Times New Roman"/>
                <w:sz w:val="18"/>
              </w:rPr>
              <w:t>4.40%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01" w:right="0"/>
              <w:jc w:val="center"/>
              <w:rPr>
                <w:rFonts w:ascii="Times New Roman" w:hAnsi="Times New Roman" w:cs="Times New Roman" w:eastAsia="Times New Roman" w:hint="default"/>
                <w:sz w:val="18"/>
                <w:szCs w:val="18"/>
              </w:rPr>
            </w:pPr>
            <w:r>
              <w:rPr>
                <w:rFonts w:ascii="Times New Roman"/>
                <w:sz w:val="18"/>
              </w:rPr>
              <w:t>78.36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00" w:right="0"/>
              <w:jc w:val="center"/>
              <w:rPr>
                <w:rFonts w:ascii="Times New Roman" w:hAnsi="Times New Roman" w:cs="Times New Roman" w:eastAsia="Times New Roman" w:hint="default"/>
                <w:sz w:val="18"/>
                <w:szCs w:val="18"/>
              </w:rPr>
            </w:pPr>
            <w:r>
              <w:rPr>
                <w:rFonts w:ascii="Times New Roman"/>
                <w:sz w:val="18"/>
              </w:rPr>
              <w:t>78.36</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8"/>
              <w:jc w:val="both"/>
              <w:rPr>
                <w:rFonts w:ascii="宋体" w:hAnsi="宋体" w:cs="宋体" w:eastAsia="宋体" w:hint="default"/>
                <w:sz w:val="18"/>
                <w:szCs w:val="18"/>
              </w:rPr>
            </w:pPr>
            <w:r>
              <w:rPr>
                <w:rFonts w:ascii="宋体" w:hAnsi="宋体" w:cs="宋体" w:eastAsia="宋体" w:hint="default"/>
                <w:sz w:val="18"/>
                <w:szCs w:val="18"/>
              </w:rPr>
              <w:t>平安银 行深圳 南海支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6,000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保本 型理 财</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67"/>
              <w:jc w:val="left"/>
              <w:rPr>
                <w:rFonts w:ascii="宋体" w:hAnsi="宋体" w:cs="宋体" w:eastAsia="宋体" w:hint="default"/>
                <w:sz w:val="18"/>
                <w:szCs w:val="18"/>
              </w:rPr>
            </w:pPr>
            <w:r>
              <w:rPr>
                <w:rFonts w:ascii="宋体" w:hAnsi="宋体" w:cs="宋体" w:eastAsia="宋体" w:hint="default"/>
                <w:sz w:val="18"/>
                <w:szCs w:val="18"/>
              </w:rPr>
              <w:t>到期 赎回</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3" w:right="0"/>
              <w:jc w:val="left"/>
              <w:rPr>
                <w:rFonts w:ascii="Times New Roman" w:hAnsi="Times New Roman" w:cs="Times New Roman" w:eastAsia="Times New Roman" w:hint="default"/>
                <w:sz w:val="18"/>
                <w:szCs w:val="18"/>
              </w:rPr>
            </w:pPr>
            <w:r>
              <w:rPr>
                <w:rFonts w:ascii="Times New Roman"/>
                <w:sz w:val="18"/>
              </w:rPr>
              <w:t>4.30%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01" w:right="0"/>
              <w:jc w:val="center"/>
              <w:rPr>
                <w:rFonts w:ascii="Times New Roman" w:hAnsi="Times New Roman" w:cs="Times New Roman" w:eastAsia="Times New Roman" w:hint="default"/>
                <w:sz w:val="18"/>
                <w:szCs w:val="18"/>
              </w:rPr>
            </w:pPr>
            <w:r>
              <w:rPr>
                <w:rFonts w:ascii="Times New Roman"/>
                <w:sz w:val="18"/>
              </w:rPr>
              <w:t>64.32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00" w:right="0"/>
              <w:jc w:val="center"/>
              <w:rPr>
                <w:rFonts w:ascii="Times New Roman" w:hAnsi="Times New Roman" w:cs="Times New Roman" w:eastAsia="Times New Roman" w:hint="default"/>
                <w:sz w:val="18"/>
                <w:szCs w:val="18"/>
              </w:rPr>
            </w:pPr>
            <w:r>
              <w:rPr>
                <w:rFonts w:ascii="Times New Roman"/>
                <w:sz w:val="18"/>
              </w:rPr>
              <w:t>64.32</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493"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29"/>
              <w:ind w:left="22" w:right="138"/>
              <w:jc w:val="both"/>
              <w:rPr>
                <w:rFonts w:ascii="宋体" w:hAnsi="宋体" w:cs="宋体" w:eastAsia="宋体" w:hint="default"/>
                <w:sz w:val="18"/>
                <w:szCs w:val="18"/>
              </w:rPr>
            </w:pPr>
            <w:r>
              <w:rPr>
                <w:rFonts w:ascii="宋体" w:hAnsi="宋体" w:cs="宋体" w:eastAsia="宋体" w:hint="default"/>
                <w:sz w:val="18"/>
                <w:szCs w:val="18"/>
              </w:rPr>
              <w:t>中国建 设银行 深圳田 背支行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保本 型理 财</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到期 赎回</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4.20%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51.78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51.78</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316"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8"/>
              <w:jc w:val="both"/>
              <w:rPr>
                <w:rFonts w:ascii="宋体" w:hAnsi="宋体" w:cs="宋体" w:eastAsia="宋体" w:hint="default"/>
                <w:sz w:val="18"/>
                <w:szCs w:val="18"/>
              </w:rPr>
            </w:pPr>
            <w:r>
              <w:rPr>
                <w:rFonts w:ascii="宋体" w:hAnsi="宋体" w:cs="宋体" w:eastAsia="宋体" w:hint="default"/>
                <w:sz w:val="18"/>
                <w:szCs w:val="18"/>
              </w:rPr>
              <w:t>平安银 行深圳 南海支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6,000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保本 型理 财</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67"/>
              <w:jc w:val="left"/>
              <w:rPr>
                <w:rFonts w:ascii="宋体" w:hAnsi="宋体" w:cs="宋体" w:eastAsia="宋体" w:hint="default"/>
                <w:sz w:val="18"/>
                <w:szCs w:val="18"/>
              </w:rPr>
            </w:pPr>
            <w:r>
              <w:rPr>
                <w:rFonts w:ascii="宋体" w:hAnsi="宋体" w:cs="宋体" w:eastAsia="宋体" w:hint="default"/>
                <w:sz w:val="18"/>
                <w:szCs w:val="18"/>
              </w:rPr>
              <w:t>到期 赎回</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3" w:right="0"/>
              <w:jc w:val="left"/>
              <w:rPr>
                <w:rFonts w:ascii="Times New Roman" w:hAnsi="Times New Roman" w:cs="Times New Roman" w:eastAsia="Times New Roman" w:hint="default"/>
                <w:sz w:val="18"/>
                <w:szCs w:val="18"/>
              </w:rPr>
            </w:pPr>
            <w:r>
              <w:rPr>
                <w:rFonts w:ascii="Times New Roman"/>
                <w:sz w:val="18"/>
              </w:rPr>
              <w:t>3.90%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01" w:right="0"/>
              <w:jc w:val="center"/>
              <w:rPr>
                <w:rFonts w:ascii="Times New Roman" w:hAnsi="Times New Roman" w:cs="Times New Roman" w:eastAsia="Times New Roman" w:hint="default"/>
                <w:sz w:val="18"/>
                <w:szCs w:val="18"/>
              </w:rPr>
            </w:pPr>
            <w:r>
              <w:rPr>
                <w:rFonts w:ascii="Times New Roman"/>
                <w:sz w:val="18"/>
              </w:rPr>
              <w:t>19.23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00" w:right="0"/>
              <w:jc w:val="center"/>
              <w:rPr>
                <w:rFonts w:ascii="Times New Roman" w:hAnsi="Times New Roman" w:cs="Times New Roman" w:eastAsia="Times New Roman" w:hint="default"/>
                <w:sz w:val="18"/>
                <w:szCs w:val="18"/>
              </w:rPr>
            </w:pPr>
            <w:r>
              <w:rPr>
                <w:rFonts w:ascii="Times New Roman"/>
                <w:sz w:val="18"/>
              </w:rPr>
              <w:t>19.23</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518"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41"/>
              <w:ind w:left="22" w:right="138"/>
              <w:jc w:val="both"/>
              <w:rPr>
                <w:rFonts w:ascii="宋体" w:hAnsi="宋体" w:cs="宋体" w:eastAsia="宋体" w:hint="default"/>
                <w:sz w:val="18"/>
                <w:szCs w:val="18"/>
              </w:rPr>
            </w:pPr>
            <w:r>
              <w:rPr>
                <w:rFonts w:ascii="宋体" w:hAnsi="宋体" w:cs="宋体" w:eastAsia="宋体" w:hint="default"/>
                <w:sz w:val="18"/>
                <w:szCs w:val="18"/>
              </w:rPr>
              <w:t>中国建 设银行 深圳田 背支行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保本 型理 财</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到期 赎回</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3.90%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91" w:right="0"/>
              <w:jc w:val="center"/>
              <w:rPr>
                <w:rFonts w:ascii="Times New Roman" w:hAnsi="Times New Roman" w:cs="Times New Roman" w:eastAsia="Times New Roman" w:hint="default"/>
                <w:sz w:val="18"/>
                <w:szCs w:val="18"/>
              </w:rPr>
            </w:pPr>
            <w:r>
              <w:rPr>
                <w:rFonts w:ascii="Times New Roman"/>
                <w:sz w:val="18"/>
              </w:rPr>
              <w:t>17.1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17.1</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16"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987" w:type="dxa"/>
        <w:tblLayout w:type="fixed"/>
        <w:tblCellMar>
          <w:top w:w="0" w:type="dxa"/>
          <w:left w:w="0" w:type="dxa"/>
          <w:bottom w:w="0" w:type="dxa"/>
          <w:right w:w="0" w:type="dxa"/>
        </w:tblCellMar>
        <w:tblLook w:val="01E0"/>
      </w:tblPr>
      <w:tblGrid>
        <w:gridCol w:w="713"/>
        <w:gridCol w:w="590"/>
        <w:gridCol w:w="606"/>
        <w:gridCol w:w="575"/>
        <w:gridCol w:w="560"/>
        <w:gridCol w:w="562"/>
        <w:gridCol w:w="561"/>
        <w:gridCol w:w="562"/>
        <w:gridCol w:w="560"/>
        <w:gridCol w:w="562"/>
        <w:gridCol w:w="560"/>
        <w:gridCol w:w="562"/>
        <w:gridCol w:w="561"/>
        <w:gridCol w:w="550"/>
        <w:gridCol w:w="547"/>
        <w:gridCol w:w="546"/>
        <w:gridCol w:w="539"/>
      </w:tblGrid>
      <w:tr>
        <w:trPr>
          <w:trHeight w:val="1338"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8"/>
              <w:jc w:val="both"/>
              <w:rPr>
                <w:rFonts w:ascii="宋体" w:hAnsi="宋体" w:cs="宋体" w:eastAsia="宋体" w:hint="default"/>
                <w:sz w:val="18"/>
                <w:szCs w:val="18"/>
              </w:rPr>
            </w:pPr>
            <w:r>
              <w:rPr>
                <w:rFonts w:ascii="宋体" w:hAnsi="宋体" w:cs="宋体" w:eastAsia="宋体" w:hint="default"/>
                <w:sz w:val="18"/>
                <w:szCs w:val="18"/>
              </w:rPr>
              <w:t>平安银 行深圳 南海支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6,000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保本 型理 财</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67"/>
              <w:jc w:val="left"/>
              <w:rPr>
                <w:rFonts w:ascii="宋体" w:hAnsi="宋体" w:cs="宋体" w:eastAsia="宋体" w:hint="default"/>
                <w:sz w:val="18"/>
                <w:szCs w:val="18"/>
              </w:rPr>
            </w:pPr>
            <w:r>
              <w:rPr>
                <w:rFonts w:ascii="宋体" w:hAnsi="宋体" w:cs="宋体" w:eastAsia="宋体" w:hint="default"/>
                <w:sz w:val="18"/>
                <w:szCs w:val="18"/>
              </w:rPr>
              <w:t>到期 赎回</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0" w:right="0"/>
              <w:jc w:val="center"/>
              <w:rPr>
                <w:rFonts w:ascii="Times New Roman" w:hAnsi="Times New Roman" w:cs="Times New Roman" w:eastAsia="Times New Roman" w:hint="default"/>
                <w:sz w:val="18"/>
                <w:szCs w:val="18"/>
              </w:rPr>
            </w:pPr>
            <w:r>
              <w:rPr>
                <w:rFonts w:ascii="Times New Roman"/>
                <w:sz w:val="18"/>
              </w:rPr>
              <w:t>3.80%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17.49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17.49</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8"/>
              <w:jc w:val="both"/>
              <w:rPr>
                <w:rFonts w:ascii="宋体" w:hAnsi="宋体" w:cs="宋体" w:eastAsia="宋体" w:hint="default"/>
                <w:sz w:val="18"/>
                <w:szCs w:val="18"/>
              </w:rPr>
            </w:pPr>
            <w:r>
              <w:rPr>
                <w:rFonts w:ascii="宋体" w:hAnsi="宋体" w:cs="宋体" w:eastAsia="宋体" w:hint="default"/>
                <w:sz w:val="18"/>
                <w:szCs w:val="18"/>
              </w:rPr>
              <w:t>平安银 行深圳 南海支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6,000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保本 型理 财</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67"/>
              <w:jc w:val="left"/>
              <w:rPr>
                <w:rFonts w:ascii="宋体" w:hAnsi="宋体" w:cs="宋体" w:eastAsia="宋体" w:hint="default"/>
                <w:sz w:val="18"/>
                <w:szCs w:val="18"/>
              </w:rPr>
            </w:pPr>
            <w:r>
              <w:rPr>
                <w:rFonts w:ascii="宋体" w:hAnsi="宋体" w:cs="宋体" w:eastAsia="宋体" w:hint="default"/>
                <w:sz w:val="18"/>
                <w:szCs w:val="18"/>
              </w:rPr>
              <w:t>到期 赎回</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0" w:right="0"/>
              <w:jc w:val="center"/>
              <w:rPr>
                <w:rFonts w:ascii="Times New Roman" w:hAnsi="Times New Roman" w:cs="Times New Roman" w:eastAsia="Times New Roman" w:hint="default"/>
                <w:sz w:val="18"/>
                <w:szCs w:val="18"/>
              </w:rPr>
            </w:pPr>
            <w:r>
              <w:rPr>
                <w:rFonts w:ascii="Times New Roman"/>
                <w:sz w:val="18"/>
              </w:rPr>
              <w:t>4.10%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18.87</w:t>
            </w: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66"/>
              <w:jc w:val="left"/>
              <w:rPr>
                <w:rFonts w:ascii="宋体" w:hAnsi="宋体" w:cs="宋体" w:eastAsia="宋体" w:hint="default"/>
                <w:sz w:val="18"/>
                <w:szCs w:val="18"/>
              </w:rPr>
            </w:pPr>
            <w:r>
              <w:rPr>
                <w:rFonts w:ascii="宋体" w:hAnsi="宋体" w:cs="宋体" w:eastAsia="宋体" w:hint="default"/>
                <w:sz w:val="18"/>
                <w:szCs w:val="18"/>
              </w:rPr>
              <w:t>未到 期</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79,000</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503.95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485.08</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50" w:type="dxa"/>
            <w:tcBorders>
              <w:top w:val="single" w:sz="4" w:space="0" w:color="000000"/>
              <w:left w:val="single" w:sz="13" w:space="0" w:color="D2D2D2"/>
              <w:bottom w:val="single" w:sz="4" w:space="0" w:color="000000"/>
              <w:right w:val="single" w:sz="9" w:space="0" w:color="D2D2D2"/>
            </w:tcBorders>
          </w:tcPr>
          <w:p>
            <w:pP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Times New Roman" w:hAnsi="Times New Roman" w:cs="Times New Roman" w:eastAsia="Times New Roman" w:hint="default"/>
          <w:sz w:val="7"/>
          <w:szCs w:val="7"/>
        </w:rPr>
      </w:pPr>
    </w:p>
    <w:p>
      <w:pPr>
        <w:pStyle w:val="BodyText"/>
        <w:spacing w:line="240" w:lineRule="auto" w:before="44"/>
        <w:ind w:left="1134" w:right="0"/>
        <w:jc w:val="left"/>
      </w:pPr>
      <w:r>
        <w:rPr/>
        <w:t>委托理财出现预期无法收回本金或存在其他可能导致减值的情形</w:t>
      </w:r>
    </w:p>
    <w:p>
      <w:pPr>
        <w:spacing w:line="240" w:lineRule="auto" w:before="12"/>
        <w:rPr>
          <w:rFonts w:ascii="宋体" w:hAnsi="宋体" w:cs="宋体" w:eastAsia="宋体" w:hint="default"/>
          <w:sz w:val="20"/>
          <w:szCs w:val="20"/>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right="0"/>
        <w:jc w:val="left"/>
        <w:rPr>
          <w:b w:val="0"/>
          <w:bCs w:val="0"/>
        </w:rPr>
      </w:pPr>
      <w:bookmarkStart w:name="（2）委托贷款情况" w:id="92"/>
      <w:bookmarkEnd w:id="92"/>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8"/>
        <w:rPr>
          <w:rFonts w:ascii="宋体" w:hAnsi="宋体" w:cs="宋体" w:eastAsia="宋体" w:hint="default"/>
          <w:b/>
          <w:bCs/>
          <w:sz w:val="32"/>
          <w:szCs w:val="32"/>
        </w:rPr>
      </w:pPr>
    </w:p>
    <w:p>
      <w:pPr>
        <w:pStyle w:val="BodyText"/>
        <w:spacing w:line="489"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6"/>
        <w:rPr>
          <w:rFonts w:ascii="宋体" w:hAnsi="宋体" w:cs="宋体" w:eastAsia="宋体" w:hint="default"/>
          <w:sz w:val="18"/>
          <w:szCs w:val="18"/>
        </w:rPr>
      </w:pPr>
    </w:p>
    <w:p>
      <w:pPr>
        <w:pStyle w:val="Heading3"/>
        <w:spacing w:line="240" w:lineRule="auto"/>
        <w:ind w:right="0"/>
        <w:jc w:val="left"/>
        <w:rPr>
          <w:b w:val="0"/>
          <w:bCs w:val="0"/>
        </w:rPr>
      </w:pPr>
      <w:bookmarkStart w:name="4、其他重大合同" w:id="93"/>
      <w:bookmarkEnd w:id="93"/>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844" w:type="dxa"/>
        <w:tblLayout w:type="fixed"/>
        <w:tblCellMar>
          <w:top w:w="0" w:type="dxa"/>
          <w:left w:w="0" w:type="dxa"/>
          <w:bottom w:w="0" w:type="dxa"/>
          <w:right w:w="0" w:type="dxa"/>
        </w:tblCellMar>
        <w:tblLook w:val="01E0"/>
      </w:tblPr>
      <w:tblGrid>
        <w:gridCol w:w="852"/>
        <w:gridCol w:w="851"/>
        <w:gridCol w:w="496"/>
        <w:gridCol w:w="640"/>
        <w:gridCol w:w="640"/>
        <w:gridCol w:w="639"/>
        <w:gridCol w:w="640"/>
        <w:gridCol w:w="638"/>
        <w:gridCol w:w="637"/>
        <w:gridCol w:w="638"/>
        <w:gridCol w:w="639"/>
        <w:gridCol w:w="637"/>
        <w:gridCol w:w="638"/>
        <w:gridCol w:w="638"/>
        <w:gridCol w:w="636"/>
      </w:tblGrid>
      <w:tr>
        <w:trPr>
          <w:trHeight w:val="2274"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61" w:right="59"/>
              <w:jc w:val="center"/>
              <w:rPr>
                <w:rFonts w:ascii="宋体" w:hAnsi="宋体" w:cs="宋体" w:eastAsia="宋体" w:hint="default"/>
                <w:sz w:val="18"/>
                <w:szCs w:val="18"/>
              </w:rPr>
            </w:pPr>
            <w:r>
              <w:rPr>
                <w:rFonts w:ascii="宋体" w:hAnsi="宋体" w:cs="宋体" w:eastAsia="宋体" w:hint="default"/>
                <w:sz w:val="18"/>
                <w:szCs w:val="18"/>
              </w:rPr>
              <w:t>合同订立 公司方名 称</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60" w:right="59"/>
              <w:jc w:val="left"/>
              <w:rPr>
                <w:rFonts w:ascii="宋体" w:hAnsi="宋体" w:cs="宋体" w:eastAsia="宋体" w:hint="default"/>
                <w:sz w:val="18"/>
                <w:szCs w:val="18"/>
              </w:rPr>
            </w:pPr>
            <w:r>
              <w:rPr>
                <w:rFonts w:ascii="宋体" w:hAnsi="宋体" w:cs="宋体" w:eastAsia="宋体" w:hint="default"/>
                <w:sz w:val="18"/>
                <w:szCs w:val="18"/>
              </w:rPr>
              <w:t>合同订立 对方名称</w:t>
            </w:r>
          </w:p>
        </w:tc>
        <w:tc>
          <w:tcPr>
            <w:tcW w:w="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62" w:right="61"/>
              <w:jc w:val="left"/>
              <w:rPr>
                <w:rFonts w:ascii="宋体" w:hAnsi="宋体" w:cs="宋体" w:eastAsia="宋体" w:hint="default"/>
                <w:sz w:val="18"/>
                <w:szCs w:val="18"/>
              </w:rPr>
            </w:pPr>
            <w:r>
              <w:rPr>
                <w:rFonts w:ascii="宋体" w:hAnsi="宋体" w:cs="宋体" w:eastAsia="宋体" w:hint="default"/>
                <w:sz w:val="18"/>
                <w:szCs w:val="18"/>
              </w:rPr>
              <w:t>合同 标的</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44" w:right="43"/>
              <w:jc w:val="left"/>
              <w:rPr>
                <w:rFonts w:ascii="宋体" w:hAnsi="宋体" w:cs="宋体" w:eastAsia="宋体" w:hint="default"/>
                <w:sz w:val="18"/>
                <w:szCs w:val="18"/>
              </w:rPr>
            </w:pPr>
            <w:r>
              <w:rPr>
                <w:rFonts w:ascii="宋体" w:hAnsi="宋体" w:cs="宋体" w:eastAsia="宋体" w:hint="default"/>
                <w:sz w:val="18"/>
                <w:szCs w:val="18"/>
              </w:rPr>
              <w:t>合同签 订日期</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5" w:right="42"/>
              <w:jc w:val="both"/>
              <w:rPr>
                <w:rFonts w:ascii="宋体" w:hAnsi="宋体" w:cs="宋体" w:eastAsia="宋体" w:hint="default"/>
                <w:sz w:val="18"/>
                <w:szCs w:val="18"/>
              </w:rPr>
            </w:pPr>
            <w:r>
              <w:rPr>
                <w:rFonts w:ascii="宋体" w:hAnsi="宋体" w:cs="宋体" w:eastAsia="宋体" w:hint="default"/>
                <w:sz w:val="18"/>
                <w:szCs w:val="18"/>
              </w:rPr>
              <w:t>合同涉 及资产 的账面 价值</w:t>
            </w:r>
          </w:p>
          <w:p>
            <w:pPr>
              <w:pStyle w:val="TableParagraph"/>
              <w:spacing w:line="319" w:lineRule="auto" w:before="19"/>
              <w:ind w:left="24" w:right="20"/>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r>
              <w:rPr>
                <w:rFonts w:ascii="宋体" w:hAnsi="宋体" w:cs="宋体" w:eastAsia="宋体" w:hint="default"/>
                <w:sz w:val="18"/>
                <w:szCs w:val="18"/>
              </w:rPr>
              <w:t> 有）</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4" w:right="42"/>
              <w:jc w:val="both"/>
              <w:rPr>
                <w:rFonts w:ascii="宋体" w:hAnsi="宋体" w:cs="宋体" w:eastAsia="宋体" w:hint="default"/>
                <w:sz w:val="18"/>
                <w:szCs w:val="18"/>
              </w:rPr>
            </w:pPr>
            <w:r>
              <w:rPr>
                <w:rFonts w:ascii="宋体" w:hAnsi="宋体" w:cs="宋体" w:eastAsia="宋体" w:hint="default"/>
                <w:sz w:val="18"/>
                <w:szCs w:val="18"/>
              </w:rPr>
              <w:t>合同涉 及资产 的评估 价值</w:t>
            </w:r>
          </w:p>
          <w:p>
            <w:pPr>
              <w:pStyle w:val="TableParagraph"/>
              <w:spacing w:line="319" w:lineRule="auto" w:before="19"/>
              <w:ind w:left="22" w:right="21"/>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r>
              <w:rPr>
                <w:rFonts w:ascii="宋体" w:hAnsi="宋体" w:cs="宋体" w:eastAsia="宋体" w:hint="default"/>
                <w:sz w:val="18"/>
                <w:szCs w:val="18"/>
              </w:rPr>
              <w:t> 有）</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45" w:right="42"/>
              <w:jc w:val="left"/>
              <w:rPr>
                <w:rFonts w:ascii="宋体" w:hAnsi="宋体" w:cs="宋体" w:eastAsia="宋体" w:hint="default"/>
                <w:sz w:val="18"/>
                <w:szCs w:val="18"/>
              </w:rPr>
            </w:pPr>
            <w:r>
              <w:rPr>
                <w:rFonts w:ascii="宋体" w:hAnsi="宋体" w:cs="宋体" w:eastAsia="宋体" w:hint="default"/>
                <w:sz w:val="18"/>
                <w:szCs w:val="18"/>
              </w:rPr>
              <w:t>评估机 构名称</w:t>
            </w:r>
          </w:p>
          <w:p>
            <w:pPr>
              <w:pStyle w:val="TableParagraph"/>
              <w:spacing w:line="319" w:lineRule="auto" w:before="19"/>
              <w:ind w:left="135" w:right="132"/>
              <w:jc w:val="left"/>
              <w:rPr>
                <w:rFonts w:ascii="宋体" w:hAnsi="宋体" w:cs="宋体" w:eastAsia="宋体" w:hint="default"/>
                <w:sz w:val="18"/>
                <w:szCs w:val="18"/>
              </w:rPr>
            </w:pPr>
            <w:r>
              <w:rPr>
                <w:rFonts w:ascii="宋体" w:hAnsi="宋体" w:cs="宋体" w:eastAsia="宋体" w:hint="default"/>
                <w:sz w:val="18"/>
                <w:szCs w:val="18"/>
              </w:rPr>
              <w:t>（如 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33" w:right="43" w:hanging="90"/>
              <w:jc w:val="left"/>
              <w:rPr>
                <w:rFonts w:ascii="宋体" w:hAnsi="宋体" w:cs="宋体" w:eastAsia="宋体" w:hint="default"/>
                <w:sz w:val="18"/>
                <w:szCs w:val="18"/>
              </w:rPr>
            </w:pPr>
            <w:r>
              <w:rPr>
                <w:rFonts w:ascii="宋体" w:hAnsi="宋体" w:cs="宋体" w:eastAsia="宋体" w:hint="default"/>
                <w:sz w:val="18"/>
                <w:szCs w:val="18"/>
              </w:rPr>
              <w:t>评估基 准日</w:t>
            </w:r>
          </w:p>
          <w:p>
            <w:pPr>
              <w:pStyle w:val="TableParagraph"/>
              <w:spacing w:line="319" w:lineRule="auto" w:before="19"/>
              <w:ind w:left="133" w:right="133"/>
              <w:jc w:val="left"/>
              <w:rPr>
                <w:rFonts w:ascii="宋体" w:hAnsi="宋体" w:cs="宋体" w:eastAsia="宋体" w:hint="default"/>
                <w:sz w:val="18"/>
                <w:szCs w:val="18"/>
              </w:rPr>
            </w:pPr>
            <w:r>
              <w:rPr>
                <w:rFonts w:ascii="宋体" w:hAnsi="宋体" w:cs="宋体" w:eastAsia="宋体" w:hint="default"/>
                <w:sz w:val="18"/>
                <w:szCs w:val="18"/>
              </w:rPr>
              <w:t>（如 有）</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3" w:right="42" w:hanging="180"/>
              <w:jc w:val="left"/>
              <w:rPr>
                <w:rFonts w:ascii="宋体" w:hAnsi="宋体" w:cs="宋体" w:eastAsia="宋体" w:hint="default"/>
                <w:sz w:val="18"/>
                <w:szCs w:val="18"/>
              </w:rPr>
            </w:pPr>
            <w:r>
              <w:rPr>
                <w:rFonts w:ascii="宋体" w:hAnsi="宋体" w:cs="宋体" w:eastAsia="宋体" w:hint="default"/>
                <w:sz w:val="18"/>
                <w:szCs w:val="18"/>
              </w:rPr>
              <w:t>定价原 则</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43" w:right="43"/>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43" w:right="45"/>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3" w:right="42"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43" w:right="43"/>
              <w:jc w:val="both"/>
              <w:rPr>
                <w:rFonts w:ascii="宋体" w:hAnsi="宋体" w:cs="宋体" w:eastAsia="宋体" w:hint="default"/>
                <w:sz w:val="18"/>
                <w:szCs w:val="18"/>
              </w:rPr>
            </w:pPr>
            <w:r>
              <w:rPr>
                <w:rFonts w:ascii="宋体" w:hAnsi="宋体" w:cs="宋体" w:eastAsia="宋体" w:hint="default"/>
                <w:sz w:val="18"/>
                <w:szCs w:val="18"/>
              </w:rPr>
              <w:t>截至报 告期末 的执行 情况</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3" w:right="43"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2" w:right="42"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950"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4" w:right="96"/>
              <w:jc w:val="both"/>
              <w:rPr>
                <w:rFonts w:ascii="宋体" w:hAnsi="宋体" w:cs="宋体" w:eastAsia="宋体" w:hint="default"/>
                <w:sz w:val="18"/>
                <w:szCs w:val="18"/>
              </w:rPr>
            </w:pPr>
            <w:r>
              <w:rPr>
                <w:rFonts w:ascii="宋体" w:hAnsi="宋体" w:cs="宋体" w:eastAsia="宋体" w:hint="default"/>
                <w:sz w:val="18"/>
                <w:szCs w:val="18"/>
              </w:rPr>
              <w:t>深圳市今 天国际物 流技术股 份有限公 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 w:right="96"/>
              <w:jc w:val="both"/>
              <w:rPr>
                <w:rFonts w:ascii="宋体" w:hAnsi="宋体" w:cs="宋体" w:eastAsia="宋体" w:hint="default"/>
                <w:sz w:val="18"/>
                <w:szCs w:val="18"/>
              </w:rPr>
            </w:pPr>
            <w:r>
              <w:rPr>
                <w:rFonts w:ascii="宋体" w:hAnsi="宋体" w:cs="宋体" w:eastAsia="宋体" w:hint="default"/>
                <w:sz w:val="18"/>
                <w:szCs w:val="18"/>
              </w:rPr>
              <w:t>中国银行 股份有限 公司深圳 东门支行</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2" w:right="101"/>
              <w:jc w:val="left"/>
              <w:rPr>
                <w:rFonts w:ascii="宋体" w:hAnsi="宋体" w:cs="宋体" w:eastAsia="宋体" w:hint="default"/>
                <w:sz w:val="18"/>
                <w:szCs w:val="18"/>
              </w:rPr>
            </w:pPr>
            <w:r>
              <w:rPr>
                <w:rFonts w:ascii="宋体" w:hAnsi="宋体" w:cs="宋体" w:eastAsia="宋体" w:hint="default"/>
                <w:sz w:val="18"/>
                <w:szCs w:val="18"/>
              </w:rPr>
              <w:t>授信 额度</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z w:val="18"/>
              </w:rPr>
              <w:t>15,000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60" w:lineRule="auto"/>
              <w:ind w:left="133" w:right="133"/>
              <w:jc w:val="left"/>
              <w:rPr>
                <w:rFonts w:ascii="宋体" w:hAnsi="宋体" w:cs="宋体" w:eastAsia="宋体" w:hint="default"/>
                <w:sz w:val="18"/>
                <w:szCs w:val="18"/>
              </w:rPr>
            </w:pPr>
            <w:r>
              <w:rPr>
                <w:rFonts w:ascii="宋体" w:hAnsi="宋体" w:cs="宋体" w:eastAsia="宋体" w:hint="default"/>
                <w:sz w:val="18"/>
                <w:szCs w:val="18"/>
              </w:rPr>
              <w:t>正在 履行</w:t>
            </w: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227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9"/>
              <w:ind w:left="24" w:right="96"/>
              <w:jc w:val="both"/>
              <w:rPr>
                <w:rFonts w:ascii="宋体" w:hAnsi="宋体" w:cs="宋体" w:eastAsia="宋体" w:hint="default"/>
                <w:sz w:val="18"/>
                <w:szCs w:val="18"/>
              </w:rPr>
            </w:pPr>
            <w:r>
              <w:rPr>
                <w:rFonts w:ascii="宋体" w:hAnsi="宋体" w:cs="宋体" w:eastAsia="宋体" w:hint="default"/>
                <w:sz w:val="18"/>
                <w:szCs w:val="18"/>
              </w:rPr>
              <w:t>深圳市今 天国际物 流技术股 份有限公 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9"/>
              <w:ind w:left="22" w:right="96"/>
              <w:jc w:val="both"/>
              <w:rPr>
                <w:rFonts w:ascii="宋体" w:hAnsi="宋体" w:cs="宋体" w:eastAsia="宋体" w:hint="default"/>
                <w:sz w:val="18"/>
                <w:szCs w:val="18"/>
              </w:rPr>
            </w:pPr>
            <w:r>
              <w:rPr>
                <w:rFonts w:ascii="宋体" w:hAnsi="宋体" w:cs="宋体" w:eastAsia="宋体" w:hint="default"/>
                <w:sz w:val="18"/>
                <w:szCs w:val="18"/>
              </w:rPr>
              <w:t>中国工商 银行股份 有限公司 深圳罗湖 支行</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6"/>
              <w:ind w:left="22" w:right="101"/>
              <w:jc w:val="left"/>
              <w:rPr>
                <w:rFonts w:ascii="宋体" w:hAnsi="宋体" w:cs="宋体" w:eastAsia="宋体" w:hint="default"/>
                <w:sz w:val="18"/>
                <w:szCs w:val="18"/>
              </w:rPr>
            </w:pPr>
            <w:r>
              <w:rPr>
                <w:rFonts w:ascii="宋体" w:hAnsi="宋体" w:cs="宋体" w:eastAsia="宋体" w:hint="default"/>
                <w:sz w:val="18"/>
                <w:szCs w:val="18"/>
              </w:rPr>
              <w:t>授信 额度</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23,800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360" w:lineRule="auto"/>
              <w:ind w:left="133" w:right="133"/>
              <w:jc w:val="left"/>
              <w:rPr>
                <w:rFonts w:ascii="宋体" w:hAnsi="宋体" w:cs="宋体" w:eastAsia="宋体" w:hint="default"/>
                <w:sz w:val="18"/>
                <w:szCs w:val="18"/>
              </w:rPr>
            </w:pPr>
            <w:r>
              <w:rPr>
                <w:rFonts w:ascii="宋体" w:hAnsi="宋体" w:cs="宋体" w:eastAsia="宋体" w:hint="default"/>
                <w:sz w:val="18"/>
                <w:szCs w:val="18"/>
              </w:rPr>
              <w:t>正在 履行</w:t>
            </w: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844" w:type="dxa"/>
        <w:tblLayout w:type="fixed"/>
        <w:tblCellMar>
          <w:top w:w="0" w:type="dxa"/>
          <w:left w:w="0" w:type="dxa"/>
          <w:bottom w:w="0" w:type="dxa"/>
          <w:right w:w="0" w:type="dxa"/>
        </w:tblCellMar>
        <w:tblLook w:val="01E0"/>
      </w:tblPr>
      <w:tblGrid>
        <w:gridCol w:w="852"/>
        <w:gridCol w:w="851"/>
        <w:gridCol w:w="496"/>
        <w:gridCol w:w="640"/>
        <w:gridCol w:w="640"/>
        <w:gridCol w:w="639"/>
        <w:gridCol w:w="640"/>
        <w:gridCol w:w="638"/>
        <w:gridCol w:w="637"/>
        <w:gridCol w:w="638"/>
        <w:gridCol w:w="639"/>
        <w:gridCol w:w="637"/>
        <w:gridCol w:w="638"/>
        <w:gridCol w:w="638"/>
        <w:gridCol w:w="636"/>
      </w:tblGrid>
      <w:tr>
        <w:trPr>
          <w:trHeight w:val="1650"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96"/>
              <w:jc w:val="both"/>
              <w:rPr>
                <w:rFonts w:ascii="宋体" w:hAnsi="宋体" w:cs="宋体" w:eastAsia="宋体" w:hint="default"/>
                <w:sz w:val="18"/>
                <w:szCs w:val="18"/>
              </w:rPr>
            </w:pPr>
            <w:r>
              <w:rPr>
                <w:rFonts w:ascii="宋体" w:hAnsi="宋体" w:cs="宋体" w:eastAsia="宋体" w:hint="default"/>
                <w:sz w:val="18"/>
                <w:szCs w:val="18"/>
              </w:rPr>
              <w:t>深圳市今 天国际物 流技术股 份有限公 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上海浦发 发展银行 股份有限 公司深圳 分行</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01"/>
              <w:jc w:val="left"/>
              <w:rPr>
                <w:rFonts w:ascii="宋体" w:hAnsi="宋体" w:cs="宋体" w:eastAsia="宋体" w:hint="default"/>
                <w:sz w:val="18"/>
                <w:szCs w:val="18"/>
              </w:rPr>
            </w:pPr>
            <w:r>
              <w:rPr>
                <w:rFonts w:ascii="宋体" w:hAnsi="宋体" w:cs="宋体" w:eastAsia="宋体" w:hint="default"/>
                <w:sz w:val="18"/>
                <w:szCs w:val="18"/>
              </w:rPr>
              <w:t>授信 额度</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57" w:lineRule="auto"/>
              <w:ind w:left="133" w:right="133"/>
              <w:jc w:val="left"/>
              <w:rPr>
                <w:rFonts w:ascii="宋体" w:hAnsi="宋体" w:cs="宋体" w:eastAsia="宋体" w:hint="default"/>
                <w:sz w:val="18"/>
                <w:szCs w:val="18"/>
              </w:rPr>
            </w:pPr>
            <w:r>
              <w:rPr>
                <w:rFonts w:ascii="宋体" w:hAnsi="宋体" w:cs="宋体" w:eastAsia="宋体" w:hint="default"/>
                <w:sz w:val="18"/>
                <w:szCs w:val="18"/>
              </w:rPr>
              <w:t>正在 履行</w:t>
            </w: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96"/>
              <w:jc w:val="both"/>
              <w:rPr>
                <w:rFonts w:ascii="宋体" w:hAnsi="宋体" w:cs="宋体" w:eastAsia="宋体" w:hint="default"/>
                <w:sz w:val="18"/>
                <w:szCs w:val="18"/>
              </w:rPr>
            </w:pPr>
            <w:r>
              <w:rPr>
                <w:rFonts w:ascii="宋体" w:hAnsi="宋体" w:cs="宋体" w:eastAsia="宋体" w:hint="default"/>
                <w:sz w:val="18"/>
                <w:szCs w:val="18"/>
              </w:rPr>
              <w:t>深圳市今 天国际物 流技术股 份有限公 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96"/>
              <w:jc w:val="both"/>
              <w:rPr>
                <w:rFonts w:ascii="宋体" w:hAnsi="宋体" w:cs="宋体" w:eastAsia="宋体" w:hint="default"/>
                <w:sz w:val="18"/>
                <w:szCs w:val="18"/>
              </w:rPr>
            </w:pPr>
            <w:r>
              <w:rPr>
                <w:rFonts w:ascii="宋体" w:hAnsi="宋体" w:cs="宋体" w:eastAsia="宋体" w:hint="default"/>
                <w:sz w:val="18"/>
                <w:szCs w:val="18"/>
              </w:rPr>
              <w:t>招商银行 股份有限 公司深圳 新洲支行</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01"/>
              <w:jc w:val="left"/>
              <w:rPr>
                <w:rFonts w:ascii="宋体" w:hAnsi="宋体" w:cs="宋体" w:eastAsia="宋体" w:hint="default"/>
                <w:sz w:val="18"/>
                <w:szCs w:val="18"/>
              </w:rPr>
            </w:pPr>
            <w:r>
              <w:rPr>
                <w:rFonts w:ascii="宋体" w:hAnsi="宋体" w:cs="宋体" w:eastAsia="宋体" w:hint="default"/>
                <w:sz w:val="18"/>
                <w:szCs w:val="18"/>
              </w:rPr>
              <w:t>授信 额度</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57" w:lineRule="auto"/>
              <w:ind w:left="133" w:right="133"/>
              <w:jc w:val="left"/>
              <w:rPr>
                <w:rFonts w:ascii="宋体" w:hAnsi="宋体" w:cs="宋体" w:eastAsia="宋体" w:hint="default"/>
                <w:sz w:val="18"/>
                <w:szCs w:val="18"/>
              </w:rPr>
            </w:pPr>
            <w:r>
              <w:rPr>
                <w:rFonts w:ascii="宋体" w:hAnsi="宋体" w:cs="宋体" w:eastAsia="宋体" w:hint="default"/>
                <w:sz w:val="18"/>
                <w:szCs w:val="18"/>
              </w:rPr>
              <w:t>正在 履行</w:t>
            </w: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96"/>
              <w:jc w:val="both"/>
              <w:rPr>
                <w:rFonts w:ascii="宋体" w:hAnsi="宋体" w:cs="宋体" w:eastAsia="宋体" w:hint="default"/>
                <w:sz w:val="18"/>
                <w:szCs w:val="18"/>
              </w:rPr>
            </w:pPr>
            <w:r>
              <w:rPr>
                <w:rFonts w:ascii="宋体" w:hAnsi="宋体" w:cs="宋体" w:eastAsia="宋体" w:hint="default"/>
                <w:sz w:val="18"/>
                <w:szCs w:val="18"/>
              </w:rPr>
              <w:t>深圳市今 天国际物 流技术股 份有限公 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中国工商 银行股份 有限公司 深圳罗湖 支行</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01"/>
              <w:jc w:val="both"/>
              <w:rPr>
                <w:rFonts w:ascii="宋体" w:hAnsi="宋体" w:cs="宋体" w:eastAsia="宋体" w:hint="default"/>
                <w:sz w:val="18"/>
                <w:szCs w:val="18"/>
              </w:rPr>
            </w:pPr>
            <w:r>
              <w:rPr>
                <w:rFonts w:ascii="宋体" w:hAnsi="宋体" w:cs="宋体" w:eastAsia="宋体" w:hint="default"/>
                <w:sz w:val="18"/>
                <w:szCs w:val="18"/>
              </w:rPr>
              <w:t>固定 资产 借款</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57" w:lineRule="auto"/>
              <w:ind w:left="133" w:right="133"/>
              <w:jc w:val="left"/>
              <w:rPr>
                <w:rFonts w:ascii="宋体" w:hAnsi="宋体" w:cs="宋体" w:eastAsia="宋体" w:hint="default"/>
                <w:sz w:val="18"/>
                <w:szCs w:val="18"/>
              </w:rPr>
            </w:pPr>
            <w:r>
              <w:rPr>
                <w:rFonts w:ascii="宋体" w:hAnsi="宋体" w:cs="宋体" w:eastAsia="宋体" w:hint="default"/>
                <w:sz w:val="18"/>
                <w:szCs w:val="18"/>
              </w:rPr>
              <w:t>正在 履行</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61"/>
              <w:jc w:val="both"/>
              <w:rPr>
                <w:rFonts w:ascii="宋体" w:hAnsi="宋体" w:cs="宋体" w:eastAsia="宋体" w:hint="default"/>
                <w:sz w:val="18"/>
                <w:szCs w:val="18"/>
              </w:rPr>
            </w:pPr>
            <w:r>
              <w:rPr>
                <w:rFonts w:ascii="宋体" w:hAnsi="宋体" w:cs="宋体" w:eastAsia="宋体" w:hint="default"/>
                <w:sz w:val="18"/>
                <w:szCs w:val="18"/>
              </w:rPr>
              <w:t>公司招 股说明 书</w:t>
            </w:r>
          </w:p>
        </w:tc>
      </w:tr>
      <w:tr>
        <w:trPr>
          <w:trHeight w:val="1650"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96"/>
              <w:jc w:val="both"/>
              <w:rPr>
                <w:rFonts w:ascii="宋体" w:hAnsi="宋体" w:cs="宋体" w:eastAsia="宋体" w:hint="default"/>
                <w:sz w:val="18"/>
                <w:szCs w:val="18"/>
              </w:rPr>
            </w:pPr>
            <w:r>
              <w:rPr>
                <w:rFonts w:ascii="宋体" w:hAnsi="宋体" w:cs="宋体" w:eastAsia="宋体" w:hint="default"/>
                <w:sz w:val="18"/>
                <w:szCs w:val="18"/>
              </w:rPr>
              <w:t>深圳市今 天国际物 流技术股 份有限公 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96"/>
              <w:jc w:val="both"/>
              <w:rPr>
                <w:rFonts w:ascii="宋体" w:hAnsi="宋体" w:cs="宋体" w:eastAsia="宋体" w:hint="default"/>
                <w:sz w:val="18"/>
                <w:szCs w:val="18"/>
              </w:rPr>
            </w:pPr>
            <w:r>
              <w:rPr>
                <w:rFonts w:ascii="宋体" w:hAnsi="宋体" w:cs="宋体" w:eastAsia="宋体" w:hint="default"/>
                <w:sz w:val="18"/>
                <w:szCs w:val="18"/>
              </w:rPr>
              <w:t>中国华西 企业有限 公司</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01"/>
              <w:jc w:val="left"/>
              <w:rPr>
                <w:rFonts w:ascii="宋体" w:hAnsi="宋体" w:cs="宋体" w:eastAsia="宋体" w:hint="default"/>
                <w:sz w:val="18"/>
                <w:szCs w:val="18"/>
              </w:rPr>
            </w:pPr>
            <w:r>
              <w:rPr>
                <w:rFonts w:ascii="宋体" w:hAnsi="宋体" w:cs="宋体" w:eastAsia="宋体" w:hint="default"/>
                <w:sz w:val="18"/>
                <w:szCs w:val="18"/>
              </w:rPr>
              <w:t>工程 施工</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7,260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57" w:lineRule="auto"/>
              <w:ind w:left="133" w:right="133"/>
              <w:jc w:val="left"/>
              <w:rPr>
                <w:rFonts w:ascii="宋体" w:hAnsi="宋体" w:cs="宋体" w:eastAsia="宋体" w:hint="default"/>
                <w:sz w:val="18"/>
                <w:szCs w:val="18"/>
              </w:rPr>
            </w:pPr>
            <w:r>
              <w:rPr>
                <w:rFonts w:ascii="宋体" w:hAnsi="宋体" w:cs="宋体" w:eastAsia="宋体" w:hint="default"/>
                <w:sz w:val="18"/>
                <w:szCs w:val="18"/>
              </w:rPr>
              <w:t>正在 履行</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61"/>
              <w:jc w:val="both"/>
              <w:rPr>
                <w:rFonts w:ascii="宋体" w:hAnsi="宋体" w:cs="宋体" w:eastAsia="宋体" w:hint="default"/>
                <w:sz w:val="18"/>
                <w:szCs w:val="18"/>
              </w:rPr>
            </w:pPr>
            <w:r>
              <w:rPr>
                <w:rFonts w:ascii="宋体" w:hAnsi="宋体" w:cs="宋体" w:eastAsia="宋体" w:hint="default"/>
                <w:sz w:val="18"/>
                <w:szCs w:val="18"/>
              </w:rPr>
              <w:t>公司招 股说明 书</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十七、社会责任情况" w:id="94"/>
      <w:bookmarkEnd w:id="94"/>
      <w:r>
        <w:rPr>
          <w:b w:val="0"/>
          <w:bCs w:val="0"/>
        </w:rPr>
      </w:r>
      <w:r>
        <w:rPr/>
        <w:t>十七、社会责任情况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履行社会责任情况" w:id="95"/>
      <w:bookmarkEnd w:id="95"/>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1132" w:firstLine="360"/>
        <w:jc w:val="both"/>
      </w:pPr>
      <w:r>
        <w:rPr>
          <w:spacing w:val="-2"/>
        </w:rPr>
        <w:t>报告期内，公司积极履行社会责任，在追求自身发展的同时，注重社会责任，坚持经济效益与社会效益、自身发展与社</w:t>
      </w:r>
      <w:r>
        <w:rPr/>
        <w:t> </w:t>
      </w:r>
      <w:r>
        <w:rPr>
          <w:spacing w:val="-2"/>
        </w:rPr>
        <w:t>会发展并重，努力建设成为一个员工热爱、客户信赖、社会尊重的优秀企业，实现企业、投资者、员工与社会共同成长、和</w:t>
      </w:r>
      <w:r>
        <w:rPr>
          <w:spacing w:val="-71"/>
        </w:rPr>
        <w:t> </w:t>
      </w:r>
      <w:r>
        <w:rPr>
          <w:spacing w:val="-71"/>
        </w:rPr>
      </w:r>
      <w:r>
        <w:rPr/>
        <w:t>谐发展。</w:t>
      </w:r>
    </w:p>
    <w:p>
      <w:pPr>
        <w:pStyle w:val="BodyText"/>
        <w:spacing w:line="451" w:lineRule="auto" w:before="54"/>
        <w:ind w:left="1494" w:right="0"/>
        <w:jc w:val="left"/>
      </w:pPr>
      <w:r>
        <w:rPr>
          <w:rFonts w:ascii="Times New Roman" w:hAnsi="Times New Roman" w:cs="Times New Roman" w:eastAsia="Times New Roman" w:hint="default"/>
          <w:b/>
          <w:bCs/>
        </w:rPr>
        <w:t>1</w:t>
      </w:r>
      <w:r>
        <w:rPr>
          <w:rFonts w:ascii="宋体" w:hAnsi="宋体" w:cs="宋体" w:eastAsia="宋体" w:hint="default"/>
          <w:b/>
          <w:bCs/>
        </w:rPr>
        <w:t>、投资者权益保护</w:t>
      </w:r>
      <w:r>
        <w:rPr>
          <w:rFonts w:ascii="宋体" w:hAnsi="宋体" w:cs="宋体" w:eastAsia="宋体" w:hint="default"/>
          <w:b/>
          <w:bCs/>
          <w:w w:val="99"/>
        </w:rPr>
        <w:t> </w:t>
      </w:r>
      <w:r>
        <w:rPr>
          <w:spacing w:val="-4"/>
        </w:rPr>
        <w:t>公司严格遵照相关法律、法规，及时有效、真实准确地进行信息披露，确保所有股东与投资者以平等机会获取公司信息，</w:t>
      </w:r>
    </w:p>
    <w:p>
      <w:pPr>
        <w:pStyle w:val="BodyText"/>
        <w:spacing w:line="240" w:lineRule="auto" w:before="74"/>
        <w:ind w:left="1134" w:right="0"/>
        <w:jc w:val="left"/>
      </w:pPr>
      <w:r>
        <w:rPr/>
        <w:t>保障全体股东及投资者的合法权益。通过互动平台、电话、邮件等方式认真解答投资者疑问。</w:t>
      </w:r>
    </w:p>
    <w:p>
      <w:pPr>
        <w:spacing w:line="240" w:lineRule="auto" w:before="10"/>
        <w:rPr>
          <w:rFonts w:ascii="宋体" w:hAnsi="宋体" w:cs="宋体" w:eastAsia="宋体" w:hint="default"/>
          <w:sz w:val="17"/>
          <w:szCs w:val="17"/>
        </w:rPr>
      </w:pPr>
    </w:p>
    <w:p>
      <w:pPr>
        <w:pStyle w:val="BodyText"/>
        <w:spacing w:line="451" w:lineRule="auto"/>
        <w:ind w:left="1493" w:right="0"/>
        <w:jc w:val="left"/>
      </w:pPr>
      <w:r>
        <w:rPr>
          <w:rFonts w:ascii="Times New Roman" w:hAnsi="Times New Roman" w:cs="Times New Roman" w:eastAsia="Times New Roman" w:hint="default"/>
          <w:b/>
          <w:bCs/>
        </w:rPr>
        <w:t>2</w:t>
      </w:r>
      <w:r>
        <w:rPr>
          <w:rFonts w:ascii="宋体" w:hAnsi="宋体" w:cs="宋体" w:eastAsia="宋体" w:hint="default"/>
          <w:b/>
          <w:bCs/>
        </w:rPr>
        <w:t>、构建和谐的劳动关系</w:t>
      </w:r>
      <w:r>
        <w:rPr>
          <w:rFonts w:ascii="宋体" w:hAnsi="宋体" w:cs="宋体" w:eastAsia="宋体" w:hint="default"/>
          <w:b/>
          <w:bCs/>
          <w:w w:val="99"/>
        </w:rPr>
        <w:t> </w:t>
      </w:r>
      <w:r>
        <w:rPr>
          <w:spacing w:val="-2"/>
        </w:rPr>
        <w:t>公司严格遵守国家《劳动法》、《劳动合同法》等法律法规，充分保障员工平等劳动、休息休假的合法权益，劳动合同</w:t>
      </w:r>
    </w:p>
    <w:p>
      <w:pPr>
        <w:pStyle w:val="BodyText"/>
        <w:spacing w:line="240" w:lineRule="auto" w:before="74"/>
        <w:ind w:right="0"/>
        <w:jc w:val="left"/>
      </w:pPr>
      <w:r>
        <w:rPr/>
        <w:t>签订率</w:t>
      </w:r>
      <w:r>
        <w:rPr>
          <w:rFonts w:ascii="Times New Roman" w:hAnsi="Times New Roman" w:cs="Times New Roman" w:eastAsia="Times New Roman" w:hint="default"/>
        </w:rPr>
        <w:t>100%</w:t>
      </w:r>
      <w:r>
        <w:rPr/>
        <w:t>；开展多种形式和方式的员工沟通，完善员工建议和诉求的反馈渠道，及时帮助员工疏导工作压力。</w:t>
      </w:r>
    </w:p>
    <w:p>
      <w:pPr>
        <w:spacing w:line="240" w:lineRule="auto" w:before="10"/>
        <w:rPr>
          <w:rFonts w:ascii="宋体" w:hAnsi="宋体" w:cs="宋体" w:eastAsia="宋体" w:hint="default"/>
          <w:sz w:val="16"/>
          <w:szCs w:val="16"/>
        </w:rPr>
      </w:pPr>
    </w:p>
    <w:p>
      <w:pPr>
        <w:pStyle w:val="Heading4"/>
        <w:spacing w:line="240" w:lineRule="auto"/>
        <w:ind w:left="1493" w:right="0"/>
        <w:jc w:val="left"/>
        <w:rPr>
          <w:b w:val="0"/>
          <w:bCs w:val="0"/>
        </w:rPr>
      </w:pPr>
      <w:r>
        <w:rPr>
          <w:rFonts w:ascii="Times New Roman" w:hAnsi="Times New Roman" w:cs="Times New Roman" w:eastAsia="Times New Roman" w:hint="default"/>
        </w:rPr>
        <w:t>3</w:t>
      </w:r>
      <w:r>
        <w:rPr/>
        <w:t>、获得多项资质荣誉，塑造良好社会形象</w:t>
      </w:r>
      <w:r>
        <w:rPr>
          <w:b w:val="0"/>
          <w:bCs w:val="0"/>
        </w:rPr>
      </w:r>
    </w:p>
    <w:p>
      <w:pPr>
        <w:spacing w:line="240" w:lineRule="auto" w:before="9"/>
        <w:rPr>
          <w:rFonts w:ascii="宋体" w:hAnsi="宋体" w:cs="宋体" w:eastAsia="宋体" w:hint="default"/>
          <w:b/>
          <w:bCs/>
          <w:sz w:val="16"/>
          <w:szCs w:val="16"/>
        </w:rPr>
      </w:pPr>
    </w:p>
    <w:p>
      <w:pPr>
        <w:pStyle w:val="BodyText"/>
        <w:spacing w:line="240" w:lineRule="auto"/>
        <w:ind w:left="1493" w:right="0"/>
        <w:jc w:val="left"/>
      </w:pPr>
      <w:r>
        <w:rPr>
          <w:rFonts w:ascii="宋体" w:hAnsi="宋体" w:cs="宋体" w:eastAsia="宋体" w:hint="default"/>
          <w:color w:val="0D0D0D"/>
        </w:rPr>
        <w:t>2017</w:t>
      </w:r>
      <w:r>
        <w:rPr>
          <w:color w:val="0D0D0D"/>
        </w:rPr>
        <w:t>年</w:t>
      </w:r>
      <w:r>
        <w:rPr>
          <w:rFonts w:ascii="宋体" w:hAnsi="宋体" w:cs="宋体" w:eastAsia="宋体" w:hint="default"/>
          <w:color w:val="0D0D0D"/>
        </w:rPr>
        <w:t>1</w:t>
      </w:r>
      <w:r>
        <w:rPr>
          <w:color w:val="0D0D0D"/>
        </w:rPr>
        <w:t>月</w:t>
      </w:r>
      <w:r>
        <w:rPr>
          <w:rFonts w:ascii="宋体" w:hAnsi="宋体" w:cs="宋体" w:eastAsia="宋体" w:hint="default"/>
          <w:color w:val="0D0D0D"/>
        </w:rPr>
        <w:t>,</w:t>
      </w:r>
      <w:r>
        <w:rPr>
          <w:rFonts w:ascii="宋体" w:hAnsi="宋体" w:cs="宋体" w:eastAsia="宋体" w:hint="default"/>
          <w:color w:val="0D0D0D"/>
          <w:spacing w:val="-1"/>
        </w:rPr>
        <w:t> </w:t>
      </w:r>
      <w:r>
        <w:rPr>
          <w:color w:val="0D0D0D"/>
        </w:rPr>
        <w:t>今天国际荣获“自主创新标杆企业”和“履行社会责任杰出企业奖”。</w:t>
      </w:r>
      <w:r>
        <w:rPr/>
      </w:r>
    </w:p>
    <w:p>
      <w:pPr>
        <w:spacing w:line="240" w:lineRule="auto" w:before="10"/>
        <w:rPr>
          <w:rFonts w:ascii="宋体" w:hAnsi="宋体" w:cs="宋体" w:eastAsia="宋体" w:hint="default"/>
          <w:sz w:val="17"/>
          <w:szCs w:val="17"/>
        </w:rPr>
      </w:pPr>
    </w:p>
    <w:p>
      <w:pPr>
        <w:pStyle w:val="BodyText"/>
        <w:spacing w:line="240" w:lineRule="auto"/>
        <w:ind w:left="1493" w:right="0"/>
        <w:jc w:val="left"/>
      </w:pPr>
      <w:r>
        <w:rPr>
          <w:rFonts w:ascii="宋体" w:hAnsi="宋体" w:cs="宋体" w:eastAsia="宋体" w:hint="default"/>
          <w:color w:val="0D0D0D"/>
        </w:rPr>
        <w:t>2017</w:t>
      </w:r>
      <w:r>
        <w:rPr>
          <w:color w:val="0D0D0D"/>
        </w:rPr>
        <w:t>年</w:t>
      </w:r>
      <w:r>
        <w:rPr>
          <w:rFonts w:ascii="宋体" w:hAnsi="宋体" w:cs="宋体" w:eastAsia="宋体" w:hint="default"/>
          <w:color w:val="0D0D0D"/>
        </w:rPr>
        <w:t>1</w:t>
      </w:r>
      <w:r>
        <w:rPr>
          <w:color w:val="0D0D0D"/>
        </w:rPr>
        <w:t>月</w:t>
      </w:r>
      <w:r>
        <w:rPr>
          <w:rFonts w:ascii="宋体" w:hAnsi="宋体" w:cs="宋体" w:eastAsia="宋体" w:hint="default"/>
          <w:color w:val="0D0D0D"/>
        </w:rPr>
        <w:t>,</w:t>
      </w:r>
      <w:r>
        <w:rPr>
          <w:rFonts w:ascii="宋体" w:hAnsi="宋体" w:cs="宋体" w:eastAsia="宋体" w:hint="default"/>
          <w:color w:val="0D0D0D"/>
          <w:spacing w:val="-1"/>
        </w:rPr>
        <w:t> </w:t>
      </w:r>
      <w:r>
        <w:rPr>
          <w:color w:val="0D0D0D"/>
        </w:rPr>
        <w:t>今天国际荣获</w:t>
      </w:r>
      <w:r>
        <w:rPr>
          <w:rFonts w:ascii="宋体" w:hAnsi="宋体" w:cs="宋体" w:eastAsia="宋体" w:hint="default"/>
          <w:color w:val="0D0D0D"/>
        </w:rPr>
        <w:t>2016</w:t>
      </w:r>
      <w:r>
        <w:rPr>
          <w:color w:val="0D0D0D"/>
        </w:rPr>
        <w:t>中国食品冷链产业技术装备“金鼎奖”。</w:t>
      </w:r>
      <w:r>
        <w:rPr/>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left="1493" w:right="0"/>
        <w:jc w:val="left"/>
      </w:pPr>
      <w:r>
        <w:rPr>
          <w:rFonts w:ascii="宋体" w:hAnsi="宋体" w:cs="宋体" w:eastAsia="宋体" w:hint="default"/>
          <w:color w:val="0D0D0D"/>
        </w:rPr>
        <w:t>2017</w:t>
      </w:r>
      <w:r>
        <w:rPr>
          <w:color w:val="0D0D0D"/>
        </w:rPr>
        <w:t>年</w:t>
      </w:r>
      <w:r>
        <w:rPr>
          <w:rFonts w:ascii="宋体" w:hAnsi="宋体" w:cs="宋体" w:eastAsia="宋体" w:hint="default"/>
          <w:color w:val="0D0D0D"/>
        </w:rPr>
        <w:t>3</w:t>
      </w:r>
      <w:r>
        <w:rPr>
          <w:color w:val="0D0D0D"/>
        </w:rPr>
        <w:t>月</w:t>
      </w:r>
      <w:r>
        <w:rPr>
          <w:rFonts w:ascii="宋体" w:hAnsi="宋体" w:cs="宋体" w:eastAsia="宋体" w:hint="default"/>
          <w:color w:val="0D0D0D"/>
        </w:rPr>
        <w:t>,</w:t>
      </w:r>
      <w:r>
        <w:rPr>
          <w:rFonts w:ascii="宋体" w:hAnsi="宋体" w:cs="宋体" w:eastAsia="宋体" w:hint="default"/>
          <w:color w:val="0D0D0D"/>
          <w:spacing w:val="-2"/>
        </w:rPr>
        <w:t> </w:t>
      </w:r>
      <w:r>
        <w:rPr>
          <w:color w:val="0D0D0D"/>
        </w:rPr>
        <w:t>今天国际动力电池智能生产物流系统荣获“中国制造业优秀物流工程奖”。</w:t>
      </w:r>
      <w:r>
        <w:rPr/>
      </w:r>
    </w:p>
    <w:p>
      <w:pPr>
        <w:spacing w:line="240" w:lineRule="auto" w:before="10"/>
        <w:rPr>
          <w:rFonts w:ascii="宋体" w:hAnsi="宋体" w:cs="宋体" w:eastAsia="宋体" w:hint="default"/>
          <w:sz w:val="17"/>
          <w:szCs w:val="17"/>
        </w:rPr>
      </w:pPr>
    </w:p>
    <w:p>
      <w:pPr>
        <w:pStyle w:val="BodyText"/>
        <w:spacing w:line="240" w:lineRule="auto"/>
        <w:ind w:left="1493" w:right="0"/>
        <w:jc w:val="left"/>
      </w:pPr>
      <w:r>
        <w:rPr>
          <w:rFonts w:ascii="宋体" w:hAnsi="宋体" w:cs="宋体" w:eastAsia="宋体" w:hint="default"/>
          <w:color w:val="0D0D0D"/>
        </w:rPr>
        <w:t>2017</w:t>
      </w:r>
      <w:r>
        <w:rPr>
          <w:color w:val="0D0D0D"/>
        </w:rPr>
        <w:t>年</w:t>
      </w:r>
      <w:r>
        <w:rPr>
          <w:rFonts w:ascii="宋体" w:hAnsi="宋体" w:cs="宋体" w:eastAsia="宋体" w:hint="default"/>
          <w:color w:val="0D0D0D"/>
        </w:rPr>
        <w:t>,</w:t>
      </w:r>
      <w:r>
        <w:rPr>
          <w:rFonts w:ascii="宋体" w:hAnsi="宋体" w:cs="宋体" w:eastAsia="宋体" w:hint="default"/>
          <w:color w:val="0D0D0D"/>
          <w:spacing w:val="-1"/>
        </w:rPr>
        <w:t> </w:t>
      </w:r>
      <w:r>
        <w:rPr/>
        <w:t>今天国际</w:t>
      </w:r>
      <w:r>
        <w:rPr>
          <w:rFonts w:ascii="宋体" w:hAnsi="宋体" w:cs="宋体" w:eastAsia="宋体" w:hint="default"/>
        </w:rPr>
        <w:t>-</w:t>
      </w:r>
      <w:r>
        <w:rPr/>
        <w:t>粮油工业智能生产物流系统项目荣获“优秀物流工程奖”。</w:t>
      </w:r>
    </w:p>
    <w:p>
      <w:pPr>
        <w:spacing w:line="240" w:lineRule="auto" w:before="10"/>
        <w:rPr>
          <w:rFonts w:ascii="宋体" w:hAnsi="宋体" w:cs="宋体" w:eastAsia="宋体" w:hint="default"/>
          <w:sz w:val="17"/>
          <w:szCs w:val="17"/>
        </w:rPr>
      </w:pPr>
    </w:p>
    <w:p>
      <w:pPr>
        <w:pStyle w:val="BodyText"/>
        <w:spacing w:line="240" w:lineRule="auto"/>
        <w:ind w:left="1493" w:right="0"/>
        <w:jc w:val="left"/>
      </w:pPr>
      <w:r>
        <w:rPr>
          <w:rFonts w:ascii="宋体" w:hAnsi="宋体" w:cs="宋体" w:eastAsia="宋体" w:hint="default"/>
          <w:color w:val="0D0D0D"/>
        </w:rPr>
        <w:t>2017</w:t>
      </w:r>
      <w:r>
        <w:rPr>
          <w:color w:val="0D0D0D"/>
        </w:rPr>
        <w:t>年</w:t>
      </w:r>
      <w:r>
        <w:rPr>
          <w:rFonts w:ascii="宋体" w:hAnsi="宋体" w:cs="宋体" w:eastAsia="宋体" w:hint="default"/>
          <w:color w:val="0D0D0D"/>
        </w:rPr>
        <w:t>6</w:t>
      </w:r>
      <w:r>
        <w:rPr>
          <w:color w:val="0D0D0D"/>
        </w:rPr>
        <w:t>月</w:t>
      </w:r>
      <w:r>
        <w:rPr>
          <w:rFonts w:ascii="宋体" w:hAnsi="宋体" w:cs="宋体" w:eastAsia="宋体" w:hint="default"/>
          <w:color w:val="0D0D0D"/>
        </w:rPr>
        <w:t>,</w:t>
      </w:r>
      <w:r>
        <w:rPr>
          <w:rFonts w:ascii="宋体" w:hAnsi="宋体" w:cs="宋体" w:eastAsia="宋体" w:hint="default"/>
          <w:color w:val="0D0D0D"/>
          <w:spacing w:val="-1"/>
        </w:rPr>
        <w:t> </w:t>
      </w:r>
      <w:r>
        <w:rPr/>
        <w:t>今天国际荣获“中国冷链物流技术装备诚信</w:t>
      </w:r>
      <w:r>
        <w:rPr>
          <w:rFonts w:ascii="宋体" w:hAnsi="宋体" w:cs="宋体" w:eastAsia="宋体" w:hint="default"/>
        </w:rPr>
        <w:t>10</w:t>
      </w:r>
      <w:r>
        <w:rPr/>
        <w:t>强企业”。</w:t>
      </w:r>
    </w:p>
    <w:p>
      <w:pPr>
        <w:spacing w:line="240" w:lineRule="auto" w:before="10"/>
        <w:rPr>
          <w:rFonts w:ascii="宋体" w:hAnsi="宋体" w:cs="宋体" w:eastAsia="宋体" w:hint="default"/>
          <w:sz w:val="17"/>
          <w:szCs w:val="17"/>
        </w:rPr>
      </w:pPr>
    </w:p>
    <w:p>
      <w:pPr>
        <w:pStyle w:val="BodyText"/>
        <w:spacing w:line="240" w:lineRule="auto"/>
        <w:ind w:left="1493" w:right="0"/>
        <w:jc w:val="left"/>
      </w:pPr>
      <w:r>
        <w:rPr>
          <w:rFonts w:ascii="宋体" w:hAnsi="宋体" w:cs="宋体" w:eastAsia="宋体" w:hint="default"/>
          <w:color w:val="0D0D0D"/>
        </w:rPr>
        <w:t>2017</w:t>
      </w:r>
      <w:r>
        <w:rPr>
          <w:color w:val="0D0D0D"/>
        </w:rPr>
        <w:t>年</w:t>
      </w:r>
      <w:r>
        <w:rPr>
          <w:rFonts w:ascii="宋体" w:hAnsi="宋体" w:cs="宋体" w:eastAsia="宋体" w:hint="default"/>
          <w:color w:val="0D0D0D"/>
        </w:rPr>
        <w:t>6</w:t>
      </w:r>
      <w:r>
        <w:rPr>
          <w:color w:val="0D0D0D"/>
        </w:rPr>
        <w:t>月</w:t>
      </w:r>
      <w:r>
        <w:rPr>
          <w:rFonts w:ascii="宋体" w:hAnsi="宋体" w:cs="宋体" w:eastAsia="宋体" w:hint="default"/>
          <w:color w:val="0D0D0D"/>
        </w:rPr>
        <w:t>, </w:t>
      </w:r>
      <w:r>
        <w:rPr>
          <w:color w:val="0D0D0D"/>
        </w:rPr>
        <w:t>今天国际荣获“</w:t>
      </w:r>
      <w:r>
        <w:rPr>
          <w:rFonts w:ascii="宋体" w:hAnsi="宋体" w:cs="宋体" w:eastAsia="宋体" w:hint="default"/>
          <w:color w:val="0D0D0D"/>
        </w:rPr>
        <w:t>2017</w:t>
      </w:r>
      <w:r>
        <w:rPr>
          <w:color w:val="0D0D0D"/>
        </w:rPr>
        <w:t>年度优质供应商”。</w:t>
      </w:r>
      <w:r>
        <w:rPr/>
      </w:r>
    </w:p>
    <w:p>
      <w:pPr>
        <w:spacing w:line="240" w:lineRule="auto" w:before="10"/>
        <w:rPr>
          <w:rFonts w:ascii="宋体" w:hAnsi="宋体" w:cs="宋体" w:eastAsia="宋体" w:hint="default"/>
          <w:sz w:val="17"/>
          <w:szCs w:val="17"/>
        </w:rPr>
      </w:pPr>
    </w:p>
    <w:p>
      <w:pPr>
        <w:pStyle w:val="BodyText"/>
        <w:spacing w:line="240" w:lineRule="auto"/>
        <w:ind w:left="1494" w:right="0"/>
        <w:jc w:val="left"/>
      </w:pPr>
      <w:r>
        <w:rPr>
          <w:rFonts w:ascii="宋体" w:hAnsi="宋体" w:cs="宋体" w:eastAsia="宋体" w:hint="default"/>
          <w:color w:val="0D0D0D"/>
        </w:rPr>
        <w:t>2017</w:t>
      </w:r>
      <w:r>
        <w:rPr>
          <w:color w:val="0D0D0D"/>
        </w:rPr>
        <w:t>年</w:t>
      </w:r>
      <w:r>
        <w:rPr>
          <w:rFonts w:ascii="宋体" w:hAnsi="宋体" w:cs="宋体" w:eastAsia="宋体" w:hint="default"/>
          <w:color w:val="0D0D0D"/>
        </w:rPr>
        <w:t>6</w:t>
      </w:r>
      <w:r>
        <w:rPr>
          <w:color w:val="0D0D0D"/>
        </w:rPr>
        <w:t>月</w:t>
      </w:r>
      <w:r>
        <w:rPr>
          <w:rFonts w:ascii="宋体" w:hAnsi="宋体" w:cs="宋体" w:eastAsia="宋体" w:hint="default"/>
          <w:color w:val="0D0D0D"/>
        </w:rPr>
        <w:t>, </w:t>
      </w:r>
      <w:r>
        <w:rPr>
          <w:color w:val="0D0D0D"/>
        </w:rPr>
        <w:t>今天国际斩获“</w:t>
      </w:r>
      <w:r>
        <w:rPr>
          <w:rFonts w:ascii="宋体" w:hAnsi="宋体" w:cs="宋体" w:eastAsia="宋体" w:hint="default"/>
          <w:color w:val="0D0D0D"/>
        </w:rPr>
        <w:t>2017</w:t>
      </w:r>
      <w:r>
        <w:rPr>
          <w:color w:val="0D0D0D"/>
        </w:rPr>
        <w:t>中国物流业大奖</w:t>
      </w:r>
      <w:r>
        <w:rPr>
          <w:rFonts w:ascii="宋体" w:hAnsi="宋体" w:cs="宋体" w:eastAsia="宋体" w:hint="default"/>
          <w:color w:val="0D0D0D"/>
        </w:rPr>
        <w:t>-</w:t>
      </w:r>
      <w:r>
        <w:rPr>
          <w:color w:val="0D0D0D"/>
        </w:rPr>
        <w:t>金飞马奖”。</w:t>
      </w:r>
      <w:r>
        <w:rPr/>
      </w:r>
    </w:p>
    <w:p>
      <w:pPr>
        <w:spacing w:line="240" w:lineRule="auto" w:before="10"/>
        <w:rPr>
          <w:rFonts w:ascii="宋体" w:hAnsi="宋体" w:cs="宋体" w:eastAsia="宋体" w:hint="default"/>
          <w:sz w:val="17"/>
          <w:szCs w:val="17"/>
        </w:rPr>
      </w:pPr>
    </w:p>
    <w:p>
      <w:pPr>
        <w:pStyle w:val="BodyText"/>
        <w:spacing w:line="240" w:lineRule="auto"/>
        <w:ind w:left="1494" w:right="0"/>
        <w:jc w:val="left"/>
      </w:pPr>
      <w:r>
        <w:rPr>
          <w:rFonts w:ascii="宋体" w:hAnsi="宋体" w:cs="宋体" w:eastAsia="宋体" w:hint="default"/>
          <w:color w:val="0D0D0D"/>
        </w:rPr>
        <w:t>2017</w:t>
      </w:r>
      <w:r>
        <w:rPr>
          <w:color w:val="0D0D0D"/>
        </w:rPr>
        <w:t>年</w:t>
      </w:r>
      <w:r>
        <w:rPr>
          <w:rFonts w:ascii="宋体" w:hAnsi="宋体" w:cs="宋体" w:eastAsia="宋体" w:hint="default"/>
          <w:color w:val="0D0D0D"/>
        </w:rPr>
        <w:t>9</w:t>
      </w:r>
      <w:r>
        <w:rPr>
          <w:color w:val="0D0D0D"/>
        </w:rPr>
        <w:t>月</w:t>
      </w:r>
      <w:r>
        <w:rPr>
          <w:rFonts w:ascii="宋体" w:hAnsi="宋体" w:cs="宋体" w:eastAsia="宋体" w:hint="default"/>
          <w:color w:val="0D0D0D"/>
        </w:rPr>
        <w:t>, </w:t>
      </w:r>
      <w:r>
        <w:rPr>
          <w:color w:val="0D0D0D"/>
        </w:rPr>
        <w:t>今天国际荣获深圳市先进制造业联合会先制联“第一届理事会副会长单位”。</w:t>
      </w:r>
      <w:r>
        <w:rPr/>
      </w:r>
    </w:p>
    <w:p>
      <w:pPr>
        <w:spacing w:line="240" w:lineRule="auto" w:before="10"/>
        <w:rPr>
          <w:rFonts w:ascii="宋体" w:hAnsi="宋体" w:cs="宋体" w:eastAsia="宋体" w:hint="default"/>
          <w:sz w:val="17"/>
          <w:szCs w:val="17"/>
        </w:rPr>
      </w:pPr>
    </w:p>
    <w:p>
      <w:pPr>
        <w:pStyle w:val="BodyText"/>
        <w:spacing w:line="240" w:lineRule="auto"/>
        <w:ind w:left="1493" w:right="0"/>
        <w:jc w:val="left"/>
      </w:pPr>
      <w:r>
        <w:rPr>
          <w:rFonts w:ascii="宋体" w:hAnsi="宋体" w:cs="宋体" w:eastAsia="宋体" w:hint="default"/>
          <w:color w:val="0D0D0D"/>
        </w:rPr>
        <w:t>2017</w:t>
      </w:r>
      <w:r>
        <w:rPr>
          <w:color w:val="0D0D0D"/>
        </w:rPr>
        <w:t>年</w:t>
      </w:r>
      <w:r>
        <w:rPr>
          <w:rFonts w:ascii="宋体" w:hAnsi="宋体" w:cs="宋体" w:eastAsia="宋体" w:hint="default"/>
          <w:color w:val="0D0D0D"/>
        </w:rPr>
        <w:t>10</w:t>
      </w:r>
      <w:r>
        <w:rPr>
          <w:color w:val="0D0D0D"/>
        </w:rPr>
        <w:t>月</w:t>
      </w:r>
      <w:r>
        <w:rPr>
          <w:rFonts w:ascii="宋体" w:hAnsi="宋体" w:cs="宋体" w:eastAsia="宋体" w:hint="default"/>
          <w:color w:val="0D0D0D"/>
        </w:rPr>
        <w:t>, </w:t>
      </w:r>
      <w:r>
        <w:rPr>
          <w:color w:val="0D0D0D"/>
        </w:rPr>
        <w:t>今天国际喜获“中国家居行业供应链与智慧物流优秀供应商”称号。</w:t>
      </w:r>
      <w:r>
        <w:rPr/>
      </w:r>
    </w:p>
    <w:p>
      <w:pPr>
        <w:spacing w:line="240" w:lineRule="auto" w:before="10"/>
        <w:rPr>
          <w:rFonts w:ascii="宋体" w:hAnsi="宋体" w:cs="宋体" w:eastAsia="宋体" w:hint="default"/>
          <w:sz w:val="17"/>
          <w:szCs w:val="17"/>
        </w:rPr>
      </w:pPr>
    </w:p>
    <w:p>
      <w:pPr>
        <w:pStyle w:val="BodyText"/>
        <w:spacing w:line="240" w:lineRule="auto"/>
        <w:ind w:left="1493" w:right="0"/>
        <w:jc w:val="left"/>
      </w:pPr>
      <w:r>
        <w:rPr>
          <w:rFonts w:ascii="宋体" w:hAnsi="宋体" w:cs="宋体" w:eastAsia="宋体" w:hint="default"/>
          <w:color w:val="0D0D0D"/>
        </w:rPr>
        <w:t>2017</w:t>
      </w:r>
      <w:r>
        <w:rPr>
          <w:color w:val="0D0D0D"/>
        </w:rPr>
        <w:t>年</w:t>
      </w:r>
      <w:r>
        <w:rPr>
          <w:rFonts w:ascii="宋体" w:hAnsi="宋体" w:cs="宋体" w:eastAsia="宋体" w:hint="default"/>
          <w:color w:val="0D0D0D"/>
        </w:rPr>
        <w:t>11</w:t>
      </w:r>
      <w:r>
        <w:rPr>
          <w:color w:val="0D0D0D"/>
        </w:rPr>
        <w:t>月</w:t>
      </w:r>
      <w:r>
        <w:rPr>
          <w:rFonts w:ascii="宋体" w:hAnsi="宋体" w:cs="宋体" w:eastAsia="宋体" w:hint="default"/>
          <w:color w:val="0D0D0D"/>
        </w:rPr>
        <w:t>, </w:t>
      </w:r>
      <w:r>
        <w:rPr>
          <w:color w:val="0D0D0D"/>
        </w:rPr>
        <w:t>今天国际荣获中国物流知名品牌（物流系统集成）奖项。</w:t>
      </w:r>
      <w:r>
        <w:rPr/>
      </w:r>
    </w:p>
    <w:p>
      <w:pPr>
        <w:spacing w:line="240" w:lineRule="auto" w:before="10"/>
        <w:rPr>
          <w:rFonts w:ascii="宋体" w:hAnsi="宋体" w:cs="宋体" w:eastAsia="宋体" w:hint="default"/>
          <w:sz w:val="17"/>
          <w:szCs w:val="17"/>
        </w:rPr>
      </w:pPr>
    </w:p>
    <w:p>
      <w:pPr>
        <w:pStyle w:val="BodyText"/>
        <w:spacing w:line="240" w:lineRule="auto"/>
        <w:ind w:left="1493" w:right="0"/>
        <w:jc w:val="left"/>
      </w:pPr>
      <w:r>
        <w:rPr>
          <w:rFonts w:ascii="宋体" w:hAnsi="宋体" w:cs="宋体" w:eastAsia="宋体" w:hint="default"/>
          <w:color w:val="0D0D0D"/>
        </w:rPr>
        <w:t>2017</w:t>
      </w:r>
      <w:r>
        <w:rPr>
          <w:color w:val="0D0D0D"/>
        </w:rPr>
        <w:t>年</w:t>
      </w:r>
      <w:r>
        <w:rPr>
          <w:rFonts w:ascii="宋体" w:hAnsi="宋体" w:cs="宋体" w:eastAsia="宋体" w:hint="default"/>
          <w:color w:val="0D0D0D"/>
        </w:rPr>
        <w:t>12</w:t>
      </w:r>
      <w:r>
        <w:rPr>
          <w:color w:val="0D0D0D"/>
        </w:rPr>
        <w:t>月</w:t>
      </w:r>
      <w:r>
        <w:rPr>
          <w:rFonts w:ascii="宋体" w:hAnsi="宋体" w:cs="宋体" w:eastAsia="宋体" w:hint="default"/>
          <w:color w:val="0D0D0D"/>
        </w:rPr>
        <w:t>, </w:t>
      </w:r>
      <w:r>
        <w:rPr>
          <w:color w:val="0D0D0D"/>
        </w:rPr>
        <w:t>今天国际喜获“中国智慧物流与智能制造装备技术知名品牌”奖项。</w:t>
      </w:r>
      <w:r>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2、履行精准扶贫社会责任情况" w:id="96"/>
      <w:bookmarkEnd w:id="96"/>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公司报告年度未开展精准扶贫工作，未来将积极参与精准扶贫工作。</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环境保护相关的情况" w:id="97"/>
      <w:bookmarkEnd w:id="97"/>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9"/>
        <w:rPr>
          <w:rFonts w:ascii="宋体" w:hAnsi="宋体" w:cs="宋体" w:eastAsia="宋体" w:hint="default"/>
          <w:b/>
          <w:bCs/>
          <w:sz w:val="26"/>
          <w:szCs w:val="26"/>
        </w:rPr>
      </w:pPr>
    </w:p>
    <w:p>
      <w:pPr>
        <w:pStyle w:val="BodyText"/>
        <w:spacing w:line="439" w:lineRule="auto"/>
        <w:ind w:left="1134" w:right="5712"/>
        <w:jc w:val="left"/>
      </w:pPr>
      <w:r>
        <w:rPr/>
        <w:t>上市公司及其子公司是否属于环境保护部门公布的重点排污单位 否</w:t>
      </w:r>
    </w:p>
    <w:p>
      <w:pPr>
        <w:pStyle w:val="BodyText"/>
        <w:spacing w:line="240" w:lineRule="auto" w:before="124"/>
        <w:ind w:left="1134" w:right="0"/>
        <w:jc w:val="left"/>
      </w:pPr>
      <w:r>
        <w:rPr/>
        <w:t>本公司及其子公司从事业务主要为软件和信息技术服务，不会造成环境污染。</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Heading2"/>
        <w:spacing w:line="240" w:lineRule="auto"/>
        <w:ind w:right="0"/>
        <w:jc w:val="left"/>
        <w:rPr>
          <w:b w:val="0"/>
          <w:bCs w:val="0"/>
        </w:rPr>
      </w:pPr>
      <w:bookmarkStart w:name="十八、其他重大事项的说明" w:id="98"/>
      <w:bookmarkEnd w:id="98"/>
      <w:r>
        <w:rPr>
          <w:b w:val="0"/>
          <w:bCs w:val="0"/>
        </w:rPr>
      </w:r>
      <w:r>
        <w:rPr/>
        <w:t>十八、其他重大事项的说明</w:t>
      </w:r>
      <w:r>
        <w:rPr>
          <w:b w:val="0"/>
          <w:bCs w:val="0"/>
        </w:rPr>
      </w:r>
    </w:p>
    <w:p>
      <w:pPr>
        <w:spacing w:line="240" w:lineRule="auto" w:before="8"/>
        <w:rPr>
          <w:rFonts w:ascii="宋体" w:hAnsi="宋体" w:cs="宋体" w:eastAsia="宋体" w:hint="default"/>
          <w:b/>
          <w:bCs/>
          <w:sz w:val="32"/>
          <w:szCs w:val="32"/>
        </w:rPr>
      </w:pPr>
    </w:p>
    <w:p>
      <w:pPr>
        <w:pStyle w:val="BodyText"/>
        <w:spacing w:line="489"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公司报告期不存在需要说明的其他重大事项。</w:t>
      </w:r>
    </w:p>
    <w:p>
      <w:pPr>
        <w:spacing w:line="240" w:lineRule="auto" w:before="8"/>
        <w:rPr>
          <w:rFonts w:ascii="宋体" w:hAnsi="宋体" w:cs="宋体" w:eastAsia="宋体" w:hint="default"/>
          <w:sz w:val="16"/>
          <w:szCs w:val="16"/>
        </w:rPr>
      </w:pPr>
    </w:p>
    <w:p>
      <w:pPr>
        <w:pStyle w:val="Heading2"/>
        <w:spacing w:line="240" w:lineRule="auto"/>
        <w:ind w:right="0"/>
        <w:jc w:val="left"/>
        <w:rPr>
          <w:b w:val="0"/>
          <w:bCs w:val="0"/>
        </w:rPr>
      </w:pPr>
      <w:bookmarkStart w:name="十九、公司子公司重大事项" w:id="99"/>
      <w:bookmarkEnd w:id="99"/>
      <w:r>
        <w:rPr>
          <w:b w:val="0"/>
          <w:bCs w:val="0"/>
        </w:rPr>
      </w:r>
      <w:r>
        <w:rPr/>
        <w:t>十九、公司子公司重大事项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945" w:right="0"/>
        <w:jc w:val="left"/>
        <w:rPr>
          <w:b w:val="0"/>
          <w:bCs w:val="0"/>
        </w:rPr>
      </w:pPr>
      <w:bookmarkStart w:name="第六节 股份变动及股东情况" w:id="100"/>
      <w:bookmarkEnd w:id="100"/>
      <w:r>
        <w:rPr>
          <w:b w:val="0"/>
          <w:bCs w:val="0"/>
        </w:rPr>
      </w:r>
      <w:bookmarkStart w:name="_bookmark4" w:id="101"/>
      <w:bookmarkEnd w:id="101"/>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2"/>
      <w:bookmarkEnd w:id="102"/>
      <w:r>
        <w:rPr>
          <w:b w:val="0"/>
          <w:bCs w:val="0"/>
        </w:rPr>
      </w:r>
      <w:r>
        <w:rPr/>
        <w:t>一、股份变动情况</w:t>
      </w:r>
      <w:r>
        <w:rPr>
          <w:b w:val="0"/>
          <w:bCs w:val="0"/>
        </w:rPr>
      </w:r>
    </w:p>
    <w:p>
      <w:pPr>
        <w:spacing w:line="240" w:lineRule="auto" w:before="12"/>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747" w:footer="979" w:top="1060" w:bottom="1160" w:left="0" w:right="0"/>
        </w:sectPr>
      </w:pPr>
    </w:p>
    <w:p>
      <w:pPr>
        <w:pStyle w:val="Heading3"/>
        <w:spacing w:line="240" w:lineRule="auto" w:before="35"/>
        <w:ind w:right="0"/>
        <w:jc w:val="left"/>
        <w:rPr>
          <w:b w:val="0"/>
          <w:bCs w:val="0"/>
        </w:rPr>
      </w:pPr>
      <w:bookmarkStart w:name="1、股份变动情况" w:id="103"/>
      <w:bookmarkEnd w:id="103"/>
      <w:r>
        <w:rPr>
          <w:b w:val="0"/>
          <w:bCs w:val="0"/>
        </w:rPr>
      </w:r>
      <w:r>
        <w:rPr>
          <w:rFonts w:ascii="Times New Roman" w:hAnsi="Times New Roman" w:cs="Times New Roman" w:eastAsia="Times New Roman" w:hint="default"/>
          <w:w w:val="95"/>
        </w:rPr>
        <w:t>1</w:t>
      </w:r>
      <w:r>
        <w:rPr>
          <w:w w:val="95"/>
        </w:rPr>
        <w:t>、股份变动情况</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pStyle w:val="BodyText"/>
        <w:spacing w:line="240" w:lineRule="auto" w:before="137"/>
        <w:ind w:left="1113" w:right="1112"/>
        <w:jc w:val="center"/>
      </w:pPr>
      <w:r>
        <w:rPr/>
        <w:t>单位：股</w:t>
      </w:r>
    </w:p>
    <w:p>
      <w:pPr>
        <w:spacing w:after="0" w:line="240" w:lineRule="auto"/>
        <w:jc w:val="center"/>
        <w:sectPr>
          <w:type w:val="continuous"/>
          <w:pgSz w:w="11910" w:h="16840"/>
          <w:pgMar w:top="1060" w:bottom="1160" w:left="0" w:right="0"/>
          <w:cols w:num="2" w:equalWidth="0">
            <w:col w:w="2714" w:space="6205"/>
            <w:col w:w="2991"/>
          </w:cols>
        </w:sectPr>
      </w:pPr>
    </w:p>
    <w:p>
      <w:pPr>
        <w:spacing w:line="240" w:lineRule="auto" w:before="1"/>
        <w:rPr>
          <w:rFonts w:ascii="宋体" w:hAnsi="宋体" w:cs="宋体" w:eastAsia="宋体" w:hint="default"/>
          <w:sz w:val="5"/>
          <w:szCs w:val="5"/>
        </w:rPr>
      </w:pPr>
    </w:p>
    <w:tbl>
      <w:tblPr>
        <w:tblW w:w="0" w:type="auto"/>
        <w:jc w:val="left"/>
        <w:tblInd w:w="1140" w:type="dxa"/>
        <w:tblLayout w:type="fixed"/>
        <w:tblCellMar>
          <w:top w:w="0" w:type="dxa"/>
          <w:left w:w="0" w:type="dxa"/>
          <w:bottom w:w="0" w:type="dxa"/>
          <w:right w:w="0" w:type="dxa"/>
        </w:tblCellMar>
        <w:tblLook w:val="01E0"/>
      </w:tblPr>
      <w:tblGrid>
        <w:gridCol w:w="1820"/>
        <w:gridCol w:w="1004"/>
        <w:gridCol w:w="708"/>
        <w:gridCol w:w="852"/>
        <w:gridCol w:w="566"/>
        <w:gridCol w:w="992"/>
        <w:gridCol w:w="991"/>
        <w:gridCol w:w="993"/>
        <w:gridCol w:w="994"/>
        <w:gridCol w:w="708"/>
      </w:tblGrid>
      <w:tr>
        <w:trPr>
          <w:trHeight w:val="206" w:hRule="exact"/>
        </w:trPr>
        <w:tc>
          <w:tcPr>
            <w:tcW w:w="1820" w:type="dxa"/>
            <w:tcBorders>
              <w:top w:val="single" w:sz="4" w:space="0" w:color="000000"/>
              <w:left w:val="single" w:sz="4" w:space="0" w:color="000000"/>
              <w:bottom w:val="nil" w:sz="6" w:space="0" w:color="auto"/>
              <w:right w:val="single" w:sz="4" w:space="0" w:color="000000"/>
            </w:tcBorders>
            <w:shd w:val="clear" w:color="auto" w:fill="D2D2D2"/>
          </w:tcPr>
          <w:p>
            <w:pPr/>
          </w:p>
        </w:tc>
        <w:tc>
          <w:tcPr>
            <w:tcW w:w="171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395"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02"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0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4"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6" w:hRule="exact"/>
        </w:trPr>
        <w:tc>
          <w:tcPr>
            <w:tcW w:w="1820" w:type="dxa"/>
            <w:vMerge w:val="restart"/>
            <w:tcBorders>
              <w:top w:val="nil" w:sz="6" w:space="0" w:color="auto"/>
              <w:left w:val="single" w:sz="4" w:space="0" w:color="000000"/>
              <w:right w:val="single" w:sz="4" w:space="0" w:color="000000"/>
            </w:tcBorders>
            <w:shd w:val="clear" w:color="auto" w:fill="D2D2D2"/>
          </w:tcPr>
          <w:p>
            <w:pPr/>
          </w:p>
        </w:tc>
        <w:tc>
          <w:tcPr>
            <w:tcW w:w="1712" w:type="dxa"/>
            <w:gridSpan w:val="2"/>
            <w:vMerge/>
            <w:tcBorders>
              <w:left w:val="single" w:sz="4" w:space="0" w:color="000000"/>
              <w:bottom w:val="single" w:sz="4" w:space="0" w:color="000000"/>
              <w:right w:val="single" w:sz="4" w:space="0" w:color="000000"/>
            </w:tcBorders>
            <w:shd w:val="clear" w:color="auto" w:fill="D2D2D2"/>
          </w:tcPr>
          <w:p>
            <w:pPr/>
          </w:p>
        </w:tc>
        <w:tc>
          <w:tcPr>
            <w:tcW w:w="4395" w:type="dxa"/>
            <w:gridSpan w:val="5"/>
            <w:vMerge/>
            <w:tcBorders>
              <w:left w:val="single" w:sz="4" w:space="0" w:color="000000"/>
              <w:bottom w:val="single" w:sz="4" w:space="0" w:color="000000"/>
              <w:right w:val="single" w:sz="4" w:space="0" w:color="000000"/>
            </w:tcBorders>
            <w:shd w:val="clear" w:color="auto" w:fill="D2D2D2"/>
          </w:tcPr>
          <w:p>
            <w:pPr/>
          </w:p>
        </w:tc>
        <w:tc>
          <w:tcPr>
            <w:tcW w:w="1702"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820" w:type="dxa"/>
            <w:vMerge/>
            <w:tcBorders>
              <w:left w:val="single" w:sz="4" w:space="0" w:color="000000"/>
              <w:bottom w:val="nil" w:sz="6" w:space="0" w:color="auto"/>
              <w:right w:val="single" w:sz="4" w:space="0" w:color="000000"/>
            </w:tcBorders>
            <w:shd w:val="clear" w:color="auto" w:fill="D2D2D2"/>
          </w:tcPr>
          <w:p>
            <w:pPr/>
          </w:p>
        </w:tc>
        <w:tc>
          <w:tcPr>
            <w:tcW w:w="1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6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9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67"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82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4"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993"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63,000,000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9" w:right="0"/>
              <w:jc w:val="center"/>
              <w:rPr>
                <w:rFonts w:ascii="Times New Roman" w:hAnsi="Times New Roman" w:cs="Times New Roman" w:eastAsia="Times New Roman" w:hint="default"/>
                <w:sz w:val="18"/>
                <w:szCs w:val="18"/>
              </w:rPr>
            </w:pPr>
            <w:r>
              <w:rPr>
                <w:rFonts w:ascii="Times New Roman"/>
                <w:sz w:val="18"/>
              </w:rPr>
              <w:t>75.00%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2,829,600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50,400,000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-28,094,220</w:t>
            </w:r>
            <w:r>
              <w:rPr>
                <w:rFonts w:ascii="Times New Roman"/>
                <w:sz w:val="18"/>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25,135,380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6" w:right="0"/>
              <w:jc w:val="center"/>
              <w:rPr>
                <w:rFonts w:ascii="Times New Roman" w:hAnsi="Times New Roman" w:cs="Times New Roman" w:eastAsia="Times New Roman" w:hint="default"/>
                <w:sz w:val="18"/>
                <w:szCs w:val="18"/>
              </w:rPr>
            </w:pPr>
            <w:r>
              <w:rPr>
                <w:rFonts w:ascii="Times New Roman"/>
                <w:sz w:val="18"/>
              </w:rPr>
              <w:t>88,135,380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57.22%</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63,000,000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9" w:right="0"/>
              <w:jc w:val="center"/>
              <w:rPr>
                <w:rFonts w:ascii="Times New Roman" w:hAnsi="Times New Roman" w:cs="Times New Roman" w:eastAsia="Times New Roman" w:hint="default"/>
                <w:sz w:val="18"/>
                <w:szCs w:val="18"/>
              </w:rPr>
            </w:pPr>
            <w:r>
              <w:rPr>
                <w:rFonts w:ascii="Times New Roman"/>
                <w:sz w:val="18"/>
              </w:rPr>
              <w:t>75.00%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2,829,600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50,400,000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-28,094,220</w:t>
            </w:r>
            <w:r>
              <w:rPr>
                <w:rFonts w:ascii="Times New Roman"/>
                <w:sz w:val="18"/>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25,135,380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6" w:right="0"/>
              <w:jc w:val="center"/>
              <w:rPr>
                <w:rFonts w:ascii="Times New Roman" w:hAnsi="Times New Roman" w:cs="Times New Roman" w:eastAsia="Times New Roman" w:hint="default"/>
                <w:sz w:val="18"/>
                <w:szCs w:val="18"/>
              </w:rPr>
            </w:pPr>
            <w:r>
              <w:rPr>
                <w:rFonts w:ascii="Times New Roman"/>
                <w:sz w:val="18"/>
              </w:rPr>
              <w:t>88,135,380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57.22%</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10,778,000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9" w:right="0"/>
              <w:jc w:val="center"/>
              <w:rPr>
                <w:rFonts w:ascii="Times New Roman" w:hAnsi="Times New Roman" w:cs="Times New Roman" w:eastAsia="Times New Roman" w:hint="default"/>
                <w:sz w:val="18"/>
                <w:szCs w:val="18"/>
              </w:rPr>
            </w:pPr>
            <w:r>
              <w:rPr>
                <w:rFonts w:ascii="Times New Roman"/>
                <w:sz w:val="18"/>
              </w:rPr>
              <w:t>12.83%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8,622,400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-14,643,360</w:t>
            </w:r>
            <w:r>
              <w:rPr>
                <w:rFonts w:ascii="Times New Roman"/>
                <w:sz w:val="18"/>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-6,020,960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6" w:right="0"/>
              <w:jc w:val="center"/>
              <w:rPr>
                <w:rFonts w:ascii="Times New Roman" w:hAnsi="Times New Roman" w:cs="Times New Roman" w:eastAsia="Times New Roman" w:hint="default"/>
                <w:sz w:val="18"/>
                <w:szCs w:val="18"/>
              </w:rPr>
            </w:pPr>
            <w:r>
              <w:rPr>
                <w:rFonts w:ascii="Times New Roman"/>
                <w:sz w:val="18"/>
              </w:rPr>
              <w:t>4,757,040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3.09%</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52,222,000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9" w:right="0"/>
              <w:jc w:val="center"/>
              <w:rPr>
                <w:rFonts w:ascii="Times New Roman" w:hAnsi="Times New Roman" w:cs="Times New Roman" w:eastAsia="Times New Roman" w:hint="default"/>
                <w:sz w:val="18"/>
                <w:szCs w:val="18"/>
              </w:rPr>
            </w:pPr>
            <w:r>
              <w:rPr>
                <w:rFonts w:ascii="Times New Roman"/>
                <w:sz w:val="18"/>
              </w:rPr>
              <w:t>62.17%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2,829,600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41,777,600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-13,450,860</w:t>
            </w:r>
            <w:r>
              <w:rPr>
                <w:rFonts w:ascii="Times New Roman"/>
                <w:sz w:val="18"/>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31,156,340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6" w:right="0"/>
              <w:jc w:val="center"/>
              <w:rPr>
                <w:rFonts w:ascii="Times New Roman" w:hAnsi="Times New Roman" w:cs="Times New Roman" w:eastAsia="Times New Roman" w:hint="default"/>
                <w:sz w:val="18"/>
                <w:szCs w:val="18"/>
              </w:rPr>
            </w:pPr>
            <w:r>
              <w:rPr>
                <w:rFonts w:ascii="Times New Roman"/>
                <w:sz w:val="18"/>
              </w:rPr>
              <w:t>83,378,340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54.13%</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9" w:right="0"/>
              <w:jc w:val="center"/>
              <w:rPr>
                <w:rFonts w:ascii="Times New Roman" w:hAnsi="Times New Roman" w:cs="Times New Roman" w:eastAsia="Times New Roman" w:hint="default"/>
                <w:sz w:val="18"/>
                <w:szCs w:val="18"/>
              </w:rPr>
            </w:pPr>
            <w:r>
              <w:rPr>
                <w:rFonts w:ascii="Times New Roman"/>
                <w:sz w:val="18"/>
              </w:rPr>
              <w:t>25.00%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16,800,000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28,094,220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44,894,220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6" w:right="0"/>
              <w:jc w:val="center"/>
              <w:rPr>
                <w:rFonts w:ascii="Times New Roman" w:hAnsi="Times New Roman" w:cs="Times New Roman" w:eastAsia="Times New Roman" w:hint="default"/>
                <w:sz w:val="18"/>
                <w:szCs w:val="18"/>
              </w:rPr>
            </w:pPr>
            <w:r>
              <w:rPr>
                <w:rFonts w:ascii="Times New Roman"/>
                <w:sz w:val="18"/>
              </w:rPr>
              <w:t>65,894,220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42.78%</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9" w:right="0"/>
              <w:jc w:val="center"/>
              <w:rPr>
                <w:rFonts w:ascii="Times New Roman" w:hAnsi="Times New Roman" w:cs="Times New Roman" w:eastAsia="Times New Roman" w:hint="default"/>
                <w:sz w:val="18"/>
                <w:szCs w:val="18"/>
              </w:rPr>
            </w:pPr>
            <w:r>
              <w:rPr>
                <w:rFonts w:ascii="Times New Roman"/>
                <w:sz w:val="18"/>
              </w:rPr>
              <w:t>25.00%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16,800,000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28,094,220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44,894,220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6" w:right="0"/>
              <w:jc w:val="center"/>
              <w:rPr>
                <w:rFonts w:ascii="Times New Roman" w:hAnsi="Times New Roman" w:cs="Times New Roman" w:eastAsia="Times New Roman" w:hint="default"/>
                <w:sz w:val="18"/>
                <w:szCs w:val="18"/>
              </w:rPr>
            </w:pPr>
            <w:r>
              <w:rPr>
                <w:rFonts w:ascii="Times New Roman"/>
                <w:sz w:val="18"/>
              </w:rPr>
              <w:t>65,894,220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42.78%</w:t>
            </w:r>
          </w:p>
        </w:tc>
      </w:tr>
      <w:tr>
        <w:trPr>
          <w:trHeight w:val="403"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84,000,000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 w:right="0"/>
              <w:jc w:val="center"/>
              <w:rPr>
                <w:rFonts w:ascii="Times New Roman" w:hAnsi="Times New Roman" w:cs="Times New Roman" w:eastAsia="Times New Roman" w:hint="default"/>
                <w:sz w:val="18"/>
                <w:szCs w:val="18"/>
              </w:rPr>
            </w:pPr>
            <w:r>
              <w:rPr>
                <w:rFonts w:ascii="Times New Roman"/>
                <w:sz w:val="18"/>
              </w:rPr>
              <w:t>100.00%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2,829,600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67,200,000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70,029,600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6" w:right="0"/>
              <w:jc w:val="center"/>
              <w:rPr>
                <w:rFonts w:ascii="Times New Roman" w:hAnsi="Times New Roman" w:cs="Times New Roman" w:eastAsia="Times New Roman" w:hint="default"/>
                <w:sz w:val="18"/>
                <w:szCs w:val="18"/>
              </w:rPr>
            </w:pPr>
            <w:r>
              <w:rPr>
                <w:rFonts w:ascii="Times New Roman"/>
                <w:sz w:val="18"/>
              </w:rPr>
              <w:t>154,029,600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6"/>
        <w:rPr>
          <w:rFonts w:ascii="宋体" w:hAnsi="宋体" w:cs="宋体" w:eastAsia="宋体" w:hint="default"/>
          <w:sz w:val="6"/>
          <w:szCs w:val="6"/>
        </w:rPr>
      </w:pPr>
    </w:p>
    <w:p>
      <w:pPr>
        <w:pStyle w:val="BodyText"/>
        <w:spacing w:line="240" w:lineRule="auto" w:before="44"/>
        <w:ind w:left="1134" w:right="0"/>
        <w:jc w:val="left"/>
      </w:pPr>
      <w:r>
        <w:rPr/>
        <w:t>股份变动的原因</w:t>
      </w:r>
    </w:p>
    <w:p>
      <w:pPr>
        <w:spacing w:line="240" w:lineRule="auto" w:before="11"/>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19"/>
          <w:szCs w:val="19"/>
        </w:rPr>
      </w:pPr>
    </w:p>
    <w:p>
      <w:pPr>
        <w:pStyle w:val="BodyText"/>
        <w:spacing w:line="451" w:lineRule="auto"/>
        <w:ind w:right="0" w:firstLine="360"/>
        <w:jc w:val="left"/>
      </w:pPr>
      <w:r>
        <w:rPr/>
        <w:t>根据公司</w:t>
      </w:r>
      <w:r>
        <w:rPr>
          <w:rFonts w:ascii="Times New Roman" w:hAnsi="Times New Roman" w:cs="Times New Roman" w:eastAsia="Times New Roman" w:hint="default"/>
        </w:rPr>
        <w:t>2016</w:t>
      </w:r>
      <w:r>
        <w:rPr/>
        <w:t>年度利润分配及资本公积金转增股本方案，公司以截至</w:t>
      </w:r>
      <w:r>
        <w:rPr>
          <w:rFonts w:ascii="Times New Roman" w:hAnsi="Times New Roman" w:cs="Times New Roman" w:eastAsia="Times New Roman" w:hint="default"/>
        </w:rPr>
        <w:t>2016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日公司股本总数 </w:t>
      </w:r>
      <w:r>
        <w:rPr>
          <w:rFonts w:ascii="Times New Roman" w:hAnsi="Times New Roman" w:cs="Times New Roman" w:eastAsia="Times New Roman" w:hint="default"/>
        </w:rPr>
        <w:t>84,000,000</w:t>
      </w:r>
      <w:r>
        <w:rPr>
          <w:rFonts w:ascii="Times New Roman" w:hAnsi="Times New Roman" w:cs="Times New Roman" w:eastAsia="Times New Roman" w:hint="default"/>
          <w:spacing w:val="14"/>
        </w:rPr>
        <w:t> </w:t>
      </w:r>
      <w:r>
        <w:rPr/>
        <w:t>股为基 数，以资本公积金转增股本，每</w:t>
      </w:r>
      <w:r>
        <w:rPr>
          <w:spacing w:val="-16"/>
        </w:rPr>
        <w:t> </w:t>
      </w:r>
      <w:r>
        <w:rPr>
          <w:rFonts w:ascii="Times New Roman" w:hAnsi="Times New Roman" w:cs="Times New Roman" w:eastAsia="Times New Roman" w:hint="default"/>
        </w:rPr>
        <w:t>10</w:t>
      </w:r>
      <w:r>
        <w:rPr>
          <w:rFonts w:ascii="Times New Roman" w:hAnsi="Times New Roman" w:cs="Times New Roman" w:eastAsia="Times New Roman" w:hint="default"/>
          <w:spacing w:val="29"/>
        </w:rPr>
        <w:t> </w:t>
      </w:r>
      <w:r>
        <w:rPr/>
        <w:t>股转增</w:t>
      </w:r>
      <w:r>
        <w:rPr>
          <w:spacing w:val="-15"/>
        </w:rPr>
        <w:t> </w:t>
      </w:r>
      <w:r>
        <w:rPr>
          <w:rFonts w:ascii="Times New Roman" w:hAnsi="Times New Roman" w:cs="Times New Roman" w:eastAsia="Times New Roman" w:hint="default"/>
        </w:rPr>
        <w:t>8</w:t>
      </w:r>
      <w:r>
        <w:rPr>
          <w:rFonts w:ascii="Times New Roman" w:hAnsi="Times New Roman" w:cs="Times New Roman" w:eastAsia="Times New Roman" w:hint="default"/>
          <w:spacing w:val="29"/>
        </w:rPr>
        <w:t> </w:t>
      </w:r>
      <w:r>
        <w:rPr/>
        <w:t>股，合计转增</w:t>
      </w:r>
      <w:r>
        <w:rPr>
          <w:spacing w:val="-16"/>
        </w:rPr>
        <w:t> </w:t>
      </w:r>
      <w:r>
        <w:rPr>
          <w:rFonts w:ascii="Times New Roman" w:hAnsi="Times New Roman" w:cs="Times New Roman" w:eastAsia="Times New Roman" w:hint="default"/>
        </w:rPr>
        <w:t>67,200,000</w:t>
      </w:r>
      <w:r>
        <w:rPr>
          <w:rFonts w:ascii="Times New Roman" w:hAnsi="Times New Roman" w:cs="Times New Roman" w:eastAsia="Times New Roman" w:hint="default"/>
          <w:spacing w:val="27"/>
        </w:rPr>
        <w:t> </w:t>
      </w:r>
      <w:r>
        <w:rPr/>
        <w:t>股。本次资本公积金转增股本完成后，公司注册资</w:t>
      </w:r>
      <w:r>
        <w:rPr>
          <w:spacing w:val="-88"/>
        </w:rPr>
        <w:t> </w:t>
      </w:r>
      <w:r>
        <w:rPr>
          <w:spacing w:val="-88"/>
        </w:rPr>
      </w:r>
      <w:r>
        <w:rPr/>
        <w:t>本相应增加</w:t>
      </w:r>
      <w:r>
        <w:rPr>
          <w:rFonts w:ascii="Times New Roman" w:hAnsi="Times New Roman" w:cs="Times New Roman" w:eastAsia="Times New Roman" w:hint="default"/>
        </w:rPr>
        <w:t>67,200,000</w:t>
      </w:r>
      <w:r>
        <w:rPr/>
        <w:t>元。根据《上市公司股权激励管理办法》、公司《</w:t>
      </w:r>
      <w:r>
        <w:rPr>
          <w:rFonts w:ascii="Times New Roman" w:hAnsi="Times New Roman" w:cs="Times New Roman" w:eastAsia="Times New Roman" w:hint="default"/>
        </w:rPr>
        <w:t>2017</w:t>
      </w:r>
      <w:r>
        <w:rPr/>
        <w:t>年限制性股票激励计划》的有关规定，公司以</w:t>
      </w:r>
      <w:r>
        <w:rPr>
          <w:spacing w:val="-85"/>
        </w:rPr>
        <w:t> </w:t>
      </w:r>
      <w:r>
        <w:rPr>
          <w:spacing w:val="-85"/>
        </w:rPr>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17</w:t>
      </w:r>
      <w:r>
        <w:rPr>
          <w:spacing w:val="-2"/>
        </w:rPr>
        <w:t>日为授予日，授予</w:t>
      </w:r>
      <w:r>
        <w:rPr>
          <w:rFonts w:ascii="Times New Roman" w:hAnsi="Times New Roman" w:cs="Times New Roman" w:eastAsia="Times New Roman" w:hint="default"/>
          <w:spacing w:val="-2"/>
        </w:rPr>
        <w:t>88</w:t>
      </w:r>
      <w:r>
        <w:rPr>
          <w:spacing w:val="-2"/>
        </w:rPr>
        <w:t>名激励对象</w:t>
      </w:r>
      <w:r>
        <w:rPr>
          <w:rFonts w:ascii="Times New Roman" w:hAnsi="Times New Roman" w:cs="Times New Roman" w:eastAsia="Times New Roman" w:hint="default"/>
          <w:spacing w:val="-2"/>
        </w:rPr>
        <w:t>2,829,600</w:t>
      </w:r>
      <w:r>
        <w:rPr>
          <w:spacing w:val="-2"/>
        </w:rPr>
        <w:t>股限制性股票。本次授予完成后，公司注册资本相应增加</w:t>
      </w:r>
      <w:r>
        <w:rPr>
          <w:rFonts w:ascii="Times New Roman" w:hAnsi="Times New Roman" w:cs="Times New Roman" w:eastAsia="Times New Roman" w:hint="default"/>
          <w:spacing w:val="-2"/>
        </w:rPr>
        <w:t>2,829,600</w:t>
      </w:r>
      <w:r>
        <w:rPr>
          <w:spacing w:val="-2"/>
        </w:rPr>
        <w:t>元。</w:t>
      </w:r>
      <w:r>
        <w:rPr>
          <w:spacing w:val="-38"/>
        </w:rPr>
        <w:t> </w:t>
      </w:r>
      <w:r>
        <w:rPr/>
        <w:t>综上，公司经过本次变动，注册资本由</w:t>
      </w:r>
      <w:r>
        <w:rPr>
          <w:rFonts w:ascii="Times New Roman" w:hAnsi="Times New Roman" w:cs="Times New Roman" w:eastAsia="Times New Roman" w:hint="default"/>
        </w:rPr>
        <w:t>84,000,000</w:t>
      </w:r>
      <w:r>
        <w:rPr/>
        <w:t>元增加至</w:t>
      </w:r>
      <w:r>
        <w:rPr>
          <w:rFonts w:ascii="Times New Roman" w:hAnsi="Times New Roman" w:cs="Times New Roman" w:eastAsia="Times New Roman" w:hint="default"/>
        </w:rPr>
        <w:t>154,029,600</w:t>
      </w:r>
      <w:r>
        <w:rPr/>
        <w:t>元，合计增加</w:t>
      </w:r>
      <w:r>
        <w:rPr>
          <w:rFonts w:ascii="Times New Roman" w:hAnsi="Times New Roman" w:cs="Times New Roman" w:eastAsia="Times New Roman" w:hint="default"/>
        </w:rPr>
        <w:t>70,029,600</w:t>
      </w:r>
      <w:r>
        <w:rPr/>
        <w:t>元。</w:t>
      </w:r>
    </w:p>
    <w:p>
      <w:pPr>
        <w:pStyle w:val="BodyText"/>
        <w:spacing w:line="451" w:lineRule="auto" w:before="43"/>
        <w:ind w:right="1129" w:firstLine="360"/>
        <w:jc w:val="both"/>
      </w:pPr>
      <w:r>
        <w:rPr>
          <w:spacing w:val="-2"/>
        </w:rPr>
        <w:t>陈伟国、皖江（芜湖）物流产业投资基金（有限合伙）（以下简称</w:t>
      </w:r>
      <w:r>
        <w:rPr>
          <w:rFonts w:ascii="Times New Roman" w:hAnsi="Times New Roman" w:cs="Times New Roman" w:eastAsia="Times New Roman" w:hint="default"/>
          <w:spacing w:val="-2"/>
        </w:rPr>
        <w:t>“</w:t>
      </w:r>
      <w:r>
        <w:rPr>
          <w:spacing w:val="-2"/>
        </w:rPr>
        <w:t>皖江投资</w:t>
      </w:r>
      <w:r>
        <w:rPr>
          <w:rFonts w:ascii="Times New Roman" w:hAnsi="Times New Roman" w:cs="Times New Roman" w:eastAsia="Times New Roman" w:hint="default"/>
          <w:spacing w:val="-2"/>
        </w:rPr>
        <w:t>”</w:t>
      </w:r>
      <w:r>
        <w:rPr>
          <w:spacing w:val="-2"/>
        </w:rPr>
        <w:t>）、深圳市盛桥创源投资合伙企业（以下</w:t>
      </w:r>
      <w:r>
        <w:rPr/>
        <w:t> </w:t>
      </w:r>
      <w:r>
        <w:rPr>
          <w:spacing w:val="-1"/>
        </w:rPr>
        <w:t>简称</w:t>
      </w:r>
      <w:r>
        <w:rPr>
          <w:rFonts w:ascii="Times New Roman" w:hAnsi="Times New Roman" w:cs="Times New Roman" w:eastAsia="Times New Roman" w:hint="default"/>
          <w:spacing w:val="-1"/>
        </w:rPr>
        <w:t>“</w:t>
      </w:r>
      <w:r>
        <w:rPr>
          <w:spacing w:val="-1"/>
        </w:rPr>
        <w:t>盛桥创源</w:t>
      </w:r>
      <w:r>
        <w:rPr>
          <w:rFonts w:ascii="Times New Roman" w:hAnsi="Times New Roman" w:cs="Times New Roman" w:eastAsia="Times New Roman" w:hint="default"/>
          <w:spacing w:val="-1"/>
        </w:rPr>
        <w:t>”</w:t>
      </w:r>
      <w:r>
        <w:rPr>
          <w:spacing w:val="-1"/>
        </w:rPr>
        <w:t>）、颜明霞、陈锦棣、深圳市新智丰投资合伙企业（有限合伙）（以下简称</w:t>
      </w:r>
      <w:r>
        <w:rPr>
          <w:rFonts w:ascii="Times New Roman" w:hAnsi="Times New Roman" w:cs="Times New Roman" w:eastAsia="Times New Roman" w:hint="default"/>
          <w:spacing w:val="-1"/>
        </w:rPr>
        <w:t>“</w:t>
      </w:r>
      <w:r>
        <w:rPr>
          <w:spacing w:val="-1"/>
        </w:rPr>
        <w:t>新智丰</w:t>
      </w:r>
      <w:r>
        <w:rPr>
          <w:rFonts w:ascii="Times New Roman" w:hAnsi="Times New Roman" w:cs="Times New Roman" w:eastAsia="Times New Roman" w:hint="default"/>
          <w:spacing w:val="-1"/>
        </w:rPr>
        <w:t>”</w:t>
      </w:r>
      <w:r>
        <w:rPr>
          <w:spacing w:val="-1"/>
        </w:rPr>
        <w:t>）、深圳市金美华投资</w:t>
      </w:r>
      <w:r>
        <w:rPr>
          <w:spacing w:val="-78"/>
        </w:rPr>
        <w:t> </w:t>
      </w:r>
      <w:r>
        <w:rPr>
          <w:spacing w:val="-78"/>
        </w:rPr>
      </w:r>
      <w:r>
        <w:rPr>
          <w:spacing w:val="-1"/>
        </w:rPr>
        <w:t>合伙企业（有限合伙）（以下简称</w:t>
      </w:r>
      <w:r>
        <w:rPr>
          <w:rFonts w:ascii="Times New Roman" w:hAnsi="Times New Roman" w:cs="Times New Roman" w:eastAsia="Times New Roman" w:hint="default"/>
          <w:spacing w:val="-1"/>
        </w:rPr>
        <w:t>“</w:t>
      </w:r>
      <w:r>
        <w:rPr>
          <w:spacing w:val="-1"/>
        </w:rPr>
        <w:t>金美华</w:t>
      </w:r>
      <w:r>
        <w:rPr>
          <w:rFonts w:ascii="Times New Roman" w:hAnsi="Times New Roman" w:cs="Times New Roman" w:eastAsia="Times New Roman" w:hint="default"/>
          <w:spacing w:val="-1"/>
        </w:rPr>
        <w:t>”</w:t>
      </w:r>
      <w:r>
        <w:rPr>
          <w:spacing w:val="-1"/>
        </w:rPr>
        <w:t>）、巨丰企业管理咨询（深圳）有限公司（以下简称</w:t>
      </w:r>
      <w:r>
        <w:rPr>
          <w:rFonts w:ascii="Times New Roman" w:hAnsi="Times New Roman" w:cs="Times New Roman" w:eastAsia="Times New Roman" w:hint="default"/>
          <w:spacing w:val="-1"/>
        </w:rPr>
        <w:t>“</w:t>
      </w:r>
      <w:r>
        <w:rPr>
          <w:spacing w:val="-1"/>
        </w:rPr>
        <w:t>深圳巨丰</w:t>
      </w:r>
      <w:r>
        <w:rPr>
          <w:rFonts w:ascii="Times New Roman" w:hAnsi="Times New Roman" w:cs="Times New Roman" w:eastAsia="Times New Roman" w:hint="default"/>
          <w:spacing w:val="-1"/>
        </w:rPr>
        <w:t>”</w:t>
      </w:r>
      <w:r>
        <w:rPr>
          <w:spacing w:val="-1"/>
        </w:rPr>
        <w:t>）、林宜生申请</w:t>
      </w:r>
      <w:r>
        <w:rPr>
          <w:spacing w:val="-83"/>
        </w:rPr>
        <w:t> </w:t>
      </w:r>
      <w:r>
        <w:rPr>
          <w:spacing w:val="-83"/>
        </w:rPr>
      </w:r>
      <w:r>
        <w:rPr/>
        <w:t>限售股份的上市流通，本次首发限售股解禁日期为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18</w:t>
      </w:r>
      <w:r>
        <w:rPr/>
        <w:t>日（星期五），本次解除限售的股份为公司首次公开发行前 已发行的部分股份，数量为</w:t>
      </w:r>
      <w:r>
        <w:rPr>
          <w:rFonts w:ascii="Times New Roman" w:hAnsi="Times New Roman" w:cs="Times New Roman" w:eastAsia="Times New Roman" w:hint="default"/>
        </w:rPr>
        <w:t>28,094,220</w:t>
      </w:r>
      <w:r>
        <w:rPr/>
        <w:t>股，占公司总股本的</w:t>
      </w:r>
      <w:r>
        <w:rPr>
          <w:rFonts w:ascii="Times New Roman" w:hAnsi="Times New Roman" w:cs="Times New Roman" w:eastAsia="Times New Roman" w:hint="default"/>
        </w:rPr>
        <w:t>18.24%</w:t>
      </w:r>
      <w:r>
        <w:rPr/>
        <w:t>。</w:t>
      </w:r>
    </w:p>
    <w:p>
      <w:pPr>
        <w:spacing w:line="240" w:lineRule="auto" w:before="0"/>
        <w:rPr>
          <w:rFonts w:ascii="宋体" w:hAnsi="宋体" w:cs="宋体" w:eastAsia="宋体" w:hint="default"/>
          <w:sz w:val="18"/>
          <w:szCs w:val="18"/>
        </w:rPr>
      </w:pPr>
    </w:p>
    <w:p>
      <w:pPr>
        <w:pStyle w:val="BodyText"/>
        <w:spacing w:line="240" w:lineRule="auto" w:before="161"/>
        <w:ind w:right="0"/>
        <w:jc w:val="left"/>
      </w:pPr>
      <w:r>
        <w:rPr/>
        <w:t>股份变动的批准情况</w:t>
      </w:r>
    </w:p>
    <w:p>
      <w:pPr>
        <w:spacing w:line="240" w:lineRule="auto" w:before="10"/>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477" w:lineRule="auto" w:before="0"/>
        <w:ind w:left="1493" w:right="1123" w:firstLine="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、资本公积转增资本导致股份变动</w:t>
      </w:r>
      <w:r>
        <w:rPr>
          <w:rFonts w:ascii="宋体" w:hAnsi="宋体" w:cs="宋体" w:eastAsia="宋体" w:hint="default"/>
          <w:b/>
          <w:bCs/>
          <w:w w:val="99"/>
          <w:sz w:val="18"/>
          <w:szCs w:val="18"/>
        </w:rPr>
        <w:t> </w:t>
      </w:r>
      <w:r>
        <w:rPr>
          <w:rFonts w:ascii="宋体" w:hAnsi="宋体" w:cs="宋体" w:eastAsia="宋体" w:hint="default"/>
          <w:sz w:val="18"/>
          <w:szCs w:val="18"/>
        </w:rPr>
        <w:t>公司</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年年度权益分派方案已获</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日召开的</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年年度股东大会审议通过，详见巨潮资讯网《</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年年度</w:t>
      </w:r>
    </w:p>
    <w:p>
      <w:pPr>
        <w:spacing w:line="451" w:lineRule="auto" w:before="21"/>
        <w:ind w:left="1494" w:right="7002" w:hanging="360"/>
        <w:jc w:val="left"/>
        <w:rPr>
          <w:rFonts w:ascii="宋体" w:hAnsi="宋体" w:cs="宋体" w:eastAsia="宋体" w:hint="default"/>
          <w:sz w:val="18"/>
          <w:szCs w:val="18"/>
        </w:rPr>
      </w:pPr>
      <w:r>
        <w:rPr>
          <w:rFonts w:ascii="宋体" w:hAnsi="宋体" w:cs="宋体" w:eastAsia="宋体" w:hint="default"/>
          <w:sz w:val="18"/>
          <w:szCs w:val="18"/>
        </w:rPr>
        <w:t>股东大会决议公告》（公告编号：</w:t>
      </w:r>
      <w:r>
        <w:rPr>
          <w:rFonts w:ascii="Times New Roman" w:hAnsi="Times New Roman" w:cs="Times New Roman" w:eastAsia="Times New Roman" w:hint="default"/>
          <w:sz w:val="18"/>
          <w:szCs w:val="18"/>
        </w:rPr>
        <w:t>2017-032</w:t>
      </w:r>
      <w:r>
        <w:rPr>
          <w:rFonts w:ascii="宋体" w:hAnsi="宋体" w:cs="宋体" w:eastAsia="宋体" w:hint="default"/>
          <w:sz w:val="18"/>
          <w:szCs w:val="18"/>
        </w:rPr>
        <w:t>）。 </w:t>
      </w:r>
      <w:r>
        <w:rPr>
          <w:rFonts w:ascii="宋体" w:hAnsi="宋体" w:cs="宋体" w:eastAsia="宋体" w:hint="default"/>
          <w:b/>
          <w:bCs/>
          <w:sz w:val="18"/>
          <w:szCs w:val="18"/>
        </w:rPr>
        <w:t>2</w:t>
      </w:r>
      <w:r>
        <w:rPr>
          <w:rFonts w:ascii="宋体" w:hAnsi="宋体" w:cs="宋体" w:eastAsia="宋体" w:hint="default"/>
          <w:b/>
          <w:bCs/>
          <w:sz w:val="18"/>
          <w:szCs w:val="18"/>
        </w:rPr>
        <w:t>、股权激励实施导致股份变动</w:t>
      </w:r>
      <w:r>
        <w:rPr>
          <w:rFonts w:ascii="宋体" w:hAnsi="宋体" w:cs="宋体" w:eastAsia="宋体" w:hint="default"/>
          <w:sz w:val="18"/>
          <w:szCs w:val="18"/>
        </w:rPr>
      </w:r>
    </w:p>
    <w:p>
      <w:pPr>
        <w:pStyle w:val="BodyText"/>
        <w:spacing w:line="451" w:lineRule="auto" w:before="74"/>
        <w:ind w:right="1112" w:firstLine="360"/>
        <w:jc w:val="left"/>
      </w:pP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日召开的</w:t>
      </w:r>
      <w:r>
        <w:rPr>
          <w:rFonts w:ascii="Times New Roman" w:hAnsi="Times New Roman" w:cs="Times New Roman" w:eastAsia="Times New Roman" w:hint="default"/>
        </w:rPr>
        <w:t>2016</w:t>
      </w:r>
      <w:r>
        <w:rPr/>
        <w:t>年年度股东大会审议通过公</w:t>
      </w:r>
      <w:r>
        <w:rPr>
          <w:spacing w:val="-71"/>
        </w:rPr>
        <w:t>司</w:t>
      </w:r>
      <w:r>
        <w:rPr/>
        <w:t>《</w:t>
      </w:r>
      <w:r>
        <w:rPr>
          <w:rFonts w:ascii="Times New Roman" w:hAnsi="Times New Roman" w:cs="Times New Roman" w:eastAsia="Times New Roman" w:hint="default"/>
        </w:rPr>
        <w:t>2017 </w:t>
      </w:r>
      <w:r>
        <w:rPr>
          <w:rFonts w:ascii="Times New Roman" w:hAnsi="Times New Roman" w:cs="Times New Roman" w:eastAsia="Times New Roman" w:hint="default"/>
          <w:spacing w:val="-17"/>
        </w:rPr>
        <w:t> </w:t>
      </w:r>
      <w:r>
        <w:rPr>
          <w:spacing w:val="-2"/>
        </w:rPr>
        <w:t>年</w:t>
      </w:r>
      <w:r>
        <w:rPr/>
        <w:t>限制性股票激励计</w:t>
      </w:r>
      <w:r>
        <w:rPr>
          <w:spacing w:val="-71"/>
        </w:rPr>
        <w:t>划</w:t>
      </w:r>
      <w:r>
        <w:rPr/>
        <w:t>（草案</w:t>
      </w:r>
      <w:r>
        <w:rPr>
          <w:spacing w:val="-71"/>
        </w:rPr>
        <w:t>）》</w:t>
      </w:r>
      <w:r>
        <w:rPr/>
        <w:t>及其摘要</w:t>
      </w:r>
      <w:r>
        <w:rPr>
          <w:spacing w:val="-142"/>
        </w:rPr>
        <w:t>、</w:t>
      </w:r>
      <w:r>
        <w:rPr/>
        <w:t>《</w:t>
      </w:r>
      <w:r>
        <w:rPr>
          <w:rFonts w:ascii="Times New Roman" w:hAnsi="Times New Roman" w:cs="Times New Roman" w:eastAsia="Times New Roman" w:hint="default"/>
        </w:rPr>
        <w:t>2017 </w:t>
      </w:r>
      <w:r>
        <w:rPr/>
        <w:t>年限制性股票激励计划实施考核管理办法</w:t>
      </w:r>
      <w:r>
        <w:rPr>
          <w:spacing w:val="-72"/>
        </w:rPr>
        <w:t>》</w:t>
      </w:r>
      <w:r>
        <w:rPr/>
        <w:t>等议案</w:t>
      </w:r>
      <w:r>
        <w:rPr>
          <w:spacing w:val="-72"/>
        </w:rPr>
        <w:t>，</w:t>
      </w:r>
      <w:r>
        <w:rPr/>
        <w:t>详见巨潮资讯</w:t>
      </w:r>
      <w:r>
        <w:rPr>
          <w:spacing w:val="-72"/>
        </w:rPr>
        <w:t>网</w:t>
      </w:r>
      <w:r>
        <w:rPr/>
        <w:t>《</w:t>
      </w:r>
      <w:r>
        <w:rPr>
          <w:rFonts w:ascii="Times New Roman" w:hAnsi="Times New Roman" w:cs="Times New Roman" w:eastAsia="Times New Roman" w:hint="default"/>
        </w:rPr>
        <w:t>2016</w:t>
      </w:r>
      <w:r>
        <w:rPr/>
        <w:t>年年度股东大会决议公告</w:t>
      </w:r>
      <w:r>
        <w:rPr>
          <w:spacing w:val="-144"/>
        </w:rPr>
        <w:t>》</w:t>
      </w:r>
      <w:r>
        <w:rPr/>
        <w:t>（公告编号</w:t>
      </w:r>
      <w:r>
        <w:rPr>
          <w:spacing w:val="-72"/>
        </w:rPr>
        <w:t>：</w:t>
      </w:r>
      <w:r>
        <w:rPr>
          <w:rFonts w:ascii="Times New Roman" w:hAnsi="Times New Roman" w:cs="Times New Roman" w:eastAsia="Times New Roman" w:hint="default"/>
        </w:rPr>
        <w:t>2017-032</w:t>
      </w:r>
      <w:r>
        <w:rPr>
          <w:spacing w:val="-71"/>
        </w:rPr>
        <w:t>）；</w:t>
      </w:r>
      <w:r>
        <w:rPr/>
      </w:r>
    </w:p>
    <w:p>
      <w:pPr>
        <w:pStyle w:val="BodyText"/>
        <w:spacing w:line="240" w:lineRule="auto" w:before="43"/>
        <w:ind w:left="1493" w:right="0"/>
        <w:jc w:val="left"/>
      </w:pP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17</w:t>
      </w:r>
      <w:r>
        <w:rPr/>
        <w:t>日第三届董事会第六次会议审议通过《关于调整公司</w:t>
      </w:r>
      <w:r>
        <w:rPr>
          <w:rFonts w:ascii="Times New Roman" w:hAnsi="Times New Roman" w:cs="Times New Roman" w:eastAsia="Times New Roman" w:hint="default"/>
        </w:rPr>
        <w:t>2017</w:t>
      </w:r>
      <w:r>
        <w:rPr/>
        <w:t>年限制性股票激励计划相关事项的议案》，</w:t>
      </w:r>
    </w:p>
    <w:p>
      <w:pPr>
        <w:spacing w:line="240" w:lineRule="auto" w:before="9"/>
        <w:rPr>
          <w:rFonts w:ascii="宋体" w:hAnsi="宋体" w:cs="宋体" w:eastAsia="宋体" w:hint="default"/>
          <w:sz w:val="16"/>
          <w:szCs w:val="16"/>
        </w:rPr>
      </w:pPr>
    </w:p>
    <w:p>
      <w:pPr>
        <w:pStyle w:val="BodyText"/>
        <w:spacing w:line="240" w:lineRule="auto"/>
        <w:ind w:right="0"/>
        <w:jc w:val="left"/>
      </w:pPr>
      <w:r>
        <w:rPr/>
        <w:t>《关于向激励对象首次授予限制性股票的议案》，详见巨潮资讯网《第三届董事会第六次会议决议公告》（公告编号：</w:t>
      </w:r>
    </w:p>
    <w:p>
      <w:pPr>
        <w:spacing w:line="240" w:lineRule="auto" w:before="10"/>
        <w:rPr>
          <w:rFonts w:ascii="宋体" w:hAnsi="宋体" w:cs="宋体" w:eastAsia="宋体" w:hint="default"/>
          <w:sz w:val="17"/>
          <w:szCs w:val="17"/>
        </w:rPr>
      </w:pPr>
    </w:p>
    <w:p>
      <w:pPr>
        <w:pStyle w:val="BodyText"/>
        <w:spacing w:line="240" w:lineRule="auto"/>
        <w:ind w:right="0"/>
        <w:jc w:val="left"/>
      </w:pPr>
      <w:r>
        <w:rPr>
          <w:rFonts w:ascii="Times New Roman" w:hAnsi="Times New Roman" w:cs="Times New Roman" w:eastAsia="Times New Roman" w:hint="default"/>
        </w:rPr>
        <w:t>2017-038</w:t>
      </w:r>
      <w:r>
        <w:rPr/>
        <w:t>）；</w:t>
      </w:r>
    </w:p>
    <w:p>
      <w:pPr>
        <w:spacing w:line="240" w:lineRule="auto" w:before="9"/>
        <w:rPr>
          <w:rFonts w:ascii="宋体" w:hAnsi="宋体" w:cs="宋体" w:eastAsia="宋体" w:hint="default"/>
          <w:sz w:val="16"/>
          <w:szCs w:val="16"/>
        </w:rPr>
      </w:pPr>
    </w:p>
    <w:p>
      <w:pPr>
        <w:pStyle w:val="BodyText"/>
        <w:spacing w:line="451" w:lineRule="auto"/>
        <w:ind w:right="1229" w:firstLine="360"/>
        <w:jc w:val="left"/>
      </w:pP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6</w:t>
      </w:r>
      <w:r>
        <w:rPr/>
        <w:t>日</w:t>
      </w:r>
      <w:r>
        <w:rPr>
          <w:rFonts w:ascii="Times New Roman" w:hAnsi="Times New Roman" w:cs="Times New Roman" w:eastAsia="Times New Roman" w:hint="default"/>
        </w:rPr>
        <w:t>2017</w:t>
      </w:r>
      <w:r>
        <w:rPr/>
        <w:t>年第二次临时股东大会审议通过《关于增加公司注册资本的议案》，详见巨潮资讯网《</w:t>
      </w:r>
      <w:r>
        <w:rPr>
          <w:rFonts w:ascii="Times New Roman" w:hAnsi="Times New Roman" w:cs="Times New Roman" w:eastAsia="Times New Roman" w:hint="default"/>
        </w:rPr>
        <w:t>2017 </w:t>
      </w:r>
      <w:r>
        <w:rPr/>
        <w:t>年第二次临时股东大会决议公告》（公告编号：</w:t>
      </w:r>
      <w:r>
        <w:rPr>
          <w:rFonts w:ascii="Times New Roman" w:hAnsi="Times New Roman" w:cs="Times New Roman" w:eastAsia="Times New Roman" w:hint="default"/>
        </w:rPr>
        <w:t>2017-045</w:t>
      </w:r>
      <w:r>
        <w:rPr/>
        <w:t>）。</w:t>
      </w:r>
    </w:p>
    <w:p>
      <w:pPr>
        <w:pStyle w:val="Heading4"/>
        <w:spacing w:line="240" w:lineRule="auto" w:before="43"/>
        <w:ind w:left="1494" w:right="0"/>
        <w:jc w:val="left"/>
        <w:rPr>
          <w:b w:val="0"/>
          <w:bCs w:val="0"/>
        </w:rPr>
      </w:pPr>
      <w:r>
        <w:rPr>
          <w:rFonts w:ascii="宋体" w:hAnsi="宋体" w:cs="宋体" w:eastAsia="宋体" w:hint="default"/>
        </w:rPr>
        <w:t>3</w:t>
      </w:r>
      <w:r>
        <w:rPr/>
        <w:t>、限售股解禁</w:t>
      </w:r>
      <w:r>
        <w:rPr>
          <w:b w:val="0"/>
          <w:bCs w:val="0"/>
        </w:rPr>
      </w:r>
    </w:p>
    <w:p>
      <w:pPr>
        <w:spacing w:line="240" w:lineRule="auto" w:before="10"/>
        <w:rPr>
          <w:rFonts w:ascii="宋体" w:hAnsi="宋体" w:cs="宋体" w:eastAsia="宋体" w:hint="default"/>
          <w:b/>
          <w:bCs/>
          <w:sz w:val="17"/>
          <w:szCs w:val="17"/>
        </w:rPr>
      </w:pPr>
    </w:p>
    <w:p>
      <w:pPr>
        <w:pStyle w:val="BodyText"/>
        <w:spacing w:line="451" w:lineRule="auto"/>
        <w:ind w:right="1049" w:firstLine="36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18</w:t>
      </w:r>
      <w:r>
        <w:rPr/>
        <w:t>日对公司首次公开发行前已发行的部分股份进行解禁，首发限售股解禁日期为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18</w:t>
      </w:r>
      <w:r>
        <w:rPr/>
        <w:t>日（星期五）， 数量为</w:t>
      </w:r>
      <w:r>
        <w:rPr>
          <w:rFonts w:ascii="Times New Roman" w:hAnsi="Times New Roman" w:cs="Times New Roman" w:eastAsia="Times New Roman" w:hint="default"/>
        </w:rPr>
        <w:t>28,094,220</w:t>
      </w:r>
      <w:r>
        <w:rPr/>
        <w:t>股，占公司总股本的</w:t>
      </w:r>
      <w:r>
        <w:rPr>
          <w:rFonts w:ascii="Times New Roman" w:hAnsi="Times New Roman" w:cs="Times New Roman" w:eastAsia="Times New Roman" w:hint="default"/>
        </w:rPr>
        <w:t>18.24%</w:t>
      </w:r>
      <w:r>
        <w:rPr/>
        <w:t>。详见巨潮资讯网《首次公开发行前已发行股份上市流通提示性公告》（公告 编号：</w:t>
      </w:r>
      <w:r>
        <w:rPr>
          <w:rFonts w:ascii="Times New Roman" w:hAnsi="Times New Roman" w:cs="Times New Roman" w:eastAsia="Times New Roman" w:hint="default"/>
        </w:rPr>
        <w:t>2017-060</w:t>
      </w:r>
      <w:r>
        <w:rPr/>
        <w:t>）。</w:t>
      </w:r>
    </w:p>
    <w:p>
      <w:pPr>
        <w:pStyle w:val="BodyText"/>
        <w:spacing w:line="240" w:lineRule="auto" w:before="84"/>
        <w:ind w:left="1134" w:right="0"/>
        <w:jc w:val="left"/>
      </w:pPr>
      <w:r>
        <w:rPr/>
        <w:t>股份变动的过户情况</w:t>
      </w:r>
    </w:p>
    <w:p>
      <w:pPr>
        <w:spacing w:line="240" w:lineRule="auto" w:before="12"/>
        <w:rPr>
          <w:rFonts w:ascii="宋体" w:hAnsi="宋体" w:cs="宋体" w:eastAsia="宋体" w:hint="default"/>
          <w:sz w:val="20"/>
          <w:szCs w:val="20"/>
        </w:rPr>
      </w:pPr>
    </w:p>
    <w:p>
      <w:pPr>
        <w:pStyle w:val="BodyText"/>
        <w:spacing w:line="489" w:lineRule="auto"/>
        <w:ind w:right="13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240" w:lineRule="auto" w:before="8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13"/>
          <w:szCs w:val="13"/>
        </w:rPr>
      </w:pPr>
    </w:p>
    <w:p>
      <w:pPr>
        <w:pStyle w:val="BodyText"/>
        <w:spacing w:line="309" w:lineRule="auto"/>
        <w:ind w:right="1123"/>
        <w:jc w:val="left"/>
      </w:pPr>
      <w:r>
        <w:rPr>
          <w:rFonts w:ascii="Times New Roman" w:hAnsi="Times New Roman" w:cs="Times New Roman" w:eastAsia="Times New Roman" w:hint="default"/>
        </w:rPr>
        <w:t>1</w:t>
      </w:r>
      <w:r>
        <w:rPr/>
        <w:t>、每股收益：</w:t>
      </w:r>
      <w:r>
        <w:rPr>
          <w:rFonts w:ascii="Times New Roman" w:hAnsi="Times New Roman" w:cs="Times New Roman" w:eastAsia="Times New Roman" w:hint="default"/>
        </w:rPr>
        <w:t>2017</w:t>
      </w:r>
      <w:r>
        <w:rPr/>
        <w:t>年度每股收益较</w:t>
      </w:r>
      <w:r>
        <w:rPr>
          <w:rFonts w:ascii="Times New Roman" w:hAnsi="Times New Roman" w:cs="Times New Roman" w:eastAsia="Times New Roman" w:hint="default"/>
        </w:rPr>
        <w:t>2016</w:t>
      </w:r>
      <w:r>
        <w:rPr/>
        <w:t>年度上升，主要系报告期内净利润同比上升，且报告期内资本公积转增股本对</w:t>
      </w:r>
      <w:r>
        <w:rPr>
          <w:rFonts w:ascii="Times New Roman" w:hAnsi="Times New Roman" w:cs="Times New Roman" w:eastAsia="Times New Roman" w:hint="default"/>
        </w:rPr>
        <w:t>2016 </w:t>
      </w:r>
      <w:r>
        <w:rPr/>
        <w:t>年的每股收益进行追溯调整； </w:t>
      </w:r>
      <w:r>
        <w:rPr>
          <w:rFonts w:ascii="Times New Roman" w:hAnsi="Times New Roman" w:cs="Times New Roman" w:eastAsia="Times New Roman" w:hint="default"/>
        </w:rPr>
        <w:t>2</w:t>
      </w:r>
      <w:r>
        <w:rPr/>
        <w:t>、每股净资产：</w:t>
      </w:r>
      <w:r>
        <w:rPr>
          <w:rFonts w:ascii="Times New Roman" w:hAnsi="Times New Roman" w:cs="Times New Roman" w:eastAsia="Times New Roman" w:hint="default"/>
        </w:rPr>
        <w:t>2017</w:t>
      </w:r>
      <w:r>
        <w:rPr/>
        <w:t>年每股净资产较</w:t>
      </w:r>
      <w:r>
        <w:rPr>
          <w:rFonts w:ascii="Times New Roman" w:hAnsi="Times New Roman" w:cs="Times New Roman" w:eastAsia="Times New Roman" w:hint="default"/>
        </w:rPr>
        <w:t>2016</w:t>
      </w:r>
      <w:r>
        <w:rPr/>
        <w:t>年下降</w:t>
      </w:r>
      <w:r>
        <w:rPr>
          <w:rFonts w:ascii="Times New Roman" w:hAnsi="Times New Roman" w:cs="Times New Roman" w:eastAsia="Times New Roman" w:hint="default"/>
        </w:rPr>
        <w:t>41.55%</w:t>
      </w:r>
      <w:r>
        <w:rPr/>
        <w:t>，主要系报告期内资本公积转增股本</w:t>
      </w:r>
      <w:r>
        <w:rPr>
          <w:rFonts w:ascii="Times New Roman" w:hAnsi="Times New Roman" w:cs="Times New Roman" w:eastAsia="Times New Roman" w:hint="default"/>
        </w:rPr>
        <w:t>6720</w:t>
      </w:r>
      <w:r>
        <w:rPr/>
        <w:t>万股。</w:t>
      </w:r>
    </w:p>
    <w:p>
      <w:pPr>
        <w:pStyle w:val="BodyText"/>
        <w:spacing w:line="240" w:lineRule="auto" w:before="124"/>
        <w:ind w:left="1134" w:right="0"/>
        <w:jc w:val="left"/>
      </w:pPr>
      <w:r>
        <w:rPr/>
        <w:t>公司认为必要或证券监管机构要求披露的其他内容</w:t>
      </w:r>
    </w:p>
    <w:p>
      <w:pPr>
        <w:spacing w:line="240" w:lineRule="auto" w:before="10"/>
        <w:rPr>
          <w:rFonts w:ascii="宋体" w:hAnsi="宋体" w:cs="宋体" w:eastAsia="宋体" w:hint="default"/>
          <w:sz w:val="20"/>
          <w:szCs w:val="20"/>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3"/>
        <w:spacing w:line="240" w:lineRule="auto"/>
        <w:ind w:right="0"/>
        <w:jc w:val="left"/>
        <w:rPr>
          <w:b w:val="0"/>
          <w:bCs w:val="0"/>
        </w:rPr>
      </w:pPr>
      <w:bookmarkStart w:name="2、限售股份变动情况" w:id="104"/>
      <w:bookmarkEnd w:id="104"/>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63"/>
        <w:ind w:left="0" w:right="1130"/>
        <w:jc w:val="right"/>
      </w:pPr>
      <w:r>
        <w:rPr/>
        <w:t>单位：股</w:t>
      </w:r>
    </w:p>
    <w:p>
      <w:pPr>
        <w:spacing w:line="240" w:lineRule="auto" w:before="1"/>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1844"/>
        <w:gridCol w:w="1418"/>
        <w:gridCol w:w="992"/>
        <w:gridCol w:w="992"/>
        <w:gridCol w:w="1276"/>
        <w:gridCol w:w="1559"/>
        <w:gridCol w:w="1489"/>
      </w:tblGrid>
      <w:tr>
        <w:trPr>
          <w:trHeight w:val="71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0" w:right="39"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0" w:right="41"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13"/>
              <w:jc w:val="right"/>
              <w:rPr>
                <w:rFonts w:ascii="宋体" w:hAnsi="宋体" w:cs="宋体" w:eastAsia="宋体" w:hint="default"/>
                <w:sz w:val="18"/>
                <w:szCs w:val="18"/>
              </w:rPr>
            </w:pPr>
            <w:r>
              <w:rPr>
                <w:rFonts w:ascii="宋体" w:hAnsi="宋体" w:cs="宋体" w:eastAsia="宋体" w:hint="default"/>
                <w:sz w:val="18"/>
                <w:szCs w:val="18"/>
              </w:rPr>
              <w:t>限售原因</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邵健伟</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4" w:right="0"/>
              <w:jc w:val="left"/>
              <w:rPr>
                <w:rFonts w:ascii="Times New Roman" w:hAnsi="Times New Roman" w:cs="Times New Roman" w:eastAsia="Times New Roman" w:hint="default"/>
                <w:sz w:val="18"/>
                <w:szCs w:val="18"/>
              </w:rPr>
            </w:pPr>
            <w:r>
              <w:rPr>
                <w:rFonts w:ascii="Times New Roman"/>
                <w:sz w:val="18"/>
              </w:rPr>
              <w:t>39,463,700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8" w:right="0"/>
              <w:jc w:val="left"/>
              <w:rPr>
                <w:rFonts w:ascii="Times New Roman" w:hAnsi="Times New Roman" w:cs="Times New Roman" w:eastAsia="Times New Roman" w:hint="default"/>
                <w:sz w:val="18"/>
                <w:szCs w:val="18"/>
              </w:rPr>
            </w:pPr>
            <w:r>
              <w:rPr>
                <w:rFonts w:ascii="Times New Roman"/>
                <w:sz w:val="18"/>
              </w:rPr>
              <w:t>31,570,960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3" w:right="0"/>
              <w:jc w:val="left"/>
              <w:rPr>
                <w:rFonts w:ascii="Times New Roman" w:hAnsi="Times New Roman" w:cs="Times New Roman" w:eastAsia="Times New Roman" w:hint="default"/>
                <w:sz w:val="18"/>
                <w:szCs w:val="18"/>
              </w:rPr>
            </w:pPr>
            <w:r>
              <w:rPr>
                <w:rFonts w:ascii="Times New Roman"/>
                <w:sz w:val="18"/>
              </w:rPr>
              <w:t>71,034,660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44"/>
              <w:jc w:val="right"/>
              <w:rPr>
                <w:rFonts w:ascii="宋体" w:hAnsi="宋体" w:cs="宋体" w:eastAsia="宋体" w:hint="default"/>
                <w:sz w:val="18"/>
                <w:szCs w:val="18"/>
              </w:rPr>
            </w:pPr>
            <w:r>
              <w:rPr>
                <w:rFonts w:ascii="宋体" w:hAnsi="宋体" w:cs="宋体" w:eastAsia="宋体" w:hint="default"/>
                <w:sz w:val="18"/>
                <w:szCs w:val="18"/>
              </w:rPr>
              <w:t>首发限售承诺</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9"/>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bl>
    <w:p>
      <w:pPr>
        <w:spacing w:after="0" w:line="240" w:lineRule="auto"/>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844"/>
        <w:gridCol w:w="1418"/>
        <w:gridCol w:w="992"/>
        <w:gridCol w:w="992"/>
        <w:gridCol w:w="1276"/>
        <w:gridCol w:w="1559"/>
        <w:gridCol w:w="1489"/>
      </w:tblGrid>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邵健锋</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5,285,600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4,228,480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9,514,080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9"/>
              <w:jc w:val="left"/>
              <w:rPr>
                <w:rFonts w:ascii="宋体" w:hAnsi="宋体" w:cs="宋体" w:eastAsia="宋体" w:hint="default"/>
                <w:sz w:val="18"/>
                <w:szCs w:val="18"/>
              </w:rPr>
            </w:pPr>
            <w:r>
              <w:rPr>
                <w:rFonts w:ascii="宋体" w:hAnsi="宋体" w:cs="宋体" w:eastAsia="宋体" w:hint="default"/>
                <w:sz w:val="18"/>
                <w:szCs w:val="18"/>
              </w:rPr>
              <w:t>深圳市华锐丰投资合 伙企业（有限合伙）</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2,642,800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2,114,240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4,757,040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陈伟国</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3,964,200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7,135,560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3,171,360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
              <w:jc w:val="left"/>
              <w:rPr>
                <w:rFonts w:ascii="宋体" w:hAnsi="宋体" w:cs="宋体" w:eastAsia="宋体" w:hint="default"/>
                <w:sz w:val="18"/>
                <w:szCs w:val="18"/>
              </w:rPr>
            </w:pPr>
            <w:r>
              <w:rPr>
                <w:rFonts w:ascii="宋体" w:hAnsi="宋体" w:cs="宋体" w:eastAsia="宋体" w:hint="default"/>
                <w:sz w:val="18"/>
                <w:szCs w:val="18"/>
              </w:rPr>
              <w:t>皖江（芜湖）物流产业 投资基金（有限合伙）</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8"/>
              <w:jc w:val="left"/>
              <w:rPr>
                <w:rFonts w:ascii="宋体" w:hAnsi="宋体" w:cs="宋体" w:eastAsia="宋体" w:hint="default"/>
                <w:sz w:val="18"/>
                <w:szCs w:val="18"/>
              </w:rPr>
            </w:pPr>
            <w:r>
              <w:rPr>
                <w:rFonts w:ascii="宋体" w:hAnsi="宋体" w:cs="宋体" w:eastAsia="宋体" w:hint="default"/>
                <w:sz w:val="18"/>
                <w:szCs w:val="18"/>
              </w:rPr>
              <w:t>深圳市盛桥创源投资 合伙企业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3,240,000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1,440,000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颜明霞</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陈锦棣</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1,162,800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2,093,040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930,240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9"/>
              <w:jc w:val="left"/>
              <w:rPr>
                <w:rFonts w:ascii="宋体" w:hAnsi="宋体" w:cs="宋体" w:eastAsia="宋体" w:hint="default"/>
                <w:sz w:val="18"/>
                <w:szCs w:val="18"/>
              </w:rPr>
            </w:pPr>
            <w:r>
              <w:rPr>
                <w:rFonts w:ascii="宋体" w:hAnsi="宋体" w:cs="宋体" w:eastAsia="宋体" w:hint="default"/>
                <w:sz w:val="18"/>
                <w:szCs w:val="18"/>
              </w:rPr>
              <w:t>深圳市新智丰投资合 伙企业（有限合伙）</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1,141,700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2,055,060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913,360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9"/>
              <w:jc w:val="left"/>
              <w:rPr>
                <w:rFonts w:ascii="宋体" w:hAnsi="宋体" w:cs="宋体" w:eastAsia="宋体" w:hint="default"/>
                <w:sz w:val="18"/>
                <w:szCs w:val="18"/>
              </w:rPr>
            </w:pPr>
            <w:r>
              <w:rPr>
                <w:rFonts w:ascii="宋体" w:hAnsi="宋体" w:cs="宋体" w:eastAsia="宋体" w:hint="default"/>
                <w:sz w:val="18"/>
                <w:szCs w:val="18"/>
              </w:rPr>
              <w:t>深圳市金美华投资合 伙企业（有限合伙）</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1,136,400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2,045,520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909,120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巨丰企业管理咨询（深</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圳）有限公司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1,057,100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1,902,780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845,680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林宜生</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845,700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1,522,260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676,560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102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2,829,600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2,829,600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84"/>
              <w:jc w:val="left"/>
              <w:rPr>
                <w:rFonts w:ascii="宋体" w:hAnsi="宋体" w:cs="宋体" w:eastAsia="宋体" w:hint="default"/>
                <w:sz w:val="18"/>
                <w:szCs w:val="18"/>
              </w:rPr>
            </w:pPr>
            <w:r>
              <w:rPr>
                <w:rFonts w:ascii="宋体" w:hAnsi="宋体" w:cs="宋体" w:eastAsia="宋体" w:hint="default"/>
                <w:sz w:val="18"/>
                <w:szCs w:val="18"/>
              </w:rPr>
              <w:t>限制性股票股权激 励首次授予</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28,094,220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53,229,600</w:t>
            </w:r>
          </w:p>
        </w:tc>
        <w:tc>
          <w:tcPr>
            <w:tcW w:w="127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88,135,380</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二、证券发行与上市情况" w:id="105"/>
      <w:bookmarkEnd w:id="105"/>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证券发行（不含优先股）情况" w:id="106"/>
      <w:bookmarkEnd w:id="106"/>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13"/>
        <w:gridCol w:w="1292"/>
        <w:gridCol w:w="1295"/>
        <w:gridCol w:w="1296"/>
        <w:gridCol w:w="1296"/>
        <w:gridCol w:w="1295"/>
        <w:gridCol w:w="1682"/>
      </w:tblGrid>
      <w:tr>
        <w:trPr>
          <w:trHeight w:val="714" w:hRule="exact"/>
        </w:trPr>
        <w:tc>
          <w:tcPr>
            <w:tcW w:w="1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0" w:right="70"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62" w:right="22"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62" w:right="101" w:hanging="361"/>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4"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8"/>
              <w:jc w:val="left"/>
              <w:rPr>
                <w:rFonts w:ascii="宋体" w:hAnsi="宋体" w:cs="宋体" w:eastAsia="宋体" w:hint="default"/>
                <w:sz w:val="18"/>
                <w:szCs w:val="18"/>
              </w:rPr>
            </w:pPr>
            <w:r>
              <w:rPr>
                <w:rFonts w:ascii="宋体" w:hAnsi="宋体" w:cs="宋体" w:eastAsia="宋体" w:hint="default"/>
                <w:sz w:val="18"/>
                <w:szCs w:val="18"/>
              </w:rPr>
              <w:t>股权激励限制性 股票</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42" w:right="0"/>
              <w:jc w:val="left"/>
              <w:rPr>
                <w:rFonts w:ascii="Times New Roman" w:hAnsi="Times New Roman" w:cs="Times New Roman" w:eastAsia="Times New Roman" w:hint="default"/>
                <w:sz w:val="18"/>
                <w:szCs w:val="18"/>
              </w:rPr>
            </w:pPr>
            <w:r>
              <w:rPr>
                <w:rFonts w:ascii="Times New Roman"/>
                <w:sz w:val="18"/>
              </w:rPr>
              <w:t>2,829,600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41" w:right="0"/>
              <w:jc w:val="left"/>
              <w:rPr>
                <w:rFonts w:ascii="Times New Roman" w:hAnsi="Times New Roman" w:cs="Times New Roman" w:eastAsia="Times New Roman" w:hint="default"/>
                <w:sz w:val="18"/>
                <w:szCs w:val="18"/>
              </w:rPr>
            </w:pPr>
            <w:r>
              <w:rPr>
                <w:rFonts w:ascii="Times New Roman"/>
                <w:sz w:val="18"/>
              </w:rPr>
              <w:t>2,829,600</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pStyle w:val="BodyText"/>
        <w:spacing w:line="439" w:lineRule="auto" w:before="51"/>
        <w:ind w:left="1494" w:right="1122" w:hanging="360"/>
        <w:jc w:val="left"/>
      </w:pPr>
      <w:r>
        <w:rPr/>
        <w:t>报告期内证券发行（不含优先股）情况的说明 根据《上市公司股权激励管理办法》、公司《</w:t>
      </w:r>
      <w:r>
        <w:rPr>
          <w:rFonts w:ascii="Times New Roman" w:hAnsi="Times New Roman" w:cs="Times New Roman" w:eastAsia="Times New Roman" w:hint="default"/>
        </w:rPr>
        <w:t>2017</w:t>
      </w:r>
      <w:r>
        <w:rPr/>
        <w:t>年限制性股票激励计划》的有关规定，公司以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17</w:t>
      </w:r>
      <w:r>
        <w:rPr/>
        <w:t>日为授予</w:t>
      </w:r>
    </w:p>
    <w:p>
      <w:pPr>
        <w:pStyle w:val="BodyText"/>
        <w:spacing w:line="240" w:lineRule="auto" w:before="53"/>
        <w:ind w:right="0"/>
        <w:jc w:val="left"/>
      </w:pPr>
      <w:r>
        <w:rPr/>
        <w:t>日，授予</w:t>
      </w:r>
      <w:r>
        <w:rPr>
          <w:rFonts w:ascii="Times New Roman" w:hAnsi="Times New Roman" w:cs="Times New Roman" w:eastAsia="Times New Roman" w:hint="default"/>
        </w:rPr>
        <w:t>88</w:t>
      </w:r>
      <w:r>
        <w:rPr/>
        <w:t>名激励对象</w:t>
      </w:r>
      <w:r>
        <w:rPr>
          <w:rFonts w:ascii="Times New Roman" w:hAnsi="Times New Roman" w:cs="Times New Roman" w:eastAsia="Times New Roman" w:hint="default"/>
        </w:rPr>
        <w:t>2,829,600</w:t>
      </w:r>
      <w:r>
        <w:rPr/>
        <w:t>股限制性股票。</w:t>
      </w:r>
    </w:p>
    <w:p>
      <w:pPr>
        <w:spacing w:line="240" w:lineRule="auto" w:before="9"/>
        <w:rPr>
          <w:rFonts w:ascii="宋体" w:hAnsi="宋体" w:cs="宋体" w:eastAsia="宋体" w:hint="default"/>
          <w:sz w:val="16"/>
          <w:szCs w:val="16"/>
        </w:rPr>
      </w:pPr>
    </w:p>
    <w:p>
      <w:pPr>
        <w:pStyle w:val="BodyText"/>
        <w:spacing w:line="240" w:lineRule="auto"/>
        <w:ind w:left="1494" w:right="0"/>
        <w:jc w:val="left"/>
        <w:rPr>
          <w:rFonts w:ascii="Times New Roman" w:hAnsi="Times New Roman" w:cs="Times New Roman" w:eastAsia="Times New Roman" w:hint="default"/>
        </w:rPr>
      </w:pP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日召开的</w:t>
      </w:r>
      <w:r>
        <w:rPr>
          <w:rFonts w:ascii="Times New Roman" w:hAnsi="Times New Roman" w:cs="Times New Roman" w:eastAsia="Times New Roman" w:hint="default"/>
        </w:rPr>
        <w:t>2016</w:t>
      </w:r>
      <w:r>
        <w:rPr/>
        <w:t>年年度股东大会审议通过公</w:t>
      </w:r>
      <w:r>
        <w:rPr>
          <w:spacing w:val="-71"/>
        </w:rPr>
        <w:t>司</w:t>
      </w:r>
      <w:r>
        <w:rPr/>
        <w:t>《</w:t>
      </w:r>
      <w:r>
        <w:rPr>
          <w:rFonts w:ascii="Times New Roman" w:hAnsi="Times New Roman" w:cs="Times New Roman" w:eastAsia="Times New Roman" w:hint="default"/>
        </w:rPr>
        <w:t>2017 </w:t>
      </w:r>
      <w:r>
        <w:rPr>
          <w:rFonts w:ascii="Times New Roman" w:hAnsi="Times New Roman" w:cs="Times New Roman" w:eastAsia="Times New Roman" w:hint="default"/>
          <w:spacing w:val="-17"/>
        </w:rPr>
        <w:t> </w:t>
      </w:r>
      <w:r>
        <w:rPr>
          <w:spacing w:val="-2"/>
        </w:rPr>
        <w:t>年</w:t>
      </w:r>
      <w:r>
        <w:rPr/>
        <w:t>限制性股票激励计</w:t>
      </w:r>
      <w:r>
        <w:rPr>
          <w:spacing w:val="-71"/>
        </w:rPr>
        <w:t>划</w:t>
      </w:r>
      <w:r>
        <w:rPr/>
        <w:t>（草案</w:t>
      </w:r>
      <w:r>
        <w:rPr>
          <w:spacing w:val="-71"/>
        </w:rPr>
        <w:t>）》</w:t>
      </w:r>
      <w:r>
        <w:rPr/>
        <w:t>及其摘要</w:t>
      </w:r>
      <w:r>
        <w:rPr>
          <w:spacing w:val="-142"/>
        </w:rPr>
        <w:t>、</w:t>
      </w:r>
      <w:r>
        <w:rPr/>
        <w:t>《</w:t>
      </w:r>
      <w:r>
        <w:rPr>
          <w:rFonts w:ascii="Times New Roman" w:hAnsi="Times New Roman" w:cs="Times New Roman" w:eastAsia="Times New Roman" w:hint="default"/>
        </w:rPr>
        <w:t>2017</w:t>
      </w:r>
    </w:p>
    <w:p>
      <w:pPr>
        <w:spacing w:after="0" w:line="240" w:lineRule="auto"/>
        <w:jc w:val="left"/>
        <w:rPr>
          <w:rFonts w:ascii="Times New Roman" w:hAnsi="Times New Roman" w:cs="Times New Roman" w:eastAsia="Times New Roman" w:hint="default"/>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6"/>
          <w:szCs w:val="16"/>
        </w:rPr>
      </w:pPr>
    </w:p>
    <w:p>
      <w:pPr>
        <w:pStyle w:val="BodyText"/>
        <w:spacing w:line="451" w:lineRule="auto" w:before="44"/>
        <w:ind w:left="1493" w:right="0" w:hanging="360"/>
        <w:jc w:val="left"/>
      </w:pPr>
      <w:r>
        <w:rPr>
          <w:spacing w:val="-10"/>
        </w:rPr>
        <w:t>年限制性股票激励计划实施考核管理办法》等议案，详见巨潮资讯网《</w:t>
      </w:r>
      <w:r>
        <w:rPr>
          <w:rFonts w:ascii="Times New Roman" w:hAnsi="Times New Roman" w:cs="Times New Roman" w:eastAsia="Times New Roman" w:hint="default"/>
          <w:spacing w:val="-10"/>
        </w:rPr>
        <w:t>2016</w:t>
      </w:r>
      <w:r>
        <w:rPr>
          <w:spacing w:val="-10"/>
        </w:rPr>
        <w:t>年年度股东大会决议公告》（公告编号：</w:t>
      </w:r>
      <w:r>
        <w:rPr>
          <w:rFonts w:ascii="Times New Roman" w:hAnsi="Times New Roman" w:cs="Times New Roman" w:eastAsia="Times New Roman" w:hint="default"/>
          <w:spacing w:val="-10"/>
        </w:rPr>
        <w:t>2017-032</w:t>
      </w:r>
      <w:r>
        <w:rPr>
          <w:spacing w:val="-10"/>
        </w:rPr>
        <w:t>）；</w:t>
      </w:r>
      <w:r>
        <w:rPr>
          <w:spacing w:val="-53"/>
        </w:rPr>
        <w:t> </w:t>
      </w:r>
      <w:r>
        <w:rPr>
          <w:spacing w:val="-2"/>
        </w:rPr>
        <w:t>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17</w:t>
      </w:r>
      <w:r>
        <w:rPr>
          <w:spacing w:val="-2"/>
        </w:rPr>
        <w:t>日第三届董事会第六次会议审议通过《关于调整公司</w:t>
      </w:r>
      <w:r>
        <w:rPr>
          <w:rFonts w:ascii="Times New Roman" w:hAnsi="Times New Roman" w:cs="Times New Roman" w:eastAsia="Times New Roman" w:hint="default"/>
          <w:spacing w:val="-2"/>
        </w:rPr>
        <w:t>2017</w:t>
      </w:r>
      <w:r>
        <w:rPr>
          <w:spacing w:val="-2"/>
        </w:rPr>
        <w:t>年限制性股票激励计划相关事项的议案》，</w:t>
      </w:r>
    </w:p>
    <w:p>
      <w:pPr>
        <w:pStyle w:val="BodyText"/>
        <w:spacing w:line="240" w:lineRule="auto" w:before="43"/>
        <w:ind w:right="0"/>
        <w:jc w:val="left"/>
      </w:pPr>
      <w:r>
        <w:rPr>
          <w:spacing w:val="4"/>
        </w:rPr>
        <w:t>《关于向激励对象首次授予限制性股票的议案》，详见巨潮资讯网《第三届董事会第六次会议决议公告》（公告编号：</w:t>
      </w:r>
    </w:p>
    <w:p>
      <w:pPr>
        <w:spacing w:line="240" w:lineRule="auto" w:before="10"/>
        <w:rPr>
          <w:rFonts w:ascii="宋体" w:hAnsi="宋体" w:cs="宋体" w:eastAsia="宋体" w:hint="default"/>
          <w:sz w:val="17"/>
          <w:szCs w:val="17"/>
        </w:rPr>
      </w:pPr>
    </w:p>
    <w:p>
      <w:pPr>
        <w:pStyle w:val="BodyText"/>
        <w:spacing w:line="240" w:lineRule="auto"/>
        <w:ind w:right="0"/>
        <w:jc w:val="left"/>
      </w:pPr>
      <w:r>
        <w:rPr>
          <w:rFonts w:ascii="Times New Roman" w:hAnsi="Times New Roman" w:cs="Times New Roman" w:eastAsia="Times New Roman" w:hint="default"/>
        </w:rPr>
        <w:t>2017-038</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9"/>
          <w:szCs w:val="19"/>
        </w:rPr>
      </w:pPr>
    </w:p>
    <w:p>
      <w:pPr>
        <w:pStyle w:val="Heading3"/>
        <w:spacing w:line="240" w:lineRule="auto"/>
        <w:ind w:right="0"/>
        <w:jc w:val="left"/>
        <w:rPr>
          <w:b w:val="0"/>
          <w:bCs w:val="0"/>
        </w:rPr>
      </w:pPr>
      <w:bookmarkStart w:name="2、公司股份总数及股东结构的变动、公司资产和负债结构的变动情况说明" w:id="107"/>
      <w:bookmarkEnd w:id="107"/>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pStyle w:val="BodyText"/>
        <w:spacing w:line="412" w:lineRule="auto"/>
        <w:ind w:left="1493" w:right="103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根据公司</w:t>
      </w:r>
      <w:r>
        <w:rPr>
          <w:rFonts w:ascii="Times New Roman" w:hAnsi="Times New Roman" w:cs="Times New Roman" w:eastAsia="Times New Roman" w:hint="default"/>
          <w:spacing w:val="-2"/>
        </w:rPr>
        <w:t>2016</w:t>
      </w:r>
      <w:r>
        <w:rPr>
          <w:spacing w:val="-2"/>
        </w:rPr>
        <w:t>年度利润分配及资本公积金转增股本方案，公司以截至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日公司股本总数</w:t>
      </w:r>
      <w:r>
        <w:rPr>
          <w:rFonts w:ascii="Times New Roman" w:hAnsi="Times New Roman" w:cs="Times New Roman" w:eastAsia="Times New Roman" w:hint="default"/>
          <w:spacing w:val="-2"/>
        </w:rPr>
        <w:t>84,000,000</w:t>
      </w:r>
      <w:r>
        <w:rPr>
          <w:spacing w:val="-2"/>
        </w:rPr>
        <w:t>股为基数，</w:t>
      </w:r>
    </w:p>
    <w:p>
      <w:pPr>
        <w:pStyle w:val="BodyText"/>
        <w:spacing w:line="451" w:lineRule="auto" w:before="75"/>
        <w:ind w:right="0"/>
        <w:jc w:val="left"/>
      </w:pPr>
      <w:r>
        <w:rPr>
          <w:spacing w:val="-2"/>
        </w:rPr>
        <w:t>以资本公积金转增股本，每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8</w:t>
      </w:r>
      <w:r>
        <w:rPr>
          <w:spacing w:val="-2"/>
        </w:rPr>
        <w:t>股，合计转增</w:t>
      </w:r>
      <w:r>
        <w:rPr>
          <w:rFonts w:ascii="Times New Roman" w:hAnsi="Times New Roman" w:cs="Times New Roman" w:eastAsia="Times New Roman" w:hint="default"/>
          <w:spacing w:val="-2"/>
        </w:rPr>
        <w:t>67,200,000</w:t>
      </w:r>
      <w:r>
        <w:rPr>
          <w:spacing w:val="-2"/>
        </w:rPr>
        <w:t>股。根据《上市公司股权激励管理办法》、公司《</w:t>
      </w:r>
      <w:r>
        <w:rPr>
          <w:rFonts w:ascii="Times New Roman" w:hAnsi="Times New Roman" w:cs="Times New Roman" w:eastAsia="Times New Roman" w:hint="default"/>
          <w:spacing w:val="-2"/>
        </w:rPr>
        <w:t>2017</w:t>
      </w:r>
      <w:r>
        <w:rPr>
          <w:spacing w:val="-2"/>
        </w:rPr>
        <w:t>年限制</w:t>
      </w:r>
      <w:r>
        <w:rPr>
          <w:spacing w:val="-56"/>
        </w:rPr>
        <w:t> </w:t>
      </w:r>
      <w:r>
        <w:rPr>
          <w:spacing w:val="-2"/>
        </w:rPr>
        <w:t>性股票激励计划》的有关规定，公司以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17</w:t>
      </w:r>
      <w:r>
        <w:rPr>
          <w:spacing w:val="-2"/>
        </w:rPr>
        <w:t>日为授予日，授予</w:t>
      </w:r>
      <w:r>
        <w:rPr>
          <w:rFonts w:ascii="Times New Roman" w:hAnsi="Times New Roman" w:cs="Times New Roman" w:eastAsia="Times New Roman" w:hint="default"/>
          <w:spacing w:val="-2"/>
        </w:rPr>
        <w:t>88</w:t>
      </w:r>
      <w:r>
        <w:rPr>
          <w:spacing w:val="-2"/>
        </w:rPr>
        <w:t>名激励对象</w:t>
      </w:r>
      <w:r>
        <w:rPr>
          <w:rFonts w:ascii="Times New Roman" w:hAnsi="Times New Roman" w:cs="Times New Roman" w:eastAsia="Times New Roman" w:hint="default"/>
          <w:spacing w:val="-2"/>
        </w:rPr>
        <w:t>2,829,600</w:t>
      </w:r>
      <w:r>
        <w:rPr>
          <w:spacing w:val="-2"/>
        </w:rPr>
        <w:t>股限制性股票。公司注册资本、</w:t>
      </w:r>
      <w:r>
        <w:rPr>
          <w:spacing w:val="-51"/>
        </w:rPr>
        <w:t> </w:t>
      </w:r>
      <w:r>
        <w:rPr>
          <w:spacing w:val="-51"/>
        </w:rPr>
      </w:r>
      <w:r>
        <w:rPr/>
        <w:t>股东结构发生变动。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3、现存的内部职工股情况" w:id="108"/>
      <w:bookmarkEnd w:id="108"/>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2529"/>
        <w:gridCol w:w="3848"/>
        <w:gridCol w:w="3191"/>
      </w:tblGrid>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8" w:right="0"/>
              <w:jc w:val="left"/>
              <w:rPr>
                <w:rFonts w:ascii="宋体" w:hAnsi="宋体" w:cs="宋体" w:eastAsia="宋体" w:hint="default"/>
                <w:sz w:val="18"/>
                <w:szCs w:val="18"/>
              </w:rPr>
            </w:pPr>
            <w:r>
              <w:rPr>
                <w:rFonts w:ascii="宋体" w:hAnsi="宋体" w:cs="宋体" w:eastAsia="宋体" w:hint="default"/>
                <w:sz w:val="18"/>
                <w:szCs w:val="18"/>
              </w:rPr>
              <w:t>内部职工股的发行日期</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34" w:right="0"/>
              <w:jc w:val="left"/>
              <w:rPr>
                <w:rFonts w:ascii="宋体" w:hAnsi="宋体" w:cs="宋体" w:eastAsia="宋体" w:hint="default"/>
                <w:sz w:val="18"/>
                <w:szCs w:val="18"/>
              </w:rPr>
            </w:pPr>
            <w:r>
              <w:rPr>
                <w:rFonts w:ascii="宋体" w:hAnsi="宋体" w:cs="宋体" w:eastAsia="宋体" w:hint="default"/>
                <w:sz w:val="18"/>
                <w:szCs w:val="18"/>
              </w:rPr>
              <w:t>内部职工股的发行价格（元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内部职工股的发行数量（股）</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2,829,600</w:t>
            </w:r>
          </w:p>
        </w:tc>
      </w:tr>
      <w:tr>
        <w:trPr>
          <w:trHeight w:val="383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现存的内部职工股情况的说明</w:t>
            </w:r>
          </w:p>
        </w:tc>
        <w:tc>
          <w:tcPr>
            <w:tcW w:w="7039" w:type="dxa"/>
            <w:gridSpan w:val="2"/>
            <w:tcBorders>
              <w:top w:val="single" w:sz="4" w:space="0" w:color="000000"/>
              <w:left w:val="single" w:sz="4" w:space="0" w:color="000000"/>
              <w:bottom w:val="single" w:sz="4" w:space="0" w:color="000000"/>
              <w:right w:val="single" w:sz="4" w:space="0" w:color="000000"/>
            </w:tcBorders>
          </w:tcPr>
          <w:p>
            <w:pPr>
              <w:pStyle w:val="TableParagraph"/>
              <w:spacing w:line="448" w:lineRule="auto" w:before="129"/>
              <w:ind w:left="23" w:right="20"/>
              <w:jc w:val="both"/>
              <w:rPr>
                <w:rFonts w:ascii="宋体" w:hAnsi="宋体" w:cs="宋体" w:eastAsia="宋体" w:hint="default"/>
                <w:sz w:val="18"/>
                <w:szCs w:val="18"/>
              </w:rPr>
            </w:pPr>
            <w:r>
              <w:rPr>
                <w:rFonts w:ascii="宋体" w:hAnsi="宋体" w:cs="宋体" w:eastAsia="宋体" w:hint="default"/>
                <w:spacing w:val="-4"/>
                <w:sz w:val="18"/>
                <w:szCs w:val="18"/>
              </w:rPr>
              <w:t>根据《上市公司股权激励管理办法》、公司《</w:t>
            </w:r>
            <w:r>
              <w:rPr>
                <w:rFonts w:ascii="Times New Roman" w:hAnsi="Times New Roman" w:cs="Times New Roman" w:eastAsia="Times New Roman" w:hint="default"/>
                <w:spacing w:val="-4"/>
                <w:sz w:val="18"/>
                <w:szCs w:val="18"/>
              </w:rPr>
              <w:t>2017</w:t>
            </w:r>
            <w:r>
              <w:rPr>
                <w:rFonts w:ascii="Times New Roman" w:hAnsi="Times New Roman" w:cs="Times New Roman" w:eastAsia="Times New Roman" w:hint="default"/>
                <w:sz w:val="18"/>
                <w:szCs w:val="18"/>
              </w:rPr>
              <w:t> </w:t>
            </w:r>
            <w:r>
              <w:rPr>
                <w:rFonts w:ascii="宋体" w:hAnsi="宋体" w:cs="宋体" w:eastAsia="宋体" w:hint="default"/>
                <w:sz w:val="18"/>
                <w:szCs w:val="18"/>
              </w:rPr>
              <w:t>年限制性股票激励计划》的有关规定，</w:t>
            </w:r>
            <w:r>
              <w:rPr>
                <w:rFonts w:ascii="宋体" w:hAnsi="宋体" w:cs="宋体" w:eastAsia="宋体" w:hint="default"/>
                <w:spacing w:val="-85"/>
                <w:sz w:val="18"/>
                <w:szCs w:val="18"/>
              </w:rPr>
              <w:t> </w:t>
            </w:r>
            <w:r>
              <w:rPr>
                <w:rFonts w:ascii="宋体" w:hAnsi="宋体" w:cs="宋体" w:eastAsia="宋体" w:hint="default"/>
                <w:sz w:val="18"/>
                <w:szCs w:val="18"/>
              </w:rPr>
              <w:t>公司以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日为授予日，授予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名激励对象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2,829,600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股限制性股票。公司于</w:t>
            </w:r>
          </w:p>
          <w:p>
            <w:pPr>
              <w:pStyle w:val="TableParagraph"/>
              <w:spacing w:line="456" w:lineRule="auto" w:before="45"/>
              <w:ind w:left="23"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年年度股东大会审议通过公司《</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年限制性股票激励计 </w:t>
            </w:r>
            <w:r>
              <w:rPr>
                <w:rFonts w:ascii="宋体" w:hAnsi="宋体" w:cs="宋体" w:eastAsia="宋体" w:hint="default"/>
                <w:spacing w:val="-12"/>
                <w:sz w:val="18"/>
                <w:szCs w:val="18"/>
              </w:rPr>
              <w:t>划（草案）》及其摘要、《</w:t>
            </w:r>
            <w:r>
              <w:rPr>
                <w:rFonts w:ascii="Times New Roman" w:hAnsi="Times New Roman" w:cs="Times New Roman" w:eastAsia="Times New Roman" w:hint="default"/>
                <w:spacing w:val="-12"/>
                <w:sz w:val="18"/>
                <w:szCs w:val="18"/>
              </w:rPr>
              <w:t>2017</w:t>
            </w:r>
            <w:r>
              <w:rPr>
                <w:rFonts w:ascii="Times New Roman" w:hAnsi="Times New Roman" w:cs="Times New Roman" w:eastAsia="Times New Roman" w:hint="default"/>
                <w:sz w:val="18"/>
                <w:szCs w:val="18"/>
              </w:rPr>
              <w:t> </w:t>
            </w:r>
            <w:r>
              <w:rPr>
                <w:rFonts w:ascii="宋体" w:hAnsi="宋体" w:cs="宋体" w:eastAsia="宋体" w:hint="default"/>
                <w:sz w:val="18"/>
                <w:szCs w:val="18"/>
              </w:rPr>
              <w:t>年限制性股票激励计划实施考核管理办法》等议案，详见</w:t>
            </w:r>
            <w:r>
              <w:rPr>
                <w:rFonts w:ascii="宋体" w:hAnsi="宋体" w:cs="宋体" w:eastAsia="宋体" w:hint="default"/>
                <w:spacing w:val="-78"/>
                <w:sz w:val="18"/>
                <w:szCs w:val="18"/>
              </w:rPr>
              <w:t> </w:t>
            </w:r>
            <w:r>
              <w:rPr>
                <w:rFonts w:ascii="宋体" w:hAnsi="宋体" w:cs="宋体" w:eastAsia="宋体" w:hint="default"/>
                <w:spacing w:val="-1"/>
                <w:sz w:val="18"/>
                <w:szCs w:val="18"/>
              </w:rPr>
              <w:t>巨潮资讯网《</w:t>
            </w:r>
            <w:r>
              <w:rPr>
                <w:rFonts w:ascii="Times New Roman" w:hAnsi="Times New Roman" w:cs="Times New Roman" w:eastAsia="Times New Roman" w:hint="default"/>
                <w:spacing w:val="-1"/>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年年度股东大会决议公告》（公告编号</w:t>
            </w:r>
            <w:r>
              <w:rPr>
                <w:rFonts w:ascii="宋体" w:hAnsi="宋体" w:cs="宋体" w:eastAsia="宋体" w:hint="default"/>
                <w:spacing w:val="-42"/>
                <w:sz w:val="18"/>
                <w:szCs w:val="18"/>
              </w:rPr>
              <w:t> </w:t>
            </w:r>
            <w:r>
              <w:rPr>
                <w:rFonts w:ascii="Times New Roman" w:hAnsi="Times New Roman" w:cs="Times New Roman" w:eastAsia="Times New Roman" w:hint="default"/>
                <w:spacing w:val="-8"/>
                <w:sz w:val="18"/>
                <w:szCs w:val="18"/>
              </w:rPr>
              <w:t>2017-032</w:t>
            </w:r>
            <w:r>
              <w:rPr>
                <w:rFonts w:ascii="宋体" w:hAnsi="宋体" w:cs="宋体" w:eastAsia="宋体" w:hint="default"/>
                <w:spacing w:val="-8"/>
                <w:sz w:val="18"/>
                <w:szCs w:val="18"/>
              </w:rPr>
              <w:t>）；公司于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日第三届董事会第六次会议审议通过《关于调整公司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年限制性股票激励计划相关 </w:t>
            </w:r>
            <w:r>
              <w:rPr>
                <w:rFonts w:ascii="宋体" w:hAnsi="宋体" w:cs="宋体" w:eastAsia="宋体" w:hint="default"/>
                <w:spacing w:val="-7"/>
                <w:sz w:val="18"/>
                <w:szCs w:val="18"/>
              </w:rPr>
              <w:t>事项的议案》，《关于向激励对象首次授予限制性股票的议案》，详见巨潮资讯网《第三届</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0"/>
                <w:sz w:val="18"/>
                <w:szCs w:val="18"/>
              </w:rPr>
              <w:t>董事会第六次会议决议公告》（公告编号：</w:t>
            </w:r>
            <w:r>
              <w:rPr>
                <w:rFonts w:ascii="Times New Roman" w:hAnsi="Times New Roman" w:cs="Times New Roman" w:eastAsia="Times New Roman" w:hint="default"/>
                <w:spacing w:val="-10"/>
                <w:sz w:val="18"/>
                <w:szCs w:val="18"/>
              </w:rPr>
              <w:t>2017-038</w:t>
            </w:r>
            <w:r>
              <w:rPr>
                <w:rFonts w:ascii="宋体" w:hAnsi="宋体" w:cs="宋体" w:eastAsia="宋体" w:hint="default"/>
                <w:spacing w:val="-10"/>
                <w:sz w:val="18"/>
                <w:szCs w:val="18"/>
              </w:rPr>
              <w:t>）。</w:t>
            </w:r>
            <w:r>
              <w:rPr>
                <w:rFonts w:ascii="宋体" w:hAnsi="宋体" w:cs="宋体" w:eastAsia="宋体" w:hint="default"/>
                <w:sz w:val="18"/>
                <w:szCs w:val="18"/>
              </w:rPr>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三、股东和实际控制人情况" w:id="109"/>
      <w:bookmarkEnd w:id="109"/>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公司股东数量及持股情况" w:id="110"/>
      <w:bookmarkEnd w:id="110"/>
      <w:r>
        <w:rPr>
          <w:b w:val="0"/>
          <w:bCs w:val="0"/>
        </w:rPr>
      </w:r>
      <w:r>
        <w:rPr>
          <w:rFonts w:ascii="Times New Roman" w:hAnsi="Times New Roman" w:cs="Times New Roman" w:eastAsia="Times New Roman" w:hint="default"/>
        </w:rPr>
        <w:t>1</w:t>
      </w:r>
      <w:r>
        <w:rPr/>
        <w:t>、公司股东数量及持股情况</w:t>
      </w:r>
      <w:r>
        <w:rPr>
          <w:b w:val="0"/>
          <w:bCs w:val="0"/>
        </w:rPr>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9"/>
          <w:szCs w:val="19"/>
        </w:rPr>
      </w:pPr>
    </w:p>
    <w:p>
      <w:pPr>
        <w:pStyle w:val="BodyText"/>
        <w:spacing w:line="240" w:lineRule="auto" w:before="44"/>
        <w:ind w:left="0" w:right="1130"/>
        <w:jc w:val="right"/>
      </w:pPr>
      <w:r>
        <w:rPr/>
        <w:pict>
          <v:group style="position:absolute;margin-left:468.119995pt;margin-top:70.511696pt;width:67.05pt;height:31.2pt;mso-position-horizontal-relative:page;mso-position-vertical-relative:paragraph;z-index:-881032" coordorigin="9362,1410" coordsize="1341,624">
            <v:shape style="position:absolute;left:9362;top:1410;width:1341;height:624" coordorigin="9362,1410" coordsize="1341,624" path="m9362,2034l10703,2034,10703,1410,9362,1410,9362,2034xe" filled="true" fillcolor="#ffffff" stroked="false">
              <v:path arrowok="t"/>
              <v:fill type="solid"/>
            </v:shape>
            <w10:wrap type="none"/>
          </v:group>
        </w:pict>
      </w:r>
      <w:r>
        <w:rPr/>
        <w:t>单位：股</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05"/>
        <w:gridCol w:w="836"/>
        <w:gridCol w:w="411"/>
        <w:gridCol w:w="850"/>
        <w:gridCol w:w="178"/>
        <w:gridCol w:w="956"/>
        <w:gridCol w:w="154"/>
        <w:gridCol w:w="840"/>
        <w:gridCol w:w="575"/>
        <w:gridCol w:w="416"/>
        <w:gridCol w:w="295"/>
        <w:gridCol w:w="698"/>
        <w:gridCol w:w="703"/>
        <w:gridCol w:w="1357"/>
      </w:tblGrid>
      <w:tr>
        <w:trPr>
          <w:trHeight w:val="161" w:hRule="exact"/>
        </w:trPr>
        <w:tc>
          <w:tcPr>
            <w:tcW w:w="1305" w:type="dxa"/>
            <w:vMerge w:val="restart"/>
            <w:tcBorders>
              <w:top w:val="single" w:sz="4" w:space="0" w:color="000000"/>
              <w:left w:val="single" w:sz="4" w:space="0" w:color="000000"/>
              <w:right w:val="single" w:sz="4" w:space="0" w:color="000000"/>
            </w:tcBorders>
            <w:shd w:val="clear" w:color="auto" w:fill="D2D2D2"/>
          </w:tcPr>
          <w:p>
            <w:pPr/>
          </w:p>
        </w:tc>
        <w:tc>
          <w:tcPr>
            <w:tcW w:w="836" w:type="dxa"/>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91" w:right="0"/>
              <w:jc w:val="left"/>
              <w:rPr>
                <w:rFonts w:ascii="Times New Roman" w:hAnsi="Times New Roman" w:cs="Times New Roman" w:eastAsia="Times New Roman" w:hint="default"/>
                <w:sz w:val="18"/>
                <w:szCs w:val="18"/>
              </w:rPr>
            </w:pPr>
            <w:r>
              <w:rPr>
                <w:rFonts w:ascii="Times New Roman"/>
                <w:sz w:val="18"/>
              </w:rPr>
              <w:t>13,582</w:t>
            </w:r>
          </w:p>
        </w:tc>
        <w:tc>
          <w:tcPr>
            <w:tcW w:w="1439" w:type="dxa"/>
            <w:gridSpan w:val="3"/>
            <w:vMerge w:val="restart"/>
            <w:tcBorders>
              <w:top w:val="single" w:sz="4" w:space="0" w:color="000000"/>
              <w:left w:val="single" w:sz="4" w:space="0" w:color="000000"/>
              <w:right w:val="single" w:sz="4" w:space="0" w:color="000000"/>
            </w:tcBorders>
            <w:shd w:val="clear" w:color="auto" w:fill="D2D2D2"/>
          </w:tcPr>
          <w:p>
            <w:pPr/>
          </w:p>
        </w:tc>
        <w:tc>
          <w:tcPr>
            <w:tcW w:w="1110" w:type="dxa"/>
            <w:gridSpan w:val="2"/>
            <w:vMerge w:val="restart"/>
            <w:tcBorders>
              <w:top w:val="single" w:sz="4" w:space="0" w:color="000000"/>
              <w:left w:val="single" w:sz="9"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64" w:right="0"/>
              <w:jc w:val="left"/>
              <w:rPr>
                <w:rFonts w:ascii="Times New Roman" w:hAnsi="Times New Roman" w:cs="Times New Roman" w:eastAsia="Times New Roman" w:hint="default"/>
                <w:sz w:val="18"/>
                <w:szCs w:val="18"/>
              </w:rPr>
            </w:pPr>
            <w:r>
              <w:rPr>
                <w:rFonts w:ascii="Times New Roman"/>
                <w:sz w:val="18"/>
              </w:rPr>
              <w:t>13,333</w:t>
            </w:r>
          </w:p>
        </w:tc>
        <w:tc>
          <w:tcPr>
            <w:tcW w:w="141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11" w:type="dxa"/>
            <w:gridSpan w:val="2"/>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0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 w:right="118"/>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股东总数（如有</w:t>
            </w:r>
          </w:p>
          <w:p>
            <w:pPr>
              <w:pStyle w:val="TableParagraph"/>
              <w:spacing w:line="240" w:lineRule="auto" w:before="18"/>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357"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65"/>
              <w:ind w:left="-142"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156" w:hRule="exact"/>
        </w:trPr>
        <w:tc>
          <w:tcPr>
            <w:tcW w:w="1305" w:type="dxa"/>
            <w:vMerge/>
            <w:tcBorders>
              <w:left w:val="single" w:sz="4" w:space="0" w:color="000000"/>
              <w:right w:val="single" w:sz="4" w:space="0" w:color="000000"/>
            </w:tcBorders>
            <w:shd w:val="clear" w:color="auto" w:fill="D2D2D2"/>
          </w:tcPr>
          <w:p>
            <w:pPr/>
          </w:p>
        </w:tc>
        <w:tc>
          <w:tcPr>
            <w:tcW w:w="836" w:type="dxa"/>
            <w:vMerge/>
            <w:tcBorders>
              <w:left w:val="single" w:sz="9" w:space="0" w:color="D2D2D2"/>
              <w:right w:val="single" w:sz="9" w:space="0" w:color="D2D2D2"/>
            </w:tcBorders>
          </w:tcPr>
          <w:p>
            <w:pPr/>
          </w:p>
        </w:tc>
        <w:tc>
          <w:tcPr>
            <w:tcW w:w="1439" w:type="dxa"/>
            <w:gridSpan w:val="3"/>
            <w:vMerge/>
            <w:tcBorders>
              <w:left w:val="single" w:sz="4" w:space="0" w:color="000000"/>
              <w:bottom w:val="nil" w:sz="6" w:space="0" w:color="auto"/>
              <w:right w:val="single" w:sz="4" w:space="0" w:color="000000"/>
            </w:tcBorders>
            <w:shd w:val="clear" w:color="auto" w:fill="D2D2D2"/>
          </w:tcPr>
          <w:p>
            <w:pPr/>
          </w:p>
        </w:tc>
        <w:tc>
          <w:tcPr>
            <w:tcW w:w="1110" w:type="dxa"/>
            <w:gridSpan w:val="2"/>
            <w:vMerge/>
            <w:tcBorders>
              <w:left w:val="single" w:sz="9" w:space="0" w:color="D2D2D2"/>
              <w:right w:val="single" w:sz="10" w:space="0" w:color="D2D2D2"/>
            </w:tcBorders>
          </w:tcPr>
          <w:p>
            <w:pPr/>
          </w:p>
        </w:tc>
        <w:tc>
          <w:tcPr>
            <w:tcW w:w="141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8"/>
              <w:jc w:val="left"/>
              <w:rPr>
                <w:rFonts w:ascii="宋体" w:hAnsi="宋体" w:cs="宋体" w:eastAsia="宋体" w:hint="default"/>
                <w:sz w:val="18"/>
                <w:szCs w:val="18"/>
              </w:rPr>
            </w:pPr>
            <w:r>
              <w:rPr>
                <w:rFonts w:ascii="宋体" w:hAnsi="宋体" w:cs="宋体" w:eastAsia="宋体" w:hint="default"/>
                <w:sz w:val="18"/>
                <w:szCs w:val="18"/>
              </w:rPr>
              <w:t>报告期末表决权 恢复的优先股股 </w:t>
            </w:r>
            <w:r>
              <w:rPr>
                <w:rFonts w:ascii="宋体" w:hAnsi="宋体" w:cs="宋体" w:eastAsia="宋体" w:hint="default"/>
                <w:spacing w:val="-27"/>
                <w:sz w:val="18"/>
                <w:szCs w:val="18"/>
              </w:rPr>
              <w:t>东总数（如有）（参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711" w:type="dxa"/>
            <w:gridSpan w:val="2"/>
            <w:vMerge/>
            <w:tcBorders>
              <w:left w:val="single" w:sz="9" w:space="0" w:color="D2D2D2"/>
              <w:right w:val="single" w:sz="13" w:space="0" w:color="D2D2D2"/>
            </w:tcBorders>
          </w:tcPr>
          <w:p>
            <w:pPr/>
          </w:p>
        </w:tc>
        <w:tc>
          <w:tcPr>
            <w:tcW w:w="1401" w:type="dxa"/>
            <w:gridSpan w:val="2"/>
            <w:vMerge/>
            <w:tcBorders>
              <w:left w:val="single" w:sz="4" w:space="0" w:color="000000"/>
              <w:right w:val="single" w:sz="4" w:space="0" w:color="000000"/>
            </w:tcBorders>
            <w:shd w:val="clear" w:color="auto" w:fill="D2D2D2"/>
          </w:tcPr>
          <w:p>
            <w:pPr/>
          </w:p>
        </w:tc>
        <w:tc>
          <w:tcPr>
            <w:tcW w:w="1357" w:type="dxa"/>
            <w:vMerge/>
            <w:tcBorders>
              <w:left w:val="single" w:sz="13" w:space="0" w:color="D2D2D2"/>
              <w:right w:val="single" w:sz="4" w:space="0" w:color="000000"/>
            </w:tcBorders>
          </w:tcPr>
          <w:p>
            <w:pPr/>
          </w:p>
        </w:tc>
      </w:tr>
      <w:tr>
        <w:trPr>
          <w:trHeight w:val="156" w:hRule="exact"/>
        </w:trPr>
        <w:tc>
          <w:tcPr>
            <w:tcW w:w="1305" w:type="dxa"/>
            <w:vMerge/>
            <w:tcBorders>
              <w:left w:val="single" w:sz="4" w:space="0" w:color="000000"/>
              <w:bottom w:val="nil" w:sz="6" w:space="0" w:color="auto"/>
              <w:right w:val="single" w:sz="4" w:space="0" w:color="000000"/>
            </w:tcBorders>
            <w:shd w:val="clear" w:color="auto" w:fill="D2D2D2"/>
          </w:tcPr>
          <w:p>
            <w:pPr/>
          </w:p>
        </w:tc>
        <w:tc>
          <w:tcPr>
            <w:tcW w:w="836" w:type="dxa"/>
            <w:vMerge/>
            <w:tcBorders>
              <w:left w:val="single" w:sz="9" w:space="0" w:color="D2D2D2"/>
              <w:right w:val="single" w:sz="9" w:space="0" w:color="D2D2D2"/>
            </w:tcBorders>
          </w:tcPr>
          <w:p>
            <w:pPr/>
          </w:p>
        </w:tc>
        <w:tc>
          <w:tcPr>
            <w:tcW w:w="1439"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155"/>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10" w:type="dxa"/>
            <w:gridSpan w:val="2"/>
            <w:vMerge/>
            <w:tcBorders>
              <w:left w:val="single" w:sz="9" w:space="0" w:color="D2D2D2"/>
              <w:right w:val="single" w:sz="10" w:space="0" w:color="D2D2D2"/>
            </w:tcBorders>
          </w:tcPr>
          <w:p>
            <w:pPr/>
          </w:p>
        </w:tc>
        <w:tc>
          <w:tcPr>
            <w:tcW w:w="1415" w:type="dxa"/>
            <w:gridSpan w:val="2"/>
            <w:vMerge/>
            <w:tcBorders>
              <w:left w:val="single" w:sz="4" w:space="0" w:color="000000"/>
              <w:right w:val="single" w:sz="4" w:space="0" w:color="000000"/>
            </w:tcBorders>
            <w:shd w:val="clear" w:color="auto" w:fill="D2D2D2"/>
          </w:tcPr>
          <w:p>
            <w:pPr/>
          </w:p>
        </w:tc>
        <w:tc>
          <w:tcPr>
            <w:tcW w:w="711" w:type="dxa"/>
            <w:gridSpan w:val="2"/>
            <w:vMerge/>
            <w:tcBorders>
              <w:left w:val="single" w:sz="9" w:space="0" w:color="D2D2D2"/>
              <w:right w:val="single" w:sz="13" w:space="0" w:color="D2D2D2"/>
            </w:tcBorders>
          </w:tcPr>
          <w:p>
            <w:pPr/>
          </w:p>
        </w:tc>
        <w:tc>
          <w:tcPr>
            <w:tcW w:w="1401" w:type="dxa"/>
            <w:gridSpan w:val="2"/>
            <w:vMerge/>
            <w:tcBorders>
              <w:left w:val="single" w:sz="4" w:space="0" w:color="000000"/>
              <w:right w:val="single" w:sz="4" w:space="0" w:color="000000"/>
            </w:tcBorders>
            <w:shd w:val="clear" w:color="auto" w:fill="D2D2D2"/>
          </w:tcPr>
          <w:p>
            <w:pPr/>
          </w:p>
        </w:tc>
        <w:tc>
          <w:tcPr>
            <w:tcW w:w="1357" w:type="dxa"/>
            <w:vMerge/>
            <w:tcBorders>
              <w:left w:val="single" w:sz="13" w:space="0" w:color="D2D2D2"/>
              <w:right w:val="single" w:sz="4" w:space="0" w:color="000000"/>
            </w:tcBorders>
          </w:tcPr>
          <w:p>
            <w:pPr/>
          </w:p>
        </w:tc>
      </w:tr>
      <w:tr>
        <w:trPr>
          <w:trHeight w:val="704" w:hRule="exact"/>
        </w:trPr>
        <w:tc>
          <w:tcPr>
            <w:tcW w:w="13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36" w:type="dxa"/>
            <w:vMerge/>
            <w:tcBorders>
              <w:left w:val="single" w:sz="9" w:space="0" w:color="D2D2D2"/>
              <w:right w:val="single" w:sz="9" w:space="0" w:color="D2D2D2"/>
            </w:tcBorders>
          </w:tcPr>
          <w:p>
            <w:pPr/>
          </w:p>
        </w:tc>
        <w:tc>
          <w:tcPr>
            <w:tcW w:w="1439" w:type="dxa"/>
            <w:gridSpan w:val="3"/>
            <w:vMerge/>
            <w:tcBorders>
              <w:left w:val="single" w:sz="4" w:space="0" w:color="000000"/>
              <w:right w:val="single" w:sz="4" w:space="0" w:color="000000"/>
            </w:tcBorders>
            <w:shd w:val="clear" w:color="auto" w:fill="D2D2D2"/>
          </w:tcPr>
          <w:p>
            <w:pPr/>
          </w:p>
        </w:tc>
        <w:tc>
          <w:tcPr>
            <w:tcW w:w="1110" w:type="dxa"/>
            <w:gridSpan w:val="2"/>
            <w:vMerge/>
            <w:tcBorders>
              <w:left w:val="single" w:sz="9" w:space="0" w:color="D2D2D2"/>
              <w:right w:val="single" w:sz="10" w:space="0" w:color="D2D2D2"/>
            </w:tcBorders>
          </w:tcPr>
          <w:p>
            <w:pPr/>
          </w:p>
        </w:tc>
        <w:tc>
          <w:tcPr>
            <w:tcW w:w="1415" w:type="dxa"/>
            <w:gridSpan w:val="2"/>
            <w:vMerge/>
            <w:tcBorders>
              <w:left w:val="single" w:sz="4" w:space="0" w:color="000000"/>
              <w:right w:val="single" w:sz="4" w:space="0" w:color="000000"/>
            </w:tcBorders>
            <w:shd w:val="clear" w:color="auto" w:fill="D2D2D2"/>
          </w:tcPr>
          <w:p>
            <w:pPr/>
          </w:p>
        </w:tc>
        <w:tc>
          <w:tcPr>
            <w:tcW w:w="711" w:type="dxa"/>
            <w:gridSpan w:val="2"/>
            <w:vMerge/>
            <w:tcBorders>
              <w:left w:val="single" w:sz="9" w:space="0" w:color="D2D2D2"/>
              <w:right w:val="single" w:sz="13" w:space="0" w:color="D2D2D2"/>
            </w:tcBorders>
          </w:tcPr>
          <w:p>
            <w:pPr/>
          </w:p>
        </w:tc>
        <w:tc>
          <w:tcPr>
            <w:tcW w:w="1401" w:type="dxa"/>
            <w:gridSpan w:val="2"/>
            <w:vMerge/>
            <w:tcBorders>
              <w:left w:val="single" w:sz="4" w:space="0" w:color="000000"/>
              <w:right w:val="single" w:sz="4" w:space="0" w:color="000000"/>
            </w:tcBorders>
            <w:shd w:val="clear" w:color="auto" w:fill="D2D2D2"/>
          </w:tcPr>
          <w:p>
            <w:pPr/>
          </w:p>
        </w:tc>
        <w:tc>
          <w:tcPr>
            <w:tcW w:w="1357" w:type="dxa"/>
            <w:vMerge/>
            <w:tcBorders>
              <w:left w:val="single" w:sz="13" w:space="0" w:color="D2D2D2"/>
              <w:right w:val="single" w:sz="4" w:space="0" w:color="000000"/>
            </w:tcBorders>
          </w:tcPr>
          <w:p>
            <w:pPr/>
          </w:p>
        </w:tc>
      </w:tr>
      <w:tr>
        <w:trPr>
          <w:trHeight w:val="156" w:hRule="exact"/>
        </w:trPr>
        <w:tc>
          <w:tcPr>
            <w:tcW w:w="1305" w:type="dxa"/>
            <w:vMerge w:val="restart"/>
            <w:tcBorders>
              <w:top w:val="nil" w:sz="6" w:space="0" w:color="auto"/>
              <w:left w:val="single" w:sz="4" w:space="0" w:color="000000"/>
              <w:right w:val="single" w:sz="4" w:space="0" w:color="000000"/>
            </w:tcBorders>
            <w:shd w:val="clear" w:color="auto" w:fill="D2D2D2"/>
          </w:tcPr>
          <w:p>
            <w:pPr/>
          </w:p>
        </w:tc>
        <w:tc>
          <w:tcPr>
            <w:tcW w:w="836" w:type="dxa"/>
            <w:vMerge/>
            <w:tcBorders>
              <w:left w:val="single" w:sz="9" w:space="0" w:color="D2D2D2"/>
              <w:right w:val="single" w:sz="9" w:space="0" w:color="D2D2D2"/>
            </w:tcBorders>
          </w:tcPr>
          <w:p>
            <w:pPr/>
          </w:p>
        </w:tc>
        <w:tc>
          <w:tcPr>
            <w:tcW w:w="1439" w:type="dxa"/>
            <w:gridSpan w:val="3"/>
            <w:vMerge/>
            <w:tcBorders>
              <w:left w:val="single" w:sz="4" w:space="0" w:color="000000"/>
              <w:bottom w:val="nil" w:sz="6" w:space="0" w:color="auto"/>
              <w:right w:val="single" w:sz="4" w:space="0" w:color="000000"/>
            </w:tcBorders>
            <w:shd w:val="clear" w:color="auto" w:fill="D2D2D2"/>
          </w:tcPr>
          <w:p>
            <w:pPr/>
          </w:p>
        </w:tc>
        <w:tc>
          <w:tcPr>
            <w:tcW w:w="1110" w:type="dxa"/>
            <w:gridSpan w:val="2"/>
            <w:vMerge/>
            <w:tcBorders>
              <w:left w:val="single" w:sz="9" w:space="0" w:color="D2D2D2"/>
              <w:right w:val="single" w:sz="10" w:space="0" w:color="D2D2D2"/>
            </w:tcBorders>
          </w:tcPr>
          <w:p>
            <w:pPr/>
          </w:p>
        </w:tc>
        <w:tc>
          <w:tcPr>
            <w:tcW w:w="1415" w:type="dxa"/>
            <w:gridSpan w:val="2"/>
            <w:vMerge/>
            <w:tcBorders>
              <w:left w:val="single" w:sz="4" w:space="0" w:color="000000"/>
              <w:right w:val="single" w:sz="4" w:space="0" w:color="000000"/>
            </w:tcBorders>
            <w:shd w:val="clear" w:color="auto" w:fill="D2D2D2"/>
          </w:tcPr>
          <w:p>
            <w:pPr/>
          </w:p>
        </w:tc>
        <w:tc>
          <w:tcPr>
            <w:tcW w:w="711" w:type="dxa"/>
            <w:gridSpan w:val="2"/>
            <w:vMerge/>
            <w:tcBorders>
              <w:left w:val="single" w:sz="9" w:space="0" w:color="D2D2D2"/>
              <w:right w:val="single" w:sz="13" w:space="0" w:color="D2D2D2"/>
            </w:tcBorders>
          </w:tcPr>
          <w:p>
            <w:pPr/>
          </w:p>
        </w:tc>
        <w:tc>
          <w:tcPr>
            <w:tcW w:w="1401" w:type="dxa"/>
            <w:gridSpan w:val="2"/>
            <w:vMerge/>
            <w:tcBorders>
              <w:left w:val="single" w:sz="4" w:space="0" w:color="000000"/>
              <w:right w:val="single" w:sz="4" w:space="0" w:color="000000"/>
            </w:tcBorders>
            <w:shd w:val="clear" w:color="auto" w:fill="D2D2D2"/>
          </w:tcPr>
          <w:p>
            <w:pPr/>
          </w:p>
        </w:tc>
        <w:tc>
          <w:tcPr>
            <w:tcW w:w="1357" w:type="dxa"/>
            <w:vMerge/>
            <w:tcBorders>
              <w:left w:val="single" w:sz="13" w:space="0" w:color="D2D2D2"/>
              <w:right w:val="single" w:sz="4" w:space="0" w:color="000000"/>
            </w:tcBorders>
          </w:tcPr>
          <w:p>
            <w:pPr/>
          </w:p>
        </w:tc>
      </w:tr>
      <w:tr>
        <w:trPr>
          <w:trHeight w:val="156" w:hRule="exact"/>
        </w:trPr>
        <w:tc>
          <w:tcPr>
            <w:tcW w:w="1305" w:type="dxa"/>
            <w:vMerge/>
            <w:tcBorders>
              <w:left w:val="single" w:sz="4" w:space="0" w:color="000000"/>
              <w:right w:val="single" w:sz="4" w:space="0" w:color="000000"/>
            </w:tcBorders>
            <w:shd w:val="clear" w:color="auto" w:fill="D2D2D2"/>
          </w:tcPr>
          <w:p>
            <w:pPr/>
          </w:p>
        </w:tc>
        <w:tc>
          <w:tcPr>
            <w:tcW w:w="836" w:type="dxa"/>
            <w:vMerge/>
            <w:tcBorders>
              <w:left w:val="single" w:sz="9" w:space="0" w:color="D2D2D2"/>
              <w:right w:val="single" w:sz="9" w:space="0" w:color="D2D2D2"/>
            </w:tcBorders>
          </w:tcPr>
          <w:p>
            <w:pPr/>
          </w:p>
        </w:tc>
        <w:tc>
          <w:tcPr>
            <w:tcW w:w="1439" w:type="dxa"/>
            <w:gridSpan w:val="3"/>
            <w:vMerge w:val="restart"/>
            <w:tcBorders>
              <w:top w:val="nil" w:sz="6" w:space="0" w:color="auto"/>
              <w:left w:val="single" w:sz="4" w:space="0" w:color="000000"/>
              <w:right w:val="single" w:sz="4" w:space="0" w:color="000000"/>
            </w:tcBorders>
            <w:shd w:val="clear" w:color="auto" w:fill="D2D2D2"/>
          </w:tcPr>
          <w:p>
            <w:pPr/>
          </w:p>
        </w:tc>
        <w:tc>
          <w:tcPr>
            <w:tcW w:w="1110" w:type="dxa"/>
            <w:gridSpan w:val="2"/>
            <w:vMerge/>
            <w:tcBorders>
              <w:left w:val="single" w:sz="9" w:space="0" w:color="D2D2D2"/>
              <w:right w:val="single" w:sz="10" w:space="0" w:color="D2D2D2"/>
            </w:tcBorders>
          </w:tcPr>
          <w:p>
            <w:pPr/>
          </w:p>
        </w:tc>
        <w:tc>
          <w:tcPr>
            <w:tcW w:w="1415" w:type="dxa"/>
            <w:gridSpan w:val="2"/>
            <w:vMerge/>
            <w:tcBorders>
              <w:left w:val="single" w:sz="4" w:space="0" w:color="000000"/>
              <w:bottom w:val="nil" w:sz="6" w:space="0" w:color="auto"/>
              <w:right w:val="single" w:sz="4" w:space="0" w:color="000000"/>
            </w:tcBorders>
            <w:shd w:val="clear" w:color="auto" w:fill="D2D2D2"/>
          </w:tcPr>
          <w:p>
            <w:pPr/>
          </w:p>
        </w:tc>
        <w:tc>
          <w:tcPr>
            <w:tcW w:w="711" w:type="dxa"/>
            <w:gridSpan w:val="2"/>
            <w:vMerge/>
            <w:tcBorders>
              <w:left w:val="single" w:sz="9" w:space="0" w:color="D2D2D2"/>
              <w:right w:val="single" w:sz="13" w:space="0" w:color="D2D2D2"/>
            </w:tcBorders>
          </w:tcPr>
          <w:p>
            <w:pPr/>
          </w:p>
        </w:tc>
        <w:tc>
          <w:tcPr>
            <w:tcW w:w="1401" w:type="dxa"/>
            <w:gridSpan w:val="2"/>
            <w:vMerge/>
            <w:tcBorders>
              <w:left w:val="single" w:sz="4" w:space="0" w:color="000000"/>
              <w:right w:val="single" w:sz="4" w:space="0" w:color="000000"/>
            </w:tcBorders>
            <w:shd w:val="clear" w:color="auto" w:fill="D2D2D2"/>
          </w:tcPr>
          <w:p>
            <w:pPr/>
          </w:p>
        </w:tc>
        <w:tc>
          <w:tcPr>
            <w:tcW w:w="1357" w:type="dxa"/>
            <w:vMerge/>
            <w:tcBorders>
              <w:left w:val="single" w:sz="13" w:space="0" w:color="D2D2D2"/>
              <w:right w:val="single" w:sz="4" w:space="0" w:color="000000"/>
            </w:tcBorders>
          </w:tcPr>
          <w:p>
            <w:pPr/>
          </w:p>
        </w:tc>
      </w:tr>
      <w:tr>
        <w:trPr>
          <w:trHeight w:val="199" w:hRule="exact"/>
        </w:trPr>
        <w:tc>
          <w:tcPr>
            <w:tcW w:w="1305" w:type="dxa"/>
            <w:vMerge/>
            <w:tcBorders>
              <w:left w:val="single" w:sz="4" w:space="0" w:color="000000"/>
              <w:bottom w:val="single" w:sz="4" w:space="0" w:color="000000"/>
              <w:right w:val="single" w:sz="4" w:space="0" w:color="000000"/>
            </w:tcBorders>
            <w:shd w:val="clear" w:color="auto" w:fill="D2D2D2"/>
          </w:tcPr>
          <w:p>
            <w:pPr/>
          </w:p>
        </w:tc>
        <w:tc>
          <w:tcPr>
            <w:tcW w:w="836" w:type="dxa"/>
            <w:vMerge/>
            <w:tcBorders>
              <w:left w:val="single" w:sz="9" w:space="0" w:color="D2D2D2"/>
              <w:bottom w:val="single" w:sz="34" w:space="0" w:color="D2D2D2"/>
              <w:right w:val="single" w:sz="9" w:space="0" w:color="D2D2D2"/>
            </w:tcBorders>
          </w:tcPr>
          <w:p>
            <w:pPr/>
          </w:p>
        </w:tc>
        <w:tc>
          <w:tcPr>
            <w:tcW w:w="1439" w:type="dxa"/>
            <w:gridSpan w:val="3"/>
            <w:vMerge/>
            <w:tcBorders>
              <w:left w:val="single" w:sz="4" w:space="0" w:color="000000"/>
              <w:bottom w:val="single" w:sz="4" w:space="0" w:color="000000"/>
              <w:right w:val="single" w:sz="4" w:space="0" w:color="000000"/>
            </w:tcBorders>
            <w:shd w:val="clear" w:color="auto" w:fill="D2D2D2"/>
          </w:tcPr>
          <w:p>
            <w:pPr/>
          </w:p>
        </w:tc>
        <w:tc>
          <w:tcPr>
            <w:tcW w:w="1110" w:type="dxa"/>
            <w:gridSpan w:val="2"/>
            <w:vMerge/>
            <w:tcBorders>
              <w:left w:val="single" w:sz="9" w:space="0" w:color="D2D2D2"/>
              <w:bottom w:val="single" w:sz="34" w:space="0" w:color="D2D2D2"/>
              <w:right w:val="single" w:sz="10" w:space="0" w:color="D2D2D2"/>
            </w:tcBorders>
          </w:tcPr>
          <w:p>
            <w:pPr/>
          </w:p>
        </w:tc>
        <w:tc>
          <w:tcPr>
            <w:tcW w:w="141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11" w:type="dxa"/>
            <w:gridSpan w:val="2"/>
            <w:vMerge/>
            <w:tcBorders>
              <w:left w:val="single" w:sz="9" w:space="0" w:color="D2D2D2"/>
              <w:bottom w:val="single" w:sz="34" w:space="0" w:color="D2D2D2"/>
              <w:right w:val="single" w:sz="13" w:space="0" w:color="D2D2D2"/>
            </w:tcBorders>
          </w:tcPr>
          <w:p>
            <w:pPr/>
          </w:p>
        </w:tc>
        <w:tc>
          <w:tcPr>
            <w:tcW w:w="1401" w:type="dxa"/>
            <w:gridSpan w:val="2"/>
            <w:vMerge/>
            <w:tcBorders>
              <w:left w:val="single" w:sz="4" w:space="0" w:color="000000"/>
              <w:bottom w:val="single" w:sz="4" w:space="0" w:color="000000"/>
              <w:right w:val="single" w:sz="4" w:space="0" w:color="000000"/>
            </w:tcBorders>
            <w:shd w:val="clear" w:color="auto" w:fill="D2D2D2"/>
          </w:tcPr>
          <w:p>
            <w:pPr/>
          </w:p>
        </w:tc>
        <w:tc>
          <w:tcPr>
            <w:tcW w:w="1357" w:type="dxa"/>
            <w:vMerge/>
            <w:tcBorders>
              <w:left w:val="single" w:sz="13" w:space="0" w:color="D2D2D2"/>
              <w:bottom w:val="single" w:sz="34" w:space="0" w:color="D2D2D2"/>
              <w:right w:val="single" w:sz="4" w:space="0" w:color="000000"/>
            </w:tcBorders>
          </w:tcPr>
          <w:p>
            <w:pPr/>
          </w:p>
        </w:tc>
      </w:tr>
      <w:tr>
        <w:trPr>
          <w:trHeight w:val="472" w:hRule="exact"/>
        </w:trPr>
        <w:tc>
          <w:tcPr>
            <w:tcW w:w="9575"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064"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249" w:hRule="exact"/>
        </w:trPr>
        <w:tc>
          <w:tcPr>
            <w:tcW w:w="1305" w:type="dxa"/>
            <w:vMerge w:val="restart"/>
            <w:tcBorders>
              <w:top w:val="single" w:sz="4" w:space="0" w:color="000000"/>
              <w:left w:val="single" w:sz="4" w:space="0" w:color="000000"/>
              <w:right w:val="single" w:sz="4" w:space="0" w:color="000000"/>
            </w:tcBorders>
            <w:shd w:val="clear" w:color="auto" w:fill="D2D2D2"/>
          </w:tcPr>
          <w:p>
            <w:pPr/>
          </w:p>
        </w:tc>
        <w:tc>
          <w:tcPr>
            <w:tcW w:w="1247" w:type="dxa"/>
            <w:gridSpan w:val="2"/>
            <w:vMerge w:val="restart"/>
            <w:tcBorders>
              <w:top w:val="single" w:sz="4" w:space="0" w:color="000000"/>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
        </w:tc>
        <w:tc>
          <w:tcPr>
            <w:tcW w:w="113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39"/>
              <w:ind w:left="40" w:right="38"/>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9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39"/>
              <w:ind w:left="40" w:right="40"/>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06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4"/>
              <w:ind w:left="39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76" w:hRule="exact"/>
        </w:trPr>
        <w:tc>
          <w:tcPr>
            <w:tcW w:w="1305" w:type="dxa"/>
            <w:vMerge/>
            <w:tcBorders>
              <w:left w:val="single" w:sz="4" w:space="0" w:color="000000"/>
              <w:bottom w:val="nil" w:sz="6" w:space="0" w:color="auto"/>
              <w:right w:val="single" w:sz="4" w:space="0" w:color="000000"/>
            </w:tcBorders>
            <w:shd w:val="clear" w:color="auto" w:fill="D2D2D2"/>
          </w:tcPr>
          <w:p>
            <w:pPr/>
          </w:p>
        </w:tc>
        <w:tc>
          <w:tcPr>
            <w:tcW w:w="1247" w:type="dxa"/>
            <w:gridSpan w:val="2"/>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113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91" w:right="111"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9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0" w:right="41"/>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91" w:type="dxa"/>
            <w:gridSpan w:val="2"/>
            <w:vMerge/>
            <w:tcBorders>
              <w:left w:val="single" w:sz="4" w:space="0" w:color="000000"/>
              <w:right w:val="single" w:sz="4" w:space="0" w:color="000000"/>
            </w:tcBorders>
            <w:shd w:val="clear" w:color="auto" w:fill="D2D2D2"/>
          </w:tcPr>
          <w:p>
            <w:pPr/>
          </w:p>
        </w:tc>
        <w:tc>
          <w:tcPr>
            <w:tcW w:w="993" w:type="dxa"/>
            <w:gridSpan w:val="2"/>
            <w:vMerge/>
            <w:tcBorders>
              <w:left w:val="single" w:sz="4" w:space="0" w:color="000000"/>
              <w:right w:val="single" w:sz="4" w:space="0" w:color="000000"/>
            </w:tcBorders>
            <w:shd w:val="clear" w:color="auto" w:fill="D2D2D2"/>
          </w:tcPr>
          <w:p>
            <w:pPr/>
          </w:p>
        </w:tc>
        <w:tc>
          <w:tcPr>
            <w:tcW w:w="2060" w:type="dxa"/>
            <w:gridSpan w:val="2"/>
            <w:vMerge/>
            <w:tcBorders>
              <w:left w:val="single" w:sz="4" w:space="0" w:color="000000"/>
              <w:bottom w:val="single" w:sz="4" w:space="0" w:color="000000"/>
              <w:right w:val="single" w:sz="4" w:space="0" w:color="000000"/>
            </w:tcBorders>
            <w:shd w:val="clear" w:color="auto" w:fill="D2D2D2"/>
          </w:tcPr>
          <w:p>
            <w:pPr/>
          </w:p>
        </w:tc>
      </w:tr>
      <w:tr>
        <w:trPr>
          <w:trHeight w:val="181" w:hRule="exact"/>
        </w:trPr>
        <w:tc>
          <w:tcPr>
            <w:tcW w:w="130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272"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4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244"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6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134" w:type="dxa"/>
            <w:gridSpan w:val="2"/>
            <w:vMerge/>
            <w:tcBorders>
              <w:left w:val="single" w:sz="4" w:space="0" w:color="000000"/>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993" w:type="dxa"/>
            <w:gridSpan w:val="2"/>
            <w:vMerge/>
            <w:tcBorders>
              <w:left w:val="single" w:sz="4" w:space="0" w:color="000000"/>
              <w:right w:val="single" w:sz="4" w:space="0" w:color="000000"/>
            </w:tcBorders>
            <w:shd w:val="clear" w:color="auto" w:fill="D2D2D2"/>
          </w:tcPr>
          <w:p>
            <w:pPr/>
          </w:p>
        </w:tc>
        <w:tc>
          <w:tcPr>
            <w:tcW w:w="70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1"/>
              <w:ind w:left="259" w:right="72" w:hanging="180"/>
              <w:jc w:val="left"/>
              <w:rPr>
                <w:rFonts w:ascii="宋体" w:hAnsi="宋体" w:cs="宋体" w:eastAsia="宋体" w:hint="default"/>
                <w:sz w:val="18"/>
                <w:szCs w:val="18"/>
              </w:rPr>
            </w:pPr>
            <w:r>
              <w:rPr>
                <w:rFonts w:ascii="宋体" w:hAnsi="宋体" w:cs="宋体" w:eastAsia="宋体" w:hint="default"/>
                <w:sz w:val="18"/>
                <w:szCs w:val="18"/>
              </w:rPr>
              <w:t>股份状 态</w:t>
            </w:r>
          </w:p>
        </w:tc>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305" w:type="dxa"/>
            <w:vMerge/>
            <w:tcBorders>
              <w:left w:val="single" w:sz="4" w:space="0" w:color="000000"/>
              <w:bottom w:val="nil" w:sz="6" w:space="0" w:color="auto"/>
              <w:right w:val="single" w:sz="4" w:space="0" w:color="000000"/>
            </w:tcBorders>
            <w:shd w:val="clear" w:color="auto" w:fill="D2D2D2"/>
          </w:tcPr>
          <w:p>
            <w:pPr/>
          </w:p>
        </w:tc>
        <w:tc>
          <w:tcPr>
            <w:tcW w:w="1247" w:type="dxa"/>
            <w:gridSpan w:val="2"/>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993" w:type="dxa"/>
            <w:gridSpan w:val="2"/>
            <w:vMerge/>
            <w:tcBorders>
              <w:left w:val="single" w:sz="4" w:space="0" w:color="000000"/>
              <w:right w:val="single" w:sz="4" w:space="0" w:color="000000"/>
            </w:tcBorders>
            <w:shd w:val="clear" w:color="auto" w:fill="D2D2D2"/>
          </w:tcPr>
          <w:p>
            <w:pPr/>
          </w:p>
        </w:tc>
        <w:tc>
          <w:tcPr>
            <w:tcW w:w="703" w:type="dxa"/>
            <w:vMerge/>
            <w:tcBorders>
              <w:left w:val="single" w:sz="4" w:space="0" w:color="000000"/>
              <w:right w:val="single" w:sz="4" w:space="0" w:color="000000"/>
            </w:tcBorders>
            <w:shd w:val="clear" w:color="auto" w:fill="D2D2D2"/>
          </w:tcPr>
          <w:p>
            <w:pPr/>
          </w:p>
        </w:tc>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79" w:hRule="exact"/>
        </w:trPr>
        <w:tc>
          <w:tcPr>
            <w:tcW w:w="1305" w:type="dxa"/>
            <w:vMerge w:val="restart"/>
            <w:tcBorders>
              <w:top w:val="nil" w:sz="6" w:space="0" w:color="auto"/>
              <w:left w:val="single" w:sz="4" w:space="0" w:color="000000"/>
              <w:right w:val="single" w:sz="4" w:space="0" w:color="000000"/>
            </w:tcBorders>
            <w:shd w:val="clear" w:color="auto" w:fill="D2D2D2"/>
          </w:tcPr>
          <w:p>
            <w:pPr/>
          </w:p>
        </w:tc>
        <w:tc>
          <w:tcPr>
            <w:tcW w:w="1247" w:type="dxa"/>
            <w:gridSpan w:val="2"/>
            <w:vMerge w:val="restart"/>
            <w:tcBorders>
              <w:top w:val="nil" w:sz="6" w:space="0" w:color="auto"/>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
        </w:tc>
        <w:tc>
          <w:tcPr>
            <w:tcW w:w="1134" w:type="dxa"/>
            <w:gridSpan w:val="2"/>
            <w:vMerge/>
            <w:tcBorders>
              <w:left w:val="single" w:sz="4" w:space="0" w:color="000000"/>
              <w:bottom w:val="nil" w:sz="6" w:space="0" w:color="auto"/>
              <w:right w:val="single" w:sz="4" w:space="0" w:color="000000"/>
            </w:tcBorders>
            <w:shd w:val="clear" w:color="auto" w:fill="D2D2D2"/>
          </w:tcPr>
          <w:p>
            <w:pPr/>
          </w:p>
        </w:tc>
        <w:tc>
          <w:tcPr>
            <w:tcW w:w="994" w:type="dxa"/>
            <w:gridSpan w:val="2"/>
            <w:vMerge/>
            <w:tcBorders>
              <w:left w:val="single" w:sz="4" w:space="0" w:color="000000"/>
              <w:bottom w:val="nil" w:sz="6" w:space="0" w:color="auto"/>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993" w:type="dxa"/>
            <w:gridSpan w:val="2"/>
            <w:vMerge/>
            <w:tcBorders>
              <w:left w:val="single" w:sz="4" w:space="0" w:color="000000"/>
              <w:right w:val="single" w:sz="4" w:space="0" w:color="000000"/>
            </w:tcBorders>
            <w:shd w:val="clear" w:color="auto" w:fill="D2D2D2"/>
          </w:tcPr>
          <w:p>
            <w:pPr/>
          </w:p>
        </w:tc>
        <w:tc>
          <w:tcPr>
            <w:tcW w:w="703" w:type="dxa"/>
            <w:vMerge/>
            <w:tcBorders>
              <w:left w:val="single" w:sz="4" w:space="0" w:color="000000"/>
              <w:right w:val="single" w:sz="4" w:space="0" w:color="000000"/>
            </w:tcBorders>
            <w:shd w:val="clear" w:color="auto" w:fill="D2D2D2"/>
          </w:tcPr>
          <w:p>
            <w:pPr/>
          </w:p>
        </w:tc>
        <w:tc>
          <w:tcPr>
            <w:tcW w:w="1357" w:type="dxa"/>
            <w:vMerge/>
            <w:tcBorders>
              <w:left w:val="single" w:sz="4" w:space="0" w:color="000000"/>
              <w:bottom w:val="nil" w:sz="6" w:space="0" w:color="auto"/>
              <w:right w:val="single" w:sz="4" w:space="0" w:color="000000"/>
            </w:tcBorders>
            <w:shd w:val="clear" w:color="auto" w:fill="D2D2D2"/>
          </w:tcPr>
          <w:p>
            <w:pPr/>
          </w:p>
        </w:tc>
      </w:tr>
      <w:tr>
        <w:trPr>
          <w:trHeight w:val="184" w:hRule="exact"/>
        </w:trPr>
        <w:tc>
          <w:tcPr>
            <w:tcW w:w="1305" w:type="dxa"/>
            <w:vMerge/>
            <w:tcBorders>
              <w:left w:val="single" w:sz="4" w:space="0" w:color="000000"/>
              <w:bottom w:val="single" w:sz="4" w:space="0" w:color="000000"/>
              <w:right w:val="single" w:sz="4" w:space="0" w:color="000000"/>
            </w:tcBorders>
            <w:shd w:val="clear" w:color="auto" w:fill="D2D2D2"/>
          </w:tcPr>
          <w:p>
            <w:pPr/>
          </w:p>
        </w:tc>
        <w:tc>
          <w:tcPr>
            <w:tcW w:w="1247" w:type="dxa"/>
            <w:gridSpan w:val="2"/>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13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gridSpan w:val="2"/>
            <w:vMerge/>
            <w:tcBorders>
              <w:left w:val="single" w:sz="4" w:space="0" w:color="000000"/>
              <w:bottom w:val="single" w:sz="4" w:space="0" w:color="000000"/>
              <w:right w:val="single" w:sz="4" w:space="0" w:color="000000"/>
            </w:tcBorders>
            <w:shd w:val="clear" w:color="auto" w:fill="D2D2D2"/>
          </w:tcPr>
          <w:p>
            <w:pPr/>
          </w:p>
        </w:tc>
        <w:tc>
          <w:tcPr>
            <w:tcW w:w="993" w:type="dxa"/>
            <w:gridSpan w:val="2"/>
            <w:vMerge/>
            <w:tcBorders>
              <w:left w:val="single" w:sz="4" w:space="0" w:color="000000"/>
              <w:bottom w:val="single" w:sz="4" w:space="0" w:color="000000"/>
              <w:right w:val="single" w:sz="4" w:space="0" w:color="000000"/>
            </w:tcBorders>
            <w:shd w:val="clear" w:color="auto" w:fill="D2D2D2"/>
          </w:tcPr>
          <w:p>
            <w:pPr/>
          </w:p>
        </w:tc>
        <w:tc>
          <w:tcPr>
            <w:tcW w:w="703" w:type="dxa"/>
            <w:vMerge/>
            <w:tcBorders>
              <w:left w:val="single" w:sz="4" w:space="0" w:color="000000"/>
              <w:bottom w:val="single" w:sz="4" w:space="0" w:color="000000"/>
              <w:right w:val="single" w:sz="4" w:space="0" w:color="000000"/>
            </w:tcBorders>
            <w:shd w:val="clear" w:color="auto" w:fill="D2D2D2"/>
          </w:tcPr>
          <w:p>
            <w:pPr/>
          </w:p>
        </w:tc>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邵健伟</w:t>
            </w:r>
          </w:p>
        </w:tc>
        <w:tc>
          <w:tcPr>
            <w:tcW w:w="12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46.12%</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71,034,660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31,570,960</w:t>
            </w:r>
          </w:p>
        </w:tc>
        <w:tc>
          <w:tcPr>
            <w:tcW w:w="991" w:type="dxa"/>
            <w:gridSpan w:val="2"/>
            <w:tcBorders>
              <w:top w:val="single" w:sz="22" w:space="0" w:color="D2D2D2"/>
              <w:left w:val="single" w:sz="4" w:space="0" w:color="000000"/>
              <w:bottom w:val="single" w:sz="4" w:space="0" w:color="000000"/>
              <w:right w:val="single" w:sz="4" w:space="0" w:color="000000"/>
            </w:tcBorders>
          </w:tcPr>
          <w:p>
            <w:pPr>
              <w:pStyle w:val="TableParagraph"/>
              <w:spacing w:line="240" w:lineRule="auto" w:before="68"/>
              <w:ind w:left="148" w:right="0"/>
              <w:jc w:val="left"/>
              <w:rPr>
                <w:rFonts w:ascii="Times New Roman" w:hAnsi="Times New Roman" w:cs="Times New Roman" w:eastAsia="Times New Roman" w:hint="default"/>
                <w:sz w:val="18"/>
                <w:szCs w:val="18"/>
              </w:rPr>
            </w:pPr>
            <w:r>
              <w:rPr>
                <w:rFonts w:ascii="Times New Roman"/>
                <w:sz w:val="18"/>
              </w:rPr>
              <w:t>71,034,660</w:t>
            </w:r>
          </w:p>
        </w:tc>
        <w:tc>
          <w:tcPr>
            <w:tcW w:w="993" w:type="dxa"/>
            <w:gridSpan w:val="2"/>
            <w:tcBorders>
              <w:top w:val="single" w:sz="22" w:space="0" w:color="D2D2D2"/>
              <w:left w:val="single" w:sz="4" w:space="0" w:color="000000"/>
              <w:bottom w:val="single" w:sz="4" w:space="0" w:color="000000"/>
              <w:right w:val="single" w:sz="4" w:space="0" w:color="000000"/>
            </w:tcBorders>
          </w:tcPr>
          <w:p>
            <w:pPr>
              <w:pStyle w:val="TableParagraph"/>
              <w:spacing w:line="240" w:lineRule="auto" w:before="68"/>
              <w:ind w:right="23"/>
              <w:jc w:val="right"/>
              <w:rPr>
                <w:rFonts w:ascii="Times New Roman" w:hAnsi="Times New Roman" w:cs="Times New Roman" w:eastAsia="Times New Roman" w:hint="default"/>
                <w:sz w:val="18"/>
                <w:szCs w:val="18"/>
              </w:rPr>
            </w:pPr>
            <w:r>
              <w:rPr>
                <w:rFonts w:ascii="Times New Roman"/>
                <w:sz w:val="18"/>
              </w:rPr>
              <w:t>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9,400,000</w:t>
            </w:r>
          </w:p>
        </w:tc>
      </w:tr>
      <w:tr>
        <w:trPr>
          <w:trHeight w:val="402"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邵健锋</w:t>
            </w:r>
          </w:p>
        </w:tc>
        <w:tc>
          <w:tcPr>
            <w:tcW w:w="12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6.18%</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0" w:right="0"/>
              <w:jc w:val="left"/>
              <w:rPr>
                <w:rFonts w:ascii="Times New Roman" w:hAnsi="Times New Roman" w:cs="Times New Roman" w:eastAsia="Times New Roman" w:hint="default"/>
                <w:sz w:val="18"/>
                <w:szCs w:val="18"/>
              </w:rPr>
            </w:pPr>
            <w:r>
              <w:rPr>
                <w:rFonts w:ascii="Times New Roman"/>
                <w:sz w:val="18"/>
              </w:rPr>
              <w:t>9,514,080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4,228,480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8" w:right="0"/>
              <w:jc w:val="left"/>
              <w:rPr>
                <w:rFonts w:ascii="Times New Roman" w:hAnsi="Times New Roman" w:cs="Times New Roman" w:eastAsia="Times New Roman" w:hint="default"/>
                <w:sz w:val="18"/>
                <w:szCs w:val="18"/>
              </w:rPr>
            </w:pPr>
            <w:r>
              <w:rPr>
                <w:rFonts w:ascii="Times New Roman"/>
                <w:sz w:val="18"/>
              </w:rPr>
              <w:t>9,514,080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4,587,200</w:t>
            </w:r>
          </w:p>
        </w:tc>
      </w:tr>
      <w:tr>
        <w:trPr>
          <w:trHeight w:val="402"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陈伟国</w:t>
            </w:r>
          </w:p>
        </w:tc>
        <w:tc>
          <w:tcPr>
            <w:tcW w:w="12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4.17%</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0" w:right="0"/>
              <w:jc w:val="left"/>
              <w:rPr>
                <w:rFonts w:ascii="Times New Roman" w:hAnsi="Times New Roman" w:cs="Times New Roman" w:eastAsia="Times New Roman" w:hint="default"/>
                <w:sz w:val="18"/>
                <w:szCs w:val="18"/>
              </w:rPr>
            </w:pPr>
            <w:r>
              <w:rPr>
                <w:rFonts w:ascii="Times New Roman"/>
                <w:sz w:val="18"/>
              </w:rPr>
              <w:t>6,422,004</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2,457,804</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8" w:right="0"/>
              <w:jc w:val="left"/>
              <w:rPr>
                <w:rFonts w:ascii="Times New Roman" w:hAnsi="Times New Roman" w:cs="Times New Roman" w:eastAsia="Times New Roman" w:hint="default"/>
                <w:sz w:val="18"/>
                <w:szCs w:val="18"/>
              </w:rPr>
            </w:pPr>
            <w:r>
              <w:rPr>
                <w:rFonts w:ascii="Times New Roman"/>
                <w:sz w:val="18"/>
              </w:rPr>
              <w:t>6,422,004</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5,708,448</w:t>
            </w:r>
          </w:p>
        </w:tc>
      </w:tr>
      <w:tr>
        <w:trPr>
          <w:trHeight w:val="1026"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2"/>
              <w:jc w:val="left"/>
              <w:rPr>
                <w:rFonts w:ascii="宋体" w:hAnsi="宋体" w:cs="宋体" w:eastAsia="宋体" w:hint="default"/>
                <w:sz w:val="18"/>
                <w:szCs w:val="18"/>
              </w:rPr>
            </w:pPr>
            <w:r>
              <w:rPr>
                <w:rFonts w:ascii="宋体" w:hAnsi="宋体" w:cs="宋体" w:eastAsia="宋体" w:hint="default"/>
                <w:sz w:val="18"/>
                <w:szCs w:val="18"/>
              </w:rPr>
              <w:t>深圳市华锐丰 投资合伙企业</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2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 w:right="161"/>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3.09%</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4,757,040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2,114,240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4,757,040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3"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
              <w:jc w:val="left"/>
              <w:rPr>
                <w:rFonts w:ascii="宋体" w:hAnsi="宋体" w:cs="宋体" w:eastAsia="宋体" w:hint="default"/>
                <w:sz w:val="18"/>
                <w:szCs w:val="18"/>
              </w:rPr>
            </w:pPr>
            <w:r>
              <w:rPr>
                <w:rFonts w:ascii="宋体" w:hAnsi="宋体" w:cs="宋体" w:eastAsia="宋体" w:hint="default"/>
                <w:spacing w:val="-6"/>
                <w:sz w:val="18"/>
                <w:szCs w:val="18"/>
              </w:rPr>
              <w:t>皖江（芜湖）物</w:t>
            </w:r>
            <w:r>
              <w:rPr>
                <w:rFonts w:ascii="宋体" w:hAnsi="宋体" w:cs="宋体" w:eastAsia="宋体" w:hint="default"/>
                <w:sz w:val="18"/>
                <w:szCs w:val="18"/>
              </w:rPr>
              <w:t> 流产业投资基 金（有限合伙）</w:t>
            </w:r>
          </w:p>
        </w:tc>
        <w:tc>
          <w:tcPr>
            <w:tcW w:w="12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 w:right="161"/>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2.66%</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4,102,151</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1,102,151</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4,102,151</w:t>
            </w:r>
          </w:p>
        </w:tc>
        <w:tc>
          <w:tcPr>
            <w:tcW w:w="703"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颜明霞</w:t>
            </w:r>
          </w:p>
        </w:tc>
        <w:tc>
          <w:tcPr>
            <w:tcW w:w="12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0" w:right="0"/>
              <w:jc w:val="left"/>
              <w:rPr>
                <w:rFonts w:ascii="Times New Roman" w:hAnsi="Times New Roman" w:cs="Times New Roman" w:eastAsia="Times New Roman" w:hint="default"/>
                <w:sz w:val="18"/>
                <w:szCs w:val="18"/>
              </w:rPr>
            </w:pPr>
            <w:r>
              <w:rPr>
                <w:rFonts w:ascii="Times New Roman"/>
                <w:sz w:val="18"/>
              </w:rPr>
              <w:t>2,700,000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1,200,000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8" w:right="0"/>
              <w:jc w:val="left"/>
              <w:rPr>
                <w:rFonts w:ascii="Times New Roman" w:hAnsi="Times New Roman" w:cs="Times New Roman" w:eastAsia="Times New Roman" w:hint="default"/>
                <w:sz w:val="18"/>
                <w:szCs w:val="18"/>
              </w:rPr>
            </w:pPr>
            <w:r>
              <w:rPr>
                <w:rFonts w:ascii="Times New Roman"/>
                <w:sz w:val="18"/>
              </w:rPr>
              <w:t>2,700,000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1,350,000</w:t>
            </w:r>
          </w:p>
        </w:tc>
      </w:tr>
      <w:tr>
        <w:trPr>
          <w:trHeight w:val="1026"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2"/>
              <w:jc w:val="left"/>
              <w:rPr>
                <w:rFonts w:ascii="宋体" w:hAnsi="宋体" w:cs="宋体" w:eastAsia="宋体" w:hint="default"/>
                <w:sz w:val="18"/>
                <w:szCs w:val="18"/>
              </w:rPr>
            </w:pPr>
            <w:r>
              <w:rPr>
                <w:rFonts w:ascii="宋体" w:hAnsi="宋体" w:cs="宋体" w:eastAsia="宋体" w:hint="default"/>
                <w:sz w:val="18"/>
                <w:szCs w:val="18"/>
              </w:rPr>
              <w:t>深圳市新智丰 投资合伙企业</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2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 w:right="161"/>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1.33%</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2,055,060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913,360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2,055,060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312,660</w:t>
            </w:r>
          </w:p>
        </w:tc>
      </w:tr>
      <w:tr>
        <w:trPr>
          <w:trHeight w:val="1026"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2"/>
              <w:jc w:val="left"/>
              <w:rPr>
                <w:rFonts w:ascii="宋体" w:hAnsi="宋体" w:cs="宋体" w:eastAsia="宋体" w:hint="default"/>
                <w:sz w:val="18"/>
                <w:szCs w:val="18"/>
              </w:rPr>
            </w:pPr>
            <w:r>
              <w:rPr>
                <w:rFonts w:ascii="宋体" w:hAnsi="宋体" w:cs="宋体" w:eastAsia="宋体" w:hint="default"/>
                <w:sz w:val="18"/>
                <w:szCs w:val="18"/>
              </w:rPr>
              <w:t>深圳市金美华 投资合伙企业</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2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 w:right="161"/>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1.27%</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1,950,400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814,000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1,950,400</w:t>
            </w:r>
          </w:p>
        </w:tc>
        <w:tc>
          <w:tcPr>
            <w:tcW w:w="703"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巨丰企业管理 </w:t>
            </w:r>
            <w:r>
              <w:rPr>
                <w:rFonts w:ascii="宋体" w:hAnsi="宋体" w:cs="宋体" w:eastAsia="宋体" w:hint="default"/>
                <w:spacing w:val="-6"/>
                <w:sz w:val="18"/>
                <w:szCs w:val="18"/>
              </w:rPr>
              <w:t>咨询（深圳）有</w:t>
            </w:r>
            <w:r>
              <w:rPr>
                <w:rFonts w:ascii="宋体" w:hAnsi="宋体" w:cs="宋体" w:eastAsia="宋体" w:hint="default"/>
                <w:sz w:val="18"/>
                <w:szCs w:val="18"/>
              </w:rPr>
              <w:t> 限公司</w:t>
            </w:r>
          </w:p>
        </w:tc>
        <w:tc>
          <w:tcPr>
            <w:tcW w:w="12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 w:right="161"/>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1.24%</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1,902,780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845,680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1,902,780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1,170,000</w:t>
            </w:r>
          </w:p>
        </w:tc>
      </w:tr>
      <w:tr>
        <w:trPr>
          <w:trHeight w:val="1026"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深圳市盛桥创 源投资合伙企 业（有限合伙）</w:t>
            </w:r>
          </w:p>
        </w:tc>
        <w:tc>
          <w:tcPr>
            <w:tcW w:w="12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 w:right="161"/>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1,701,388</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-98,612</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1,701,388</w:t>
            </w:r>
          </w:p>
        </w:tc>
        <w:tc>
          <w:tcPr>
            <w:tcW w:w="703"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55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pacing w:val="-12"/>
                <w:sz w:val="18"/>
                <w:szCs w:val="18"/>
              </w:rPr>
              <w:t>名股东的情况（如</w:t>
            </w:r>
            <w:r>
              <w:rPr>
                <w:rFonts w:ascii="宋体" w:hAnsi="宋体" w:cs="宋体" w:eastAsia="宋体" w:hint="default"/>
                <w:sz w:val="18"/>
                <w:szCs w:val="18"/>
              </w:rPr>
              <w:t> </w:t>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7022" w:type="dxa"/>
            <w:gridSpan w:val="11"/>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5"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541"/>
        <w:gridCol w:w="862"/>
        <w:gridCol w:w="1287"/>
        <w:gridCol w:w="1975"/>
        <w:gridCol w:w="1559"/>
        <w:gridCol w:w="1351"/>
      </w:tblGrid>
      <w:tr>
        <w:trPr>
          <w:trHeight w:val="218" w:hRule="exact"/>
        </w:trPr>
        <w:tc>
          <w:tcPr>
            <w:tcW w:w="2541"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4" w:type="dxa"/>
            <w:gridSpan w:val="5"/>
            <w:vMerge w:val="restart"/>
            <w:tcBorders>
              <w:top w:val="single" w:sz="4" w:space="0" w:color="000000"/>
              <w:left w:val="single" w:sz="10" w:space="0" w:color="D2D2D2"/>
              <w:right w:val="single" w:sz="4" w:space="0" w:color="000000"/>
            </w:tcBorders>
          </w:tcPr>
          <w:p>
            <w:pPr>
              <w:pStyle w:val="TableParagraph"/>
              <w:spacing w:line="319" w:lineRule="auto" w:before="109"/>
              <w:ind w:left="27" w:right="22"/>
              <w:jc w:val="both"/>
              <w:rPr>
                <w:rFonts w:ascii="宋体" w:hAnsi="宋体" w:cs="宋体" w:eastAsia="宋体" w:hint="default"/>
                <w:sz w:val="18"/>
                <w:szCs w:val="18"/>
              </w:rPr>
            </w:pPr>
            <w:r>
              <w:rPr>
                <w:rFonts w:ascii="宋体" w:hAnsi="宋体" w:cs="宋体" w:eastAsia="宋体" w:hint="default"/>
                <w:spacing w:val="-2"/>
                <w:sz w:val="18"/>
                <w:szCs w:val="18"/>
              </w:rPr>
              <w:t>邵健伟与邵健锋为兄弟关系；深圳市华锐丰投资合伙企业（有限合伙）为邵健伟控制之企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业。除此之外，公司未知前十名股东之间是否存在其他关联关系，也未知其是否属于一致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行动人。</w:t>
            </w:r>
          </w:p>
        </w:tc>
      </w:tr>
      <w:tr>
        <w:trPr>
          <w:trHeight w:val="704" w:hRule="exact"/>
        </w:trPr>
        <w:tc>
          <w:tcPr>
            <w:tcW w:w="25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66"/>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034" w:type="dxa"/>
            <w:gridSpan w:val="5"/>
            <w:vMerge/>
            <w:tcBorders>
              <w:left w:val="single" w:sz="10" w:space="0" w:color="D2D2D2"/>
              <w:right w:val="single" w:sz="4" w:space="0" w:color="000000"/>
            </w:tcBorders>
          </w:tcPr>
          <w:p>
            <w:pPr/>
          </w:p>
        </w:tc>
      </w:tr>
      <w:tr>
        <w:trPr>
          <w:trHeight w:val="218" w:hRule="exact"/>
        </w:trPr>
        <w:tc>
          <w:tcPr>
            <w:tcW w:w="2541"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4" w:type="dxa"/>
            <w:gridSpan w:val="5"/>
            <w:vMerge/>
            <w:tcBorders>
              <w:left w:val="single" w:sz="10" w:space="0" w:color="D2D2D2"/>
              <w:bottom w:val="single" w:sz="4" w:space="0" w:color="000000"/>
              <w:right w:val="single" w:sz="4" w:space="0" w:color="000000"/>
            </w:tcBorders>
          </w:tcPr>
          <w:p>
            <w:pPr/>
          </w:p>
        </w:tc>
      </w:tr>
      <w:tr>
        <w:trPr>
          <w:trHeight w:val="402" w:hRule="exact"/>
        </w:trPr>
        <w:tc>
          <w:tcPr>
            <w:tcW w:w="957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340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26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291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340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26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74"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91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3402" w:type="dxa"/>
            <w:gridSpan w:val="2"/>
            <w:vMerge/>
            <w:tcBorders>
              <w:left w:val="single" w:sz="4" w:space="0" w:color="000000"/>
              <w:bottom w:val="nil" w:sz="6" w:space="0" w:color="auto"/>
              <w:right w:val="single" w:sz="4" w:space="0" w:color="000000"/>
            </w:tcBorders>
            <w:shd w:val="clear" w:color="auto" w:fill="D2D2D2"/>
          </w:tcPr>
          <w:p>
            <w:pPr/>
          </w:p>
        </w:tc>
        <w:tc>
          <w:tcPr>
            <w:tcW w:w="3262" w:type="dxa"/>
            <w:gridSpan w:val="2"/>
            <w:vMerge/>
            <w:tcBorders>
              <w:left w:val="single" w:sz="4" w:space="0" w:color="000000"/>
              <w:bottom w:val="nil" w:sz="6" w:space="0" w:color="auto"/>
              <w:right w:val="single" w:sz="4" w:space="0" w:color="000000"/>
            </w:tcBorders>
            <w:shd w:val="clear" w:color="auto" w:fill="D2D2D2"/>
          </w:tcPr>
          <w:p>
            <w:pPr/>
          </w:p>
        </w:tc>
        <w:tc>
          <w:tcPr>
            <w:tcW w:w="15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14"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340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26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559" w:type="dxa"/>
            <w:vMerge/>
            <w:tcBorders>
              <w:left w:val="single" w:sz="4" w:space="0" w:color="000000"/>
              <w:bottom w:val="single" w:sz="4" w:space="0" w:color="000000"/>
              <w:right w:val="single" w:sz="4" w:space="0" w:color="000000"/>
            </w:tcBorders>
            <w:shd w:val="clear" w:color="auto" w:fill="D2D2D2"/>
          </w:tcPr>
          <w:p>
            <w:pPr/>
          </w:p>
        </w:tc>
        <w:tc>
          <w:tcPr>
            <w:tcW w:w="135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34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陈伟国</w:t>
            </w:r>
          </w:p>
        </w:tc>
        <w:tc>
          <w:tcPr>
            <w:tcW w:w="3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6,422,004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6,422,004</w:t>
            </w:r>
          </w:p>
        </w:tc>
      </w:tr>
      <w:tr>
        <w:trPr>
          <w:trHeight w:val="402" w:hRule="exact"/>
        </w:trPr>
        <w:tc>
          <w:tcPr>
            <w:tcW w:w="34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
                <w:sz w:val="18"/>
                <w:szCs w:val="18"/>
              </w:rPr>
              <w:t>皖江（芜湖）物流产业投资基金（有限合伙</w:t>
            </w:r>
          </w:p>
        </w:tc>
        <w:tc>
          <w:tcPr>
            <w:tcW w:w="12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19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6" w:right="0"/>
              <w:jc w:val="left"/>
              <w:rPr>
                <w:rFonts w:ascii="Times New Roman" w:hAnsi="Times New Roman" w:cs="Times New Roman" w:eastAsia="Times New Roman" w:hint="default"/>
                <w:sz w:val="18"/>
                <w:szCs w:val="18"/>
              </w:rPr>
            </w:pPr>
            <w:r>
              <w:rPr>
                <w:rFonts w:ascii="Times New Roman"/>
                <w:sz w:val="18"/>
              </w:rPr>
              <w:t>4,102,151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4,102,151</w:t>
            </w:r>
          </w:p>
        </w:tc>
      </w:tr>
      <w:tr>
        <w:trPr>
          <w:trHeight w:val="402" w:hRule="exact"/>
        </w:trPr>
        <w:tc>
          <w:tcPr>
            <w:tcW w:w="34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颜明霞</w:t>
            </w:r>
          </w:p>
        </w:tc>
        <w:tc>
          <w:tcPr>
            <w:tcW w:w="3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2,700,000</w:t>
            </w:r>
          </w:p>
        </w:tc>
      </w:tr>
      <w:tr>
        <w:trPr>
          <w:trHeight w:val="402" w:hRule="exact"/>
        </w:trPr>
        <w:tc>
          <w:tcPr>
            <w:tcW w:w="34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深圳市新智丰投资合伙企业（有限合伙）</w:t>
            </w:r>
          </w:p>
        </w:tc>
        <w:tc>
          <w:tcPr>
            <w:tcW w:w="3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2,055,060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2,055,060</w:t>
            </w:r>
          </w:p>
        </w:tc>
      </w:tr>
      <w:tr>
        <w:trPr>
          <w:trHeight w:val="402" w:hRule="exact"/>
        </w:trPr>
        <w:tc>
          <w:tcPr>
            <w:tcW w:w="34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深圳市金美华投资合伙企业（有限合伙）</w:t>
            </w:r>
          </w:p>
        </w:tc>
        <w:tc>
          <w:tcPr>
            <w:tcW w:w="3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1,950,400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1,950,400</w:t>
            </w:r>
          </w:p>
        </w:tc>
      </w:tr>
      <w:tr>
        <w:trPr>
          <w:trHeight w:val="402" w:hRule="exact"/>
        </w:trPr>
        <w:tc>
          <w:tcPr>
            <w:tcW w:w="34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巨丰企业管理咨询（深圳）有限公司</w:t>
            </w:r>
          </w:p>
        </w:tc>
        <w:tc>
          <w:tcPr>
            <w:tcW w:w="3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1,902,780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1,902,780</w:t>
            </w:r>
          </w:p>
        </w:tc>
      </w:tr>
      <w:tr>
        <w:trPr>
          <w:trHeight w:val="402" w:hRule="exact"/>
        </w:trPr>
        <w:tc>
          <w:tcPr>
            <w:tcW w:w="34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深圳市盛桥创源投资合伙企业（有限合伙</w:t>
            </w:r>
          </w:p>
        </w:tc>
        <w:tc>
          <w:tcPr>
            <w:tcW w:w="3262" w:type="dxa"/>
            <w:gridSpan w:val="2"/>
            <w:tcBorders>
              <w:top w:val="single" w:sz="4" w:space="0" w:color="000000"/>
              <w:left w:val="single" w:sz="4" w:space="0" w:color="000000"/>
              <w:bottom w:val="single" w:sz="4" w:space="0" w:color="000000"/>
              <w:right w:val="single" w:sz="4" w:space="0" w:color="000000"/>
            </w:tcBorders>
          </w:tcPr>
          <w:p>
            <w:pPr>
              <w:pStyle w:val="TableParagraph"/>
              <w:tabs>
                <w:tab w:pos="2508" w:val="left" w:leader="none"/>
              </w:tabs>
              <w:spacing w:line="240" w:lineRule="auto" w:before="51"/>
              <w:ind w:left="-14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1,701,388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1,701,388</w:t>
            </w:r>
          </w:p>
        </w:tc>
      </w:tr>
      <w:tr>
        <w:trPr>
          <w:trHeight w:val="402" w:hRule="exact"/>
        </w:trPr>
        <w:tc>
          <w:tcPr>
            <w:tcW w:w="34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林宜生</w:t>
            </w:r>
          </w:p>
        </w:tc>
        <w:tc>
          <w:tcPr>
            <w:tcW w:w="3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1,522,260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1,522,260</w:t>
            </w:r>
          </w:p>
        </w:tc>
      </w:tr>
      <w:tr>
        <w:trPr>
          <w:trHeight w:val="402" w:hRule="exact"/>
        </w:trPr>
        <w:tc>
          <w:tcPr>
            <w:tcW w:w="34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黄煜</w:t>
            </w:r>
          </w:p>
        </w:tc>
        <w:tc>
          <w:tcPr>
            <w:tcW w:w="3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1,345,000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1,345,000</w:t>
            </w:r>
          </w:p>
        </w:tc>
      </w:tr>
      <w:tr>
        <w:trPr>
          <w:trHeight w:val="402" w:hRule="exact"/>
        </w:trPr>
        <w:tc>
          <w:tcPr>
            <w:tcW w:w="34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李洁</w:t>
            </w:r>
          </w:p>
        </w:tc>
        <w:tc>
          <w:tcPr>
            <w:tcW w:w="3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795,619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795,619</w:t>
            </w:r>
          </w:p>
        </w:tc>
      </w:tr>
      <w:tr>
        <w:trPr>
          <w:trHeight w:val="1026" w:hRule="exact"/>
        </w:trPr>
        <w:tc>
          <w:tcPr>
            <w:tcW w:w="34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名无限售流通股股东之间，以及前</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p>
          <w:p>
            <w:pPr>
              <w:pStyle w:val="TableParagraph"/>
              <w:spacing w:line="302" w:lineRule="auto" w:before="61"/>
              <w:ind w:left="22" w:right="37"/>
              <w:jc w:val="left"/>
              <w:rPr>
                <w:rFonts w:ascii="宋体" w:hAnsi="宋体" w:cs="宋体" w:eastAsia="宋体" w:hint="default"/>
                <w:sz w:val="18"/>
                <w:szCs w:val="18"/>
              </w:rPr>
            </w:pPr>
            <w:r>
              <w:rPr>
                <w:rFonts w:ascii="宋体" w:hAnsi="宋体" w:cs="宋体" w:eastAsia="宋体" w:hint="default"/>
                <w:sz w:val="18"/>
                <w:szCs w:val="18"/>
              </w:rPr>
              <w:t>名无限售流通股股东和前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 联关系或一致行动的说明</w:t>
            </w:r>
          </w:p>
        </w:tc>
        <w:tc>
          <w:tcPr>
            <w:tcW w:w="61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z w:val="18"/>
                <w:szCs w:val="18"/>
              </w:rPr>
              <w:t>公司未知前十名无限售流通股股东之间，以及前十名无限售流通股股东与前十 名股东之间是否存在关联关系或一致行动。</w:t>
            </w:r>
          </w:p>
        </w:tc>
      </w:tr>
      <w:tr>
        <w:trPr>
          <w:trHeight w:val="714" w:hRule="exact"/>
        </w:trPr>
        <w:tc>
          <w:tcPr>
            <w:tcW w:w="34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13"/>
                <w:sz w:val="18"/>
                <w:szCs w:val="18"/>
              </w:rPr>
              <w:t>参与融资融券业务股东情况说明（如有）（参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1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6"/>
        <w:rPr>
          <w:rFonts w:ascii="宋体" w:hAnsi="宋体" w:cs="宋体" w:eastAsia="宋体" w:hint="default"/>
          <w:sz w:val="6"/>
          <w:szCs w:val="6"/>
        </w:rPr>
      </w:pPr>
    </w:p>
    <w:p>
      <w:pPr>
        <w:pStyle w:val="BodyText"/>
        <w:spacing w:line="240" w:lineRule="auto" w:before="44"/>
        <w:ind w:left="1134"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spacing w:line="240" w:lineRule="auto" w:before="11"/>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19"/>
          <w:szCs w:val="19"/>
        </w:rPr>
      </w:pPr>
    </w:p>
    <w:p>
      <w:pPr>
        <w:pStyle w:val="BodyText"/>
        <w:spacing w:line="240" w:lineRule="auto"/>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right="0"/>
        <w:jc w:val="left"/>
        <w:rPr>
          <w:b w:val="0"/>
          <w:bCs w:val="0"/>
        </w:rPr>
      </w:pPr>
      <w:bookmarkStart w:name="2、公司控股股东情况" w:id="111"/>
      <w:bookmarkEnd w:id="111"/>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360" w:lineRule="auto"/>
        <w:ind w:right="8593"/>
        <w:jc w:val="left"/>
      </w:pPr>
      <w:r>
        <w:rPr/>
        <w:t>控股股东性质：自然人控股 控股股东类型：自然人</w:t>
      </w:r>
    </w:p>
    <w:tbl>
      <w:tblPr>
        <w:tblW w:w="0" w:type="auto"/>
        <w:jc w:val="left"/>
        <w:tblInd w:w="1129" w:type="dxa"/>
        <w:tblLayout w:type="fixed"/>
        <w:tblCellMar>
          <w:top w:w="0" w:type="dxa"/>
          <w:left w:w="0" w:type="dxa"/>
          <w:bottom w:w="0" w:type="dxa"/>
          <w:right w:w="0" w:type="dxa"/>
        </w:tblCellMar>
        <w:tblLook w:val="01E0"/>
      </w:tblPr>
      <w:tblGrid>
        <w:gridCol w:w="3418"/>
        <w:gridCol w:w="2030"/>
        <w:gridCol w:w="4121"/>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邵健伟</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拥有中国香港居民身份证</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本公司董事长</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5"/>
        <w:ind w:left="1134" w:right="0"/>
        <w:jc w:val="left"/>
      </w:pPr>
      <w:r>
        <w:rPr/>
        <w:t>控股股东报告期内变更</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公司报告期控股股东未发生变更。</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公司实际控制人情况" w:id="112"/>
      <w:bookmarkEnd w:id="112"/>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413"/>
        <w:jc w:val="left"/>
      </w:pPr>
      <w:r>
        <w:rPr/>
        <w:t>实际控制人性质：境内自然人 实际控制人类型：自然人</w:t>
      </w:r>
    </w:p>
    <w:tbl>
      <w:tblPr>
        <w:tblW w:w="0" w:type="auto"/>
        <w:jc w:val="left"/>
        <w:tblInd w:w="1129" w:type="dxa"/>
        <w:tblLayout w:type="fixed"/>
        <w:tblCellMar>
          <w:top w:w="0" w:type="dxa"/>
          <w:left w:w="0" w:type="dxa"/>
          <w:bottom w:w="0" w:type="dxa"/>
          <w:right w:w="0" w:type="dxa"/>
        </w:tblCellMar>
        <w:tblLook w:val="01E0"/>
      </w:tblPr>
      <w:tblGrid>
        <w:gridCol w:w="3335"/>
        <w:gridCol w:w="2057"/>
        <w:gridCol w:w="4176"/>
      </w:tblGrid>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3" w:right="0"/>
              <w:jc w:val="left"/>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邵健伟</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4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拥有中国香港居民身份证</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34"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本公司董事长</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left="1134" w:right="0"/>
        <w:jc w:val="left"/>
      </w:pPr>
      <w:r>
        <w:rPr/>
        <w:t>实际控制人报告期内变更</w:t>
      </w:r>
    </w:p>
    <w:p>
      <w:pPr>
        <w:pStyle w:val="BodyText"/>
        <w:spacing w:line="34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1"/>
        <w:rPr>
          <w:rFonts w:ascii="宋体" w:hAnsi="宋体" w:cs="宋体" w:eastAsia="宋体" w:hint="default"/>
          <w:sz w:val="22"/>
          <w:szCs w:val="22"/>
        </w:rPr>
      </w:pPr>
    </w:p>
    <w:p>
      <w:pPr>
        <w:spacing w:line="5701" w:lineRule="exact"/>
        <w:ind w:left="1687" w:right="0" w:firstLine="0"/>
        <w:rPr>
          <w:rFonts w:ascii="宋体" w:hAnsi="宋体" w:cs="宋体" w:eastAsia="宋体" w:hint="default"/>
          <w:sz w:val="20"/>
          <w:szCs w:val="20"/>
        </w:rPr>
      </w:pPr>
      <w:r>
        <w:rPr>
          <w:rFonts w:ascii="宋体" w:hAnsi="宋体" w:cs="宋体" w:eastAsia="宋体" w:hint="default"/>
          <w:position w:val="-113"/>
          <w:sz w:val="20"/>
          <w:szCs w:val="20"/>
        </w:rPr>
        <w:drawing>
          <wp:inline distT="0" distB="0" distL="0" distR="0">
            <wp:extent cx="5401241" cy="3620452"/>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5" cstate="print"/>
                    <a:stretch>
                      <a:fillRect/>
                    </a:stretch>
                  </pic:blipFill>
                  <pic:spPr>
                    <a:xfrm>
                      <a:off x="0" y="0"/>
                      <a:ext cx="5401241" cy="3620452"/>
                    </a:xfrm>
                    <a:prstGeom prst="rect">
                      <a:avLst/>
                    </a:prstGeom>
                  </pic:spPr>
                </pic:pic>
              </a:graphicData>
            </a:graphic>
          </wp:inline>
        </w:drawing>
      </w:r>
      <w:r>
        <w:rPr>
          <w:rFonts w:ascii="宋体" w:hAnsi="宋体" w:cs="宋体" w:eastAsia="宋体" w:hint="default"/>
          <w:position w:val="-113"/>
          <w:sz w:val="20"/>
          <w:szCs w:val="20"/>
        </w:rPr>
      </w:r>
    </w:p>
    <w:p>
      <w:pPr>
        <w:spacing w:line="240" w:lineRule="auto" w:before="8"/>
        <w:rPr>
          <w:rFonts w:ascii="宋体" w:hAnsi="宋体" w:cs="宋体" w:eastAsia="宋体" w:hint="default"/>
          <w:sz w:val="25"/>
          <w:szCs w:val="25"/>
        </w:rPr>
      </w:pPr>
    </w:p>
    <w:p>
      <w:pPr>
        <w:pStyle w:val="BodyText"/>
        <w:spacing w:line="240" w:lineRule="auto"/>
        <w:ind w:right="0"/>
        <w:jc w:val="left"/>
      </w:pPr>
      <w:r>
        <w:rPr/>
        <w:t>实际控制人通过信托或其他资产管理方式控制公司</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其他持股在10%以上的法人股东" w:id="113"/>
      <w:bookmarkEnd w:id="113"/>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5、控股股东、实际控制人、重组方及其他承诺主体股份限制减持情况" w:id="114"/>
      <w:bookmarkEnd w:id="114"/>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2861"/>
        <w:jc w:val="center"/>
        <w:rPr>
          <w:b w:val="0"/>
          <w:bCs w:val="0"/>
        </w:rPr>
      </w:pPr>
      <w:bookmarkStart w:name="第七节 优先股相关情况" w:id="115"/>
      <w:bookmarkEnd w:id="115"/>
      <w:r>
        <w:rPr>
          <w:b w:val="0"/>
          <w:bCs w:val="0"/>
        </w:rPr>
      </w:r>
      <w:bookmarkStart w:name="_bookmark5" w:id="116"/>
      <w:bookmarkEnd w:id="116"/>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60" w:right="0"/>
        <w:jc w:val="left"/>
        <w:rPr>
          <w:b w:val="0"/>
          <w:bCs w:val="0"/>
        </w:rPr>
      </w:pPr>
      <w:bookmarkStart w:name="第八节 董事、监事、高级管理人员和员工情况" w:id="117"/>
      <w:bookmarkEnd w:id="117"/>
      <w:r>
        <w:rPr>
          <w:b w:val="0"/>
          <w:bCs w:val="0"/>
        </w:rPr>
      </w:r>
      <w:bookmarkStart w:name="_bookmark6" w:id="118"/>
      <w:bookmarkEnd w:id="118"/>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19"/>
      <w:bookmarkEnd w:id="119"/>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710"/>
        <w:gridCol w:w="1134"/>
        <w:gridCol w:w="425"/>
        <w:gridCol w:w="426"/>
        <w:gridCol w:w="568"/>
        <w:gridCol w:w="850"/>
        <w:gridCol w:w="851"/>
        <w:gridCol w:w="992"/>
        <w:gridCol w:w="1134"/>
        <w:gridCol w:w="850"/>
        <w:gridCol w:w="709"/>
        <w:gridCol w:w="925"/>
      </w:tblGrid>
      <w:tr>
        <w:trPr>
          <w:trHeight w:val="1025"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9"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6" w:right="26"/>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39" w:right="58"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0" w:right="59"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（股）</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21" w:firstLine="88"/>
              <w:jc w:val="left"/>
              <w:rPr>
                <w:rFonts w:ascii="宋体" w:hAnsi="宋体" w:cs="宋体" w:eastAsia="宋体" w:hint="default"/>
                <w:sz w:val="18"/>
                <w:szCs w:val="18"/>
              </w:rPr>
            </w:pPr>
            <w:r>
              <w:rPr>
                <w:rFonts w:ascii="宋体" w:hAnsi="宋体" w:cs="宋体" w:eastAsia="宋体" w:hint="default"/>
                <w:sz w:val="18"/>
                <w:szCs w:val="18"/>
              </w:rPr>
              <w:t>本期增持股 份数量（股）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0" w:right="59"/>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5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9" w:right="78"/>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20"/>
              <w:ind w:left="7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97" w:right="96"/>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邵健伟</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39,463,700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31,570,960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71,034,660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张小麒</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董事、总裁</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306,000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306,000</w:t>
            </w:r>
          </w:p>
        </w:tc>
      </w:tr>
      <w:tr>
        <w:trPr>
          <w:trHeight w:val="1026"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79" w:right="0"/>
              <w:jc w:val="left"/>
              <w:rPr>
                <w:rFonts w:ascii="宋体" w:hAnsi="宋体" w:cs="宋体" w:eastAsia="宋体" w:hint="default"/>
                <w:sz w:val="18"/>
                <w:szCs w:val="18"/>
              </w:rPr>
            </w:pPr>
            <w:r>
              <w:rPr>
                <w:rFonts w:ascii="宋体" w:hAnsi="宋体" w:cs="宋体" w:eastAsia="宋体" w:hint="default"/>
                <w:sz w:val="18"/>
                <w:szCs w:val="18"/>
              </w:rPr>
              <w:t>张永清</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firstLine="88"/>
              <w:jc w:val="left"/>
              <w:rPr>
                <w:rFonts w:ascii="宋体" w:hAnsi="宋体" w:cs="宋体" w:eastAsia="宋体" w:hint="default"/>
                <w:sz w:val="18"/>
                <w:szCs w:val="18"/>
              </w:rPr>
            </w:pPr>
            <w:r>
              <w:rPr>
                <w:rFonts w:ascii="宋体" w:hAnsi="宋体" w:cs="宋体" w:eastAsia="宋体" w:hint="default"/>
                <w:sz w:val="18"/>
                <w:szCs w:val="18"/>
              </w:rPr>
              <w:t>董事、副总 裁、董事会秘 书、财务总监</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216,000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216,000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刘成凯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董事、副总裁</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216,000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216,000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房殿军</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梅月欣</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郑飞</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金春保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盛强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袁蒙蒙</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邵健锋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常务副总裁</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5,285,600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4,228,480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9,514,080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徐峰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副总裁</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梁建平</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副总裁</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曾巍巍</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副总裁</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44,749,300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36,717,440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81,466,740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both"/>
        <w:rPr>
          <w:b w:val="0"/>
          <w:bCs w:val="0"/>
        </w:rPr>
      </w:pPr>
      <w:bookmarkStart w:name="二、公司董事、监事、高级管理人员变动情况" w:id="120"/>
      <w:bookmarkEnd w:id="120"/>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both"/>
        <w:rPr>
          <w:b w:val="0"/>
          <w:bCs w:val="0"/>
        </w:rPr>
      </w:pPr>
      <w:bookmarkStart w:name="三、任职情况" w:id="121"/>
      <w:bookmarkEnd w:id="121"/>
      <w:r>
        <w:rPr>
          <w:b w:val="0"/>
          <w:bCs w:val="0"/>
        </w:rPr>
      </w:r>
      <w:r>
        <w:rPr/>
        <w:t>三、任职情况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公司现任董事、监事、高级管理人员专业背景、主要工作经历以及目前在公司的主要职责</w:t>
      </w:r>
    </w:p>
    <w:p>
      <w:pPr>
        <w:spacing w:line="240" w:lineRule="auto" w:before="10"/>
        <w:rPr>
          <w:rFonts w:ascii="宋体" w:hAnsi="宋体" w:cs="宋体" w:eastAsia="宋体" w:hint="default"/>
          <w:sz w:val="14"/>
          <w:szCs w:val="14"/>
        </w:rPr>
      </w:pPr>
    </w:p>
    <w:p>
      <w:pPr>
        <w:pStyle w:val="BodyText"/>
        <w:spacing w:line="477" w:lineRule="auto"/>
        <w:ind w:left="1495" w:right="1029" w:hanging="45"/>
        <w:jc w:val="left"/>
      </w:pPr>
      <w:r>
        <w:rPr>
          <w:rFonts w:ascii="宋体" w:hAnsi="宋体" w:cs="宋体" w:eastAsia="宋体" w:hint="default"/>
          <w:b/>
          <w:bCs/>
        </w:rPr>
        <w:t>（一）董事</w:t>
      </w:r>
      <w:r>
        <w:rPr>
          <w:rFonts w:ascii="宋体" w:hAnsi="宋体" w:cs="宋体" w:eastAsia="宋体" w:hint="default"/>
          <w:b/>
          <w:bCs/>
          <w:w w:val="99"/>
        </w:rPr>
        <w:t> </w:t>
      </w:r>
      <w:r>
        <w:rPr>
          <w:rFonts w:ascii="宋体" w:hAnsi="宋体" w:cs="宋体" w:eastAsia="宋体" w:hint="default"/>
          <w:b/>
          <w:bCs/>
        </w:rPr>
        <w:t>邵健伟</w:t>
      </w:r>
      <w:r>
        <w:rPr/>
        <w:t>，中国国籍，拥有香港居民身份证，</w:t>
      </w:r>
      <w:r>
        <w:rPr>
          <w:rFonts w:ascii="宋体" w:hAnsi="宋体" w:cs="宋体" w:eastAsia="宋体" w:hint="default"/>
        </w:rPr>
        <w:t>1971</w:t>
      </w:r>
      <w:r>
        <w:rPr/>
        <w:t>年生，</w:t>
      </w:r>
      <w:r>
        <w:rPr>
          <w:rFonts w:ascii="宋体" w:hAnsi="宋体" w:cs="宋体" w:eastAsia="宋体" w:hint="default"/>
        </w:rPr>
        <w:t>EMBA</w:t>
      </w:r>
      <w:r>
        <w:rPr/>
        <w:t>在读；中华全国青年联合会委员，智善公益基金会监事长，</w:t>
      </w:r>
    </w:p>
    <w:p>
      <w:pPr>
        <w:pStyle w:val="BodyText"/>
        <w:spacing w:line="477" w:lineRule="auto" w:before="54"/>
        <w:ind w:right="1130"/>
        <w:jc w:val="both"/>
      </w:pPr>
      <w:r>
        <w:rPr>
          <w:spacing w:val="-2"/>
        </w:rPr>
        <w:t>中国青年企业家协会常务理事，深圳市青年企业家联合会会长，第四届深圳市十大杰出青年企业家。曾任职于深圳市华宝工</w:t>
      </w:r>
      <w:r>
        <w:rPr>
          <w:spacing w:val="-66"/>
        </w:rPr>
        <w:t> </w:t>
      </w:r>
      <w:r>
        <w:rPr>
          <w:spacing w:val="-66"/>
        </w:rPr>
      </w:r>
      <w:r>
        <w:rPr>
          <w:spacing w:val="-2"/>
        </w:rPr>
        <w:t>贸发展公司；</w:t>
      </w:r>
      <w:r>
        <w:rPr>
          <w:rFonts w:ascii="宋体" w:hAnsi="宋体" w:cs="宋体" w:eastAsia="宋体" w:hint="default"/>
          <w:spacing w:val="-2"/>
        </w:rPr>
        <w:t>2000</w:t>
      </w:r>
      <w:r>
        <w:rPr>
          <w:spacing w:val="-2"/>
        </w:rPr>
        <w:t>年筹建今天有限，任董事长、总经理；</w:t>
      </w:r>
      <w:r>
        <w:rPr>
          <w:rFonts w:ascii="宋体" w:hAnsi="宋体" w:cs="宋体" w:eastAsia="宋体" w:hint="default"/>
          <w:spacing w:val="-2"/>
        </w:rPr>
        <w:t>2010</w:t>
      </w:r>
      <w:r>
        <w:rPr>
          <w:spacing w:val="-2"/>
        </w:rPr>
        <w:t>年</w:t>
      </w:r>
      <w:r>
        <w:rPr>
          <w:rFonts w:ascii="宋体" w:hAnsi="宋体" w:cs="宋体" w:eastAsia="宋体" w:hint="default"/>
          <w:spacing w:val="-2"/>
        </w:rPr>
        <w:t>9</w:t>
      </w:r>
      <w:r>
        <w:rPr>
          <w:spacing w:val="-2"/>
        </w:rPr>
        <w:t>月起任本公司第一届董事会董事长、总经理；</w:t>
      </w:r>
      <w:r>
        <w:rPr>
          <w:rFonts w:ascii="宋体" w:hAnsi="宋体" w:cs="宋体" w:eastAsia="宋体" w:hint="default"/>
          <w:spacing w:val="-2"/>
        </w:rPr>
        <w:t>2013</w:t>
      </w:r>
      <w:r>
        <w:rPr>
          <w:spacing w:val="-2"/>
        </w:rPr>
        <w:t>年</w:t>
      </w:r>
      <w:r>
        <w:rPr>
          <w:rFonts w:ascii="宋体" w:hAnsi="宋体" w:cs="宋体" w:eastAsia="宋体" w:hint="default"/>
          <w:spacing w:val="-2"/>
        </w:rPr>
        <w:t>9</w:t>
      </w:r>
      <w:r>
        <w:rPr>
          <w:spacing w:val="-2"/>
        </w:rPr>
        <w:t>月起</w:t>
      </w:r>
      <w:r>
        <w:rPr>
          <w:spacing w:val="-53"/>
        </w:rPr>
        <w:t> </w:t>
      </w:r>
      <w:r>
        <w:rPr/>
        <w:t>任本公司第二届董事会董事长；</w:t>
      </w:r>
      <w:r>
        <w:rPr>
          <w:rFonts w:ascii="宋体" w:hAnsi="宋体" w:cs="宋体" w:eastAsia="宋体" w:hint="default"/>
        </w:rPr>
        <w:t>2016</w:t>
      </w:r>
      <w:r>
        <w:rPr/>
        <w:t>年</w:t>
      </w:r>
      <w:r>
        <w:rPr>
          <w:rFonts w:ascii="宋体" w:hAnsi="宋体" w:cs="宋体" w:eastAsia="宋体" w:hint="default"/>
        </w:rPr>
        <w:t>10</w:t>
      </w:r>
      <w:r>
        <w:rPr/>
        <w:t>月起任本公司第三届董事会董事长。</w:t>
      </w:r>
    </w:p>
    <w:p>
      <w:pPr>
        <w:pStyle w:val="BodyText"/>
        <w:spacing w:line="477" w:lineRule="auto" w:before="54"/>
        <w:ind w:right="1132" w:firstLine="361"/>
        <w:jc w:val="both"/>
      </w:pPr>
      <w:r>
        <w:rPr>
          <w:rFonts w:ascii="宋体" w:hAnsi="宋体" w:cs="宋体" w:eastAsia="宋体" w:hint="default"/>
          <w:b/>
          <w:bCs/>
          <w:spacing w:val="-2"/>
        </w:rPr>
        <w:t>张小麒</w:t>
      </w:r>
      <w:r>
        <w:rPr>
          <w:spacing w:val="-2"/>
        </w:rPr>
        <w:t>，香港居民，</w:t>
      </w:r>
      <w:r>
        <w:rPr>
          <w:rFonts w:ascii="宋体" w:hAnsi="宋体" w:cs="宋体" w:eastAsia="宋体" w:hint="default"/>
          <w:spacing w:val="-2"/>
        </w:rPr>
        <w:t>1964</w:t>
      </w:r>
      <w:r>
        <w:rPr>
          <w:spacing w:val="-2"/>
        </w:rPr>
        <w:t>年生，</w:t>
      </w:r>
      <w:r>
        <w:rPr>
          <w:rFonts w:ascii="宋体" w:hAnsi="宋体" w:cs="宋体" w:eastAsia="宋体" w:hint="default"/>
          <w:spacing w:val="-2"/>
        </w:rPr>
        <w:t>EMBA</w:t>
      </w:r>
      <w:r>
        <w:rPr>
          <w:spacing w:val="-2"/>
        </w:rPr>
        <w:t>在读；曾任职于华娱电视广播有限公司中国部，太阳集团（香港）有限公司；</w:t>
      </w:r>
      <w:r>
        <w:rPr>
          <w:rFonts w:ascii="宋体" w:hAnsi="宋体" w:cs="宋体" w:eastAsia="宋体" w:hint="default"/>
          <w:spacing w:val="-2"/>
        </w:rPr>
        <w:t>2000</w:t>
      </w:r>
      <w:r>
        <w:rPr>
          <w:rFonts w:ascii="宋体" w:hAnsi="宋体" w:cs="宋体" w:eastAsia="宋体" w:hint="default"/>
        </w:rPr>
        <w:t> </w:t>
      </w:r>
      <w:r>
        <w:rPr>
          <w:spacing w:val="-2"/>
        </w:rPr>
        <w:t>年参与筹建今天有限，任副总经理；</w:t>
      </w:r>
      <w:r>
        <w:rPr>
          <w:rFonts w:ascii="宋体" w:hAnsi="宋体" w:cs="宋体" w:eastAsia="宋体" w:hint="default"/>
          <w:spacing w:val="-2"/>
        </w:rPr>
        <w:t>2010</w:t>
      </w:r>
      <w:r>
        <w:rPr>
          <w:spacing w:val="-2"/>
        </w:rPr>
        <w:t>年</w:t>
      </w:r>
      <w:r>
        <w:rPr>
          <w:rFonts w:ascii="宋体" w:hAnsi="宋体" w:cs="宋体" w:eastAsia="宋体" w:hint="default"/>
          <w:spacing w:val="-2"/>
        </w:rPr>
        <w:t>9</w:t>
      </w:r>
      <w:r>
        <w:rPr>
          <w:spacing w:val="-2"/>
        </w:rPr>
        <w:t>月起任本公司第一届董事会董事、副总经理；</w:t>
      </w:r>
      <w:r>
        <w:rPr>
          <w:rFonts w:ascii="宋体" w:hAnsi="宋体" w:cs="宋体" w:eastAsia="宋体" w:hint="default"/>
          <w:spacing w:val="-2"/>
        </w:rPr>
        <w:t>2011</w:t>
      </w:r>
      <w:r>
        <w:rPr>
          <w:spacing w:val="-2"/>
        </w:rPr>
        <w:t>年</w:t>
      </w:r>
      <w:r>
        <w:rPr>
          <w:rFonts w:ascii="宋体" w:hAnsi="宋体" w:cs="宋体" w:eastAsia="宋体" w:hint="default"/>
          <w:spacing w:val="-2"/>
        </w:rPr>
        <w:t>2</w:t>
      </w:r>
      <w:r>
        <w:rPr>
          <w:spacing w:val="-2"/>
        </w:rPr>
        <w:t>月起任本公司董事、总经</w:t>
      </w:r>
      <w:r>
        <w:rPr>
          <w:spacing w:val="-56"/>
        </w:rPr>
        <w:t> </w:t>
      </w:r>
      <w:r>
        <w:rPr>
          <w:spacing w:val="-56"/>
        </w:rPr>
      </w:r>
      <w:r>
        <w:rPr/>
        <w:t>理；</w:t>
      </w:r>
      <w:r>
        <w:rPr>
          <w:rFonts w:ascii="宋体" w:hAnsi="宋体" w:cs="宋体" w:eastAsia="宋体" w:hint="default"/>
        </w:rPr>
        <w:t>2013</w:t>
      </w:r>
      <w:r>
        <w:rPr/>
        <w:t>年</w:t>
      </w:r>
      <w:r>
        <w:rPr>
          <w:rFonts w:ascii="宋体" w:hAnsi="宋体" w:cs="宋体" w:eastAsia="宋体" w:hint="default"/>
        </w:rPr>
        <w:t>9</w:t>
      </w:r>
      <w:r>
        <w:rPr/>
        <w:t>月起任本公司第二届董事会董事、总经理；</w:t>
      </w:r>
      <w:r>
        <w:rPr>
          <w:rFonts w:ascii="宋体" w:hAnsi="宋体" w:cs="宋体" w:eastAsia="宋体" w:hint="default"/>
        </w:rPr>
        <w:t>2016</w:t>
      </w:r>
      <w:r>
        <w:rPr/>
        <w:t>年</w:t>
      </w:r>
      <w:r>
        <w:rPr>
          <w:rFonts w:ascii="宋体" w:hAnsi="宋体" w:cs="宋体" w:eastAsia="宋体" w:hint="default"/>
        </w:rPr>
        <w:t>10</w:t>
      </w:r>
      <w:r>
        <w:rPr/>
        <w:t>月起任本公司第三届董事会董事、总裁。</w:t>
      </w:r>
    </w:p>
    <w:p>
      <w:pPr>
        <w:pStyle w:val="BodyText"/>
        <w:spacing w:line="477" w:lineRule="auto" w:before="54"/>
        <w:ind w:right="1130" w:firstLine="361"/>
        <w:jc w:val="both"/>
      </w:pPr>
      <w:r>
        <w:rPr>
          <w:rFonts w:ascii="宋体" w:hAnsi="宋体" w:cs="宋体" w:eastAsia="宋体" w:hint="default"/>
          <w:b/>
          <w:bCs/>
          <w:spacing w:val="-2"/>
        </w:rPr>
        <w:t>张永清</w:t>
      </w:r>
      <w:r>
        <w:rPr>
          <w:spacing w:val="-2"/>
        </w:rPr>
        <w:t>，中国国籍，无境外居留权，</w:t>
      </w:r>
      <w:r>
        <w:rPr>
          <w:rFonts w:ascii="宋体" w:hAnsi="宋体" w:cs="宋体" w:eastAsia="宋体" w:hint="default"/>
          <w:spacing w:val="-2"/>
        </w:rPr>
        <w:t>1973</w:t>
      </w:r>
      <w:r>
        <w:rPr>
          <w:spacing w:val="-2"/>
        </w:rPr>
        <w:t>年生，本科学历；会计师，深圳市第六届人大代表。曾任职于香江集团有限公</w:t>
      </w:r>
      <w:r>
        <w:rPr/>
        <w:t> </w:t>
      </w:r>
      <w:r>
        <w:rPr>
          <w:spacing w:val="-2"/>
        </w:rPr>
        <w:t>司、深圳香江控股股份有限公司、大连亿达投资公司；</w:t>
      </w:r>
      <w:r>
        <w:rPr>
          <w:rFonts w:ascii="宋体" w:hAnsi="宋体" w:cs="宋体" w:eastAsia="宋体" w:hint="default"/>
          <w:spacing w:val="-2"/>
        </w:rPr>
        <w:t>2010</w:t>
      </w:r>
      <w:r>
        <w:rPr>
          <w:spacing w:val="-2"/>
        </w:rPr>
        <w:t>年加入今天有限；现任本公司董事、副总裁、董事会秘书、财务</w:t>
      </w:r>
      <w:r>
        <w:rPr>
          <w:spacing w:val="-67"/>
        </w:rPr>
        <w:t> </w:t>
      </w:r>
      <w:r>
        <w:rPr>
          <w:spacing w:val="-67"/>
        </w:rPr>
      </w:r>
      <w:r>
        <w:rPr/>
        <w:t>总监。</w:t>
      </w:r>
    </w:p>
    <w:p>
      <w:pPr>
        <w:pStyle w:val="BodyText"/>
        <w:spacing w:line="477" w:lineRule="auto" w:before="54"/>
        <w:ind w:right="1132" w:firstLine="361"/>
        <w:jc w:val="both"/>
      </w:pPr>
      <w:r>
        <w:rPr>
          <w:rFonts w:ascii="宋体" w:hAnsi="宋体" w:cs="宋体" w:eastAsia="宋体" w:hint="default"/>
          <w:b/>
          <w:bCs/>
          <w:spacing w:val="-2"/>
        </w:rPr>
        <w:t>刘成凯</w:t>
      </w:r>
      <w:r>
        <w:rPr>
          <w:spacing w:val="-2"/>
        </w:rPr>
        <w:t>，中国国籍，无境外居留权，</w:t>
      </w:r>
      <w:r>
        <w:rPr>
          <w:rFonts w:ascii="宋体" w:hAnsi="宋体" w:cs="宋体" w:eastAsia="宋体" w:hint="default"/>
          <w:spacing w:val="-2"/>
        </w:rPr>
        <w:t>1970</w:t>
      </w:r>
      <w:r>
        <w:rPr>
          <w:spacing w:val="-2"/>
        </w:rPr>
        <w:t>年生，本科学历。曾任职于国营华北光学仪器厂，深圳中科智担保投资有限公</w:t>
      </w:r>
      <w:r>
        <w:rPr/>
        <w:t> 司，深圳市许继富通达车库有限公司，意大利</w:t>
      </w:r>
      <w:r>
        <w:rPr>
          <w:rFonts w:ascii="宋体" w:hAnsi="宋体" w:cs="宋体" w:eastAsia="宋体" w:hint="default"/>
        </w:rPr>
        <w:t>INTERPARK</w:t>
      </w:r>
      <w:r>
        <w:rPr/>
        <w:t>公司；</w:t>
      </w:r>
      <w:r>
        <w:rPr>
          <w:rFonts w:ascii="宋体" w:hAnsi="宋体" w:cs="宋体" w:eastAsia="宋体" w:hint="default"/>
        </w:rPr>
        <w:t>2006</w:t>
      </w:r>
      <w:r>
        <w:rPr/>
        <w:t>年加入今天有限；现任公司董事、副总裁、同创智总经 理。</w:t>
      </w:r>
    </w:p>
    <w:p>
      <w:pPr>
        <w:pStyle w:val="BodyText"/>
        <w:spacing w:line="477" w:lineRule="auto" w:before="54"/>
        <w:ind w:right="0" w:firstLine="361"/>
        <w:jc w:val="left"/>
      </w:pPr>
      <w:r>
        <w:rPr>
          <w:rFonts w:ascii="宋体" w:hAnsi="宋体" w:cs="宋体" w:eastAsia="宋体" w:hint="default"/>
          <w:b/>
          <w:bCs/>
          <w:spacing w:val="-2"/>
        </w:rPr>
        <w:t>房殿军</w:t>
      </w:r>
      <w:r>
        <w:rPr>
          <w:spacing w:val="-2"/>
        </w:rPr>
        <w:t>，中国国籍，无境外居留权，</w:t>
      </w:r>
      <w:r>
        <w:rPr>
          <w:rFonts w:ascii="宋体" w:hAnsi="宋体" w:cs="宋体" w:eastAsia="宋体" w:hint="default"/>
          <w:spacing w:val="-2"/>
        </w:rPr>
        <w:t>1961</w:t>
      </w:r>
      <w:r>
        <w:rPr>
          <w:spacing w:val="-2"/>
        </w:rPr>
        <w:t>年生，博士学历。同济大学中德学院教授、博士生导师；德国弗劳恩霍夫物流</w:t>
      </w:r>
      <w:r>
        <w:rPr/>
        <w:t> </w:t>
      </w:r>
      <w:r>
        <w:rPr>
          <w:spacing w:val="-4"/>
        </w:rPr>
        <w:t>研究院中国首席科学家，首席代表；北京帝欧物流科技有限公司执行董事。曾荣获国家千人特聘专家、德国弗劳恩霍夫勋章、</w:t>
      </w:r>
      <w:r>
        <w:rPr>
          <w:spacing w:val="-46"/>
        </w:rPr>
        <w:t> </w:t>
      </w:r>
      <w:r>
        <w:rPr>
          <w:spacing w:val="-46"/>
        </w:rPr>
      </w:r>
      <w:r>
        <w:rPr/>
        <w:t>华为《蓝血十杰》勋章。</w:t>
      </w:r>
      <w:r>
        <w:rPr>
          <w:rFonts w:ascii="宋体" w:hAnsi="宋体" w:cs="宋体" w:eastAsia="宋体" w:hint="default"/>
        </w:rPr>
        <w:t>2016</w:t>
      </w:r>
      <w:r>
        <w:rPr/>
        <w:t>年</w:t>
      </w:r>
      <w:r>
        <w:rPr>
          <w:rFonts w:ascii="宋体" w:hAnsi="宋体" w:cs="宋体" w:eastAsia="宋体" w:hint="default"/>
        </w:rPr>
        <w:t>10</w:t>
      </w:r>
      <w:r>
        <w:rPr/>
        <w:t>月起任本公司第三届董事会独立董事。</w:t>
      </w:r>
    </w:p>
    <w:p>
      <w:pPr>
        <w:pStyle w:val="BodyText"/>
        <w:spacing w:line="477" w:lineRule="auto" w:before="54"/>
        <w:ind w:right="0" w:firstLine="361"/>
        <w:jc w:val="left"/>
      </w:pPr>
      <w:r>
        <w:rPr>
          <w:rFonts w:ascii="宋体" w:hAnsi="宋体" w:cs="宋体" w:eastAsia="宋体" w:hint="default"/>
          <w:b/>
          <w:bCs/>
          <w:spacing w:val="-2"/>
        </w:rPr>
        <w:t>梅月欣</w:t>
      </w:r>
      <w:r>
        <w:rPr>
          <w:spacing w:val="-2"/>
        </w:rPr>
        <w:t>，中国国籍，无境外居留权，</w:t>
      </w:r>
      <w:r>
        <w:rPr>
          <w:rFonts w:ascii="宋体" w:hAnsi="宋体" w:cs="宋体" w:eastAsia="宋体" w:hint="default"/>
          <w:spacing w:val="-2"/>
        </w:rPr>
        <w:t>1964</w:t>
      </w:r>
      <w:r>
        <w:rPr>
          <w:spacing w:val="-2"/>
        </w:rPr>
        <w:t>年生，本科学历。中共党员；高级会计师、注册会计师，瑞华会计师事务所合</w:t>
      </w:r>
      <w:r>
        <w:rPr/>
        <w:t> </w:t>
      </w:r>
      <w:r>
        <w:rPr>
          <w:spacing w:val="-2"/>
        </w:rPr>
        <w:t>伙人。曾任杭州电子工业学院讲师、银行间交易商协会非金融企业债务融资工具市场自律处分专家、深圳市振业（集团）股</w:t>
      </w:r>
      <w:r>
        <w:rPr>
          <w:spacing w:val="-67"/>
        </w:rPr>
        <w:t> </w:t>
      </w:r>
      <w:r>
        <w:rPr>
          <w:spacing w:val="-67"/>
        </w:rPr>
      </w:r>
      <w:r>
        <w:rPr>
          <w:spacing w:val="-2"/>
        </w:rPr>
        <w:t>份有限公司独立董事、深圳信隆实业股份有限公司独立董事，现兼任深圳市通产丽星股份有限公司独立董事、深圳市维业装</w:t>
      </w:r>
      <w:r>
        <w:rPr>
          <w:spacing w:val="-65"/>
        </w:rPr>
        <w:t> </w:t>
      </w:r>
      <w:r>
        <w:rPr>
          <w:spacing w:val="-65"/>
        </w:rPr>
      </w:r>
      <w:r>
        <w:rPr/>
        <w:t>饰集团股份有限公司独立董事、深圳市农产品股份有限公司独立董事、深圳中青宝互动网络股份有限公司独立董事。</w:t>
      </w:r>
      <w:r>
        <w:rPr>
          <w:rFonts w:ascii="宋体" w:hAnsi="宋体" w:cs="宋体" w:eastAsia="宋体" w:hint="default"/>
        </w:rPr>
        <w:t>2016 </w:t>
      </w:r>
      <w:r>
        <w:rPr/>
        <w:t>年</w:t>
      </w:r>
      <w:r>
        <w:rPr>
          <w:rFonts w:ascii="宋体" w:hAnsi="宋体" w:cs="宋体" w:eastAsia="宋体" w:hint="default"/>
        </w:rPr>
        <w:t>10</w:t>
      </w:r>
      <w:r>
        <w:rPr/>
        <w:t>月起任本公司第三届董事会独立董事。</w:t>
      </w:r>
    </w:p>
    <w:p>
      <w:pPr>
        <w:pStyle w:val="BodyText"/>
        <w:spacing w:line="463" w:lineRule="auto" w:before="54"/>
        <w:ind w:left="1134" w:right="1132" w:firstLine="361"/>
        <w:jc w:val="both"/>
      </w:pPr>
      <w:r>
        <w:rPr>
          <w:rFonts w:ascii="宋体" w:hAnsi="宋体" w:cs="宋体" w:eastAsia="宋体" w:hint="default"/>
          <w:b/>
          <w:bCs/>
          <w:spacing w:val="-2"/>
        </w:rPr>
        <w:t>郑飞</w:t>
      </w:r>
      <w:r>
        <w:rPr>
          <w:spacing w:val="-2"/>
        </w:rPr>
        <w:t>，中国国籍，无境外居留权，</w:t>
      </w:r>
      <w:r>
        <w:rPr>
          <w:rFonts w:ascii="Times New Roman" w:hAnsi="Times New Roman" w:cs="Times New Roman" w:eastAsia="Times New Roman" w:hint="default"/>
          <w:spacing w:val="-2"/>
        </w:rPr>
        <w:t>1975</w:t>
      </w:r>
      <w:r>
        <w:rPr>
          <w:spacing w:val="-2"/>
        </w:rPr>
        <w:t>年生，硕士研究生学历，深圳市软件行业协会现任秘书长兼副会长，中国软件行</w:t>
      </w:r>
      <w:r>
        <w:rPr/>
        <w:t> </w:t>
      </w:r>
      <w:r>
        <w:rPr>
          <w:spacing w:val="-2"/>
        </w:rPr>
        <w:t>业协会副秘书长。曾任职于深圳市黎明网络技术有限公司、深圳市远望城多媒体电脑有限公司，现兼任深圳天源迪科信息技</w:t>
      </w:r>
      <w:r>
        <w:rPr>
          <w:spacing w:val="-66"/>
        </w:rPr>
        <w:t> </w:t>
      </w:r>
      <w:r>
        <w:rPr>
          <w:spacing w:val="-66"/>
        </w:rPr>
      </w:r>
      <w:r>
        <w:rPr/>
        <w:t>术股份有限公司、深圳市天维尔信息科技股份有限公司独立董事。</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月起任本公司第三届董事会独立董事。</w:t>
      </w:r>
    </w:p>
    <w:p>
      <w:pPr>
        <w:spacing w:after="0" w:line="463"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left="1495" w:right="1118"/>
        <w:jc w:val="left"/>
      </w:pPr>
      <w:r>
        <w:rPr>
          <w:rFonts w:ascii="宋体" w:hAnsi="宋体" w:cs="宋体" w:eastAsia="宋体" w:hint="default"/>
          <w:b/>
          <w:bCs/>
        </w:rPr>
        <w:t>（二）监事</w:t>
      </w:r>
      <w:r>
        <w:rPr>
          <w:rFonts w:ascii="宋体" w:hAnsi="宋体" w:cs="宋体" w:eastAsia="宋体" w:hint="default"/>
          <w:b/>
          <w:bCs/>
          <w:w w:val="99"/>
        </w:rPr>
        <w:t> </w:t>
      </w:r>
      <w:r>
        <w:rPr>
          <w:rFonts w:ascii="宋体" w:hAnsi="宋体" w:cs="宋体" w:eastAsia="宋体" w:hint="default"/>
          <w:b/>
          <w:bCs/>
          <w:spacing w:val="-2"/>
        </w:rPr>
        <w:t>金春保</w:t>
      </w:r>
      <w:r>
        <w:rPr>
          <w:spacing w:val="-2"/>
        </w:rPr>
        <w:t>，中国国籍，无境外居留权，</w:t>
      </w:r>
      <w:r>
        <w:rPr>
          <w:rFonts w:ascii="Times New Roman" w:hAnsi="Times New Roman" w:cs="Times New Roman" w:eastAsia="Times New Roman" w:hint="default"/>
          <w:spacing w:val="-2"/>
        </w:rPr>
        <w:t>1967</w:t>
      </w:r>
      <w:r>
        <w:rPr>
          <w:spacing w:val="-2"/>
        </w:rPr>
        <w:t>年生，硕士研究生学历。曾任职于君安证券有限公司香港基金公司，国泰证券</w:t>
      </w:r>
    </w:p>
    <w:p>
      <w:pPr>
        <w:pStyle w:val="BodyText"/>
        <w:spacing w:line="463" w:lineRule="auto" w:before="21"/>
        <w:ind w:right="1133"/>
        <w:jc w:val="both"/>
      </w:pPr>
      <w:r>
        <w:rPr>
          <w:spacing w:val="-2"/>
        </w:rPr>
        <w:t>有限公司投资银行部，国泰君安证券股份有限公司企业融资总部，联合证券有限公司投资银行总部；现任深圳市盛桥投资管</w:t>
      </w:r>
      <w:r>
        <w:rPr>
          <w:spacing w:val="-66"/>
        </w:rPr>
        <w:t> </w:t>
      </w:r>
      <w:r>
        <w:rPr>
          <w:spacing w:val="-66"/>
        </w:rPr>
      </w:r>
      <w:r>
        <w:rPr/>
        <w:t>理有限公司董事长、总经理，深圳华大基因股份有限公司董事，北京天学网教育科技股份有限公司董事；</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9</w:t>
      </w:r>
      <w:r>
        <w:rPr/>
        <w:t>月起任本 公司第一届监事会主席；</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9</w:t>
      </w:r>
      <w:r>
        <w:rPr/>
        <w:t>月起任本公司第二届监事会主席；</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月起任本公司第三届监事会主席。</w:t>
      </w:r>
    </w:p>
    <w:p>
      <w:pPr>
        <w:pStyle w:val="BodyText"/>
        <w:spacing w:line="451" w:lineRule="auto" w:before="33"/>
        <w:ind w:right="1120" w:firstLine="361"/>
        <w:jc w:val="left"/>
      </w:pPr>
      <w:r>
        <w:rPr>
          <w:rFonts w:ascii="宋体" w:hAnsi="宋体" w:cs="宋体" w:eastAsia="宋体" w:hint="default"/>
          <w:b/>
          <w:bCs/>
        </w:rPr>
        <w:t>袁蒙蒙</w:t>
      </w:r>
      <w:r>
        <w:rPr/>
        <w:t>，中国国籍，无境外居留权，</w:t>
      </w:r>
      <w:r>
        <w:rPr>
          <w:rFonts w:ascii="Times New Roman" w:hAnsi="Times New Roman" w:cs="Times New Roman" w:eastAsia="Times New Roman" w:hint="default"/>
        </w:rPr>
        <w:t>1986</w:t>
      </w:r>
      <w:r>
        <w:rPr/>
        <w:t>年生，本科学历。</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月本科毕业后加入本公司，现任第一事业部系统规 划部经理，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月起任本公司第三届监事会股东代表监事。</w:t>
      </w:r>
    </w:p>
    <w:p>
      <w:pPr>
        <w:pStyle w:val="BodyText"/>
        <w:spacing w:line="451" w:lineRule="auto" w:before="43"/>
        <w:ind w:left="1134" w:right="0" w:firstLine="361"/>
        <w:jc w:val="left"/>
      </w:pPr>
      <w:r>
        <w:rPr>
          <w:rFonts w:ascii="宋体" w:hAnsi="宋体" w:cs="宋体" w:eastAsia="宋体" w:hint="default"/>
          <w:b/>
          <w:bCs/>
        </w:rPr>
        <w:t>盛 </w:t>
      </w:r>
      <w:r>
        <w:rPr>
          <w:rFonts w:ascii="宋体" w:hAnsi="宋体" w:cs="宋体" w:eastAsia="宋体" w:hint="default"/>
          <w:b/>
          <w:bCs/>
          <w:spacing w:val="-3"/>
        </w:rPr>
        <w:t>强</w:t>
      </w:r>
      <w:r>
        <w:rPr>
          <w:spacing w:val="-3"/>
        </w:rPr>
        <w:t>，中国国籍，无境外居留权，</w:t>
      </w:r>
      <w:r>
        <w:rPr>
          <w:rFonts w:ascii="Times New Roman" w:hAnsi="Times New Roman" w:cs="Times New Roman" w:eastAsia="Times New Roman" w:hint="default"/>
          <w:spacing w:val="-3"/>
        </w:rPr>
        <w:t>1986 </w:t>
      </w:r>
      <w:r>
        <w:rPr>
          <w:spacing w:val="-3"/>
        </w:rPr>
        <w:t>年生，大专学历。</w:t>
      </w:r>
      <w:r>
        <w:rPr>
          <w:rFonts w:ascii="Times New Roman" w:hAnsi="Times New Roman" w:cs="Times New Roman" w:eastAsia="Times New Roman" w:hint="default"/>
          <w:spacing w:val="-3"/>
        </w:rPr>
        <w:t>2010 </w:t>
      </w:r>
      <w:r>
        <w:rPr/>
        <w:t>年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月加入本公司，现任本公司售后服务中心售后主 任工程师。</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月起任本公司第三届监事会职工代表监事。</w:t>
      </w:r>
    </w:p>
    <w:p>
      <w:pPr>
        <w:spacing w:line="477" w:lineRule="auto" w:before="43"/>
        <w:ind w:left="1434" w:right="0" w:firstLine="61"/>
        <w:jc w:val="left"/>
        <w:rPr>
          <w:rFonts w:ascii="宋体" w:hAnsi="宋体" w:cs="宋体" w:eastAsia="宋体" w:hint="default"/>
          <w:sz w:val="18"/>
          <w:szCs w:val="18"/>
        </w:rPr>
      </w:pPr>
      <w:r>
        <w:rPr>
          <w:rFonts w:ascii="宋体" w:hAnsi="宋体" w:cs="宋体" w:eastAsia="宋体" w:hint="default"/>
          <w:b/>
          <w:bCs/>
          <w:sz w:val="18"/>
          <w:szCs w:val="18"/>
        </w:rPr>
        <w:t>（三）其他高级管理人员</w:t>
      </w:r>
      <w:r>
        <w:rPr>
          <w:rFonts w:ascii="宋体" w:hAnsi="宋体" w:cs="宋体" w:eastAsia="宋体" w:hint="default"/>
          <w:b/>
          <w:bCs/>
          <w:w w:val="99"/>
          <w:sz w:val="18"/>
          <w:szCs w:val="18"/>
        </w:rPr>
        <w:t> </w:t>
      </w:r>
      <w:r>
        <w:rPr>
          <w:rFonts w:ascii="宋体" w:hAnsi="宋体" w:cs="宋体" w:eastAsia="宋体" w:hint="default"/>
          <w:b/>
          <w:bCs/>
          <w:spacing w:val="-2"/>
          <w:sz w:val="18"/>
          <w:szCs w:val="18"/>
        </w:rPr>
        <w:t>邵健锋</w:t>
      </w:r>
      <w:r>
        <w:rPr>
          <w:rFonts w:ascii="宋体" w:hAnsi="宋体" w:cs="宋体" w:eastAsia="宋体" w:hint="default"/>
          <w:spacing w:val="-2"/>
          <w:sz w:val="18"/>
          <w:szCs w:val="18"/>
        </w:rPr>
        <w:t>，中国国籍，无境外居留权，</w:t>
      </w:r>
      <w:r>
        <w:rPr>
          <w:rFonts w:ascii="Times New Roman" w:hAnsi="Times New Roman" w:cs="Times New Roman" w:eastAsia="Times New Roman" w:hint="default"/>
          <w:spacing w:val="-2"/>
          <w:sz w:val="18"/>
          <w:szCs w:val="18"/>
        </w:rPr>
        <w:t>1978</w:t>
      </w:r>
      <w:r>
        <w:rPr>
          <w:rFonts w:ascii="宋体" w:hAnsi="宋体" w:cs="宋体" w:eastAsia="宋体" w:hint="default"/>
          <w:spacing w:val="-2"/>
          <w:sz w:val="18"/>
          <w:szCs w:val="18"/>
        </w:rPr>
        <w:t>年出生，中国人民大学</w:t>
      </w:r>
      <w:r>
        <w:rPr>
          <w:rFonts w:ascii="Times New Roman" w:hAnsi="Times New Roman" w:cs="Times New Roman" w:eastAsia="Times New Roman" w:hint="default"/>
          <w:spacing w:val="-2"/>
          <w:sz w:val="18"/>
          <w:szCs w:val="18"/>
        </w:rPr>
        <w:t>EMBA</w:t>
      </w:r>
      <w:r>
        <w:rPr>
          <w:rFonts w:ascii="宋体" w:hAnsi="宋体" w:cs="宋体" w:eastAsia="宋体" w:hint="default"/>
          <w:spacing w:val="-2"/>
          <w:sz w:val="18"/>
          <w:szCs w:val="18"/>
        </w:rPr>
        <w:t>。茂名市九届政协委员，深圳市青年联合会委员，</w:t>
      </w:r>
    </w:p>
    <w:p>
      <w:pPr>
        <w:pStyle w:val="BodyText"/>
        <w:spacing w:line="451" w:lineRule="auto" w:before="21"/>
        <w:ind w:left="1434" w:right="1032" w:hanging="300"/>
        <w:jc w:val="left"/>
      </w:pPr>
      <w:r>
        <w:rPr/>
        <w:t>深圳市青年科技人才协会理事。曾任职于广东华源实业发展有限公司；</w:t>
      </w:r>
      <w:r>
        <w:rPr>
          <w:rFonts w:ascii="Times New Roman" w:hAnsi="Times New Roman" w:cs="Times New Roman" w:eastAsia="Times New Roman" w:hint="default"/>
        </w:rPr>
        <w:t>2000</w:t>
      </w:r>
      <w:r>
        <w:rPr/>
        <w:t>年参与筹建今天有限；现任本公司常务副总裁。 </w:t>
      </w:r>
      <w:r>
        <w:rPr>
          <w:rFonts w:ascii="宋体" w:hAnsi="宋体" w:cs="宋体" w:eastAsia="宋体" w:hint="default"/>
          <w:b/>
          <w:bCs/>
          <w:spacing w:val="-6"/>
        </w:rPr>
        <w:t>梁建平</w:t>
      </w:r>
      <w:r>
        <w:rPr>
          <w:spacing w:val="-6"/>
        </w:rPr>
        <w:t>，中国国籍，无境外居留权，</w:t>
      </w:r>
      <w:r>
        <w:rPr>
          <w:rFonts w:ascii="Times New Roman" w:hAnsi="Times New Roman" w:cs="Times New Roman" w:eastAsia="Times New Roman" w:hint="default"/>
          <w:spacing w:val="-6"/>
        </w:rPr>
        <w:t>1972</w:t>
      </w:r>
      <w:r>
        <w:rPr>
          <w:spacing w:val="-6"/>
        </w:rPr>
        <w:t>年生，本科学历；中国注册会计师（非执业），中国注册资产评估师（非执业）。</w:t>
      </w:r>
    </w:p>
    <w:p>
      <w:pPr>
        <w:pStyle w:val="BodyText"/>
        <w:spacing w:line="451" w:lineRule="auto" w:before="43"/>
        <w:ind w:right="1139"/>
        <w:jc w:val="both"/>
      </w:pPr>
      <w:r>
        <w:rPr/>
        <w:t>曾任职于广东省茂名市财政局，广东省茂名市名正会计师事务所；</w:t>
      </w:r>
      <w:r>
        <w:rPr>
          <w:rFonts w:ascii="Times New Roman" w:hAnsi="Times New Roman" w:cs="Times New Roman" w:eastAsia="Times New Roman" w:hint="default"/>
        </w:rPr>
        <w:t>2002</w:t>
      </w:r>
      <w:r>
        <w:rPr/>
        <w:t>年加入今天有限；</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9</w:t>
      </w:r>
      <w:r>
        <w:rPr/>
        <w:t>月起任本公司第一届董事 会董事、副总经理；</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9</w:t>
      </w:r>
      <w:r>
        <w:rPr/>
        <w:t>月起任本公司第二届董事会董事、副总经理；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月起任本公司副总裁。</w:t>
      </w:r>
    </w:p>
    <w:p>
      <w:pPr>
        <w:pStyle w:val="BodyText"/>
        <w:spacing w:line="451" w:lineRule="auto" w:before="44"/>
        <w:ind w:right="0" w:firstLine="300"/>
        <w:jc w:val="left"/>
      </w:pPr>
      <w:r>
        <w:rPr>
          <w:rFonts w:ascii="宋体" w:hAnsi="宋体" w:cs="宋体" w:eastAsia="宋体" w:hint="default"/>
          <w:b/>
          <w:bCs/>
        </w:rPr>
        <w:t>徐峰</w:t>
      </w:r>
      <w:r>
        <w:rPr/>
        <w:t>，中国国籍，无境外居留权，</w:t>
      </w:r>
      <w:r>
        <w:rPr>
          <w:rFonts w:ascii="Times New Roman" w:hAnsi="Times New Roman" w:cs="Times New Roman" w:eastAsia="Times New Roman" w:hint="default"/>
        </w:rPr>
        <w:t>1971</w:t>
      </w:r>
      <w:r>
        <w:rPr/>
        <w:t>年生，硕士研究生学历；工程师。曾任职于中国船舶重工集团西安</w:t>
      </w:r>
      <w:r>
        <w:rPr>
          <w:rFonts w:ascii="Times New Roman" w:hAnsi="Times New Roman" w:cs="Times New Roman" w:eastAsia="Times New Roman" w:hint="default"/>
        </w:rPr>
        <w:t>705</w:t>
      </w:r>
      <w:r>
        <w:rPr/>
        <w:t>研究所， </w:t>
      </w:r>
      <w:r>
        <w:rPr>
          <w:spacing w:val="-2"/>
        </w:rPr>
        <w:t>镇江汽车钢圈厂，镇江力盛船舶设备制造有限公司，镇江东联仓储设备有限公司，日东自动化设备（上海）有限公司；</w:t>
      </w:r>
      <w:r>
        <w:rPr>
          <w:rFonts w:ascii="Times New Roman" w:hAnsi="Times New Roman" w:cs="Times New Roman" w:eastAsia="Times New Roman" w:hint="default"/>
          <w:spacing w:val="-2"/>
        </w:rPr>
        <w:t>2004</w:t>
      </w:r>
      <w:r>
        <w:rPr>
          <w:rFonts w:ascii="Times New Roman" w:hAnsi="Times New Roman" w:cs="Times New Roman" w:eastAsia="Times New Roman" w:hint="default"/>
          <w:spacing w:val="-18"/>
        </w:rPr>
        <w:t> </w:t>
      </w:r>
      <w:r>
        <w:rPr/>
        <w:t>年加入今天有限；</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9</w:t>
      </w:r>
      <w:r>
        <w:rPr/>
        <w:t>月起任本公司第二届董事会董事、副总经理；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月起任本公司副总裁。</w:t>
      </w:r>
    </w:p>
    <w:p>
      <w:pPr>
        <w:pStyle w:val="BodyText"/>
        <w:spacing w:line="470" w:lineRule="auto" w:before="43"/>
        <w:ind w:right="1118" w:firstLine="300"/>
        <w:jc w:val="left"/>
      </w:pPr>
      <w:r>
        <w:rPr>
          <w:rFonts w:ascii="宋体" w:hAnsi="宋体" w:cs="宋体" w:eastAsia="宋体" w:hint="default"/>
          <w:b/>
          <w:bCs/>
          <w:spacing w:val="-1"/>
        </w:rPr>
        <w:t>曾巍巍</w:t>
      </w:r>
      <w:r>
        <w:rPr>
          <w:spacing w:val="-1"/>
        </w:rPr>
        <w:t>，中国国籍，无境外居留权，</w:t>
      </w:r>
      <w:r>
        <w:rPr>
          <w:rFonts w:ascii="Times New Roman" w:hAnsi="Times New Roman" w:cs="Times New Roman" w:eastAsia="Times New Roman" w:hint="default"/>
          <w:spacing w:val="-1"/>
        </w:rPr>
        <w:t>1982</w:t>
      </w:r>
      <w:r>
        <w:rPr>
          <w:spacing w:val="-1"/>
        </w:rPr>
        <w:t>年生，本科学历。曾任职于广州机械研究院；</w:t>
      </w:r>
      <w:r>
        <w:rPr>
          <w:rFonts w:ascii="Times New Roman" w:hAnsi="Times New Roman" w:cs="Times New Roman" w:eastAsia="Times New Roman" w:hint="default"/>
          <w:spacing w:val="-1"/>
        </w:rPr>
        <w:t>2004</w:t>
      </w:r>
      <w:r>
        <w:rPr>
          <w:spacing w:val="-1"/>
        </w:rPr>
        <w:t>年加入本公司；现任工程中</w:t>
      </w:r>
      <w:r>
        <w:rPr/>
        <w:t> 心和技术中心总经理，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月起任本公司第三届监事会职工代表监事，</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月起任本公司副总裁。 在股东单位任职情况</w:t>
      </w:r>
    </w:p>
    <w:p>
      <w:pPr>
        <w:pStyle w:val="BodyText"/>
        <w:spacing w:line="489" w:lineRule="auto" w:before="100"/>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在其他单位任职情况</w:t>
      </w:r>
    </w:p>
    <w:p>
      <w:pPr>
        <w:pStyle w:val="BodyText"/>
        <w:spacing w:line="240" w:lineRule="auto" w:before="85"/>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202"/>
        <w:gridCol w:w="3052"/>
        <w:gridCol w:w="2126"/>
        <w:gridCol w:w="851"/>
        <w:gridCol w:w="74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在其他单位担任的职务</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0" w:right="59"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6" w:right="96"/>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房殿军</w:t>
            </w:r>
          </w:p>
        </w:tc>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同济大学中德学院</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教授、博士生导师</w:t>
            </w:r>
          </w:p>
        </w:tc>
        <w:tc>
          <w:tcPr>
            <w:tcW w:w="851"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房殿军</w:t>
            </w:r>
          </w:p>
        </w:tc>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德国弗劳恩霍夫物流研究院</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中国首席科学家</w:t>
            </w:r>
            <w:r>
              <w:rPr>
                <w:rFonts w:ascii="宋体" w:hAnsi="宋体" w:cs="宋体" w:eastAsia="宋体" w:hint="default"/>
                <w:spacing w:val="-90"/>
                <w:sz w:val="18"/>
                <w:szCs w:val="18"/>
              </w:rPr>
              <w:t>、</w:t>
            </w:r>
            <w:r>
              <w:rPr>
                <w:rFonts w:ascii="宋体" w:hAnsi="宋体" w:cs="宋体" w:eastAsia="宋体" w:hint="default"/>
                <w:sz w:val="18"/>
                <w:szCs w:val="18"/>
              </w:rPr>
              <w:t>首席代表</w:t>
            </w:r>
          </w:p>
        </w:tc>
        <w:tc>
          <w:tcPr>
            <w:tcW w:w="851"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房殿军</w:t>
            </w:r>
          </w:p>
        </w:tc>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北京帝欧物流科技有限公司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梅月欣</w:t>
            </w:r>
          </w:p>
        </w:tc>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瑞华会计师事务所（特殊有限合伙）</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合伙人</w:t>
            </w:r>
          </w:p>
        </w:tc>
        <w:tc>
          <w:tcPr>
            <w:tcW w:w="851"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202"/>
        <w:gridCol w:w="3052"/>
        <w:gridCol w:w="2126"/>
        <w:gridCol w:w="851"/>
        <w:gridCol w:w="744"/>
        <w:gridCol w:w="1594"/>
      </w:tblGrid>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梅月欣</w:t>
            </w:r>
          </w:p>
        </w:tc>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深圳市通产丽星股份有限公司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梅月欣</w:t>
            </w:r>
          </w:p>
        </w:tc>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深圳市维业装饰集团股份有限公司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梅月欣</w:t>
            </w:r>
          </w:p>
        </w:tc>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深圳市农产品股份有限公司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梅月欣</w:t>
            </w:r>
          </w:p>
        </w:tc>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深圳中青宝互动网络股份有限公司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郑飞</w:t>
            </w:r>
          </w:p>
        </w:tc>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深圳市软件行业协会</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秘书长兼副会长</w:t>
            </w:r>
          </w:p>
        </w:tc>
        <w:tc>
          <w:tcPr>
            <w:tcW w:w="851"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郑飞</w:t>
            </w:r>
          </w:p>
        </w:tc>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深圳天源迪科信息技术股份有限公司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郑飞</w:t>
            </w:r>
          </w:p>
        </w:tc>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深圳市天维尔信息科技股份有限公司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金春保</w:t>
            </w:r>
          </w:p>
        </w:tc>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深圳市盛桥投资管理有限公司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董事长、总经理</w:t>
            </w:r>
          </w:p>
        </w:tc>
        <w:tc>
          <w:tcPr>
            <w:tcW w:w="851"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金春保</w:t>
            </w:r>
          </w:p>
        </w:tc>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深圳华大基因股份有限公司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金春保</w:t>
            </w:r>
          </w:p>
        </w:tc>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北京天学网教育科技股份有限公司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134" w:right="0"/>
        <w:jc w:val="left"/>
      </w:pPr>
      <w:r>
        <w:rPr/>
        <w:t>公司现任及报告期内离任董事、监事和高级管理人员近三年证券监管机构处罚的情况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董事、监事、高级管理人员报酬情况" w:id="122"/>
      <w:bookmarkEnd w:id="122"/>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456" w:lineRule="auto"/>
        <w:ind w:right="0"/>
        <w:jc w:val="left"/>
      </w:pPr>
      <w:r>
        <w:rPr/>
        <w:t>董事、监事、高级管理人员报酬的决策程序、确定依据、实际支付情况 </w:t>
      </w:r>
      <w:r>
        <w:rPr>
          <w:spacing w:val="-2"/>
        </w:rPr>
        <w:t>报酬决策程序：公司提名与薪酬委员会对公司董事、监事及高级管理人员的薪酬方案进行研究并提出建议，董事、监事的报</w:t>
      </w:r>
      <w:r>
        <w:rPr>
          <w:spacing w:val="-66"/>
        </w:rPr>
        <w:t> </w:t>
      </w:r>
      <w:r>
        <w:rPr>
          <w:spacing w:val="-66"/>
        </w:rPr>
      </w:r>
      <w:r>
        <w:rPr/>
        <w:t>酬由股东大会审议通过，高级管理人员的报酬由董事会审议通过。</w:t>
      </w:r>
    </w:p>
    <w:p>
      <w:pPr>
        <w:pStyle w:val="BodyText"/>
        <w:spacing w:line="477" w:lineRule="auto" w:before="70"/>
        <w:ind w:right="1213"/>
        <w:jc w:val="left"/>
      </w:pPr>
      <w:r>
        <w:rPr/>
        <w:t>报酬确定依据：公司针对董事、监事、高级管理人员的薪酬和绩效考核方案严格依据公司薪酬体系和绩效考核体系实施。 报酬实际支付情况：报告期内，公司已向董事、监事及高级管理人员全额支付薪酬。</w:t>
      </w:r>
    </w:p>
    <w:p>
      <w:pPr>
        <w:pStyle w:val="BodyText"/>
        <w:spacing w:line="240" w:lineRule="auto" w:before="17"/>
        <w:ind w:right="0"/>
        <w:jc w:val="left"/>
      </w:pPr>
      <w:r>
        <w:rPr/>
        <w:t>公司报告期内董事、监事和高级管理人员报酬情况</w:t>
      </w:r>
    </w:p>
    <w:p>
      <w:pPr>
        <w:pStyle w:val="BodyText"/>
        <w:spacing w:line="240" w:lineRule="auto" w:before="117"/>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994"/>
        <w:gridCol w:w="2408"/>
        <w:gridCol w:w="994"/>
        <w:gridCol w:w="850"/>
        <w:gridCol w:w="1592"/>
        <w:gridCol w:w="1367"/>
        <w:gridCol w:w="1367"/>
      </w:tblGrid>
      <w:tr>
        <w:trPr>
          <w:trHeight w:val="713"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邵健伟</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张小麒</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董事、总裁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82.92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张永清</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838" w:right="29" w:hanging="810"/>
              <w:jc w:val="left"/>
              <w:rPr>
                <w:rFonts w:ascii="宋体" w:hAnsi="宋体" w:cs="宋体" w:eastAsia="宋体" w:hint="default"/>
                <w:sz w:val="18"/>
                <w:szCs w:val="18"/>
              </w:rPr>
            </w:pPr>
            <w:r>
              <w:rPr>
                <w:rFonts w:ascii="宋体" w:hAnsi="宋体" w:cs="宋体" w:eastAsia="宋体" w:hint="default"/>
                <w:sz w:val="18"/>
                <w:szCs w:val="18"/>
              </w:rPr>
              <w:t>董事、副总裁、董事会秘书、 财务总监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刘成凯</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董事、副总裁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66.07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房殿军</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梅月欣</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郑飞</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金春保</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994"/>
        <w:gridCol w:w="2408"/>
        <w:gridCol w:w="994"/>
        <w:gridCol w:w="850"/>
        <w:gridCol w:w="1592"/>
        <w:gridCol w:w="1367"/>
        <w:gridCol w:w="1367"/>
      </w:tblGrid>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曾巍巍</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0" w:right="0"/>
              <w:jc w:val="left"/>
              <w:rPr>
                <w:rFonts w:ascii="Times New Roman" w:hAnsi="Times New Roman" w:cs="Times New Roman" w:eastAsia="Times New Roman" w:hint="default"/>
                <w:sz w:val="18"/>
                <w:szCs w:val="18"/>
              </w:rPr>
            </w:pPr>
            <w:r>
              <w:rPr>
                <w:rFonts w:ascii="Times New Roman"/>
                <w:sz w:val="18"/>
              </w:rPr>
              <w:t>36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袁蒙蒙</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0" w:right="0"/>
              <w:jc w:val="left"/>
              <w:rPr>
                <w:rFonts w:ascii="Times New Roman" w:hAnsi="Times New Roman" w:cs="Times New Roman" w:eastAsia="Times New Roman" w:hint="default"/>
                <w:sz w:val="18"/>
                <w:szCs w:val="18"/>
              </w:rPr>
            </w:pPr>
            <w:r>
              <w:rPr>
                <w:rFonts w:ascii="Times New Roman"/>
                <w:sz w:val="18"/>
              </w:rPr>
              <w:t>32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邵健锋</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常务副总裁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0" w:right="0"/>
              <w:jc w:val="left"/>
              <w:rPr>
                <w:rFonts w:ascii="Times New Roman" w:hAnsi="Times New Roman" w:cs="Times New Roman" w:eastAsia="Times New Roman" w:hint="default"/>
                <w:sz w:val="18"/>
                <w:szCs w:val="18"/>
              </w:rPr>
            </w:pPr>
            <w:r>
              <w:rPr>
                <w:rFonts w:ascii="Times New Roman"/>
                <w:sz w:val="18"/>
              </w:rPr>
              <w:t>40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徐峰</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0" w:right="0"/>
              <w:jc w:val="left"/>
              <w:rPr>
                <w:rFonts w:ascii="Times New Roman" w:hAnsi="Times New Roman" w:cs="Times New Roman" w:eastAsia="Times New Roman" w:hint="default"/>
                <w:sz w:val="18"/>
                <w:szCs w:val="18"/>
              </w:rPr>
            </w:pPr>
            <w:r>
              <w:rPr>
                <w:rFonts w:ascii="Times New Roman"/>
                <w:sz w:val="18"/>
              </w:rPr>
              <w:t>47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梁建平</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0" w:right="0"/>
              <w:jc w:val="left"/>
              <w:rPr>
                <w:rFonts w:ascii="Times New Roman" w:hAnsi="Times New Roman" w:cs="Times New Roman" w:eastAsia="Times New Roman" w:hint="default"/>
                <w:sz w:val="18"/>
                <w:szCs w:val="18"/>
              </w:rPr>
            </w:pPr>
            <w:r>
              <w:rPr>
                <w:rFonts w:ascii="Times New Roman"/>
                <w:sz w:val="18"/>
              </w:rPr>
              <w:t>46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60" w:right="0"/>
              <w:jc w:val="left"/>
              <w:rPr>
                <w:rFonts w:ascii="Times New Roman" w:hAnsi="Times New Roman" w:cs="Times New Roman" w:eastAsia="Times New Roman" w:hint="default"/>
                <w:sz w:val="18"/>
                <w:szCs w:val="18"/>
              </w:rPr>
            </w:pPr>
            <w:r>
              <w:rPr>
                <w:rFonts w:ascii="Times New Roman"/>
                <w:sz w:val="18"/>
              </w:rPr>
              <w:t>--</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545.41</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pStyle w:val="BodyText"/>
        <w:spacing w:line="240" w:lineRule="auto" w:before="51"/>
        <w:ind w:left="1134" w:right="-20"/>
        <w:jc w:val="left"/>
      </w:pPr>
      <w:r>
        <w:rPr/>
        <w:t>公司董事、高级管理人员报告期内被授予的股权激励情况</w:t>
      </w:r>
    </w:p>
    <w:p>
      <w:pPr>
        <w:pStyle w:val="BodyText"/>
        <w:spacing w:line="240" w:lineRule="auto" w:before="117"/>
        <w:ind w:left="11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113" w:right="1112"/>
        <w:jc w:val="center"/>
      </w:pPr>
      <w:r>
        <w:rPr/>
        <w:t>单位：股</w:t>
      </w:r>
    </w:p>
    <w:p>
      <w:pPr>
        <w:spacing w:after="0" w:line="240" w:lineRule="auto"/>
        <w:jc w:val="center"/>
        <w:sectPr>
          <w:type w:val="continuous"/>
          <w:pgSz w:w="11910" w:h="16840"/>
          <w:pgMar w:top="1060" w:bottom="1160" w:left="0" w:right="0"/>
          <w:cols w:num="2" w:equalWidth="0">
            <w:col w:w="5635" w:space="3285"/>
            <w:col w:w="299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866"/>
        <w:gridCol w:w="1120"/>
        <w:gridCol w:w="619"/>
        <w:gridCol w:w="869"/>
        <w:gridCol w:w="870"/>
        <w:gridCol w:w="870"/>
        <w:gridCol w:w="870"/>
        <w:gridCol w:w="870"/>
        <w:gridCol w:w="870"/>
        <w:gridCol w:w="870"/>
        <w:gridCol w:w="870"/>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5"/>
              <w:jc w:val="both"/>
              <w:rPr>
                <w:rFonts w:ascii="宋体" w:hAnsi="宋体" w:cs="宋体" w:eastAsia="宋体" w:hint="default"/>
                <w:sz w:val="18"/>
                <w:szCs w:val="18"/>
              </w:rPr>
            </w:pPr>
            <w:r>
              <w:rPr>
                <w:rFonts w:ascii="宋体" w:hAnsi="宋体" w:cs="宋体" w:eastAsia="宋体" w:hint="default"/>
                <w:sz w:val="18"/>
                <w:szCs w:val="18"/>
              </w:rPr>
              <w:t>报告期 内可行 权股数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8" w:right="68"/>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9" w:firstLine="46"/>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0"/>
                <w:sz w:val="18"/>
                <w:szCs w:val="18"/>
              </w:rPr>
              <w:t>格（元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4" w:right="45"/>
              <w:jc w:val="center"/>
              <w:rPr>
                <w:rFonts w:ascii="Times New Roman" w:hAnsi="Times New Roman" w:cs="Times New Roman" w:eastAsia="Times New Roman"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w:t>
            </w:r>
          </w:p>
          <w:p>
            <w:pPr>
              <w:pStyle w:val="TableParagraph"/>
              <w:spacing w:line="196" w:lineRule="exact"/>
              <w:ind w:right="1"/>
              <w:jc w:val="center"/>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0" w:right="68"/>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44" w:right="45"/>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6"/>
              <w:jc w:val="right"/>
              <w:rPr>
                <w:rFonts w:ascii="宋体" w:hAnsi="宋体" w:cs="宋体" w:eastAsia="宋体" w:hint="default"/>
                <w:sz w:val="18"/>
                <w:szCs w:val="18"/>
              </w:rPr>
            </w:pPr>
            <w:r>
              <w:rPr>
                <w:rFonts w:ascii="宋体" w:hAnsi="宋体" w:cs="宋体" w:eastAsia="宋体" w:hint="default"/>
                <w:sz w:val="18"/>
                <w:szCs w:val="18"/>
              </w:rPr>
              <w:t>张小麒</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董事、总裁</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306,000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17.60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306,000</w:t>
            </w:r>
          </w:p>
        </w:tc>
      </w:tr>
      <w:tr>
        <w:trPr>
          <w:trHeight w:val="1026"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56"/>
              <w:jc w:val="right"/>
              <w:rPr>
                <w:rFonts w:ascii="宋体" w:hAnsi="宋体" w:cs="宋体" w:eastAsia="宋体" w:hint="default"/>
                <w:sz w:val="18"/>
                <w:szCs w:val="18"/>
              </w:rPr>
            </w:pPr>
            <w:r>
              <w:rPr>
                <w:rFonts w:ascii="宋体" w:hAnsi="宋体" w:cs="宋体" w:eastAsia="宋体" w:hint="default"/>
                <w:sz w:val="18"/>
                <w:szCs w:val="18"/>
              </w:rPr>
              <w:t>张永清</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firstLine="81"/>
              <w:jc w:val="left"/>
              <w:rPr>
                <w:rFonts w:ascii="宋体" w:hAnsi="宋体" w:cs="宋体" w:eastAsia="宋体" w:hint="default"/>
                <w:sz w:val="18"/>
                <w:szCs w:val="18"/>
              </w:rPr>
            </w:pPr>
            <w:r>
              <w:rPr>
                <w:rFonts w:ascii="宋体" w:hAnsi="宋体" w:cs="宋体" w:eastAsia="宋体" w:hint="default"/>
                <w:sz w:val="18"/>
                <w:szCs w:val="18"/>
              </w:rPr>
              <w:t>董事、副总 </w:t>
            </w:r>
            <w:r>
              <w:rPr>
                <w:rFonts w:ascii="宋体" w:hAnsi="宋体" w:cs="宋体" w:eastAsia="宋体" w:hint="default"/>
                <w:spacing w:val="-3"/>
                <w:sz w:val="18"/>
                <w:szCs w:val="18"/>
              </w:rPr>
              <w:t>裁、董事会秘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书、财务总监</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216,000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17.60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216,000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6"/>
              <w:jc w:val="right"/>
              <w:rPr>
                <w:rFonts w:ascii="宋体" w:hAnsi="宋体" w:cs="宋体" w:eastAsia="宋体" w:hint="default"/>
                <w:sz w:val="18"/>
                <w:szCs w:val="18"/>
              </w:rPr>
            </w:pPr>
            <w:r>
              <w:rPr>
                <w:rFonts w:ascii="宋体" w:hAnsi="宋体" w:cs="宋体" w:eastAsia="宋体" w:hint="default"/>
                <w:sz w:val="18"/>
                <w:szCs w:val="18"/>
              </w:rPr>
              <w:t>刘成凯</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pacing w:val="-3"/>
                <w:sz w:val="18"/>
                <w:szCs w:val="18"/>
              </w:rPr>
              <w:t>董事、副总裁</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216,000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17.60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216,000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徐峰</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副总裁</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17.60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6"/>
              <w:jc w:val="right"/>
              <w:rPr>
                <w:rFonts w:ascii="宋体" w:hAnsi="宋体" w:cs="宋体" w:eastAsia="宋体" w:hint="default"/>
                <w:sz w:val="18"/>
                <w:szCs w:val="18"/>
              </w:rPr>
            </w:pPr>
            <w:r>
              <w:rPr>
                <w:rFonts w:ascii="宋体" w:hAnsi="宋体" w:cs="宋体" w:eastAsia="宋体" w:hint="default"/>
                <w:sz w:val="18"/>
                <w:szCs w:val="18"/>
              </w:rPr>
              <w:t>梁建平</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副总裁</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17.60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1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918,000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69" w:right="0"/>
              <w:jc w:val="lef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918,000</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备注（如 有）</w:t>
            </w:r>
          </w:p>
        </w:tc>
        <w:tc>
          <w:tcPr>
            <w:tcW w:w="8698"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公司董事、高级管理人员报告期内被授予的股份均未解锁。</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五、公司员工情况" w:id="123"/>
      <w:bookmarkEnd w:id="123"/>
      <w:r>
        <w:rPr>
          <w:b w:val="0"/>
          <w:bCs w:val="0"/>
        </w:rPr>
      </w:r>
      <w:r>
        <w:rPr/>
        <w:t>五、公司员工情况</w:t>
      </w:r>
      <w:r>
        <w:rPr>
          <w:b w:val="0"/>
          <w:bCs w:val="0"/>
        </w:rPr>
      </w:r>
    </w:p>
    <w:p>
      <w:pPr>
        <w:pStyle w:val="Heading3"/>
        <w:spacing w:line="240" w:lineRule="auto" w:before="21"/>
        <w:ind w:right="0"/>
        <w:jc w:val="left"/>
        <w:rPr>
          <w:b w:val="0"/>
          <w:bCs w:val="0"/>
        </w:rPr>
      </w:pPr>
      <w:bookmarkStart w:name="1、员工数量、专业构成及教育程度" w:id="124"/>
      <w:bookmarkEnd w:id="124"/>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10"/>
        <w:rPr>
          <w:rFonts w:ascii="宋体" w:hAnsi="宋体" w:cs="宋体" w:eastAsia="宋体" w:hint="default"/>
          <w:b/>
          <w:bCs/>
          <w:sz w:val="2"/>
          <w:szCs w:val="2"/>
        </w:rPr>
      </w:pPr>
    </w:p>
    <w:tbl>
      <w:tblPr>
        <w:tblW w:w="0" w:type="auto"/>
        <w:jc w:val="left"/>
        <w:tblInd w:w="1140" w:type="dxa"/>
        <w:tblLayout w:type="fixed"/>
        <w:tblCellMar>
          <w:top w:w="0" w:type="dxa"/>
          <w:left w:w="0" w:type="dxa"/>
          <w:bottom w:w="0" w:type="dxa"/>
          <w:right w:w="0" w:type="dxa"/>
        </w:tblCellMar>
        <w:tblLook w:val="01E0"/>
      </w:tblPr>
      <w:tblGrid>
        <w:gridCol w:w="4762"/>
        <w:gridCol w:w="4796"/>
      </w:tblGrid>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143</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403</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407</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8"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采购人员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403</w:t>
            </w:r>
          </w:p>
        </w:tc>
      </w:tr>
      <w:tr>
        <w:trPr>
          <w:trHeight w:val="39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中专及以下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403</w:t>
            </w:r>
          </w:p>
        </w:tc>
      </w:tr>
    </w:tbl>
    <w:p>
      <w:pPr>
        <w:pStyle w:val="Heading3"/>
        <w:spacing w:line="240" w:lineRule="auto" w:before="63"/>
        <w:ind w:left="1134" w:right="0"/>
        <w:jc w:val="left"/>
        <w:rPr>
          <w:b w:val="0"/>
          <w:bCs w:val="0"/>
        </w:rPr>
      </w:pPr>
      <w:bookmarkStart w:name="2、薪酬政策" w:id="125"/>
      <w:bookmarkEnd w:id="125"/>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6"/>
        <w:rPr>
          <w:rFonts w:ascii="宋体" w:hAnsi="宋体" w:cs="宋体" w:eastAsia="宋体" w:hint="default"/>
          <w:b/>
          <w:bCs/>
          <w:sz w:val="15"/>
          <w:szCs w:val="15"/>
        </w:rPr>
      </w:pPr>
    </w:p>
    <w:p>
      <w:pPr>
        <w:pStyle w:val="BodyText"/>
        <w:spacing w:line="472" w:lineRule="auto"/>
        <w:ind w:right="1129" w:firstLine="360"/>
        <w:jc w:val="both"/>
      </w:pPr>
      <w:r>
        <w:rPr>
          <w:spacing w:val="-2"/>
        </w:rPr>
        <w:t>为了建立适合公司成长与发展的工资报酬体系和工资报酬政策，规范工资报酬管理，构筑有公司特色的价值分配机制和</w:t>
      </w:r>
      <w:r>
        <w:rPr/>
        <w:t> </w:t>
      </w:r>
      <w:r>
        <w:rPr>
          <w:spacing w:val="-2"/>
        </w:rPr>
        <w:t>内在激励机制，实现公司的可持续成长与发展，公司的薪酬体系坚持</w:t>
      </w:r>
      <w:r>
        <w:rPr>
          <w:rFonts w:ascii="Times New Roman" w:hAnsi="Times New Roman" w:cs="Times New Roman" w:eastAsia="Times New Roman" w:hint="default"/>
          <w:spacing w:val="-2"/>
        </w:rPr>
        <w:t>“</w:t>
      </w:r>
      <w:r>
        <w:rPr>
          <w:spacing w:val="-2"/>
        </w:rPr>
        <w:t>对外具有竞争力，对内具有公平性</w:t>
      </w:r>
      <w:r>
        <w:rPr>
          <w:rFonts w:ascii="Times New Roman" w:hAnsi="Times New Roman" w:cs="Times New Roman" w:eastAsia="Times New Roman" w:hint="default"/>
          <w:spacing w:val="-2"/>
        </w:rPr>
        <w:t>”</w:t>
      </w:r>
      <w:r>
        <w:rPr>
          <w:spacing w:val="-2"/>
        </w:rPr>
        <w:t>和符合公司中长期</w:t>
      </w:r>
      <w:r>
        <w:rPr>
          <w:spacing w:val="-43"/>
        </w:rPr>
        <w:t> </w:t>
      </w:r>
      <w:r>
        <w:rPr>
          <w:spacing w:val="-2"/>
        </w:rPr>
        <w:t>发展需求和有效激励原则，按照岗位类别，划分不同的职位族，对于公司的高管团队，以年度目标责任考评与年度绩效激励</w:t>
      </w:r>
      <w:r>
        <w:rPr>
          <w:spacing w:val="-66"/>
        </w:rPr>
        <w:t> </w:t>
      </w:r>
      <w:r>
        <w:rPr>
          <w:spacing w:val="-66"/>
        </w:rPr>
      </w:r>
      <w:r>
        <w:rPr>
          <w:spacing w:val="-2"/>
        </w:rPr>
        <w:t>为主；对于执行层的中高层管理人员以年度目标考核、月度目标考评为主，个人的薪酬及激励直接与团队目标和个人工作业</w:t>
      </w:r>
      <w:r>
        <w:rPr>
          <w:spacing w:val="-65"/>
        </w:rPr>
        <w:t> </w:t>
      </w:r>
      <w:r>
        <w:rPr>
          <w:spacing w:val="-65"/>
        </w:rPr>
      </w:r>
      <w:r>
        <w:rPr>
          <w:spacing w:val="-2"/>
        </w:rPr>
        <w:t>绩挂钩；对于基层员工以岗位绩效考评为主。此外，对于销售、项目实施及与项目运营相关的岗位，在建立日常考评制度的</w:t>
      </w:r>
      <w:r>
        <w:rPr>
          <w:spacing w:val="-66"/>
        </w:rPr>
        <w:t> </w:t>
      </w:r>
      <w:r>
        <w:rPr>
          <w:spacing w:val="-66"/>
        </w:rPr>
      </w:r>
      <w:r>
        <w:rPr/>
        <w:t>基础上，进一步完善项目考核与项目奖励作为主要的激励政策，充分调动员工的积极性。</w:t>
      </w:r>
    </w:p>
    <w:p>
      <w:pPr>
        <w:pStyle w:val="BodyText"/>
        <w:spacing w:line="451" w:lineRule="auto" w:before="58"/>
        <w:ind w:right="1132" w:firstLine="360"/>
        <w:jc w:val="both"/>
      </w:pPr>
      <w:r>
        <w:rPr/>
        <w:t>对外，公司每年进行</w:t>
      </w:r>
      <w:r>
        <w:rPr>
          <w:rFonts w:ascii="Times New Roman" w:hAnsi="Times New Roman" w:cs="Times New Roman" w:eastAsia="Times New Roman" w:hint="default"/>
        </w:rPr>
        <w:t>1-2</w:t>
      </w:r>
      <w:r>
        <w:rPr/>
        <w:t>次市场薪酬调查，确定相关岗位的市场待遇水平，以保持公司薪酬的竞争力。对内，公司每年 根据员工的表现和贡献对待遇进行评估，需要调整的给予适时调整。</w:t>
      </w:r>
    </w:p>
    <w:p>
      <w:pPr>
        <w:pStyle w:val="Heading3"/>
        <w:spacing w:line="240" w:lineRule="auto" w:before="48"/>
        <w:ind w:right="0"/>
        <w:jc w:val="left"/>
        <w:rPr>
          <w:b w:val="0"/>
          <w:bCs w:val="0"/>
        </w:rPr>
      </w:pPr>
      <w:bookmarkStart w:name="3、培训计划" w:id="126"/>
      <w:bookmarkEnd w:id="126"/>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6"/>
        <w:rPr>
          <w:rFonts w:ascii="宋体" w:hAnsi="宋体" w:cs="宋体" w:eastAsia="宋体" w:hint="default"/>
          <w:b/>
          <w:bCs/>
          <w:sz w:val="15"/>
          <w:szCs w:val="15"/>
        </w:rPr>
      </w:pPr>
    </w:p>
    <w:p>
      <w:pPr>
        <w:pStyle w:val="BodyText"/>
        <w:spacing w:line="477" w:lineRule="auto"/>
        <w:ind w:right="1049" w:firstLine="360"/>
        <w:jc w:val="both"/>
      </w:pPr>
      <w:r>
        <w:rPr/>
        <w:t>公司不断完善公司的培训制度，构建多层次的培训体系，推进新员工培训、岗前培训、管理人员晋升培训等专项培训。 进一步推进内训师制度，为公司培养专职的内训师人才。</w:t>
      </w:r>
    </w:p>
    <w:p>
      <w:pPr>
        <w:pStyle w:val="BodyText"/>
        <w:spacing w:line="477" w:lineRule="auto" w:before="54"/>
        <w:ind w:left="1494" w:right="0" w:firstLine="1"/>
        <w:jc w:val="left"/>
      </w:pPr>
      <w:r>
        <w:rPr>
          <w:rFonts w:ascii="宋体" w:hAnsi="宋体" w:cs="宋体" w:eastAsia="宋体" w:hint="default"/>
          <w:b/>
          <w:bCs/>
        </w:rPr>
        <w:t>（一）公司年度培训计划：</w:t>
      </w:r>
      <w:r>
        <w:rPr>
          <w:rFonts w:ascii="宋体" w:hAnsi="宋体" w:cs="宋体" w:eastAsia="宋体" w:hint="default"/>
          <w:b/>
          <w:bCs/>
          <w:w w:val="99"/>
        </w:rPr>
        <w:t> </w:t>
      </w:r>
      <w:r>
        <w:rPr>
          <w:spacing w:val="-4"/>
        </w:rPr>
        <w:t>人力资源部每年第四季度向各部门征集各岗位员工培训需求，并根据公司总体战略规划、人力资源规划、年度经营目标、</w:t>
      </w:r>
    </w:p>
    <w:p>
      <w:pPr>
        <w:pStyle w:val="BodyText"/>
        <w:spacing w:line="477" w:lineRule="auto" w:before="54"/>
        <w:ind w:left="1493" w:right="0" w:hanging="360"/>
        <w:jc w:val="left"/>
      </w:pPr>
      <w:r>
        <w:rPr/>
        <w:t>部门运行状况、人员任职能力状况、业绩行为表现等进行分析，确定年度培训计划，报总裁批准后发布。 </w:t>
      </w:r>
      <w:r>
        <w:rPr>
          <w:spacing w:val="-2"/>
        </w:rPr>
        <w:t>部门内设计的年度培训计划交人力资源部备案留存，作为考核部门年度培训工作开展情况的参考依据，纳入年末优秀团</w:t>
      </w:r>
    </w:p>
    <w:p>
      <w:pPr>
        <w:pStyle w:val="BodyText"/>
        <w:spacing w:line="240" w:lineRule="auto" w:before="54"/>
        <w:ind w:right="0"/>
        <w:jc w:val="left"/>
      </w:pPr>
      <w:r>
        <w:rPr/>
        <w:t>队奖励的考核范畴。</w:t>
      </w:r>
    </w:p>
    <w:p>
      <w:pPr>
        <w:spacing w:line="240" w:lineRule="auto" w:before="10"/>
        <w:rPr>
          <w:rFonts w:ascii="宋体" w:hAnsi="宋体" w:cs="宋体" w:eastAsia="宋体" w:hint="default"/>
          <w:sz w:val="17"/>
          <w:szCs w:val="17"/>
        </w:rPr>
      </w:pPr>
    </w:p>
    <w:p>
      <w:pPr>
        <w:pStyle w:val="BodyText"/>
        <w:spacing w:line="477" w:lineRule="auto"/>
        <w:ind w:left="1493" w:right="0" w:firstLine="1"/>
        <w:jc w:val="left"/>
      </w:pPr>
      <w:r>
        <w:rPr>
          <w:rFonts w:ascii="宋体" w:hAnsi="宋体" w:cs="宋体" w:eastAsia="宋体" w:hint="default"/>
          <w:b/>
          <w:bCs/>
        </w:rPr>
        <w:t>（二）临时性培训计划：</w:t>
      </w:r>
      <w:r>
        <w:rPr>
          <w:rFonts w:ascii="宋体" w:hAnsi="宋体" w:cs="宋体" w:eastAsia="宋体" w:hint="default"/>
          <w:b/>
          <w:bCs/>
          <w:w w:val="99"/>
        </w:rPr>
        <w:t> </w:t>
      </w:r>
      <w:r>
        <w:rPr>
          <w:spacing w:val="-2"/>
        </w:rPr>
        <w:t>对于不定期的新聘员工、转岗员工、临时特定培训（如：引进新技术、设备时需要培训相关人员），由相关部门负责人</w:t>
      </w:r>
    </w:p>
    <w:p>
      <w:pPr>
        <w:pStyle w:val="BodyText"/>
        <w:spacing w:line="240" w:lineRule="auto" w:before="54"/>
        <w:ind w:right="0"/>
        <w:jc w:val="left"/>
      </w:pPr>
      <w:r>
        <w:rPr/>
        <w:t>提出培训需求，填写《员工培训需求申请表》，经人力资源部审核后纳入月度或专项培训计划中，并按计划筹备、实施。</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Heading3"/>
        <w:spacing w:line="240" w:lineRule="auto" w:before="174"/>
        <w:ind w:right="0"/>
        <w:jc w:val="left"/>
        <w:rPr>
          <w:b w:val="0"/>
          <w:bCs w:val="0"/>
        </w:rPr>
      </w:pPr>
      <w:bookmarkStart w:name="4、劳务外包情况" w:id="127"/>
      <w:bookmarkEnd w:id="127"/>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2861"/>
        <w:jc w:val="center"/>
        <w:rPr>
          <w:b w:val="0"/>
          <w:bCs w:val="0"/>
        </w:rPr>
      </w:pPr>
      <w:bookmarkStart w:name="第九节 公司治理" w:id="128"/>
      <w:bookmarkEnd w:id="128"/>
      <w:r>
        <w:rPr>
          <w:b w:val="0"/>
          <w:bCs w:val="0"/>
        </w:rPr>
      </w:r>
      <w:bookmarkStart w:name="_bookmark7" w:id="129"/>
      <w:bookmarkEnd w:id="129"/>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30"/>
      <w:bookmarkEnd w:id="130"/>
      <w:r>
        <w:rPr>
          <w:b w:val="0"/>
          <w:bCs w:val="0"/>
        </w:rPr>
      </w:r>
      <w:r>
        <w:rPr/>
        <w:t>一、公司治理的基本状况</w:t>
      </w:r>
      <w:r>
        <w:rPr>
          <w:b w:val="0"/>
          <w:bCs w:val="0"/>
        </w:rPr>
      </w:r>
    </w:p>
    <w:p>
      <w:pPr>
        <w:spacing w:line="240" w:lineRule="auto" w:before="6"/>
        <w:rPr>
          <w:rFonts w:ascii="宋体" w:hAnsi="宋体" w:cs="宋体" w:eastAsia="宋体" w:hint="default"/>
          <w:b/>
          <w:bCs/>
          <w:sz w:val="32"/>
          <w:szCs w:val="32"/>
        </w:rPr>
      </w:pPr>
    </w:p>
    <w:p>
      <w:pPr>
        <w:pStyle w:val="BodyText"/>
        <w:spacing w:line="468" w:lineRule="auto"/>
        <w:ind w:right="0" w:firstLine="360"/>
        <w:jc w:val="left"/>
      </w:pPr>
      <w:r>
        <w:rPr>
          <w:spacing w:val="-2"/>
        </w:rPr>
        <w:t>报告期内，公司严格按照《公司法》、《证券法》、《上市公司治理准则》、《创业板股票上市规则》、《创业板上市</w:t>
      </w:r>
      <w:r>
        <w:rPr/>
        <w:t> </w:t>
      </w:r>
      <w:r>
        <w:rPr>
          <w:spacing w:val="-4"/>
        </w:rPr>
        <w:t>公司规范运作指引》和其他有关法律法规、规范性文件的要求，不断完善公司的法人治理结构；按照已建立的内部控制制度，</w:t>
      </w:r>
      <w:r>
        <w:rPr>
          <w:spacing w:val="-45"/>
        </w:rPr>
        <w:t> </w:t>
      </w:r>
      <w:r>
        <w:rPr>
          <w:spacing w:val="-45"/>
        </w:rPr>
      </w:r>
      <w:r>
        <w:rPr/>
        <w:t>股东大会、董事会、监事会议事规则及独立董事工作细则的要求，组织</w:t>
      </w:r>
      <w:r>
        <w:rPr>
          <w:rFonts w:ascii="Times New Roman" w:hAnsi="Times New Roman" w:cs="Times New Roman" w:eastAsia="Times New Roman" w:hint="default"/>
        </w:rPr>
        <w:t>“</w:t>
      </w:r>
      <w:r>
        <w:rPr/>
        <w:t>三会</w:t>
      </w:r>
      <w:r>
        <w:rPr>
          <w:rFonts w:ascii="Times New Roman" w:hAnsi="Times New Roman" w:cs="Times New Roman" w:eastAsia="Times New Roman" w:hint="default"/>
        </w:rPr>
        <w:t>”</w:t>
      </w:r>
      <w:r>
        <w:rPr/>
        <w:t>工作。同时积极开展董事、监事、高级管理人 员培训教育和管理工作，进一步规范公司治理结构；建立健全公司内部控制制度；提升公司治理水平。</w:t>
      </w:r>
    </w:p>
    <w:p>
      <w:pPr>
        <w:pStyle w:val="BodyText"/>
        <w:spacing w:line="477" w:lineRule="auto" w:before="61"/>
        <w:ind w:right="0" w:firstLine="360"/>
        <w:jc w:val="left"/>
      </w:pPr>
      <w:r>
        <w:rPr>
          <w:spacing w:val="-2"/>
        </w:rPr>
        <w:t>截至报告期末，公司治理的实际情况符合中国证监会《上市公司治理准则》和深圳证券交易所《创业板上市公司规范运</w:t>
      </w:r>
      <w:r>
        <w:rPr/>
        <w:t> 作指引》等法律法规和规范性文件的要求。</w:t>
      </w:r>
    </w:p>
    <w:p>
      <w:pPr>
        <w:pStyle w:val="BodyText"/>
        <w:spacing w:line="477" w:lineRule="auto" w:before="54"/>
        <w:ind w:left="1493" w:right="0"/>
        <w:jc w:val="left"/>
      </w:pPr>
      <w:r>
        <w:rPr>
          <w:rFonts w:ascii="宋体" w:hAnsi="宋体" w:cs="宋体" w:eastAsia="宋体" w:hint="default"/>
          <w:b/>
          <w:bCs/>
        </w:rPr>
        <w:t>（一）关于股东与股东大会</w:t>
      </w:r>
      <w:r>
        <w:rPr>
          <w:rFonts w:ascii="宋体" w:hAnsi="宋体" w:cs="宋体" w:eastAsia="宋体" w:hint="default"/>
          <w:b/>
          <w:bCs/>
          <w:w w:val="99"/>
        </w:rPr>
        <w:t> </w:t>
      </w:r>
      <w:r>
        <w:rPr>
          <w:spacing w:val="-2"/>
        </w:rPr>
        <w:t>公司按照《上市公司股东大会规则》、《公司章程》、《股东大会议事规则》等规定和要求，规范地召集、召开股东大</w:t>
      </w:r>
    </w:p>
    <w:p>
      <w:pPr>
        <w:pStyle w:val="BodyText"/>
        <w:spacing w:line="477" w:lineRule="auto" w:before="54"/>
        <w:ind w:left="1493" w:right="0" w:hanging="360"/>
        <w:jc w:val="left"/>
      </w:pPr>
      <w:r>
        <w:rPr/>
        <w:t>会，确保全体股东，特别是中小股东，享有平等地位、充分行使股东权利。 </w:t>
      </w:r>
      <w:r>
        <w:rPr>
          <w:spacing w:val="-2"/>
        </w:rPr>
        <w:t>报告期内，公司共召开</w:t>
      </w:r>
      <w:r>
        <w:rPr>
          <w:rFonts w:ascii="Times New Roman" w:hAnsi="Times New Roman" w:cs="Times New Roman" w:eastAsia="Times New Roman" w:hint="default"/>
          <w:spacing w:val="-2"/>
        </w:rPr>
        <w:t>1</w:t>
      </w:r>
      <w:r>
        <w:rPr>
          <w:spacing w:val="-2"/>
        </w:rPr>
        <w:t>次年度股东大会和</w:t>
      </w:r>
      <w:r>
        <w:rPr>
          <w:rFonts w:ascii="Times New Roman" w:hAnsi="Times New Roman" w:cs="Times New Roman" w:eastAsia="Times New Roman" w:hint="default"/>
          <w:spacing w:val="-2"/>
        </w:rPr>
        <w:t>2</w:t>
      </w:r>
      <w:r>
        <w:rPr>
          <w:spacing w:val="-2"/>
        </w:rPr>
        <w:t>次临时股东大会，均由董事会负责召集，董事、监事、高级管理人员列席会</w:t>
      </w:r>
    </w:p>
    <w:p>
      <w:pPr>
        <w:pStyle w:val="BodyText"/>
        <w:spacing w:line="240" w:lineRule="auto" w:before="22"/>
        <w:ind w:left="1134" w:right="0"/>
        <w:jc w:val="left"/>
      </w:pPr>
      <w:r>
        <w:rPr/>
        <w:t>议。公司股东大会的相关议程均符合法规规定，现场有见证律师出具法律意见书，确保公司股东大会决策科学、程序规范。</w:t>
      </w:r>
    </w:p>
    <w:p>
      <w:pPr>
        <w:spacing w:line="240" w:lineRule="auto" w:before="10"/>
        <w:rPr>
          <w:rFonts w:ascii="宋体" w:hAnsi="宋体" w:cs="宋体" w:eastAsia="宋体" w:hint="default"/>
          <w:sz w:val="17"/>
          <w:szCs w:val="17"/>
        </w:rPr>
      </w:pPr>
    </w:p>
    <w:p>
      <w:pPr>
        <w:pStyle w:val="BodyText"/>
        <w:spacing w:line="477" w:lineRule="auto"/>
        <w:ind w:left="1494" w:right="0"/>
        <w:jc w:val="left"/>
      </w:pPr>
      <w:r>
        <w:rPr>
          <w:rFonts w:ascii="宋体" w:hAnsi="宋体" w:cs="宋体" w:eastAsia="宋体" w:hint="default"/>
          <w:b/>
          <w:bCs/>
        </w:rPr>
        <w:t>（二）关于董事和董事会</w:t>
      </w:r>
      <w:r>
        <w:rPr>
          <w:rFonts w:ascii="宋体" w:hAnsi="宋体" w:cs="宋体" w:eastAsia="宋体" w:hint="default"/>
          <w:b/>
          <w:bCs/>
          <w:w w:val="99"/>
        </w:rPr>
        <w:t> </w:t>
      </w:r>
      <w:r>
        <w:rPr>
          <w:spacing w:val="-2"/>
        </w:rPr>
        <w:t>公司已经制定《董事会议事规则》、《独立董事工作细则》等制度，确保董事会规范、高效运作和审慎、科学决策。公</w:t>
      </w:r>
    </w:p>
    <w:p>
      <w:pPr>
        <w:pStyle w:val="BodyText"/>
        <w:spacing w:line="468" w:lineRule="auto" w:before="54"/>
        <w:ind w:right="0"/>
        <w:jc w:val="left"/>
      </w:pPr>
      <w:r>
        <w:rPr>
          <w:spacing w:val="-2"/>
        </w:rPr>
        <w:t>司董事会设董事</w:t>
      </w:r>
      <w:r>
        <w:rPr>
          <w:rFonts w:ascii="Times New Roman" w:hAnsi="Times New Roman" w:cs="Times New Roman" w:eastAsia="Times New Roman" w:hint="default"/>
          <w:spacing w:val="-2"/>
        </w:rPr>
        <w:t>7</w:t>
      </w:r>
      <w:r>
        <w:rPr>
          <w:spacing w:val="-2"/>
        </w:rPr>
        <w:t>名，其中独立董事</w:t>
      </w:r>
      <w:r>
        <w:rPr>
          <w:rFonts w:ascii="Times New Roman" w:hAnsi="Times New Roman" w:cs="Times New Roman" w:eastAsia="Times New Roman" w:hint="default"/>
          <w:spacing w:val="-2"/>
        </w:rPr>
        <w:t>3</w:t>
      </w:r>
      <w:r>
        <w:rPr>
          <w:spacing w:val="-2"/>
        </w:rPr>
        <w:t>名，董事会的人数及人员构成符合法律、法规和《公司章程》的要求。各位董事能够依</w:t>
      </w:r>
      <w:r>
        <w:rPr>
          <w:spacing w:val="-66"/>
        </w:rPr>
        <w:t> </w:t>
      </w:r>
      <w:r>
        <w:rPr>
          <w:spacing w:val="-66"/>
        </w:rPr>
      </w:r>
      <w:r>
        <w:rPr>
          <w:spacing w:val="-4"/>
        </w:rPr>
        <w:t>照相关规则的规定开展工作，勤勉尽责地履行职责和义务，同时积极参加相关培训，学习相关法律法规，不断提高履职水平。</w:t>
      </w:r>
      <w:r>
        <w:rPr>
          <w:spacing w:val="-46"/>
        </w:rPr>
        <w:t> </w:t>
      </w:r>
      <w:r>
        <w:rPr>
          <w:spacing w:val="-46"/>
        </w:rPr>
      </w:r>
      <w:r>
        <w:rPr>
          <w:spacing w:val="-2"/>
        </w:rPr>
        <w:t>独立董事能够不受公司控股股东、实际控制人以及其它与公司存在利害关系的单位或个人的影响，独立履行职责，对公司的</w:t>
      </w:r>
      <w:r>
        <w:rPr>
          <w:spacing w:val="-66"/>
        </w:rPr>
        <w:t> </w:t>
      </w:r>
      <w:r>
        <w:rPr>
          <w:spacing w:val="-66"/>
        </w:rPr>
      </w:r>
      <w:r>
        <w:rPr/>
        <w:t>重大事项均能发表独立意见。</w:t>
      </w:r>
    </w:p>
    <w:p>
      <w:pPr>
        <w:pStyle w:val="BodyText"/>
        <w:spacing w:line="477" w:lineRule="auto" w:before="61"/>
        <w:ind w:left="1493" w:right="0"/>
        <w:jc w:val="left"/>
        <w:rPr>
          <w:rFonts w:ascii="Times New Roman" w:hAnsi="Times New Roman" w:cs="Times New Roman" w:eastAsia="Times New Roman" w:hint="default"/>
        </w:rPr>
      </w:pPr>
      <w:r>
        <w:rPr>
          <w:rFonts w:ascii="宋体" w:hAnsi="宋体" w:cs="宋体" w:eastAsia="宋体" w:hint="default"/>
          <w:b/>
          <w:bCs/>
        </w:rPr>
        <w:t>（三）关于监事和监事会</w:t>
      </w:r>
      <w:r>
        <w:rPr>
          <w:rFonts w:ascii="宋体" w:hAnsi="宋体" w:cs="宋体" w:eastAsia="宋体" w:hint="default"/>
          <w:b/>
          <w:bCs/>
          <w:w w:val="99"/>
        </w:rPr>
        <w:t> </w:t>
      </w:r>
      <w:r>
        <w:rPr/>
        <w:t>公司已制定《监事会议事规则》等制度确保监事会向全体股东负责。公司监事会由</w:t>
      </w:r>
      <w:r>
        <w:rPr>
          <w:rFonts w:ascii="Times New Roman" w:hAnsi="Times New Roman" w:cs="Times New Roman" w:eastAsia="Times New Roman" w:hint="default"/>
        </w:rPr>
        <w:t>3</w:t>
      </w:r>
      <w:r>
        <w:rPr/>
        <w:t>名成员组成，其中职工代表监事</w:t>
      </w:r>
      <w:r>
        <w:rPr>
          <w:rFonts w:ascii="Times New Roman" w:hAnsi="Times New Roman" w:cs="Times New Roman" w:eastAsia="Times New Roman" w:hint="default"/>
        </w:rPr>
        <w:t>1</w:t>
      </w:r>
    </w:p>
    <w:p>
      <w:pPr>
        <w:pStyle w:val="BodyText"/>
        <w:spacing w:line="477" w:lineRule="auto" w:before="21"/>
        <w:ind w:right="0"/>
        <w:jc w:val="left"/>
      </w:pPr>
      <w:r>
        <w:rPr>
          <w:spacing w:val="-2"/>
        </w:rPr>
        <w:t>名，由职工代表大会选举产生。监事会的人数和构成符合法律、法规和《公司章程》的规定与要求。公司监事会依照相关规</w:t>
      </w:r>
      <w:r>
        <w:rPr>
          <w:spacing w:val="-68"/>
        </w:rPr>
        <w:t> </w:t>
      </w:r>
      <w:r>
        <w:rPr>
          <w:spacing w:val="-68"/>
        </w:rPr>
      </w:r>
      <w:r>
        <w:rPr/>
        <w:t>则的规定，认真履行自己的职责，对公司重大事项、财务状况以及董事、高管人员履行职责的合法合规性进行监督。</w:t>
      </w:r>
    </w:p>
    <w:p>
      <w:pPr>
        <w:spacing w:line="477" w:lineRule="auto" w:before="54"/>
        <w:ind w:left="1493" w:right="0" w:firstLine="0"/>
        <w:jc w:val="left"/>
        <w:rPr>
          <w:rFonts w:ascii="宋体" w:hAnsi="宋体" w:cs="宋体" w:eastAsia="宋体" w:hint="default"/>
          <w:sz w:val="18"/>
          <w:szCs w:val="18"/>
        </w:rPr>
      </w:pPr>
      <w:r>
        <w:rPr>
          <w:rFonts w:ascii="宋体" w:hAnsi="宋体" w:cs="宋体" w:eastAsia="宋体" w:hint="default"/>
          <w:b/>
          <w:bCs/>
          <w:sz w:val="18"/>
          <w:szCs w:val="18"/>
        </w:rPr>
        <w:t>（四）关于绩效评价与激励约束机制</w:t>
      </w:r>
      <w:r>
        <w:rPr>
          <w:rFonts w:ascii="宋体" w:hAnsi="宋体" w:cs="宋体" w:eastAsia="宋体" w:hint="default"/>
          <w:b/>
          <w:bCs/>
          <w:w w:val="99"/>
          <w:sz w:val="18"/>
          <w:szCs w:val="18"/>
        </w:rPr>
        <w:t> </w:t>
      </w:r>
      <w:r>
        <w:rPr>
          <w:rFonts w:ascii="宋体" w:hAnsi="宋体" w:cs="宋体" w:eastAsia="宋体" w:hint="default"/>
          <w:spacing w:val="-4"/>
          <w:sz w:val="18"/>
          <w:szCs w:val="18"/>
        </w:rPr>
        <w:t>公司建立了较为完善的绩效考评体系，员工的收入能较好地与工作绩效挂钩；高级管理人员的聘任能够做到公开、透明，</w:t>
      </w:r>
    </w:p>
    <w:p>
      <w:pPr>
        <w:pStyle w:val="BodyText"/>
        <w:spacing w:line="477" w:lineRule="auto" w:before="54"/>
        <w:ind w:right="0"/>
        <w:jc w:val="left"/>
      </w:pPr>
      <w:r>
        <w:rPr>
          <w:spacing w:val="-2"/>
        </w:rPr>
        <w:t>符合法律、法规和制度的规定。公司董事会设立了提名与薪酬委员会，负责对公司的董事、监事、高级管理人员进行绩效考</w:t>
      </w:r>
      <w:r>
        <w:rPr>
          <w:spacing w:val="-66"/>
        </w:rPr>
        <w:t> </w:t>
      </w:r>
      <w:r>
        <w:rPr>
          <w:spacing w:val="-66"/>
        </w:rPr>
      </w:r>
      <w:r>
        <w:rPr/>
        <w:t>核。公司将根据企业发展情况不断地完善和调整该机制。</w:t>
      </w:r>
    </w:p>
    <w:p>
      <w:pPr>
        <w:spacing w:after="0" w:line="477"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477" w:lineRule="auto" w:before="0"/>
        <w:ind w:left="1493" w:right="0" w:firstLine="0"/>
        <w:jc w:val="left"/>
        <w:rPr>
          <w:rFonts w:ascii="宋体" w:hAnsi="宋体" w:cs="宋体" w:eastAsia="宋体" w:hint="default"/>
          <w:sz w:val="18"/>
          <w:szCs w:val="18"/>
        </w:rPr>
      </w:pPr>
      <w:r>
        <w:rPr>
          <w:rFonts w:ascii="宋体" w:hAnsi="宋体" w:cs="宋体" w:eastAsia="宋体" w:hint="default"/>
          <w:b/>
          <w:bCs/>
          <w:sz w:val="18"/>
          <w:szCs w:val="18"/>
        </w:rPr>
        <w:t>（五）关于信息披露与透明度</w:t>
      </w:r>
      <w:r>
        <w:rPr>
          <w:rFonts w:ascii="宋体" w:hAnsi="宋体" w:cs="宋体" w:eastAsia="宋体" w:hint="default"/>
          <w:b/>
          <w:bCs/>
          <w:w w:val="99"/>
          <w:sz w:val="18"/>
          <w:szCs w:val="18"/>
        </w:rPr>
        <w:t> </w:t>
      </w:r>
      <w:r>
        <w:rPr>
          <w:rFonts w:ascii="宋体" w:hAnsi="宋体" w:cs="宋体" w:eastAsia="宋体" w:hint="default"/>
          <w:spacing w:val="-2"/>
          <w:sz w:val="18"/>
          <w:szCs w:val="18"/>
        </w:rPr>
        <w:t>依照《深圳证券交易所创业板股票上市规则》、《上市公司信息披露管理办法》等相关法律法规及公司《信息披露事务</w:t>
      </w:r>
    </w:p>
    <w:p>
      <w:pPr>
        <w:pStyle w:val="BodyText"/>
        <w:spacing w:line="477" w:lineRule="auto" w:before="54"/>
        <w:ind w:right="0"/>
        <w:jc w:val="left"/>
      </w:pPr>
      <w:r>
        <w:rPr>
          <w:spacing w:val="-4"/>
        </w:rPr>
        <w:t>管理制度》等规定的要求，公司能真实、准确、及时、公平、完整地披露相关信息，履行信息披露义务，同时关注媒体报导，</w:t>
      </w:r>
      <w:r>
        <w:rPr>
          <w:spacing w:val="-46"/>
        </w:rPr>
        <w:t> </w:t>
      </w:r>
      <w:r>
        <w:rPr>
          <w:spacing w:val="-46"/>
        </w:rPr>
      </w:r>
      <w:r>
        <w:rPr/>
        <w:t>接待股东来访咨询，在已披露信息范围内认真负责地与投资者充分沟通。</w:t>
      </w:r>
    </w:p>
    <w:p>
      <w:pPr>
        <w:pStyle w:val="BodyText"/>
        <w:spacing w:line="477" w:lineRule="auto" w:before="54"/>
        <w:ind w:left="1493" w:right="0"/>
        <w:jc w:val="left"/>
      </w:pPr>
      <w:r>
        <w:rPr>
          <w:rFonts w:ascii="宋体" w:hAnsi="宋体" w:cs="宋体" w:eastAsia="宋体" w:hint="default"/>
          <w:b/>
          <w:bCs/>
        </w:rPr>
        <w:t>（六）关于相关利益者</w:t>
      </w:r>
      <w:r>
        <w:rPr>
          <w:rFonts w:ascii="宋体" w:hAnsi="宋体" w:cs="宋体" w:eastAsia="宋体" w:hint="default"/>
          <w:b/>
          <w:bCs/>
          <w:w w:val="99"/>
        </w:rPr>
        <w:t> </w:t>
      </w:r>
      <w:r>
        <w:rPr>
          <w:spacing w:val="-2"/>
        </w:rPr>
        <w:t>公司能够充分尊重和维护相关利益者的合法权益，积极促进与相关利益者合作，加强与各方的沟通交流，实现股东、员</w:t>
      </w:r>
    </w:p>
    <w:p>
      <w:pPr>
        <w:pStyle w:val="BodyText"/>
        <w:spacing w:line="240" w:lineRule="auto" w:before="54"/>
        <w:ind w:right="0"/>
        <w:jc w:val="left"/>
      </w:pPr>
      <w:r>
        <w:rPr/>
        <w:t>工、社会等各方利益的协调平衡，共同推动公司持续、稳定、健康发展。</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6"/>
          <w:szCs w:val="26"/>
        </w:rPr>
      </w:pPr>
    </w:p>
    <w:p>
      <w:pPr>
        <w:pStyle w:val="BodyText"/>
        <w:spacing w:line="240" w:lineRule="auto"/>
        <w:ind w:right="0"/>
        <w:jc w:val="left"/>
      </w:pPr>
      <w:r>
        <w:rPr/>
        <w:t>公司治理的实际状况与中国证监会发布的有关上市公司治理的规范性文件是否存在重大差异</w:t>
      </w:r>
    </w:p>
    <w:p>
      <w:pPr>
        <w:spacing w:line="240" w:lineRule="auto" w:before="12"/>
        <w:rPr>
          <w:rFonts w:ascii="宋体" w:hAnsi="宋体" w:cs="宋体" w:eastAsia="宋体" w:hint="default"/>
          <w:sz w:val="20"/>
          <w:szCs w:val="20"/>
        </w:rPr>
      </w:pPr>
    </w:p>
    <w:p>
      <w:pPr>
        <w:pStyle w:val="BodyText"/>
        <w:spacing w:line="489" w:lineRule="auto"/>
        <w:ind w:right="35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8"/>
        <w:rPr>
          <w:rFonts w:ascii="宋体" w:hAnsi="宋体" w:cs="宋体" w:eastAsia="宋体" w:hint="default"/>
          <w:sz w:val="16"/>
          <w:szCs w:val="16"/>
        </w:rPr>
      </w:pPr>
    </w:p>
    <w:p>
      <w:pPr>
        <w:pStyle w:val="Heading2"/>
        <w:spacing w:line="240" w:lineRule="auto"/>
        <w:ind w:right="0"/>
        <w:jc w:val="left"/>
        <w:rPr>
          <w:b w:val="0"/>
          <w:bCs w:val="0"/>
        </w:rPr>
      </w:pPr>
      <w:bookmarkStart w:name="二、公司相对于控股股东在业务、人员、资产、机构、财务等方面的独立情况" w:id="131"/>
      <w:bookmarkEnd w:id="131"/>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left="1493" w:right="0"/>
        <w:jc w:val="left"/>
      </w:pPr>
      <w:r>
        <w:rPr/>
        <w:t>（一）资产完整 </w:t>
      </w:r>
      <w:r>
        <w:rPr>
          <w:spacing w:val="-2"/>
        </w:rPr>
        <w:t>本公司拥有独立的经营场所，拥有独立完整的研发、生产和销售配套设施及固定资产。本公司未以自身资产、权益或信</w:t>
      </w:r>
    </w:p>
    <w:p>
      <w:pPr>
        <w:pStyle w:val="BodyText"/>
        <w:spacing w:line="240" w:lineRule="auto" w:before="54"/>
        <w:ind w:right="0"/>
        <w:jc w:val="left"/>
      </w:pPr>
      <w:r>
        <w:rPr/>
        <w:t>誉为股东提供担保，公司对所有资产有完全的控制支配权，不存在资产、资金被控股股东占用而损害公司利益的情况。</w:t>
      </w:r>
    </w:p>
    <w:p>
      <w:pPr>
        <w:spacing w:line="240" w:lineRule="auto" w:before="10"/>
        <w:rPr>
          <w:rFonts w:ascii="宋体" w:hAnsi="宋体" w:cs="宋体" w:eastAsia="宋体" w:hint="default"/>
          <w:sz w:val="17"/>
          <w:szCs w:val="17"/>
        </w:rPr>
      </w:pPr>
    </w:p>
    <w:p>
      <w:pPr>
        <w:pStyle w:val="BodyText"/>
        <w:spacing w:line="477" w:lineRule="auto"/>
        <w:ind w:left="1493" w:right="0"/>
        <w:jc w:val="left"/>
      </w:pPr>
      <w:r>
        <w:rPr/>
        <w:t>（二）人员独立 </w:t>
      </w:r>
      <w:r>
        <w:rPr>
          <w:spacing w:val="-2"/>
        </w:rPr>
        <w:t>本公司设有人力资源管理部门，公司的人事及工资管理与股东完全独立和分开。本公司董事、监事及高级管理人员严格</w:t>
      </w:r>
    </w:p>
    <w:p>
      <w:pPr>
        <w:pStyle w:val="BodyText"/>
        <w:spacing w:line="477" w:lineRule="auto" w:before="54"/>
        <w:ind w:right="0"/>
        <w:jc w:val="left"/>
      </w:pPr>
      <w:r>
        <w:rPr>
          <w:spacing w:val="-4"/>
        </w:rPr>
        <w:t>按照《公司法》、《公司章程》的有关规定产生，不存在有关法律、法规禁止的兼职情况。本公司总裁、副总裁、财务总监、</w:t>
      </w:r>
      <w:r>
        <w:rPr>
          <w:spacing w:val="-44"/>
        </w:rPr>
        <w:t> </w:t>
      </w:r>
      <w:r>
        <w:rPr>
          <w:spacing w:val="-44"/>
        </w:rPr>
      </w:r>
      <w:r>
        <w:rPr>
          <w:spacing w:val="-2"/>
        </w:rPr>
        <w:t>董事会秘书等高级管理人员均专职在本公司工作并领取报酬，未在股东控制的其他关联企业担任职务，不存在交叉任职的情</w:t>
      </w:r>
      <w:r>
        <w:rPr>
          <w:spacing w:val="-64"/>
        </w:rPr>
        <w:t> </w:t>
      </w:r>
      <w:r>
        <w:rPr>
          <w:spacing w:val="-64"/>
        </w:rPr>
      </w:r>
      <w:r>
        <w:rPr/>
        <w:t>况；本公司的财务人员亦未在实际控制人控制的其他企业中兼职。</w:t>
      </w:r>
    </w:p>
    <w:p>
      <w:pPr>
        <w:pStyle w:val="BodyText"/>
        <w:spacing w:line="477" w:lineRule="auto" w:before="54"/>
        <w:ind w:left="1494" w:right="0"/>
        <w:jc w:val="left"/>
      </w:pPr>
      <w:r>
        <w:rPr/>
        <w:t>（三）机构独立 </w:t>
      </w:r>
      <w:r>
        <w:rPr>
          <w:spacing w:val="-2"/>
        </w:rPr>
        <w:t>本公司根据《公司法》、《上市公司章程指引》等有关法律、法规和规范性文件的相关规定，按照法定程序制订了《公</w:t>
      </w:r>
    </w:p>
    <w:p>
      <w:pPr>
        <w:pStyle w:val="BodyText"/>
        <w:spacing w:line="477" w:lineRule="auto" w:before="54"/>
        <w:ind w:right="1131"/>
        <w:jc w:val="both"/>
      </w:pPr>
      <w:r>
        <w:rPr/>
        <w:t>司章程》，建立了股东大会、董事会、监事会的法人治理结构，并设置了相应的组织机构。 本公司具有独立的生产经营和</w:t>
      </w:r>
      <w:r>
        <w:rPr>
          <w:spacing w:val="-87"/>
        </w:rPr>
        <w:t> </w:t>
      </w:r>
      <w:r>
        <w:rPr>
          <w:spacing w:val="-87"/>
        </w:rPr>
      </w:r>
      <w:r>
        <w:rPr>
          <w:spacing w:val="-2"/>
        </w:rPr>
        <w:t>办公机构，完全独立于控股股东及实际控制人，不存在混合经营、合署办公的情况，控股股东及其他任何单位或个人均未干</w:t>
      </w:r>
      <w:r>
        <w:rPr>
          <w:spacing w:val="-66"/>
        </w:rPr>
        <w:t> </w:t>
      </w:r>
      <w:r>
        <w:rPr>
          <w:spacing w:val="-66"/>
        </w:rPr>
      </w:r>
      <w:r>
        <w:rPr/>
        <w:t>预本公司的机构设置和生产经营活动。</w:t>
      </w:r>
    </w:p>
    <w:p>
      <w:pPr>
        <w:pStyle w:val="BodyText"/>
        <w:spacing w:line="477" w:lineRule="auto" w:before="54"/>
        <w:ind w:left="1493" w:right="0"/>
        <w:jc w:val="left"/>
      </w:pPr>
      <w:r>
        <w:rPr/>
        <w:t>（四）财务独立 </w:t>
      </w:r>
      <w:r>
        <w:rPr>
          <w:spacing w:val="-2"/>
        </w:rPr>
        <w:t>本公司设立独立的财务部门负责本公司的会计核算和财务管理工作。本公司财务总监及财务人员均专职在本公司工作并</w:t>
      </w:r>
    </w:p>
    <w:p>
      <w:pPr>
        <w:pStyle w:val="BodyText"/>
        <w:spacing w:line="477" w:lineRule="auto" w:before="54"/>
        <w:ind w:right="0"/>
        <w:jc w:val="left"/>
      </w:pPr>
      <w:r>
        <w:rPr>
          <w:spacing w:val="-2"/>
        </w:rPr>
        <w:t>领取薪酬，未在与本公司业务相同或相似、或存在其他利益冲突的企业任职。本公司按照《会计法》、《企业会计准则》等</w:t>
      </w:r>
      <w:r>
        <w:rPr>
          <w:spacing w:val="-67"/>
        </w:rPr>
        <w:t> </w:t>
      </w:r>
      <w:r>
        <w:rPr>
          <w:spacing w:val="-67"/>
        </w:rPr>
      </w:r>
      <w:r>
        <w:rPr>
          <w:spacing w:val="-2"/>
        </w:rPr>
        <w:t>法律法规的要求，建立了符合自身特点的独立的会计核算体系和财务管理制度。本公司开设独立的银行账户，且作为独立纳</w:t>
      </w:r>
    </w:p>
    <w:p>
      <w:pPr>
        <w:spacing w:after="0" w:line="477"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0"/>
        <w:jc w:val="left"/>
      </w:pPr>
      <w:r>
        <w:rPr>
          <w:spacing w:val="-2"/>
        </w:rPr>
        <w:t>税人依法纳税。本公司能够依据《公司章程》和相关财务制度独立做出财务决策，不存在本公司股东或其他关联方干预本公</w:t>
      </w:r>
      <w:r>
        <w:rPr>
          <w:spacing w:val="-66"/>
        </w:rPr>
        <w:t> </w:t>
      </w:r>
      <w:r>
        <w:rPr>
          <w:spacing w:val="-66"/>
        </w:rPr>
      </w:r>
      <w:r>
        <w:rPr/>
        <w:t>司资金使用的情况；本公司独立对外签订各项合同。</w:t>
      </w:r>
    </w:p>
    <w:p>
      <w:pPr>
        <w:pStyle w:val="BodyText"/>
        <w:spacing w:line="477" w:lineRule="auto" w:before="54"/>
        <w:ind w:left="1493" w:right="0"/>
        <w:jc w:val="left"/>
      </w:pPr>
      <w:r>
        <w:rPr/>
        <w:t>（五）业务独立 </w:t>
      </w:r>
      <w:r>
        <w:rPr>
          <w:spacing w:val="-2"/>
        </w:rPr>
        <w:t>本公司拥有独立完整的研发、采购、生产和销售业务体系，具有直接面向市场独立经营的能力，不存在其他需要依赖控</w:t>
      </w:r>
    </w:p>
    <w:p>
      <w:pPr>
        <w:pStyle w:val="BodyText"/>
        <w:spacing w:line="477" w:lineRule="auto" w:before="54"/>
        <w:ind w:left="1134" w:right="1114"/>
        <w:jc w:val="left"/>
      </w:pPr>
      <w:r>
        <w:rPr/>
        <w:t>股股东、实际控制人及其控制的其他企业进行经营活动的情况。</w:t>
      </w:r>
      <w:r>
        <w:rPr>
          <w:spacing w:val="8"/>
        </w:rPr>
        <w:t> </w:t>
      </w:r>
      <w:r>
        <w:rPr/>
        <w:t>目前本公司从事提供智慧物流和智能制造系统服务业务，</w:t>
      </w:r>
      <w:r>
        <w:rPr/>
        <w:t> 而主要股东、实际控制人及其控制的其他企业均不从事同类业务。本公司与控股股东、实际控制人不存在同业竞争。</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bookmarkStart w:name="三、同业竞争情况" w:id="132"/>
      <w:bookmarkEnd w:id="132"/>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报告期内召开的年度股东大会和临时股东大会的有关情况" w:id="133"/>
      <w:bookmarkEnd w:id="133"/>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本报告期股东大会情况" w:id="134"/>
      <w:bookmarkEnd w:id="134"/>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276"/>
        <w:gridCol w:w="1277"/>
        <w:gridCol w:w="850"/>
        <w:gridCol w:w="1560"/>
        <w:gridCol w:w="1984"/>
        <w:gridCol w:w="2621"/>
      </w:tblGrid>
      <w:tr>
        <w:trPr>
          <w:trHeight w:val="713"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50" w:right="59" w:hanging="90"/>
              <w:jc w:val="left"/>
              <w:rPr>
                <w:rFonts w:ascii="宋体" w:hAnsi="宋体" w:cs="宋体" w:eastAsia="宋体" w:hint="default"/>
                <w:sz w:val="18"/>
                <w:szCs w:val="18"/>
              </w:rPr>
            </w:pPr>
            <w:r>
              <w:rPr>
                <w:rFonts w:ascii="宋体" w:hAnsi="宋体" w:cs="宋体" w:eastAsia="宋体" w:hint="default"/>
                <w:sz w:val="18"/>
                <w:szCs w:val="18"/>
              </w:rPr>
              <w:t>投资者参 与比例</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96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300" w:lineRule="auto"/>
              <w:ind w:left="22" w:right="11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 临时股东大会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54.32%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65"/>
              <w:jc w:val="both"/>
              <w:rPr>
                <w:rFonts w:ascii="宋体" w:hAnsi="宋体" w:cs="宋体" w:eastAsia="宋体" w:hint="default"/>
                <w:sz w:val="18"/>
                <w:szCs w:val="18"/>
              </w:rPr>
            </w:pPr>
            <w:r>
              <w:rPr>
                <w:rFonts w:ascii="宋体" w:hAnsi="宋体" w:cs="宋体" w:eastAsia="宋体" w:hint="default"/>
                <w:sz w:val="18"/>
                <w:szCs w:val="18"/>
              </w:rPr>
              <w:t>参见公司指定信息披露网站巨潮 资讯网</w:t>
            </w:r>
          </w:p>
          <w:p>
            <w:pPr>
              <w:pStyle w:val="TableParagraph"/>
              <w:spacing w:line="300" w:lineRule="auto" w:before="19"/>
              <w:ind w:left="23" w:right="20"/>
              <w:jc w:val="both"/>
              <w:rPr>
                <w:rFonts w:ascii="宋体" w:hAnsi="宋体" w:cs="宋体" w:eastAsia="宋体" w:hint="default"/>
                <w:sz w:val="18"/>
                <w:szCs w:val="18"/>
              </w:rPr>
            </w:pPr>
            <w:r>
              <w:rPr>
                <w:rFonts w:ascii="宋体" w:hAnsi="宋体" w:cs="宋体" w:eastAsia="宋体" w:hint="default"/>
                <w:spacing w:val="-2"/>
                <w:sz w:val="18"/>
                <w:szCs w:val="18"/>
              </w:rPr>
              <w:t>（</w:t>
            </w:r>
            <w:hyperlink r:id="rId13">
              <w:r>
                <w:rPr>
                  <w:rFonts w:ascii="Times New Roman" w:hAnsi="Times New Roman" w:cs="Times New Roman" w:eastAsia="Times New Roman" w:hint="default"/>
                  <w:spacing w:val="-2"/>
                  <w:sz w:val="18"/>
                  <w:szCs w:val="18"/>
                </w:rPr>
                <w:t>http://www.cninfo.com.cn</w:t>
              </w:r>
            </w:hyperlink>
            <w:r>
              <w:rPr>
                <w:rFonts w:ascii="宋体" w:hAnsi="宋体" w:cs="宋体" w:eastAsia="宋体" w:hint="default"/>
                <w:spacing w:val="-2"/>
                <w:sz w:val="18"/>
                <w:szCs w:val="18"/>
              </w:rPr>
              <w:t>）上披</w:t>
            </w:r>
            <w:r>
              <w:rPr>
                <w:rFonts w:ascii="宋体" w:hAnsi="宋体" w:cs="宋体" w:eastAsia="宋体" w:hint="default"/>
                <w:sz w:val="18"/>
                <w:szCs w:val="18"/>
              </w:rPr>
              <w:t> 露的《</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年第一次临时股东大 </w:t>
            </w:r>
            <w:r>
              <w:rPr>
                <w:rFonts w:ascii="宋体" w:hAnsi="宋体" w:cs="宋体" w:eastAsia="宋体" w:hint="default"/>
                <w:spacing w:val="-8"/>
                <w:sz w:val="18"/>
                <w:szCs w:val="18"/>
              </w:rPr>
              <w:t>会决议公告》（公告编号：</w:t>
            </w:r>
          </w:p>
          <w:p>
            <w:pPr>
              <w:pStyle w:val="TableParagraph"/>
              <w:spacing w:line="240" w:lineRule="auto" w:before="32"/>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2017-002</w:t>
            </w:r>
            <w:r>
              <w:rPr>
                <w:rFonts w:ascii="宋体" w:hAnsi="宋体" w:cs="宋体" w:eastAsia="宋体" w:hint="default"/>
                <w:sz w:val="18"/>
                <w:szCs w:val="18"/>
              </w:rPr>
              <w:t>）</w:t>
            </w:r>
          </w:p>
        </w:tc>
      </w:tr>
      <w:tr>
        <w:trPr>
          <w:trHeight w:val="1650"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300" w:lineRule="auto"/>
              <w:ind w:left="22" w:right="117"/>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 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65"/>
              <w:jc w:val="both"/>
              <w:rPr>
                <w:rFonts w:ascii="宋体" w:hAnsi="宋体" w:cs="宋体" w:eastAsia="宋体" w:hint="default"/>
                <w:sz w:val="18"/>
                <w:szCs w:val="18"/>
              </w:rPr>
            </w:pPr>
            <w:r>
              <w:rPr>
                <w:rFonts w:ascii="宋体" w:hAnsi="宋体" w:cs="宋体" w:eastAsia="宋体" w:hint="default"/>
                <w:sz w:val="18"/>
                <w:szCs w:val="18"/>
              </w:rPr>
              <w:t>参见公司指定信息披露网站巨潮 资讯网</w:t>
            </w:r>
          </w:p>
          <w:p>
            <w:pPr>
              <w:pStyle w:val="TableParagraph"/>
              <w:spacing w:line="300" w:lineRule="auto" w:before="19"/>
              <w:ind w:left="23" w:right="20"/>
              <w:jc w:val="both"/>
              <w:rPr>
                <w:rFonts w:ascii="宋体" w:hAnsi="宋体" w:cs="宋体" w:eastAsia="宋体" w:hint="default"/>
                <w:sz w:val="18"/>
                <w:szCs w:val="18"/>
              </w:rPr>
            </w:pPr>
            <w:r>
              <w:rPr>
                <w:rFonts w:ascii="宋体" w:hAnsi="宋体" w:cs="宋体" w:eastAsia="宋体" w:hint="default"/>
                <w:spacing w:val="-2"/>
                <w:sz w:val="18"/>
                <w:szCs w:val="18"/>
              </w:rPr>
              <w:t>（</w:t>
            </w:r>
            <w:hyperlink r:id="rId13">
              <w:r>
                <w:rPr>
                  <w:rFonts w:ascii="Times New Roman" w:hAnsi="Times New Roman" w:cs="Times New Roman" w:eastAsia="Times New Roman" w:hint="default"/>
                  <w:spacing w:val="-2"/>
                  <w:sz w:val="18"/>
                  <w:szCs w:val="18"/>
                </w:rPr>
                <w:t>http://www.cninfo.com.cn</w:t>
              </w:r>
            </w:hyperlink>
            <w:r>
              <w:rPr>
                <w:rFonts w:ascii="宋体" w:hAnsi="宋体" w:cs="宋体" w:eastAsia="宋体" w:hint="default"/>
                <w:spacing w:val="-2"/>
                <w:sz w:val="18"/>
                <w:szCs w:val="18"/>
              </w:rPr>
              <w:t>）上披</w:t>
            </w:r>
            <w:r>
              <w:rPr>
                <w:rFonts w:ascii="宋体" w:hAnsi="宋体" w:cs="宋体" w:eastAsia="宋体" w:hint="default"/>
                <w:sz w:val="18"/>
                <w:szCs w:val="18"/>
              </w:rPr>
              <w:t> 露的《</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年年度股东大会决议 </w:t>
            </w:r>
            <w:r>
              <w:rPr>
                <w:rFonts w:ascii="宋体" w:hAnsi="宋体" w:cs="宋体" w:eastAsia="宋体" w:hint="default"/>
                <w:spacing w:val="-5"/>
                <w:sz w:val="18"/>
                <w:szCs w:val="18"/>
              </w:rPr>
              <w:t>公告》（公告编号：</w:t>
            </w:r>
            <w:r>
              <w:rPr>
                <w:rFonts w:ascii="Times New Roman" w:hAnsi="Times New Roman" w:cs="Times New Roman" w:eastAsia="Times New Roman" w:hint="default"/>
                <w:spacing w:val="-5"/>
                <w:sz w:val="18"/>
                <w:szCs w:val="18"/>
              </w:rPr>
              <w:t>2017-032</w:t>
            </w:r>
            <w:r>
              <w:rPr>
                <w:rFonts w:ascii="宋体" w:hAnsi="宋体" w:cs="宋体" w:eastAsia="宋体" w:hint="default"/>
                <w:spacing w:val="-5"/>
                <w:sz w:val="18"/>
                <w:szCs w:val="18"/>
              </w:rPr>
              <w:t>）</w:t>
            </w:r>
          </w:p>
        </w:tc>
      </w:tr>
      <w:tr>
        <w:trPr>
          <w:trHeight w:val="196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02" w:lineRule="auto"/>
              <w:ind w:left="22" w:right="11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 临时股东大会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49.69%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65"/>
              <w:jc w:val="both"/>
              <w:rPr>
                <w:rFonts w:ascii="宋体" w:hAnsi="宋体" w:cs="宋体" w:eastAsia="宋体" w:hint="default"/>
                <w:sz w:val="18"/>
                <w:szCs w:val="18"/>
              </w:rPr>
            </w:pPr>
            <w:r>
              <w:rPr>
                <w:rFonts w:ascii="宋体" w:hAnsi="宋体" w:cs="宋体" w:eastAsia="宋体" w:hint="default"/>
                <w:sz w:val="18"/>
                <w:szCs w:val="18"/>
              </w:rPr>
              <w:t>参见公司指定信息披露网站巨潮 资讯网</w:t>
            </w:r>
          </w:p>
          <w:p>
            <w:pPr>
              <w:pStyle w:val="TableParagraph"/>
              <w:spacing w:line="300" w:lineRule="auto" w:before="19"/>
              <w:ind w:left="23" w:right="20"/>
              <w:jc w:val="both"/>
              <w:rPr>
                <w:rFonts w:ascii="宋体" w:hAnsi="宋体" w:cs="宋体" w:eastAsia="宋体" w:hint="default"/>
                <w:sz w:val="18"/>
                <w:szCs w:val="18"/>
              </w:rPr>
            </w:pPr>
            <w:r>
              <w:rPr>
                <w:rFonts w:ascii="宋体" w:hAnsi="宋体" w:cs="宋体" w:eastAsia="宋体" w:hint="default"/>
                <w:spacing w:val="-2"/>
                <w:sz w:val="18"/>
                <w:szCs w:val="18"/>
              </w:rPr>
              <w:t>（</w:t>
            </w:r>
            <w:hyperlink r:id="rId13">
              <w:r>
                <w:rPr>
                  <w:rFonts w:ascii="Times New Roman" w:hAnsi="Times New Roman" w:cs="Times New Roman" w:eastAsia="Times New Roman" w:hint="default"/>
                  <w:spacing w:val="-2"/>
                  <w:sz w:val="18"/>
                  <w:szCs w:val="18"/>
                </w:rPr>
                <w:t>http://www.cninfo.com.cn</w:t>
              </w:r>
            </w:hyperlink>
            <w:r>
              <w:rPr>
                <w:rFonts w:ascii="宋体" w:hAnsi="宋体" w:cs="宋体" w:eastAsia="宋体" w:hint="default"/>
                <w:spacing w:val="-2"/>
                <w:sz w:val="18"/>
                <w:szCs w:val="18"/>
              </w:rPr>
              <w:t>）上披</w:t>
            </w:r>
            <w:r>
              <w:rPr>
                <w:rFonts w:ascii="宋体" w:hAnsi="宋体" w:cs="宋体" w:eastAsia="宋体" w:hint="default"/>
                <w:sz w:val="18"/>
                <w:szCs w:val="18"/>
              </w:rPr>
              <w:t> 露的《</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年第二次临时股东大 </w:t>
            </w:r>
            <w:r>
              <w:rPr>
                <w:rFonts w:ascii="宋体" w:hAnsi="宋体" w:cs="宋体" w:eastAsia="宋体" w:hint="default"/>
                <w:spacing w:val="-8"/>
                <w:sz w:val="18"/>
                <w:szCs w:val="18"/>
              </w:rPr>
              <w:t>会决议公告》（公告编号：</w:t>
            </w:r>
          </w:p>
          <w:p>
            <w:pPr>
              <w:pStyle w:val="TableParagraph"/>
              <w:spacing w:line="240" w:lineRule="auto" w:before="32"/>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2017-045</w:t>
            </w:r>
            <w:r>
              <w:rPr>
                <w:rFonts w:ascii="宋体" w:hAnsi="宋体" w:cs="宋体" w:eastAsia="宋体" w:hint="default"/>
                <w:sz w:val="18"/>
                <w:szCs w:val="18"/>
              </w:rPr>
              <w:t>）</w:t>
            </w:r>
          </w:p>
        </w:tc>
      </w:tr>
    </w:tbl>
    <w:p>
      <w:pPr>
        <w:spacing w:line="240" w:lineRule="auto" w:before="3"/>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2、表决权恢复的优先股股东请求召开临时股东大会" w:id="135"/>
      <w:bookmarkEnd w:id="135"/>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五、报告期内独立董事履行职责的情况" w:id="136"/>
      <w:bookmarkEnd w:id="136"/>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独立董事出席董事会及股东大会的情况" w:id="137"/>
      <w:bookmarkEnd w:id="137"/>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06"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486"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96"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房殿军</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1" w:right="0"/>
              <w:jc w:val="left"/>
              <w:rPr>
                <w:rFonts w:ascii="Times New Roman" w:hAnsi="Times New Roman" w:cs="Times New Roman" w:eastAsia="Times New Roman" w:hint="default"/>
                <w:sz w:val="18"/>
                <w:szCs w:val="18"/>
              </w:rPr>
            </w:pPr>
            <w:r>
              <w:rPr>
                <w:rFonts w:ascii="Times New Roman"/>
                <w:sz w:val="18"/>
              </w:rPr>
              <w:t>3</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梅月欣</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1" w:right="0"/>
              <w:jc w:val="left"/>
              <w:rPr>
                <w:rFonts w:ascii="Times New Roman" w:hAnsi="Times New Roman" w:cs="Times New Roman" w:eastAsia="Times New Roman" w:hint="default"/>
                <w:sz w:val="18"/>
                <w:szCs w:val="18"/>
              </w:rPr>
            </w:pPr>
            <w:r>
              <w:rPr>
                <w:rFonts w:ascii="Times New Roman"/>
                <w:sz w:val="18"/>
              </w:rPr>
              <w:t>3</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郑飞</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1" w:right="0"/>
              <w:jc w:val="left"/>
              <w:rPr>
                <w:rFonts w:ascii="Times New Roman" w:hAnsi="Times New Roman" w:cs="Times New Roman" w:eastAsia="Times New Roman" w:hint="default"/>
                <w:sz w:val="18"/>
                <w:szCs w:val="18"/>
              </w:rPr>
            </w:pPr>
            <w:r>
              <w:rPr>
                <w:rFonts w:ascii="Times New Roman"/>
                <w:sz w:val="18"/>
              </w:rPr>
              <w:t>3</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r>
    </w:tbl>
    <w:p>
      <w:pPr>
        <w:pStyle w:val="BodyText"/>
        <w:spacing w:line="240" w:lineRule="auto" w:before="51"/>
        <w:ind w:left="1134" w:right="0"/>
        <w:jc w:val="left"/>
      </w:pPr>
      <w:r>
        <w:rPr/>
        <w:t>连续两次未亲自出席董事会的说明</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2、独立董事对公司有关事项提出异议的情况" w:id="138"/>
      <w:bookmarkEnd w:id="138"/>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t>独立董事对公司有关事项是否提出异议</w:t>
      </w:r>
    </w:p>
    <w:p>
      <w:pPr>
        <w:pStyle w:val="BodyText"/>
        <w:spacing w:line="340" w:lineRule="auto" w:before="116"/>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3、独立董事履行职责的其他说明" w:id="139"/>
      <w:bookmarkEnd w:id="139"/>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38" w:lineRule="auto" w:before="116"/>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458" w:lineRule="auto" w:before="120"/>
        <w:ind w:right="1130" w:firstLine="360"/>
        <w:jc w:val="both"/>
      </w:pPr>
      <w:r>
        <w:rPr>
          <w:spacing w:val="-2"/>
        </w:rPr>
        <w:t>在报告期内，独立董事对公司《</w:t>
      </w:r>
      <w:r>
        <w:rPr>
          <w:rFonts w:ascii="Times New Roman" w:hAnsi="Times New Roman" w:cs="Times New Roman" w:eastAsia="Times New Roman" w:hint="default"/>
          <w:spacing w:val="-2"/>
        </w:rPr>
        <w:t>2017</w:t>
      </w:r>
      <w:r>
        <w:rPr>
          <w:spacing w:val="-2"/>
        </w:rPr>
        <w:t>年限制性股票激励计划（草案）》、调整限制性股票激励计划相关事项及向激励对</w:t>
      </w:r>
      <w:r>
        <w:rPr/>
        <w:t> </w:t>
      </w:r>
      <w:r>
        <w:rPr>
          <w:spacing w:val="-2"/>
        </w:rPr>
        <w:t>象首次授予限制性股票、《</w:t>
      </w:r>
      <w:r>
        <w:rPr>
          <w:rFonts w:ascii="Times New Roman" w:hAnsi="Times New Roman" w:cs="Times New Roman" w:eastAsia="Times New Roman" w:hint="default"/>
          <w:spacing w:val="-2"/>
        </w:rPr>
        <w:t>2016</w:t>
      </w:r>
      <w:r>
        <w:rPr>
          <w:spacing w:val="-2"/>
        </w:rPr>
        <w:t>年度利润分配预案》、《</w:t>
      </w:r>
      <w:r>
        <w:rPr>
          <w:rFonts w:ascii="Times New Roman" w:hAnsi="Times New Roman" w:cs="Times New Roman" w:eastAsia="Times New Roman" w:hint="default"/>
          <w:spacing w:val="-2"/>
        </w:rPr>
        <w:t>2016</w:t>
      </w:r>
      <w:r>
        <w:rPr>
          <w:spacing w:val="-2"/>
        </w:rPr>
        <w:t>年度内部自我控制评价报告》、控股股东及其他关联人占用公</w:t>
      </w:r>
      <w:r>
        <w:rPr>
          <w:spacing w:val="-60"/>
        </w:rPr>
        <w:t> </w:t>
      </w:r>
      <w:r>
        <w:rPr>
          <w:spacing w:val="-60"/>
        </w:rPr>
      </w:r>
      <w:r>
        <w:rPr>
          <w:spacing w:val="-2"/>
        </w:rPr>
        <w:t>司资金的情况、计提资产减值准备、募集资金存放与使用情况、会计政策变更、续聘</w:t>
      </w:r>
      <w:r>
        <w:rPr>
          <w:rFonts w:ascii="Times New Roman" w:hAnsi="Times New Roman" w:cs="Times New Roman" w:eastAsia="Times New Roman" w:hint="default"/>
          <w:spacing w:val="-2"/>
        </w:rPr>
        <w:t>2017</w:t>
      </w:r>
      <w:r>
        <w:rPr>
          <w:spacing w:val="-2"/>
        </w:rPr>
        <w:t>年度会计师事务所、公司关联交易</w:t>
      </w:r>
      <w:r>
        <w:rPr>
          <w:spacing w:val="-62"/>
        </w:rPr>
        <w:t> </w:t>
      </w:r>
      <w:r>
        <w:rPr>
          <w:spacing w:val="-62"/>
        </w:rPr>
      </w:r>
      <w:r>
        <w:rPr>
          <w:spacing w:val="-2"/>
        </w:rPr>
        <w:t>事项、提请股东大会授权进行小额快速融资、公司对外担保事项、部分募集资金投资项目延期、公司使用自有资金购买理财</w:t>
      </w:r>
      <w:r>
        <w:rPr>
          <w:spacing w:val="-66"/>
        </w:rPr>
        <w:t> </w:t>
      </w:r>
      <w:r>
        <w:rPr>
          <w:spacing w:val="-66"/>
        </w:rPr>
      </w:r>
      <w:r>
        <w:rPr/>
        <w:t>产品等事项出具了独立、公正的独立意见。</w:t>
      </w:r>
    </w:p>
    <w:p>
      <w:pPr>
        <w:spacing w:line="240" w:lineRule="auto" w:before="8"/>
        <w:rPr>
          <w:rFonts w:ascii="宋体" w:hAnsi="宋体" w:cs="宋体" w:eastAsia="宋体" w:hint="default"/>
          <w:sz w:val="18"/>
          <w:szCs w:val="18"/>
        </w:rPr>
      </w:pPr>
    </w:p>
    <w:p>
      <w:pPr>
        <w:pStyle w:val="Heading2"/>
        <w:spacing w:line="240" w:lineRule="auto"/>
        <w:ind w:right="0"/>
        <w:jc w:val="left"/>
        <w:rPr>
          <w:b w:val="0"/>
          <w:bCs w:val="0"/>
        </w:rPr>
      </w:pPr>
      <w:bookmarkStart w:name="六、董事会下设专门委员会在报告期内履行职责情况" w:id="140"/>
      <w:bookmarkEnd w:id="140"/>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1050" w:firstLine="360"/>
        <w:jc w:val="both"/>
      </w:pPr>
      <w:r>
        <w:rPr/>
        <w:t>公司董事会下设审计委员会根据有关规定认真履行职责，在报告期内，审议通过了公司定期报告、内部控制评价报告、 募集资金存放与使用情况等事项。</w:t>
      </w:r>
    </w:p>
    <w:p>
      <w:pPr>
        <w:pStyle w:val="BodyText"/>
        <w:spacing w:line="240" w:lineRule="auto" w:before="54"/>
        <w:ind w:left="1494" w:right="0"/>
        <w:jc w:val="left"/>
      </w:pPr>
      <w:r>
        <w:rPr/>
        <w:t>公司董事会下设提名与薪酬考核委员会根据有关规定认真履行职责，在报告期内，对公司《</w:t>
      </w:r>
      <w:r>
        <w:rPr>
          <w:rFonts w:ascii="宋体" w:hAnsi="宋体" w:cs="宋体" w:eastAsia="宋体" w:hint="default"/>
        </w:rPr>
        <w:t>2017</w:t>
      </w:r>
      <w:r>
        <w:rPr/>
        <w:t>年限制性股票激励计划</w:t>
      </w:r>
    </w:p>
    <w:p>
      <w:pPr>
        <w:spacing w:line="240" w:lineRule="auto" w:before="10"/>
        <w:rPr>
          <w:rFonts w:ascii="宋体" w:hAnsi="宋体" w:cs="宋体" w:eastAsia="宋体" w:hint="default"/>
          <w:sz w:val="17"/>
          <w:szCs w:val="17"/>
        </w:rPr>
      </w:pPr>
    </w:p>
    <w:p>
      <w:pPr>
        <w:pStyle w:val="BodyText"/>
        <w:spacing w:line="240" w:lineRule="auto"/>
        <w:ind w:right="0"/>
        <w:jc w:val="left"/>
      </w:pPr>
      <w:r>
        <w:rPr/>
        <w:t>（草案）及其摘要》、《</w:t>
      </w:r>
      <w:r>
        <w:rPr>
          <w:rFonts w:ascii="宋体" w:hAnsi="宋体" w:cs="宋体" w:eastAsia="宋体" w:hint="default"/>
        </w:rPr>
        <w:t>2017</w:t>
      </w:r>
      <w:r>
        <w:rPr/>
        <w:t>年限制性股票激励计划实施考核管理办法》进行了审核。</w:t>
      </w:r>
    </w:p>
    <w:p>
      <w:pPr>
        <w:spacing w:after="0" w:line="240" w:lineRule="auto"/>
        <w:jc w:val="left"/>
        <w:sectPr>
          <w:pgSz w:w="11910" w:h="16840"/>
          <w:pgMar w:header="747" w:footer="979" w:top="1060" w:bottom="1160" w:left="0" w:right="0"/>
        </w:sectPr>
      </w:pPr>
    </w:p>
    <w:p>
      <w:pPr>
        <w:spacing w:line="240" w:lineRule="auto" w:before="7"/>
        <w:rPr>
          <w:rFonts w:ascii="宋体" w:hAnsi="宋体" w:cs="宋体" w:eastAsia="宋体" w:hint="default"/>
          <w:sz w:val="29"/>
          <w:szCs w:val="29"/>
        </w:rPr>
      </w:pPr>
    </w:p>
    <w:p>
      <w:pPr>
        <w:pStyle w:val="Heading2"/>
        <w:spacing w:line="240" w:lineRule="auto" w:before="26"/>
        <w:ind w:right="0"/>
        <w:jc w:val="left"/>
        <w:rPr>
          <w:b w:val="0"/>
          <w:bCs w:val="0"/>
        </w:rPr>
      </w:pPr>
      <w:bookmarkStart w:name="七、监事会工作情况" w:id="141"/>
      <w:bookmarkEnd w:id="141"/>
      <w:r>
        <w:rPr>
          <w:b w:val="0"/>
          <w:bCs w:val="0"/>
        </w:rPr>
      </w:r>
      <w:r>
        <w:rPr/>
        <w:t>七、监事会工作情况</w:t>
      </w:r>
      <w:r>
        <w:rPr>
          <w:b w:val="0"/>
          <w:bCs w:val="0"/>
        </w:rPr>
      </w:r>
    </w:p>
    <w:p>
      <w:pPr>
        <w:pStyle w:val="BodyText"/>
        <w:spacing w:line="240" w:lineRule="auto" w:before="202"/>
        <w:ind w:right="0"/>
        <w:jc w:val="left"/>
      </w:pPr>
      <w:r>
        <w:rPr/>
        <w:t>监事会在报告期内的监督活动中发现公司是否存在风险</w:t>
      </w:r>
    </w:p>
    <w:p>
      <w:pPr>
        <w:spacing w:line="240" w:lineRule="auto" w:before="10"/>
        <w:rPr>
          <w:rFonts w:ascii="宋体" w:hAnsi="宋体" w:cs="宋体" w:eastAsia="宋体" w:hint="default"/>
          <w:sz w:val="17"/>
          <w:szCs w:val="17"/>
        </w:rPr>
      </w:pPr>
    </w:p>
    <w:p>
      <w:pPr>
        <w:pStyle w:val="BodyText"/>
        <w:spacing w:line="451" w:lineRule="auto"/>
        <w:ind w:right="73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公司监事会对报告期内的监督事项无异议。</w:t>
      </w:r>
    </w:p>
    <w:p>
      <w:pPr>
        <w:spacing w:line="240" w:lineRule="auto" w:before="11"/>
        <w:rPr>
          <w:rFonts w:ascii="宋体" w:hAnsi="宋体" w:cs="宋体" w:eastAsia="宋体" w:hint="default"/>
          <w:sz w:val="13"/>
          <w:szCs w:val="13"/>
        </w:rPr>
      </w:pPr>
    </w:p>
    <w:p>
      <w:pPr>
        <w:pStyle w:val="Heading2"/>
        <w:spacing w:line="240" w:lineRule="auto"/>
        <w:ind w:right="0"/>
        <w:jc w:val="left"/>
        <w:rPr>
          <w:b w:val="0"/>
          <w:bCs w:val="0"/>
        </w:rPr>
      </w:pPr>
      <w:bookmarkStart w:name="八、高级管理人员的考评及激励情况" w:id="142"/>
      <w:bookmarkEnd w:id="142"/>
      <w:r>
        <w:rPr>
          <w:b w:val="0"/>
          <w:bCs w:val="0"/>
        </w:rPr>
      </w:r>
      <w:r>
        <w:rPr/>
        <w:t>八、高级管理人员的考评及激励情况</w:t>
      </w:r>
      <w:r>
        <w:rPr>
          <w:b w:val="0"/>
          <w:bCs w:val="0"/>
        </w:rPr>
      </w:r>
    </w:p>
    <w:p>
      <w:pPr>
        <w:spacing w:line="240" w:lineRule="auto" w:before="5"/>
        <w:rPr>
          <w:rFonts w:ascii="宋体" w:hAnsi="宋体" w:cs="宋体" w:eastAsia="宋体" w:hint="default"/>
          <w:b/>
          <w:bCs/>
          <w:sz w:val="27"/>
          <w:szCs w:val="27"/>
        </w:rPr>
      </w:pPr>
    </w:p>
    <w:p>
      <w:pPr>
        <w:pStyle w:val="BodyText"/>
        <w:spacing w:line="477" w:lineRule="auto"/>
        <w:ind w:right="1131" w:firstLine="360"/>
        <w:jc w:val="both"/>
      </w:pPr>
      <w:r>
        <w:rPr>
          <w:spacing w:val="-2"/>
        </w:rPr>
        <w:t>公司高级管理人员的薪酬构成包括基本和绩效奖惩两部分，基本薪酬根据职位类别确定，激励薪酬与公司业绩及其工作</w:t>
      </w:r>
      <w:r>
        <w:rPr/>
        <w:t> </w:t>
      </w:r>
      <w:r>
        <w:rPr>
          <w:spacing w:val="-2"/>
        </w:rPr>
        <w:t>考核情况挂钩。每年初公司根据生产经营目标及公司领导所分管的部门（工作）职能来与高级管理人员签署目标责任书，确</w:t>
      </w:r>
      <w:r>
        <w:rPr>
          <w:spacing w:val="-66"/>
        </w:rPr>
        <w:t> </w:t>
      </w:r>
      <w:r>
        <w:rPr>
          <w:spacing w:val="-66"/>
        </w:rPr>
      </w:r>
      <w:r>
        <w:rPr/>
        <w:t>定其考核指标，年末根据业绩指标完成情况来考核高级管理人员。</w:t>
      </w:r>
    </w:p>
    <w:p>
      <w:pPr>
        <w:pStyle w:val="BodyText"/>
        <w:spacing w:line="240" w:lineRule="auto" w:before="54"/>
        <w:ind w:left="1494" w:right="0"/>
        <w:jc w:val="left"/>
      </w:pPr>
      <w:r>
        <w:rPr>
          <w:rFonts w:ascii="宋体" w:hAnsi="宋体" w:cs="宋体" w:eastAsia="宋体" w:hint="default"/>
        </w:rPr>
        <w:t>2017</w:t>
      </w:r>
      <w:r>
        <w:rPr/>
        <w:t>年公司推行了股权激励计划，对高级管理人员授予限制性股票，激励其完成业绩指标。</w:t>
      </w:r>
    </w:p>
    <w:p>
      <w:pPr>
        <w:spacing w:line="240" w:lineRule="auto" w:before="13"/>
        <w:rPr>
          <w:rFonts w:ascii="宋体" w:hAnsi="宋体" w:cs="宋体" w:eastAsia="宋体" w:hint="default"/>
          <w:sz w:val="25"/>
          <w:szCs w:val="25"/>
        </w:rPr>
      </w:pPr>
    </w:p>
    <w:p>
      <w:pPr>
        <w:pStyle w:val="Heading2"/>
        <w:spacing w:line="240" w:lineRule="auto"/>
        <w:ind w:left="1134" w:right="0"/>
        <w:jc w:val="left"/>
        <w:rPr>
          <w:b w:val="0"/>
          <w:bCs w:val="0"/>
        </w:rPr>
      </w:pPr>
      <w:bookmarkStart w:name="九、内部控制评价报告" w:id="143"/>
      <w:bookmarkEnd w:id="143"/>
      <w:r>
        <w:rPr>
          <w:b w:val="0"/>
          <w:bCs w:val="0"/>
        </w:rPr>
      </w:r>
      <w:r>
        <w:rPr/>
        <w:t>九、内部控制评价报告</w:t>
      </w:r>
      <w:r>
        <w:rPr>
          <w:b w:val="0"/>
          <w:bCs w:val="0"/>
        </w:rPr>
      </w:r>
    </w:p>
    <w:p>
      <w:pPr>
        <w:spacing w:line="240" w:lineRule="auto" w:before="6"/>
        <w:rPr>
          <w:rFonts w:ascii="宋体" w:hAnsi="宋体" w:cs="宋体" w:eastAsia="宋体" w:hint="default"/>
          <w:b/>
          <w:bCs/>
          <w:sz w:val="25"/>
          <w:szCs w:val="25"/>
        </w:rPr>
      </w:pPr>
    </w:p>
    <w:p>
      <w:pPr>
        <w:pStyle w:val="Heading3"/>
        <w:spacing w:line="240" w:lineRule="auto"/>
        <w:ind w:right="0"/>
        <w:jc w:val="left"/>
        <w:rPr>
          <w:b w:val="0"/>
          <w:bCs w:val="0"/>
        </w:rPr>
      </w:pPr>
      <w:bookmarkStart w:name="1、报告期内发现的内部控制重大缺陷的具体情况" w:id="144"/>
      <w:bookmarkEnd w:id="144"/>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pStyle w:val="BodyText"/>
        <w:spacing w:line="240" w:lineRule="auto" w:before="16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内控自我评价报告" w:id="145"/>
      <w:bookmarkEnd w:id="145"/>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8"/>
          <w:szCs w:val="28"/>
        </w:rPr>
      </w:pPr>
    </w:p>
    <w:p>
      <w:pPr>
        <w:pStyle w:val="BodyText"/>
        <w:spacing w:line="240" w:lineRule="auto" w:before="44"/>
        <w:ind w:left="0" w:right="1140"/>
        <w:jc w:val="right"/>
      </w:pPr>
      <w:r>
        <w:rPr/>
        <w:pict>
          <v:shape style="position:absolute;margin-left:56.459999pt;margin-top:-276.448273pt;width:479.2pt;height:342.05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89"/>
                    <w:gridCol w:w="3829"/>
                    <w:gridCol w:w="3051"/>
                  </w:tblGrid>
                  <w:tr>
                    <w:trPr>
                      <w:trHeight w:val="402" w:hRule="exact"/>
                    </w:trPr>
                    <w:tc>
                      <w:tcPr>
                        <w:tcW w:w="2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8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62" w:hRule="exact"/>
                    </w:trPr>
                    <w:tc>
                      <w:tcPr>
                        <w:tcW w:w="2689" w:type="dxa"/>
                        <w:tcBorders>
                          <w:top w:val="single" w:sz="4" w:space="0" w:color="000000"/>
                          <w:left w:val="single" w:sz="4" w:space="0" w:color="000000"/>
                          <w:bottom w:val="nil" w:sz="6" w:space="0" w:color="auto"/>
                          <w:right w:val="single" w:sz="4" w:space="0" w:color="000000"/>
                        </w:tcBorders>
                        <w:shd w:val="clear" w:color="auto" w:fill="D2D2D2"/>
                      </w:tcPr>
                      <w:p>
                        <w:pPr/>
                      </w:p>
                    </w:tc>
                    <w:tc>
                      <w:tcPr>
                        <w:tcW w:w="6880" w:type="dxa"/>
                        <w:gridSpan w:val="2"/>
                        <w:vMerge w:val="restart"/>
                        <w:tcBorders>
                          <w:top w:val="single" w:sz="4" w:space="0" w:color="000000"/>
                          <w:left w:val="single" w:sz="9" w:space="0" w:color="D2D2D2"/>
                          <w:right w:val="single" w:sz="4" w:space="0" w:color="000000"/>
                        </w:tcBorders>
                      </w:tcPr>
                      <w:p>
                        <w:pPr>
                          <w:pStyle w:val="TableParagraph"/>
                          <w:spacing w:line="300" w:lineRule="auto" w:before="52"/>
                          <w:ind w:left="21" w:right="20"/>
                          <w:jc w:val="left"/>
                          <w:rPr>
                            <w:rFonts w:ascii="宋体" w:hAnsi="宋体" w:cs="宋体" w:eastAsia="宋体" w:hint="default"/>
                            <w:sz w:val="18"/>
                            <w:szCs w:val="18"/>
                          </w:rPr>
                        </w:pPr>
                        <w:r>
                          <w:rPr>
                            <w:rFonts w:ascii="宋体" w:hAnsi="宋体" w:cs="宋体" w:eastAsia="宋体" w:hint="default"/>
                            <w:spacing w:val="-2"/>
                            <w:sz w:val="18"/>
                            <w:szCs w:val="18"/>
                          </w:rPr>
                          <w:t>参见公司指定信息披露网站巨潮资讯网（</w:t>
                        </w:r>
                        <w:hyperlink r:id="rId13">
                          <w:r>
                            <w:rPr>
                              <w:rFonts w:ascii="Times New Roman" w:hAnsi="Times New Roman" w:cs="Times New Roman" w:eastAsia="Times New Roman" w:hint="default"/>
                              <w:spacing w:val="-2"/>
                              <w:sz w:val="18"/>
                              <w:szCs w:val="18"/>
                            </w:rPr>
                            <w:t>www.cninfo.com.cn</w:t>
                          </w:r>
                        </w:hyperlink>
                        <w:r>
                          <w:rPr>
                            <w:rFonts w:ascii="宋体" w:hAnsi="宋体" w:cs="宋体" w:eastAsia="宋体" w:hint="default"/>
                            <w:spacing w:val="-2"/>
                            <w:sz w:val="18"/>
                            <w:szCs w:val="18"/>
                          </w:rPr>
                          <w:t>）上披露的《内部控制自我</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评价报告》</w:t>
                        </w:r>
                      </w:p>
                    </w:tc>
                  </w:tr>
                  <w:tr>
                    <w:trPr>
                      <w:trHeight w:val="391" w:hRule="exact"/>
                    </w:trPr>
                    <w:tc>
                      <w:tcPr>
                        <w:tcW w:w="26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880" w:type="dxa"/>
                        <w:gridSpan w:val="2"/>
                        <w:vMerge/>
                        <w:tcBorders>
                          <w:left w:val="single" w:sz="9" w:space="0" w:color="D2D2D2"/>
                          <w:right w:val="single" w:sz="4" w:space="0" w:color="000000"/>
                        </w:tcBorders>
                      </w:tcPr>
                      <w:p>
                        <w:pPr/>
                      </w:p>
                    </w:tc>
                  </w:tr>
                  <w:tr>
                    <w:trPr>
                      <w:trHeight w:val="161" w:hRule="exact"/>
                    </w:trPr>
                    <w:tc>
                      <w:tcPr>
                        <w:tcW w:w="2689" w:type="dxa"/>
                        <w:tcBorders>
                          <w:top w:val="nil" w:sz="6" w:space="0" w:color="auto"/>
                          <w:left w:val="single" w:sz="4" w:space="0" w:color="000000"/>
                          <w:bottom w:val="single" w:sz="4" w:space="0" w:color="000000"/>
                          <w:right w:val="single" w:sz="4" w:space="0" w:color="000000"/>
                        </w:tcBorders>
                        <w:shd w:val="clear" w:color="auto" w:fill="D2D2D2"/>
                      </w:tcPr>
                      <w:p>
                        <w:pPr/>
                      </w:p>
                    </w:tc>
                    <w:tc>
                      <w:tcPr>
                        <w:tcW w:w="6880" w:type="dxa"/>
                        <w:gridSpan w:val="2"/>
                        <w:vMerge/>
                        <w:tcBorders>
                          <w:left w:val="single" w:sz="9" w:space="0" w:color="D2D2D2"/>
                          <w:bottom w:val="single" w:sz="4" w:space="0" w:color="000000"/>
                          <w:right w:val="single" w:sz="4" w:space="0" w:color="000000"/>
                        </w:tcBorders>
                      </w:tcPr>
                      <w:p>
                        <w:pPr/>
                      </w:p>
                    </w:tc>
                  </w:tr>
                  <w:tr>
                    <w:trPr>
                      <w:trHeight w:val="714" w:hRule="exact"/>
                    </w:trPr>
                    <w:tc>
                      <w:tcPr>
                        <w:tcW w:w="2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3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 司合并财务报表资产总额的比例</w:t>
                        </w:r>
                      </w:p>
                    </w:tc>
                    <w:tc>
                      <w:tcPr>
                        <w:tcW w:w="68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5" w:hRule="exact"/>
                    </w:trPr>
                    <w:tc>
                      <w:tcPr>
                        <w:tcW w:w="2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3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 司合并财务报表营业收入的比例</w:t>
                        </w:r>
                      </w:p>
                    </w:tc>
                    <w:tc>
                      <w:tcPr>
                        <w:tcW w:w="68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2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546" w:hRule="exact"/>
                    </w:trPr>
                    <w:tc>
                      <w:tcPr>
                        <w:tcW w:w="26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9" w:type="dxa"/>
                        <w:vMerge w:val="restart"/>
                        <w:tcBorders>
                          <w:top w:val="single" w:sz="4" w:space="0" w:color="000000"/>
                          <w:left w:val="single" w:sz="9" w:space="0" w:color="D2D2D2"/>
                          <w:right w:val="single" w:sz="4" w:space="0" w:color="000000"/>
                        </w:tcBorders>
                      </w:tcPr>
                      <w:p>
                        <w:pPr>
                          <w:pStyle w:val="TableParagraph"/>
                          <w:spacing w:line="314" w:lineRule="auto" w:before="52"/>
                          <w:ind w:left="21" w:right="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）财务报告重大缺陷的迹象包括： ① 公司 董事、监事和高级管理人员的舞弊行为； ②公 司更正已公布的财务报告、注册会计师发现的却 未被公司内部控制识别的当期财务报告中的重 大错报；③ 内部控制审计机构对公司的对外财 </w:t>
                        </w:r>
                        <w:r>
                          <w:rPr>
                            <w:rFonts w:ascii="宋体" w:hAnsi="宋体" w:cs="宋体" w:eastAsia="宋体" w:hint="default"/>
                            <w:spacing w:val="-5"/>
                            <w:sz w:val="18"/>
                            <w:szCs w:val="18"/>
                          </w:rPr>
                          <w:t>务报告和财务报告内部控制监督无效；（</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）财务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报告重要缺陷的迹象包括： ①</w:t>
                        </w:r>
                        <w:r>
                          <w:rPr>
                            <w:rFonts w:ascii="宋体" w:hAnsi="宋体" w:cs="宋体" w:eastAsia="宋体" w:hint="default"/>
                            <w:spacing w:val="-13"/>
                            <w:sz w:val="18"/>
                            <w:szCs w:val="18"/>
                          </w:rPr>
                          <w:t> </w:t>
                        </w:r>
                        <w:r>
                          <w:rPr>
                            <w:rFonts w:ascii="宋体" w:hAnsi="宋体" w:cs="宋体" w:eastAsia="宋体" w:hint="default"/>
                            <w:sz w:val="18"/>
                            <w:szCs w:val="18"/>
                          </w:rPr>
                          <w:t>未依照公认会计</w:t>
                        </w:r>
                        <w:r>
                          <w:rPr>
                            <w:rFonts w:ascii="宋体" w:hAnsi="宋体" w:cs="宋体" w:eastAsia="宋体" w:hint="default"/>
                            <w:sz w:val="18"/>
                            <w:szCs w:val="18"/>
                          </w:rPr>
                          <w:t> 准则选择和应用会计政策； ②</w:t>
                        </w:r>
                        <w:r>
                          <w:rPr>
                            <w:rFonts w:ascii="宋体" w:hAnsi="宋体" w:cs="宋体" w:eastAsia="宋体" w:hint="default"/>
                            <w:spacing w:val="-13"/>
                            <w:sz w:val="18"/>
                            <w:szCs w:val="18"/>
                          </w:rPr>
                          <w:t> </w:t>
                        </w:r>
                        <w:r>
                          <w:rPr>
                            <w:rFonts w:ascii="宋体" w:hAnsi="宋体" w:cs="宋体" w:eastAsia="宋体" w:hint="default"/>
                            <w:sz w:val="18"/>
                            <w:szCs w:val="18"/>
                          </w:rPr>
                          <w:t>未建立反舞弊程</w:t>
                        </w:r>
                        <w:r>
                          <w:rPr>
                            <w:rFonts w:ascii="宋体" w:hAnsi="宋体" w:cs="宋体" w:eastAsia="宋体" w:hint="default"/>
                            <w:sz w:val="18"/>
                            <w:szCs w:val="18"/>
                          </w:rPr>
                          <w:t> 序和控制措施； ③</w:t>
                        </w:r>
                        <w:r>
                          <w:rPr>
                            <w:rFonts w:ascii="宋体" w:hAnsi="宋体" w:cs="宋体" w:eastAsia="宋体" w:hint="default"/>
                            <w:spacing w:val="-13"/>
                            <w:sz w:val="18"/>
                            <w:szCs w:val="18"/>
                          </w:rPr>
                          <w:t> </w:t>
                        </w:r>
                        <w:r>
                          <w:rPr>
                            <w:rFonts w:ascii="宋体" w:hAnsi="宋体" w:cs="宋体" w:eastAsia="宋体" w:hint="default"/>
                            <w:sz w:val="18"/>
                            <w:szCs w:val="18"/>
                          </w:rPr>
                          <w:t>对于非常规或特殊交易的账</w:t>
                        </w:r>
                        <w:r>
                          <w:rPr>
                            <w:rFonts w:ascii="宋体" w:hAnsi="宋体" w:cs="宋体" w:eastAsia="宋体" w:hint="default"/>
                            <w:sz w:val="18"/>
                            <w:szCs w:val="18"/>
                          </w:rPr>
                          <w:t> 务处理没有建立相应的控制机制或没有实施且 没有相应的补偿性控制；④ 对于期末财务报告</w:t>
                        </w:r>
                      </w:p>
                    </w:tc>
                    <w:tc>
                      <w:tcPr>
                        <w:tcW w:w="3051"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14" w:lineRule="auto"/>
                          <w:ind w:left="22" w:right="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）非财务报告重大缺陷的存在的迹 象包括：</w:t>
                        </w:r>
                        <w:r>
                          <w:rPr>
                            <w:rFonts w:ascii="宋体" w:hAnsi="宋体" w:cs="宋体" w:eastAsia="宋体" w:hint="default"/>
                            <w:spacing w:val="-65"/>
                            <w:sz w:val="18"/>
                            <w:szCs w:val="18"/>
                          </w:rPr>
                          <w:t> </w:t>
                        </w:r>
                        <w:r>
                          <w:rPr>
                            <w:rFonts w:ascii="宋体" w:hAnsi="宋体" w:cs="宋体" w:eastAsia="宋体" w:hint="default"/>
                            <w:sz w:val="18"/>
                            <w:szCs w:val="18"/>
                          </w:rPr>
                          <w:t>① 违反国家法律法规或规范</w:t>
                        </w:r>
                        <w:r>
                          <w:rPr>
                            <w:rFonts w:ascii="宋体" w:hAnsi="宋体" w:cs="宋体" w:eastAsia="宋体" w:hint="default"/>
                            <w:sz w:val="18"/>
                            <w:szCs w:val="18"/>
                          </w:rPr>
                          <w:t> </w:t>
                        </w:r>
                        <w:r>
                          <w:rPr>
                            <w:rFonts w:ascii="宋体" w:hAnsi="宋体" w:cs="宋体" w:eastAsia="宋体" w:hint="default"/>
                            <w:spacing w:val="2"/>
                            <w:sz w:val="18"/>
                            <w:szCs w:val="18"/>
                          </w:rPr>
                          <w:t>性文件；②</w:t>
                        </w:r>
                        <w:r>
                          <w:rPr>
                            <w:rFonts w:ascii="宋体" w:hAnsi="宋体" w:cs="宋体" w:eastAsia="宋体" w:hint="default"/>
                            <w:spacing w:val="12"/>
                            <w:sz w:val="18"/>
                            <w:szCs w:val="18"/>
                          </w:rPr>
                          <w:t> </w:t>
                        </w:r>
                        <w:r>
                          <w:rPr>
                            <w:rFonts w:ascii="宋体" w:hAnsi="宋体" w:cs="宋体" w:eastAsia="宋体" w:hint="default"/>
                            <w:sz w:val="18"/>
                            <w:szCs w:val="18"/>
                          </w:rPr>
                          <w:t>重大决策程序不科学；③</w:t>
                        </w:r>
                        <w:r>
                          <w:rPr>
                            <w:rFonts w:ascii="宋体" w:hAnsi="宋体" w:cs="宋体" w:eastAsia="宋体" w:hint="default"/>
                            <w:sz w:val="18"/>
                            <w:szCs w:val="18"/>
                          </w:rPr>
                          <w:t> </w:t>
                        </w:r>
                        <w:r>
                          <w:rPr>
                            <w:rFonts w:ascii="宋体" w:hAnsi="宋体" w:cs="宋体" w:eastAsia="宋体" w:hint="default"/>
                            <w:spacing w:val="-4"/>
                            <w:sz w:val="18"/>
                            <w:szCs w:val="18"/>
                          </w:rPr>
                          <w:t>制度缺失可能导致系统性失效、重大或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重要缺陷不能得到整改；</w:t>
                        </w:r>
                        <w:r>
                          <w:rPr>
                            <w:rFonts w:ascii="宋体" w:hAnsi="宋体" w:cs="宋体" w:eastAsia="宋体" w:hint="default"/>
                            <w:spacing w:val="-65"/>
                            <w:sz w:val="18"/>
                            <w:szCs w:val="18"/>
                          </w:rPr>
                          <w:t> </w:t>
                        </w:r>
                        <w:r>
                          <w:rPr>
                            <w:rFonts w:ascii="宋体" w:hAnsi="宋体" w:cs="宋体" w:eastAsia="宋体" w:hint="default"/>
                            <w:sz w:val="18"/>
                            <w:szCs w:val="18"/>
                          </w:rPr>
                          <w:t>④ 内部控制</w:t>
                        </w:r>
                        <w:r>
                          <w:rPr>
                            <w:rFonts w:ascii="宋体" w:hAnsi="宋体" w:cs="宋体" w:eastAsia="宋体" w:hint="default"/>
                            <w:sz w:val="18"/>
                            <w:szCs w:val="18"/>
                          </w:rPr>
                          <w:t> 审计机构未能有效发挥监督职能； ⑤ </w:t>
                        </w:r>
                        <w:r>
                          <w:rPr>
                            <w:rFonts w:ascii="宋体" w:hAnsi="宋体" w:cs="宋体" w:eastAsia="宋体" w:hint="default"/>
                            <w:spacing w:val="-4"/>
                            <w:sz w:val="18"/>
                            <w:szCs w:val="18"/>
                          </w:rPr>
                          <w:t>其他对公司负面影响重大的情形。（</w:t>
                        </w:r>
                        <w:r>
                          <w:rPr>
                            <w:rFonts w:ascii="Times New Roman" w:hAnsi="Times New Roman" w:cs="Times New Roman" w:eastAsia="Times New Roman" w:hint="default"/>
                            <w:spacing w:val="-4"/>
                            <w:sz w:val="18"/>
                            <w:szCs w:val="18"/>
                          </w:rPr>
                          <w:t>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其他情形按影响程度分别确定为重要 缺陷或一般缺陷。</w:t>
                        </w:r>
                      </w:p>
                    </w:tc>
                  </w:tr>
                  <w:tr>
                    <w:trPr>
                      <w:trHeight w:val="392" w:hRule="exact"/>
                    </w:trPr>
                    <w:tc>
                      <w:tcPr>
                        <w:tcW w:w="26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8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1545" w:hRule="exact"/>
                    </w:trPr>
                    <w:tc>
                      <w:tcPr>
                        <w:tcW w:w="26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8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bl>
                <w:p>
                  <w:pPr/>
                </w:p>
              </w:txbxContent>
            </v:textbox>
            <w10:wrap type="none"/>
          </v:shape>
        </w:pict>
      </w:r>
      <w:r>
        <w:rPr/>
        <w:t>）</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694"/>
        <w:gridCol w:w="3824"/>
        <w:gridCol w:w="3051"/>
      </w:tblGrid>
      <w:tr>
        <w:trPr>
          <w:trHeight w:val="1298"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8"/>
              <w:jc w:val="left"/>
              <w:rPr>
                <w:rFonts w:ascii="宋体" w:hAnsi="宋体" w:cs="宋体" w:eastAsia="宋体" w:hint="default"/>
                <w:sz w:val="18"/>
                <w:szCs w:val="18"/>
              </w:rPr>
            </w:pPr>
            <w:r>
              <w:rPr>
                <w:rFonts w:ascii="宋体" w:hAnsi="宋体" w:cs="宋体" w:eastAsia="宋体" w:hint="default"/>
                <w:sz w:val="18"/>
                <w:szCs w:val="18"/>
              </w:rPr>
              <w:t>过程的控制存在一项或多项缺陷且不能合理保 </w:t>
            </w:r>
            <w:r>
              <w:rPr>
                <w:rFonts w:ascii="宋体" w:hAnsi="宋体" w:cs="宋体" w:eastAsia="宋体" w:hint="default"/>
                <w:spacing w:val="-5"/>
                <w:sz w:val="18"/>
                <w:szCs w:val="18"/>
              </w:rPr>
              <w:t>证编制的财务报表达到真实、准确的目标。（</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w:t>
            </w:r>
            <w:r>
              <w:rPr>
                <w:rFonts w:ascii="宋体" w:hAnsi="宋体" w:cs="宋体" w:eastAsia="宋体" w:hint="default"/>
                <w:spacing w:val="-70"/>
                <w:sz w:val="18"/>
                <w:szCs w:val="18"/>
              </w:rPr>
              <w:t> </w:t>
            </w:r>
            <w:r>
              <w:rPr>
                <w:rFonts w:ascii="宋体" w:hAnsi="宋体" w:cs="宋体" w:eastAsia="宋体" w:hint="default"/>
                <w:sz w:val="18"/>
                <w:szCs w:val="18"/>
              </w:rPr>
              <w:t>一般缺陷是指除上述重大缺陷、重要缺陷之外的</w:t>
            </w:r>
            <w:r>
              <w:rPr>
                <w:rFonts w:ascii="宋体" w:hAnsi="宋体" w:cs="宋体" w:eastAsia="宋体" w:hint="default"/>
                <w:sz w:val="18"/>
                <w:szCs w:val="18"/>
              </w:rPr>
              <w:t> 其他控制缺陷。</w:t>
            </w:r>
          </w:p>
        </w:tc>
        <w:tc>
          <w:tcPr>
            <w:tcW w:w="3051"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重大缺陷</w:t>
            </w:r>
            <w:r>
              <w:rPr>
                <w:rFonts w:ascii="Times New Roman" w:hAnsi="Times New Roman" w:cs="Times New Roman" w:eastAsia="Times New Roman" w:hint="default"/>
                <w:sz w:val="18"/>
                <w:szCs w:val="18"/>
              </w:rPr>
              <w:t>--</w:t>
            </w:r>
            <w:r>
              <w:rPr>
                <w:rFonts w:ascii="宋体" w:hAnsi="宋体" w:cs="宋体" w:eastAsia="宋体" w:hint="default"/>
                <w:sz w:val="18"/>
                <w:szCs w:val="18"/>
              </w:rPr>
              <w:t>缺陷影响大于或等于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日合并财务报表税前净利润的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，重要缺陷</w:t>
            </w:r>
            <w:r>
              <w:rPr>
                <w:rFonts w:ascii="Times New Roman" w:hAnsi="Times New Roman" w:cs="Times New Roman" w:eastAsia="Times New Roman" w:hint="default"/>
                <w:sz w:val="18"/>
                <w:szCs w:val="18"/>
              </w:rPr>
              <w:t>--</w:t>
            </w:r>
          </w:p>
          <w:p>
            <w:pPr>
              <w:pStyle w:val="TableParagraph"/>
              <w:spacing w:line="300"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缺陷影响大于或等于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日合并财 务报表税前净利润的</w:t>
            </w:r>
            <w:r>
              <w:rPr>
                <w:rFonts w:ascii="宋体" w:hAnsi="宋体" w:cs="宋体" w:eastAsia="宋体" w:hint="default"/>
                <w:spacing w:val="-37"/>
                <w:sz w:val="18"/>
                <w:szCs w:val="18"/>
              </w:rPr>
              <w:t> </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，一般缺陷</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缺陷影响小</w:t>
            </w:r>
            <w:r>
              <w:rPr>
                <w:rFonts w:ascii="宋体" w:hAnsi="宋体" w:cs="宋体" w:eastAsia="宋体" w:hint="default"/>
                <w:spacing w:val="-88"/>
                <w:sz w:val="18"/>
                <w:szCs w:val="18"/>
              </w:rPr>
              <w:t> </w:t>
            </w: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日合并财务报表税前净利润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重大缺陷</w:t>
            </w:r>
            <w:r>
              <w:rPr>
                <w:rFonts w:ascii="Times New Roman" w:hAnsi="Times New Roman" w:cs="Times New Roman" w:eastAsia="Times New Roman" w:hint="default"/>
                <w:sz w:val="18"/>
                <w:szCs w:val="18"/>
              </w:rPr>
              <w:t>--</w:t>
            </w:r>
            <w:r>
              <w:rPr>
                <w:rFonts w:ascii="宋体" w:hAnsi="宋体" w:cs="宋体" w:eastAsia="宋体" w:hint="default"/>
                <w:sz w:val="18"/>
                <w:szCs w:val="18"/>
              </w:rPr>
              <w:t>缺陷影响大于或等于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日合并财务报表税前净利润</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，重要缺陷</w:t>
            </w:r>
            <w:r>
              <w:rPr>
                <w:rFonts w:ascii="Times New Roman" w:hAnsi="Times New Roman" w:cs="Times New Roman" w:eastAsia="Times New Roman" w:hint="default"/>
                <w:sz w:val="18"/>
                <w:szCs w:val="18"/>
              </w:rPr>
              <w:t>--</w:t>
            </w:r>
            <w:r>
              <w:rPr>
                <w:rFonts w:ascii="宋体" w:hAnsi="宋体" w:cs="宋体" w:eastAsia="宋体" w:hint="default"/>
                <w:sz w:val="18"/>
                <w:szCs w:val="18"/>
              </w:rPr>
              <w:t>缺陷影响大于或等</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日合并财务报表税</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前净利润的</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，一般缺陷</w:t>
            </w:r>
            <w:r>
              <w:rPr>
                <w:rFonts w:ascii="Times New Roman" w:hAnsi="Times New Roman" w:cs="Times New Roman" w:eastAsia="Times New Roman" w:hint="default"/>
                <w:sz w:val="18"/>
                <w:szCs w:val="18"/>
              </w:rPr>
              <w:t>--</w:t>
            </w:r>
            <w:r>
              <w:rPr>
                <w:rFonts w:ascii="宋体" w:hAnsi="宋体" w:cs="宋体" w:eastAsia="宋体" w:hint="default"/>
                <w:sz w:val="18"/>
                <w:szCs w:val="18"/>
              </w:rPr>
              <w:t>缺陷影响</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日合并财务报表</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税前净利润的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8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8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8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8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十、内部控制审计报告或鉴证报告" w:id="146"/>
      <w:bookmarkEnd w:id="146"/>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2861"/>
        <w:jc w:val="center"/>
        <w:rPr>
          <w:b w:val="0"/>
          <w:bCs w:val="0"/>
        </w:rPr>
      </w:pPr>
      <w:bookmarkStart w:name="第十节 公司债券相关情况" w:id="147"/>
      <w:bookmarkEnd w:id="147"/>
      <w:r>
        <w:rPr>
          <w:b w:val="0"/>
          <w:bCs w:val="0"/>
        </w:rPr>
      </w:r>
      <w:bookmarkStart w:name="_bookmark8" w:id="148"/>
      <w:bookmarkEnd w:id="148"/>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pStyle w:val="BodyText"/>
        <w:spacing w:line="357" w:lineRule="auto"/>
        <w:ind w:right="2113"/>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2861"/>
        <w:jc w:val="center"/>
        <w:rPr>
          <w:b w:val="0"/>
          <w:bCs w:val="0"/>
        </w:rPr>
      </w:pPr>
      <w:bookmarkStart w:name="第十一节 财务报告" w:id="149"/>
      <w:bookmarkEnd w:id="149"/>
      <w:r>
        <w:rPr>
          <w:b w:val="0"/>
          <w:bCs w:val="0"/>
        </w:rPr>
      </w:r>
      <w:bookmarkStart w:name="_bookmark9" w:id="150"/>
      <w:bookmarkEnd w:id="150"/>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1"/>
      <w:bookmarkEnd w:id="151"/>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[2018]</w:t>
            </w:r>
            <w:r>
              <w:rPr>
                <w:rFonts w:ascii="宋体" w:hAnsi="宋体" w:cs="宋体" w:eastAsia="宋体" w:hint="default"/>
                <w:sz w:val="18"/>
                <w:szCs w:val="18"/>
              </w:rPr>
              <w:t>第</w:t>
            </w:r>
            <w:r>
              <w:rPr>
                <w:rFonts w:ascii="宋体" w:hAnsi="宋体" w:cs="宋体" w:eastAsia="宋体" w:hint="default"/>
                <w:sz w:val="18"/>
                <w:szCs w:val="18"/>
              </w:rPr>
              <w:t>ZI10072</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崔岩、付忠伟</w:t>
            </w:r>
          </w:p>
        </w:tc>
      </w:tr>
    </w:tbl>
    <w:p>
      <w:pPr>
        <w:spacing w:line="240" w:lineRule="auto" w:before="12"/>
        <w:rPr>
          <w:rFonts w:ascii="宋体" w:hAnsi="宋体" w:cs="宋体" w:eastAsia="宋体" w:hint="default"/>
          <w:b/>
          <w:bCs/>
          <w:sz w:val="24"/>
          <w:szCs w:val="24"/>
        </w:rPr>
      </w:pPr>
    </w:p>
    <w:p>
      <w:pPr>
        <w:pStyle w:val="Heading2"/>
        <w:spacing w:line="240" w:lineRule="auto" w:before="26"/>
        <w:ind w:left="2861" w:right="2860"/>
        <w:jc w:val="center"/>
        <w:rPr>
          <w:b w:val="0"/>
          <w:bCs w:val="0"/>
        </w:rPr>
      </w:pPr>
      <w:r>
        <w:rPr/>
        <w:t>审计报告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7"/>
          <w:szCs w:val="27"/>
        </w:rPr>
      </w:pPr>
    </w:p>
    <w:p>
      <w:pPr>
        <w:pStyle w:val="BodyText"/>
        <w:spacing w:line="240" w:lineRule="auto" w:before="44"/>
        <w:ind w:left="0" w:right="1130"/>
        <w:jc w:val="right"/>
      </w:pPr>
      <w:r>
        <w:rPr>
          <w:spacing w:val="-1"/>
        </w:rPr>
        <w:t>信会师报字</w:t>
      </w:r>
      <w:r>
        <w:rPr>
          <w:rFonts w:ascii="Times New Roman" w:hAnsi="Times New Roman" w:cs="Times New Roman" w:eastAsia="Times New Roman" w:hint="default"/>
          <w:spacing w:val="-1"/>
        </w:rPr>
        <w:t>[2018]</w:t>
      </w:r>
      <w:r>
        <w:rPr>
          <w:spacing w:val="-1"/>
        </w:rPr>
        <w:t>第</w:t>
      </w:r>
      <w:r>
        <w:rPr>
          <w:rFonts w:ascii="宋体" w:hAnsi="宋体" w:cs="宋体" w:eastAsia="宋体" w:hint="default"/>
          <w:spacing w:val="-1"/>
        </w:rPr>
        <w:t>ZI10072</w:t>
      </w:r>
      <w:r>
        <w:rPr>
          <w:spacing w:val="-1"/>
        </w:rPr>
        <w:t>号</w:t>
      </w:r>
    </w:p>
    <w:p>
      <w:pPr>
        <w:pStyle w:val="Heading4"/>
        <w:spacing w:line="477" w:lineRule="auto" w:before="141"/>
        <w:ind w:left="1495" w:right="6777" w:hanging="362"/>
        <w:jc w:val="left"/>
        <w:rPr>
          <w:b w:val="0"/>
          <w:bCs w:val="0"/>
        </w:rPr>
      </w:pPr>
      <w:r>
        <w:rPr/>
        <w:t>深圳市今天国际物流技术股份有限公司全体股东：</w:t>
      </w:r>
      <w:r>
        <w:rPr>
          <w:w w:val="99"/>
        </w:rPr>
        <w:t> </w:t>
      </w:r>
      <w:r>
        <w:rPr/>
        <w:t>一、审计意见</w:t>
      </w:r>
      <w:r>
        <w:rPr>
          <w:b w:val="0"/>
          <w:bCs w:val="0"/>
        </w:rPr>
      </w:r>
    </w:p>
    <w:p>
      <w:pPr>
        <w:pStyle w:val="BodyText"/>
        <w:spacing w:line="451" w:lineRule="auto" w:before="54"/>
        <w:ind w:right="1132" w:firstLine="360"/>
        <w:jc w:val="both"/>
      </w:pPr>
      <w:r>
        <w:rPr>
          <w:spacing w:val="-2"/>
        </w:rPr>
        <w:t>我们审计了深圳市今天国际物流技术股份有限公司（以下简称今天国际）财务报表，包括</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日的合并及母公</w:t>
      </w:r>
      <w:r>
        <w:rPr/>
        <w:t> </w:t>
      </w:r>
      <w:r>
        <w:rPr>
          <w:spacing w:val="-2"/>
        </w:rPr>
        <w:t>司资产负债表，</w:t>
      </w:r>
      <w:r>
        <w:rPr>
          <w:rFonts w:ascii="Times New Roman" w:hAnsi="Times New Roman" w:cs="Times New Roman" w:eastAsia="Times New Roman" w:hint="default"/>
          <w:spacing w:val="-2"/>
        </w:rPr>
        <w:t>2017</w:t>
      </w:r>
      <w:r>
        <w:rPr>
          <w:spacing w:val="-2"/>
        </w:rPr>
        <w:t>年度的合并及母公司利润表、合并及母公司现金流量表、合并及母公司股东权益变动表以及相关财务报</w:t>
      </w:r>
      <w:r>
        <w:rPr>
          <w:spacing w:val="-62"/>
        </w:rPr>
        <w:t> </w:t>
      </w:r>
      <w:r>
        <w:rPr>
          <w:spacing w:val="-62"/>
        </w:rPr>
      </w:r>
      <w:r>
        <w:rPr/>
        <w:t>表附注。</w:t>
      </w:r>
    </w:p>
    <w:p>
      <w:pPr>
        <w:pStyle w:val="BodyText"/>
        <w:spacing w:line="451" w:lineRule="auto" w:before="74"/>
        <w:ind w:right="1130" w:firstLine="360"/>
        <w:jc w:val="both"/>
      </w:pPr>
      <w:r>
        <w:rPr>
          <w:spacing w:val="-2"/>
        </w:rPr>
        <w:t>我们认为，后附的财务报表在所有重大方面按照企业会计准则的规定编制，公允反映了今天国际</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w:t>
      </w:r>
      <w:r>
        <w:rPr/>
        <w:t> 及母公司财务状况以及</w:t>
      </w:r>
      <w:r>
        <w:rPr>
          <w:rFonts w:ascii="Times New Roman" w:hAnsi="Times New Roman" w:cs="Times New Roman" w:eastAsia="Times New Roman" w:hint="default"/>
        </w:rPr>
        <w:t>2017</w:t>
      </w:r>
      <w:r>
        <w:rPr/>
        <w:t>年度的合并及母公司经营成果和现金流量。</w:t>
      </w:r>
    </w:p>
    <w:p>
      <w:pPr>
        <w:pStyle w:val="Heading4"/>
        <w:spacing w:line="201" w:lineRule="exact"/>
        <w:ind w:left="1495" w:right="0"/>
        <w:jc w:val="left"/>
        <w:rPr>
          <w:b w:val="0"/>
          <w:bCs w:val="0"/>
        </w:rPr>
      </w:pPr>
      <w:r>
        <w:rPr/>
        <w:t>二、</w:t>
      </w:r>
      <w:r>
        <w:rPr>
          <w:spacing w:val="-74"/>
        </w:rPr>
        <w:t> </w:t>
      </w:r>
      <w:r>
        <w:rPr/>
        <w:t>形成审计意见的基础</w:t>
      </w:r>
      <w:r>
        <w:rPr>
          <w:b w:val="0"/>
          <w:bCs w:val="0"/>
        </w:rPr>
      </w:r>
    </w:p>
    <w:p>
      <w:pPr>
        <w:pStyle w:val="BodyText"/>
        <w:spacing w:line="477" w:lineRule="auto" w:before="154"/>
        <w:ind w:left="1134" w:right="1131" w:firstLine="360"/>
        <w:jc w:val="both"/>
      </w:pPr>
      <w:r>
        <w:rPr>
          <w:spacing w:val="-2"/>
        </w:rPr>
        <w:t>我们按照中国注册会计师审计准则的规定执行了审计工作。审计报告的“注册会计师对财务报表审计的责任”部分进一</w:t>
      </w:r>
      <w:r>
        <w:rPr/>
        <w:t> </w:t>
      </w:r>
      <w:r>
        <w:rPr>
          <w:spacing w:val="-2"/>
        </w:rPr>
        <w:t>步阐述了我们在这些准则下的责任。按照中国注册会计师职业道德守则，我们独立于今天国际，并履行了职业道德方面的其</w:t>
      </w:r>
      <w:r>
        <w:rPr>
          <w:spacing w:val="-66"/>
        </w:rPr>
        <w:t> </w:t>
      </w:r>
      <w:r>
        <w:rPr>
          <w:spacing w:val="-66"/>
        </w:rPr>
      </w:r>
      <w:r>
        <w:rPr/>
        <w:t>他责任。我们相信，我们获取的审计证据是充分、适当的，为发表审计意见提供了基础。</w:t>
      </w:r>
    </w:p>
    <w:p>
      <w:pPr>
        <w:pStyle w:val="BodyText"/>
        <w:spacing w:line="477" w:lineRule="auto" w:before="54"/>
        <w:ind w:left="1494" w:right="0"/>
        <w:jc w:val="left"/>
      </w:pPr>
      <w:r>
        <w:rPr/>
        <w:t>三、</w:t>
      </w:r>
      <w:r>
        <w:rPr>
          <w:rFonts w:ascii="宋体" w:hAnsi="宋体" w:cs="宋体" w:eastAsia="宋体" w:hint="default"/>
          <w:b/>
          <w:bCs/>
        </w:rPr>
        <w:t>关键审计事项</w:t>
      </w:r>
      <w:r>
        <w:rPr>
          <w:rFonts w:ascii="宋体" w:hAnsi="宋体" w:cs="宋体" w:eastAsia="宋体" w:hint="default"/>
          <w:b/>
          <w:bCs/>
          <w:w w:val="99"/>
        </w:rPr>
        <w:t> </w:t>
      </w:r>
      <w:r>
        <w:rPr>
          <w:spacing w:val="-2"/>
        </w:rPr>
        <w:t>关键审计事项是我们根据职业判断，认为对本期财务报表审计最为重要的事项。这些事项的应对以对财务报表整体进行</w:t>
      </w:r>
    </w:p>
    <w:p>
      <w:pPr>
        <w:pStyle w:val="BodyText"/>
        <w:spacing w:line="240" w:lineRule="auto" w:before="54"/>
        <w:ind w:left="1134" w:right="0"/>
        <w:jc w:val="left"/>
      </w:pPr>
      <w:r>
        <w:rPr/>
        <w:t>审计并形成审计意见为背景</w:t>
      </w:r>
      <w:r>
        <w:rPr>
          <w:spacing w:val="-87"/>
        </w:rPr>
        <w:t>，</w:t>
      </w:r>
      <w:r>
        <w:rPr/>
        <w:t>我们不对这些事项单独发表意见</w:t>
      </w:r>
      <w:r>
        <w:rPr>
          <w:spacing w:val="-87"/>
        </w:rPr>
        <w:t>。</w:t>
      </w:r>
      <w:r>
        <w:rPr/>
        <w:t>我们确定下列事项是需要在审计报告中沟通的关键审计事项。</w:t>
      </w:r>
    </w:p>
    <w:p>
      <w:pPr>
        <w:spacing w:line="240" w:lineRule="auto" w:before="13"/>
        <w:rPr>
          <w:rFonts w:ascii="宋体" w:hAnsi="宋体" w:cs="宋体" w:eastAsia="宋体" w:hint="default"/>
          <w:sz w:val="10"/>
          <w:szCs w:val="10"/>
        </w:rPr>
      </w:pPr>
    </w:p>
    <w:tbl>
      <w:tblPr>
        <w:tblW w:w="0" w:type="auto"/>
        <w:jc w:val="left"/>
        <w:tblInd w:w="1126" w:type="dxa"/>
        <w:tblLayout w:type="fixed"/>
        <w:tblCellMar>
          <w:top w:w="0" w:type="dxa"/>
          <w:left w:w="0" w:type="dxa"/>
          <w:bottom w:w="0" w:type="dxa"/>
          <w:right w:w="0" w:type="dxa"/>
        </w:tblCellMar>
        <w:tblLook w:val="01E0"/>
      </w:tblPr>
      <w:tblGrid>
        <w:gridCol w:w="3402"/>
        <w:gridCol w:w="6238"/>
      </w:tblGrid>
      <w:tr>
        <w:trPr>
          <w:trHeight w:val="503"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6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1937" w:right="0"/>
              <w:jc w:val="left"/>
              <w:rPr>
                <w:rFonts w:ascii="宋体" w:hAnsi="宋体" w:cs="宋体" w:eastAsia="宋体" w:hint="default"/>
                <w:sz w:val="18"/>
                <w:szCs w:val="18"/>
              </w:rPr>
            </w:pPr>
            <w:r>
              <w:rPr>
                <w:rFonts w:ascii="宋体" w:hAnsi="宋体" w:cs="宋体" w:eastAsia="宋体" w:hint="default"/>
                <w:b/>
                <w:bCs/>
                <w:sz w:val="18"/>
                <w:szCs w:val="18"/>
              </w:rPr>
              <w:t>该事项在审计中是如何应对的</w:t>
            </w:r>
            <w:r>
              <w:rPr>
                <w:rFonts w:ascii="宋体" w:hAnsi="宋体" w:cs="宋体" w:eastAsia="宋体" w:hint="default"/>
                <w:sz w:val="18"/>
                <w:szCs w:val="18"/>
              </w:rPr>
            </w:r>
          </w:p>
        </w:tc>
      </w:tr>
      <w:tr>
        <w:trPr>
          <w:trHeight w:val="503" w:hRule="exact"/>
        </w:trPr>
        <w:tc>
          <w:tcPr>
            <w:tcW w:w="964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b/>
                <w:bCs/>
                <w:sz w:val="18"/>
                <w:szCs w:val="18"/>
              </w:rPr>
              <w:t>（一）收入确认</w:t>
            </w:r>
            <w:r>
              <w:rPr>
                <w:rFonts w:ascii="宋体" w:hAnsi="宋体" w:cs="宋体" w:eastAsia="宋体" w:hint="default"/>
                <w:sz w:val="18"/>
                <w:szCs w:val="18"/>
              </w:rPr>
            </w:r>
          </w:p>
        </w:tc>
      </w:tr>
      <w:tr>
        <w:trPr>
          <w:trHeight w:val="504"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5" w:right="0"/>
              <w:jc w:val="left"/>
              <w:rPr>
                <w:rFonts w:ascii="宋体" w:hAnsi="宋体" w:cs="宋体" w:eastAsia="宋体" w:hint="default"/>
                <w:sz w:val="18"/>
                <w:szCs w:val="18"/>
              </w:rPr>
            </w:pPr>
            <w:r>
              <w:rPr>
                <w:rFonts w:ascii="宋体" w:hAnsi="宋体" w:cs="宋体" w:eastAsia="宋体" w:hint="default"/>
                <w:sz w:val="18"/>
                <w:szCs w:val="18"/>
              </w:rPr>
              <w:t>事项描述：</w:t>
            </w:r>
          </w:p>
        </w:tc>
        <w:tc>
          <w:tcPr>
            <w:tcW w:w="6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我们针对收入确认执行的主要审计程序包括：</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221.779999pt;margin-top:661.779968pt;width:316.6pt;height:23.4pt;mso-position-horizontal-relative:page;mso-position-vertical-relative:page;z-index:-880984" type="#_x0000_t202" filled="false" stroked="false">
            <v:textbox inset="0,0,0,0">
              <w:txbxContent>
                <w:p>
                  <w:pPr>
                    <w:pStyle w:val="BodyText"/>
                    <w:spacing w:line="240" w:lineRule="auto" w:before="88"/>
                    <w:ind w:left="0" w:right="0"/>
                    <w:jc w:val="left"/>
                  </w:pPr>
                  <w:r>
                    <w:rPr/>
                    <w:t>。</w:t>
                  </w:r>
                </w:p>
              </w:txbxContent>
            </v:textbox>
            <w10:wrap type="none"/>
          </v:shape>
        </w:pict>
      </w:r>
      <w:r>
        <w:rPr/>
        <w:pict>
          <v:group style="position:absolute;margin-left:227.179993pt;margin-top:661.779968pt;width:311.2pt;height:23.4pt;mso-position-horizontal-relative:page;mso-position-vertical-relative:page;z-index:-880960" coordorigin="4544,13236" coordsize="6224,468">
            <v:shape style="position:absolute;left:4544;top:13236;width:6224;height:468" coordorigin="4544,13236" coordsize="6224,468" path="m4544,13704l10768,13704,10768,13236,4544,13236,4544,13704xe" filled="true" fillcolor="#ffffff" stroked="false">
              <v:path arrowok="t"/>
              <v:fill type="solid"/>
            </v:shape>
            <w10:wrap type="none"/>
          </v:group>
        </w:pict>
      </w:r>
      <w:r>
        <w:rPr/>
        <w:pict>
          <v:group style="position:absolute;margin-left:227.179993pt;margin-top:732pt;width:311.2pt;height:23.4pt;mso-position-horizontal-relative:page;mso-position-vertical-relative:page;z-index:-880936" coordorigin="4544,14640" coordsize="6224,468">
            <v:shape style="position:absolute;left:4544;top:14640;width:6224;height:468" coordorigin="4544,14640" coordsize="6224,468" path="m4544,15108l10768,15108,10768,14640,4544,14640,4544,15108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6" w:type="dxa"/>
        <w:tblLayout w:type="fixed"/>
        <w:tblCellMar>
          <w:top w:w="0" w:type="dxa"/>
          <w:left w:w="0" w:type="dxa"/>
          <w:bottom w:w="0" w:type="dxa"/>
          <w:right w:w="0" w:type="dxa"/>
        </w:tblCellMar>
        <w:tblLook w:val="01E0"/>
      </w:tblPr>
      <w:tblGrid>
        <w:gridCol w:w="3402"/>
        <w:gridCol w:w="6238"/>
      </w:tblGrid>
      <w:tr>
        <w:trPr>
          <w:trHeight w:val="9396"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472" w:lineRule="auto" w:before="99"/>
              <w:ind w:left="2" w:right="-35" w:firstLine="3"/>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2017</w:t>
            </w:r>
            <w:r>
              <w:rPr>
                <w:rFonts w:ascii="宋体" w:hAnsi="宋体" w:cs="宋体" w:eastAsia="宋体" w:hint="default"/>
                <w:spacing w:val="5"/>
                <w:sz w:val="18"/>
                <w:szCs w:val="18"/>
              </w:rPr>
              <w:t>年度今天国际销售收入为</w:t>
            </w:r>
            <w:r>
              <w:rPr>
                <w:rFonts w:ascii="Times New Roman" w:hAnsi="Times New Roman" w:cs="Times New Roman" w:eastAsia="Times New Roman" w:hint="default"/>
                <w:spacing w:val="5"/>
                <w:sz w:val="18"/>
                <w:szCs w:val="18"/>
              </w:rPr>
              <w:t>56,961.77</w:t>
            </w:r>
            <w:r>
              <w:rPr>
                <w:rFonts w:ascii="宋体" w:hAnsi="宋体" w:cs="宋体" w:eastAsia="宋体" w:hint="default"/>
                <w:spacing w:val="5"/>
                <w:sz w:val="18"/>
                <w:szCs w:val="18"/>
              </w:rPr>
              <w:t>万</w:t>
            </w:r>
            <w:r>
              <w:rPr>
                <w:rFonts w:ascii="宋体" w:hAnsi="宋体" w:cs="宋体" w:eastAsia="宋体" w:hint="default"/>
                <w:spacing w:val="-87"/>
                <w:sz w:val="18"/>
                <w:szCs w:val="18"/>
              </w:rPr>
              <w:t> </w:t>
            </w:r>
            <w:r>
              <w:rPr>
                <w:rFonts w:ascii="宋体" w:hAnsi="宋体" w:cs="宋体" w:eastAsia="宋体" w:hint="default"/>
                <w:sz w:val="18"/>
                <w:szCs w:val="18"/>
              </w:rPr>
              <w:t>元，较</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年度增长</w:t>
            </w:r>
            <w:r>
              <w:rPr>
                <w:rFonts w:ascii="Times New Roman" w:hAnsi="Times New Roman" w:cs="Times New Roman" w:eastAsia="Times New Roman" w:hint="default"/>
                <w:sz w:val="18"/>
                <w:szCs w:val="18"/>
              </w:rPr>
              <w:t>42.89%</w:t>
            </w:r>
            <w:r>
              <w:rPr>
                <w:rFonts w:ascii="宋体" w:hAnsi="宋体" w:cs="宋体" w:eastAsia="宋体" w:hint="default"/>
                <w:sz w:val="18"/>
                <w:szCs w:val="18"/>
              </w:rPr>
              <w:t>。 </w:t>
            </w:r>
            <w:r>
              <w:rPr>
                <w:rFonts w:ascii="宋体" w:hAnsi="宋体" w:cs="宋体" w:eastAsia="宋体" w:hint="default"/>
                <w:spacing w:val="7"/>
                <w:sz w:val="18"/>
                <w:szCs w:val="18"/>
              </w:rPr>
              <w:t>贵公司收入主要来源于工业生产型物流系</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统，其收入的具体确认原则为系统已按合同</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和技术协议的要求全部安装调试到位，并取</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得了购货方的初验证明，该物流系统已交付</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购货方进入商业运行时，予以确认收入。 </w:t>
            </w:r>
            <w:r>
              <w:rPr>
                <w:rFonts w:ascii="宋体" w:hAnsi="宋体" w:cs="宋体" w:eastAsia="宋体" w:hint="default"/>
                <w:spacing w:val="7"/>
                <w:sz w:val="18"/>
                <w:szCs w:val="18"/>
              </w:rPr>
              <w:t>由于工业生产型物流系统的初验证明以及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系统验收资料的取得需要与客户进行对接， </w:t>
            </w:r>
            <w:r>
              <w:rPr>
                <w:rFonts w:ascii="宋体" w:hAnsi="宋体" w:cs="宋体" w:eastAsia="宋体" w:hint="default"/>
                <w:spacing w:val="8"/>
                <w:sz w:val="18"/>
                <w:szCs w:val="18"/>
              </w:rPr>
              <w:t>其取得时点因客户的人为或其他不可控因</w:t>
            </w:r>
            <w:r>
              <w:rPr>
                <w:rFonts w:ascii="宋体" w:hAnsi="宋体" w:cs="宋体" w:eastAsia="宋体" w:hint="default"/>
                <w:spacing w:val="8"/>
                <w:sz w:val="18"/>
                <w:szCs w:val="18"/>
              </w:rPr>
              <w:t> </w:t>
            </w:r>
            <w:r>
              <w:rPr>
                <w:rFonts w:ascii="宋体" w:hAnsi="宋体" w:cs="宋体" w:eastAsia="宋体" w:hint="default"/>
                <w:spacing w:val="-3"/>
                <w:sz w:val="18"/>
                <w:szCs w:val="18"/>
              </w:rPr>
              <w:t>素具有不可控制性。收入是今天国际的关键</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业绩指标之一，对财务报表影响重大，从而</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8"/>
                <w:sz w:val="18"/>
                <w:szCs w:val="18"/>
              </w:rPr>
              <w:t>存在管理层为了达到特定目标或期望而操</w:t>
            </w:r>
            <w:r>
              <w:rPr>
                <w:rFonts w:ascii="宋体" w:hAnsi="宋体" w:cs="宋体" w:eastAsia="宋体" w:hint="default"/>
                <w:spacing w:val="8"/>
                <w:sz w:val="18"/>
                <w:szCs w:val="18"/>
              </w:rPr>
              <w:t> </w:t>
            </w:r>
            <w:r>
              <w:rPr>
                <w:rFonts w:ascii="宋体" w:hAnsi="宋体" w:cs="宋体" w:eastAsia="宋体" w:hint="default"/>
                <w:spacing w:val="-3"/>
                <w:sz w:val="18"/>
                <w:szCs w:val="18"/>
              </w:rPr>
              <w:t>纵收入确认时点的固有风险。因此，我们将</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收入确认作为关键审计事项。 </w:t>
            </w:r>
            <w:r>
              <w:rPr>
                <w:rFonts w:ascii="宋体" w:hAnsi="宋体" w:cs="宋体" w:eastAsia="宋体" w:hint="default"/>
                <w:spacing w:val="-3"/>
                <w:sz w:val="18"/>
                <w:szCs w:val="18"/>
              </w:rPr>
              <w:t>关于收入确认的会计政策详见附注三、（二</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十三）；关于营业收入披露见附注五、（三</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十二）。</w:t>
            </w:r>
          </w:p>
        </w:tc>
        <w:tc>
          <w:tcPr>
            <w:tcW w:w="6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）评价与收入确认相关的关键内部控制的设计和运行有效性；</w:t>
            </w: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463" w:lineRule="auto"/>
              <w:ind w:left="2" w:right="2"/>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）了解公司各类收入的具体确认条件、方法，以评价贵公司的收入确认政策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是否符合企业会计准则，前后期是否一致；关注周期性、偶然性的收入是否符合</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既定的收入确定原则、方法，评价收入确认的真实性、合规性；</w:t>
            </w:r>
          </w:p>
          <w:p>
            <w:pPr>
              <w:pStyle w:val="TableParagraph"/>
              <w:spacing w:line="468" w:lineRule="auto" w:before="65"/>
              <w:ind w:left="2" w:right="2"/>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）就本期确认收入的物流系统项目，抽取样本，检查销售合同、项目实施关</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键节点证明资料、初验证明等可以证明该物流系统已交付购货方进入商业运行的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支持性文件，以评价相关物流系统项目收入是否已按照公司的收入确认政策确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认；</w:t>
            </w:r>
          </w:p>
          <w:p>
            <w:pPr>
              <w:pStyle w:val="TableParagraph"/>
              <w:spacing w:line="463" w:lineRule="auto" w:before="61"/>
              <w:ind w:left="2" w:right="3"/>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）就资产负债表日前后确认收入的项目，检查可以证明该物流系统已交付购</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货方进入商业运行的支持性文件时，重点核对收入确认时间是否与取得系统项目</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验收证明时间相符，以评价相关物流系统项目收入是否在恰当的期间确认；</w:t>
            </w:r>
          </w:p>
          <w:p>
            <w:pPr>
              <w:pStyle w:val="TableParagraph"/>
              <w:spacing w:line="463" w:lineRule="auto" w:before="65"/>
              <w:ind w:left="2" w:right="3"/>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）查阅销售合同中与收款、验收相关的主要条款，通过项目的实际工作进度</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与销售合同约定的收款节点进行对照分析，检查是否有延期收款，分析未按合同</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约定节点收款的原因，判断其相关收入确认的合理性和真实性；</w:t>
            </w:r>
          </w:p>
          <w:p>
            <w:pPr>
              <w:pStyle w:val="TableParagraph"/>
              <w:spacing w:line="468" w:lineRule="auto" w:before="65"/>
              <w:ind w:left="2" w:right="2"/>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）抽取对本期收入影响较大的物流系统项目，执行现场查验程序，现场观察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该物流系统的所有设备是否均安装调试完毕，并已整体交付给客户由其投入试运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行，并现场访谈甲方主要负责人确认项目进展及项目试运行和初验情况，确认其</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是否已初验完成并进入商业运行，判断其是否符合收入确认条件；</w:t>
            </w:r>
          </w:p>
          <w:p>
            <w:pPr>
              <w:pStyle w:val="TableParagraph"/>
              <w:spacing w:line="451" w:lineRule="auto" w:before="61"/>
              <w:ind w:left="2" w:right="4"/>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）对未执行现场查验的物流系统项目执行函证程序，函证客户的合同金额、</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累计付款金额、项目保证金金额、初验及终验情况。</w:t>
            </w:r>
          </w:p>
        </w:tc>
      </w:tr>
      <w:tr>
        <w:trPr>
          <w:trHeight w:val="503" w:hRule="exact"/>
        </w:trPr>
        <w:tc>
          <w:tcPr>
            <w:tcW w:w="964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b/>
                <w:bCs/>
                <w:sz w:val="18"/>
                <w:szCs w:val="18"/>
              </w:rPr>
              <w:t>（二）应收账款的可收回性及减值</w:t>
            </w:r>
            <w:r>
              <w:rPr>
                <w:rFonts w:ascii="宋体" w:hAnsi="宋体" w:cs="宋体" w:eastAsia="宋体" w:hint="default"/>
                <w:sz w:val="18"/>
                <w:szCs w:val="18"/>
              </w:rPr>
            </w:r>
          </w:p>
        </w:tc>
      </w:tr>
      <w:tr>
        <w:trPr>
          <w:trHeight w:val="3780"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477" w:lineRule="auto" w:before="99"/>
              <w:ind w:left="2" w:right="-35"/>
              <w:jc w:val="left"/>
              <w:rPr>
                <w:rFonts w:ascii="宋体" w:hAnsi="宋体" w:cs="宋体" w:eastAsia="宋体" w:hint="default"/>
                <w:sz w:val="18"/>
                <w:szCs w:val="18"/>
              </w:rPr>
            </w:pPr>
            <w:r>
              <w:rPr>
                <w:rFonts w:ascii="宋体" w:hAnsi="宋体" w:cs="宋体" w:eastAsia="宋体" w:hint="default"/>
                <w:sz w:val="18"/>
                <w:szCs w:val="18"/>
              </w:rPr>
              <w:t>事项描述： </w:t>
            </w:r>
            <w:r>
              <w:rPr>
                <w:rFonts w:ascii="宋体" w:hAnsi="宋体" w:cs="宋体" w:eastAsia="宋体" w:hint="default"/>
                <w:spacing w:val="-2"/>
                <w:sz w:val="18"/>
                <w:szCs w:val="18"/>
              </w:rPr>
              <w:t>截止</w:t>
            </w:r>
            <w:r>
              <w:rPr>
                <w:rFonts w:ascii="宋体" w:hAnsi="宋体" w:cs="宋体" w:eastAsia="宋体" w:hint="default"/>
                <w:spacing w:val="-2"/>
                <w:sz w:val="18"/>
                <w:szCs w:val="18"/>
              </w:rPr>
              <w:t>2017</w:t>
            </w:r>
            <w:r>
              <w:rPr>
                <w:rFonts w:ascii="宋体" w:hAnsi="宋体" w:cs="宋体" w:eastAsia="宋体" w:hint="default"/>
                <w:spacing w:val="-2"/>
                <w:sz w:val="18"/>
                <w:szCs w:val="18"/>
              </w:rPr>
              <w:t>年</w:t>
            </w:r>
            <w:r>
              <w:rPr>
                <w:rFonts w:ascii="宋体" w:hAnsi="宋体" w:cs="宋体" w:eastAsia="宋体" w:hint="default"/>
                <w:spacing w:val="-2"/>
                <w:sz w:val="18"/>
                <w:szCs w:val="18"/>
              </w:rPr>
              <w:t>12</w:t>
            </w:r>
            <w:r>
              <w:rPr>
                <w:rFonts w:ascii="宋体" w:hAnsi="宋体" w:cs="宋体" w:eastAsia="宋体" w:hint="default"/>
                <w:spacing w:val="-2"/>
                <w:sz w:val="18"/>
                <w:szCs w:val="18"/>
              </w:rPr>
              <w:t>月</w:t>
            </w:r>
            <w:r>
              <w:rPr>
                <w:rFonts w:ascii="宋体" w:hAnsi="宋体" w:cs="宋体" w:eastAsia="宋体" w:hint="default"/>
                <w:spacing w:val="-2"/>
                <w:sz w:val="18"/>
                <w:szCs w:val="18"/>
              </w:rPr>
              <w:t>31</w:t>
            </w:r>
            <w:r>
              <w:rPr>
                <w:rFonts w:ascii="宋体" w:hAnsi="宋体" w:cs="宋体" w:eastAsia="宋体" w:hint="default"/>
                <w:spacing w:val="-2"/>
                <w:sz w:val="18"/>
                <w:szCs w:val="18"/>
              </w:rPr>
              <w:t>日，今天国际应收账款账</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面价值为</w:t>
            </w:r>
            <w:r>
              <w:rPr>
                <w:rFonts w:ascii="宋体" w:hAnsi="宋体" w:cs="宋体" w:eastAsia="宋体" w:hint="default"/>
                <w:sz w:val="18"/>
                <w:szCs w:val="18"/>
              </w:rPr>
              <w:t>45,485.72</w:t>
            </w:r>
            <w:r>
              <w:rPr>
                <w:rFonts w:ascii="宋体" w:hAnsi="宋体" w:cs="宋体" w:eastAsia="宋体" w:hint="default"/>
                <w:sz w:val="18"/>
                <w:szCs w:val="18"/>
              </w:rPr>
              <w:t>万元，占合并财务报表</w:t>
            </w:r>
            <w:r>
              <w:rPr>
                <w:rFonts w:ascii="宋体" w:hAnsi="宋体" w:cs="宋体" w:eastAsia="宋体" w:hint="default"/>
                <w:spacing w:val="-45"/>
                <w:sz w:val="18"/>
                <w:szCs w:val="18"/>
              </w:rPr>
              <w:t> </w:t>
            </w:r>
            <w:r>
              <w:rPr>
                <w:rFonts w:ascii="宋体" w:hAnsi="宋体" w:cs="宋体" w:eastAsia="宋体" w:hint="default"/>
                <w:spacing w:val="30"/>
                <w:sz w:val="18"/>
                <w:szCs w:val="18"/>
              </w:rPr>
              <w:t>资产总额的</w:t>
            </w:r>
            <w:r>
              <w:rPr>
                <w:rFonts w:ascii="宋体" w:hAnsi="宋体" w:cs="宋体" w:eastAsia="宋体" w:hint="default"/>
                <w:spacing w:val="-52"/>
                <w:sz w:val="18"/>
                <w:szCs w:val="18"/>
              </w:rPr>
              <w:t> </w:t>
            </w:r>
            <w:r>
              <w:rPr>
                <w:rFonts w:ascii="宋体" w:hAnsi="宋体" w:cs="宋体" w:eastAsia="宋体" w:hint="default"/>
                <w:sz w:val="18"/>
                <w:szCs w:val="18"/>
              </w:rPr>
              <w:t>34.97%</w:t>
            </w:r>
            <w:r>
              <w:rPr>
                <w:rFonts w:ascii="宋体" w:hAnsi="宋体" w:cs="宋体" w:eastAsia="宋体" w:hint="default"/>
                <w:spacing w:val="-52"/>
                <w:sz w:val="18"/>
                <w:szCs w:val="18"/>
              </w:rPr>
              <w:t> </w:t>
            </w:r>
            <w:r>
              <w:rPr>
                <w:rFonts w:ascii="宋体" w:hAnsi="宋体" w:cs="宋体" w:eastAsia="宋体" w:hint="default"/>
                <w:sz w:val="18"/>
                <w:szCs w:val="18"/>
              </w:rPr>
              <w:t>，</w:t>
            </w:r>
            <w:r>
              <w:rPr>
                <w:rFonts w:ascii="宋体" w:hAnsi="宋体" w:cs="宋体" w:eastAsia="宋体" w:hint="default"/>
                <w:spacing w:val="-52"/>
                <w:sz w:val="18"/>
                <w:szCs w:val="18"/>
              </w:rPr>
              <w:t> </w:t>
            </w:r>
            <w:r>
              <w:rPr>
                <w:rFonts w:ascii="宋体" w:hAnsi="宋体" w:cs="宋体" w:eastAsia="宋体" w:hint="default"/>
                <w:sz w:val="18"/>
                <w:szCs w:val="18"/>
              </w:rPr>
              <w:t>其</w:t>
            </w:r>
            <w:r>
              <w:rPr>
                <w:rFonts w:ascii="宋体" w:hAnsi="宋体" w:cs="宋体" w:eastAsia="宋体" w:hint="default"/>
                <w:spacing w:val="-52"/>
                <w:sz w:val="18"/>
                <w:szCs w:val="18"/>
              </w:rPr>
              <w:t> </w:t>
            </w:r>
            <w:r>
              <w:rPr>
                <w:rFonts w:ascii="宋体" w:hAnsi="宋体" w:cs="宋体" w:eastAsia="宋体" w:hint="default"/>
                <w:sz w:val="18"/>
                <w:szCs w:val="18"/>
              </w:rPr>
              <w:t>中</w:t>
            </w:r>
            <w:r>
              <w:rPr>
                <w:rFonts w:ascii="宋体" w:hAnsi="宋体" w:cs="宋体" w:eastAsia="宋体" w:hint="default"/>
                <w:spacing w:val="-51"/>
                <w:sz w:val="18"/>
                <w:szCs w:val="18"/>
              </w:rPr>
              <w:t> </w:t>
            </w:r>
            <w:r>
              <w:rPr>
                <w:rFonts w:ascii="宋体" w:hAnsi="宋体" w:cs="宋体" w:eastAsia="宋体" w:hint="default"/>
                <w:sz w:val="18"/>
                <w:szCs w:val="18"/>
              </w:rPr>
              <w:t>账</w:t>
            </w:r>
            <w:r>
              <w:rPr>
                <w:rFonts w:ascii="宋体" w:hAnsi="宋体" w:cs="宋体" w:eastAsia="宋体" w:hint="default"/>
                <w:spacing w:val="-52"/>
                <w:sz w:val="18"/>
                <w:szCs w:val="18"/>
              </w:rPr>
              <w:t> </w:t>
            </w:r>
            <w:r>
              <w:rPr>
                <w:rFonts w:ascii="宋体" w:hAnsi="宋体" w:cs="宋体" w:eastAsia="宋体" w:hint="default"/>
                <w:sz w:val="18"/>
                <w:szCs w:val="18"/>
              </w:rPr>
              <w:t>面</w:t>
            </w:r>
            <w:r>
              <w:rPr>
                <w:rFonts w:ascii="宋体" w:hAnsi="宋体" w:cs="宋体" w:eastAsia="宋体" w:hint="default"/>
                <w:spacing w:val="-52"/>
                <w:sz w:val="18"/>
                <w:szCs w:val="18"/>
              </w:rPr>
              <w:t> </w:t>
            </w:r>
            <w:r>
              <w:rPr>
                <w:rFonts w:ascii="宋体" w:hAnsi="宋体" w:cs="宋体" w:eastAsia="宋体" w:hint="default"/>
                <w:sz w:val="18"/>
                <w:szCs w:val="18"/>
              </w:rPr>
              <w:t>余</w:t>
            </w:r>
            <w:r>
              <w:rPr>
                <w:rFonts w:ascii="宋体" w:hAnsi="宋体" w:cs="宋体" w:eastAsia="宋体" w:hint="default"/>
                <w:spacing w:val="-52"/>
                <w:sz w:val="18"/>
                <w:szCs w:val="18"/>
              </w:rPr>
              <w:t> </w:t>
            </w:r>
            <w:r>
              <w:rPr>
                <w:rFonts w:ascii="宋体" w:hAnsi="宋体" w:cs="宋体" w:eastAsia="宋体" w:hint="default"/>
                <w:sz w:val="18"/>
                <w:szCs w:val="18"/>
              </w:rPr>
              <w:t>额</w:t>
            </w:r>
            <w:r>
              <w:rPr>
                <w:rFonts w:ascii="宋体" w:hAnsi="宋体" w:cs="宋体" w:eastAsia="宋体" w:hint="default"/>
                <w:spacing w:val="-52"/>
                <w:sz w:val="18"/>
                <w:szCs w:val="18"/>
              </w:rPr>
              <w:t> </w:t>
            </w:r>
            <w:r>
              <w:rPr>
                <w:rFonts w:ascii="宋体" w:hAnsi="宋体" w:cs="宋体" w:eastAsia="宋体" w:hint="default"/>
                <w:sz w:val="18"/>
                <w:szCs w:val="18"/>
              </w:rPr>
              <w:t>为</w:t>
            </w:r>
            <w:r>
              <w:rPr>
                <w:rFonts w:ascii="宋体" w:hAnsi="宋体" w:cs="宋体" w:eastAsia="宋体" w:hint="default"/>
                <w:sz w:val="18"/>
                <w:szCs w:val="18"/>
              </w:rPr>
              <w:t> </w:t>
            </w:r>
            <w:r>
              <w:rPr>
                <w:rFonts w:ascii="宋体" w:hAnsi="宋体" w:cs="宋体" w:eastAsia="宋体" w:hint="default"/>
                <w:sz w:val="18"/>
                <w:szCs w:val="18"/>
              </w:rPr>
              <w:t>48,654.87</w:t>
            </w:r>
            <w:r>
              <w:rPr>
                <w:rFonts w:ascii="宋体" w:hAnsi="宋体" w:cs="宋体" w:eastAsia="宋体" w:hint="default"/>
                <w:sz w:val="18"/>
                <w:szCs w:val="18"/>
              </w:rPr>
              <w:t>万元，坏账准备为</w:t>
            </w:r>
            <w:r>
              <w:rPr>
                <w:rFonts w:ascii="宋体" w:hAnsi="宋体" w:cs="宋体" w:eastAsia="宋体" w:hint="default"/>
                <w:sz w:val="18"/>
                <w:szCs w:val="18"/>
              </w:rPr>
              <w:t>3,169.15</w:t>
            </w:r>
            <w:r>
              <w:rPr>
                <w:rFonts w:ascii="宋体" w:hAnsi="宋体" w:cs="宋体" w:eastAsia="宋体" w:hint="default"/>
                <w:sz w:val="18"/>
                <w:szCs w:val="18"/>
              </w:rPr>
              <w:t>万元 </w:t>
            </w:r>
            <w:r>
              <w:rPr>
                <w:rFonts w:ascii="宋体" w:hAnsi="宋体" w:cs="宋体" w:eastAsia="宋体" w:hint="default"/>
                <w:spacing w:val="8"/>
                <w:sz w:val="18"/>
                <w:szCs w:val="18"/>
              </w:rPr>
              <w:t>贵公司管理层在确定应收账款预计可收回</w:t>
            </w:r>
            <w:r>
              <w:rPr>
                <w:rFonts w:ascii="宋体" w:hAnsi="宋体" w:cs="宋体" w:eastAsia="宋体" w:hint="default"/>
                <w:spacing w:val="8"/>
                <w:sz w:val="18"/>
                <w:szCs w:val="18"/>
              </w:rPr>
              <w:t> </w:t>
            </w:r>
            <w:r>
              <w:rPr>
                <w:rFonts w:ascii="宋体" w:hAnsi="宋体" w:cs="宋体" w:eastAsia="宋体" w:hint="default"/>
                <w:spacing w:val="-3"/>
                <w:sz w:val="18"/>
                <w:szCs w:val="18"/>
              </w:rPr>
              <w:t>金额时需要评估相关客户的信用情况，对单</w:t>
            </w:r>
          </w:p>
          <w:p>
            <w:pPr>
              <w:pStyle w:val="TableParagraph"/>
              <w:spacing w:line="240" w:lineRule="auto" w:before="54"/>
              <w:ind w:left="2" w:right="-35"/>
              <w:jc w:val="left"/>
              <w:rPr>
                <w:rFonts w:ascii="宋体" w:hAnsi="宋体" w:cs="宋体" w:eastAsia="宋体" w:hint="default"/>
                <w:sz w:val="18"/>
                <w:szCs w:val="18"/>
              </w:rPr>
            </w:pPr>
            <w:r>
              <w:rPr>
                <w:rFonts w:ascii="宋体" w:hAnsi="宋体" w:cs="宋体" w:eastAsia="宋体" w:hint="default"/>
                <w:sz w:val="18"/>
                <w:szCs w:val="18"/>
              </w:rPr>
              <w:t>项金额重大的应收款项单独进行减值测试，</w:t>
            </w:r>
          </w:p>
        </w:tc>
        <w:tc>
          <w:tcPr>
            <w:tcW w:w="6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both"/>
              <w:rPr>
                <w:rFonts w:ascii="宋体" w:hAnsi="宋体" w:cs="宋体" w:eastAsia="宋体" w:hint="default"/>
                <w:sz w:val="18"/>
                <w:szCs w:val="18"/>
              </w:rPr>
            </w:pPr>
            <w:r>
              <w:rPr>
                <w:rFonts w:ascii="宋体" w:hAnsi="宋体" w:cs="宋体" w:eastAsia="宋体" w:hint="default"/>
                <w:sz w:val="18"/>
                <w:szCs w:val="18"/>
              </w:rPr>
              <w:t>我们对应收账款的可收回性及减值实施的相关程序包括：</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477" w:lineRule="auto"/>
              <w:ind w:left="2" w:right="4"/>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）评价与应收账款日常管理及可收回性评估相关的关键内部控制的设计和运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行有效性；</w:t>
            </w:r>
          </w:p>
          <w:p>
            <w:pPr>
              <w:pStyle w:val="TableParagraph"/>
              <w:spacing w:line="477" w:lineRule="auto" w:before="54"/>
              <w:ind w:left="2" w:right="3"/>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）复核管理层对应收账款进行减值测试的相关考虑及客观证据，关注管理层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是否充分识别已发生减值的项目；对比同行业坏账准备计提标准，评价坏账准备</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计提标准、所依据的资料、假设及方法、审批程序是否恰当；</w:t>
            </w:r>
          </w:p>
          <w:p>
            <w:pPr>
              <w:pStyle w:val="TableParagraph"/>
              <w:spacing w:line="240" w:lineRule="auto" w:before="54"/>
              <w:ind w:left="2" w:right="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）对于单项金额重大并单独计提坏账准备的应收账款，选取样本复核管理层</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 w:right="0"/>
              <w:jc w:val="both"/>
              <w:rPr>
                <w:rFonts w:ascii="宋体" w:hAnsi="宋体" w:cs="宋体" w:eastAsia="宋体" w:hint="default"/>
                <w:sz w:val="18"/>
                <w:szCs w:val="18"/>
              </w:rPr>
            </w:pPr>
            <w:r>
              <w:rPr>
                <w:rFonts w:ascii="宋体" w:hAnsi="宋体" w:cs="宋体" w:eastAsia="宋体" w:hint="default"/>
                <w:sz w:val="18"/>
                <w:szCs w:val="18"/>
              </w:rPr>
              <w:t>对预计未来可获得的现金流量做出评估的依据；</w:t>
            </w:r>
          </w:p>
        </w:tc>
      </w:tr>
    </w:tbl>
    <w:p>
      <w:pPr>
        <w:spacing w:after="0" w:line="240" w:lineRule="auto"/>
        <w:jc w:val="both"/>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4"/>
          <w:szCs w:val="24"/>
        </w:rPr>
      </w:pPr>
    </w:p>
    <w:p>
      <w:pPr>
        <w:pStyle w:val="BodyText"/>
        <w:spacing w:line="240" w:lineRule="auto" w:before="44"/>
        <w:ind w:left="0" w:right="1052"/>
        <w:jc w:val="right"/>
      </w:pPr>
      <w:r>
        <w:rPr/>
        <w:pict>
          <v:shape style="position:absolute;margin-left:56.34pt;margin-top:-190.708282pt;width:483.15pt;height:330.15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02"/>
                    <w:gridCol w:w="6238"/>
                  </w:tblGrid>
                  <w:tr>
                    <w:trPr>
                      <w:trHeight w:val="6588"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477" w:lineRule="auto" w:before="99"/>
                          <w:ind w:left="2" w:right="-35"/>
                          <w:jc w:val="left"/>
                          <w:rPr>
                            <w:rFonts w:ascii="宋体" w:hAnsi="宋体" w:cs="宋体" w:eastAsia="宋体" w:hint="default"/>
                            <w:sz w:val="18"/>
                            <w:szCs w:val="18"/>
                          </w:rPr>
                        </w:pPr>
                        <w:r>
                          <w:rPr>
                            <w:rFonts w:ascii="宋体" w:hAnsi="宋体" w:cs="宋体" w:eastAsia="宋体" w:hint="default"/>
                            <w:spacing w:val="-3"/>
                            <w:sz w:val="18"/>
                            <w:szCs w:val="18"/>
                          </w:rPr>
                          <w:t>如有客观证据表明其发生了减值的，管理层</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8"/>
                            <w:sz w:val="18"/>
                            <w:szCs w:val="18"/>
                          </w:rPr>
                          <w:t>根据其预计未来现金流量现值低于其账面</w:t>
                        </w:r>
                        <w:r>
                          <w:rPr>
                            <w:rFonts w:ascii="宋体" w:hAnsi="宋体" w:cs="宋体" w:eastAsia="宋体" w:hint="default"/>
                            <w:spacing w:val="8"/>
                            <w:sz w:val="18"/>
                            <w:szCs w:val="18"/>
                          </w:rPr>
                          <w:t> </w:t>
                        </w:r>
                        <w:r>
                          <w:rPr>
                            <w:rFonts w:ascii="宋体" w:hAnsi="宋体" w:cs="宋体" w:eastAsia="宋体" w:hint="default"/>
                            <w:spacing w:val="-3"/>
                            <w:sz w:val="18"/>
                            <w:szCs w:val="18"/>
                          </w:rPr>
                          <w:t>价值的差额计提单项减值准备。如无客观证</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据表明其发生了减值的，管理层按信用风险</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8"/>
                            <w:sz w:val="18"/>
                            <w:szCs w:val="18"/>
                          </w:rPr>
                          <w:t>特征的相似性和相关性将其分为若干风险</w:t>
                        </w:r>
                        <w:r>
                          <w:rPr>
                            <w:rFonts w:ascii="宋体" w:hAnsi="宋体" w:cs="宋体" w:eastAsia="宋体" w:hint="default"/>
                            <w:spacing w:val="8"/>
                            <w:sz w:val="18"/>
                            <w:szCs w:val="18"/>
                          </w:rPr>
                          <w:t> </w:t>
                        </w:r>
                        <w:r>
                          <w:rPr>
                            <w:rFonts w:ascii="宋体" w:hAnsi="宋体" w:cs="宋体" w:eastAsia="宋体" w:hint="default"/>
                            <w:sz w:val="18"/>
                            <w:szCs w:val="18"/>
                          </w:rPr>
                          <w:t>组合采用账龄分析法计提坏账准备。</w:t>
                        </w:r>
                        <w:r>
                          <w:rPr>
                            <w:rFonts w:ascii="宋体" w:hAnsi="宋体" w:cs="宋体" w:eastAsia="宋体" w:hint="default"/>
                            <w:sz w:val="18"/>
                            <w:szCs w:val="18"/>
                          </w:rPr>
                          <w:t> </w:t>
                        </w:r>
                        <w:r>
                          <w:rPr>
                            <w:rFonts w:ascii="宋体" w:hAnsi="宋体" w:cs="宋体" w:eastAsia="宋体" w:hint="default"/>
                            <w:spacing w:val="-3"/>
                            <w:sz w:val="18"/>
                            <w:szCs w:val="18"/>
                          </w:rPr>
                          <w:t>由于应收款项金额重大，若应收账款不能按</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8"/>
                            <w:sz w:val="18"/>
                            <w:szCs w:val="18"/>
                          </w:rPr>
                          <w:t>期收回或无法收回而发生坏账对财务报表</w:t>
                        </w:r>
                        <w:r>
                          <w:rPr>
                            <w:rFonts w:ascii="宋体" w:hAnsi="宋体" w:cs="宋体" w:eastAsia="宋体" w:hint="default"/>
                            <w:spacing w:val="8"/>
                            <w:sz w:val="18"/>
                            <w:szCs w:val="18"/>
                          </w:rPr>
                          <w:t> </w:t>
                        </w:r>
                        <w:r>
                          <w:rPr>
                            <w:rFonts w:ascii="宋体" w:hAnsi="宋体" w:cs="宋体" w:eastAsia="宋体" w:hint="default"/>
                            <w:spacing w:val="-3"/>
                            <w:sz w:val="18"/>
                            <w:szCs w:val="18"/>
                          </w:rPr>
                          <w:t>影响重大，且管理层在确定应收款项减值时</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作出了重大判断，我们将应收款项的可收回</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性及减值确定为关键审计事项。 关于应收账款坏账准备会计政策见附注三、</w:t>
                        </w:r>
                      </w:p>
                      <w:p>
                        <w:pPr>
                          <w:pStyle w:val="TableParagraph"/>
                          <w:spacing w:line="240" w:lineRule="auto" w:before="54"/>
                          <w:ind w:left="2" w:right="0"/>
                          <w:jc w:val="left"/>
                          <w:rPr>
                            <w:rFonts w:ascii="宋体" w:hAnsi="宋体" w:cs="宋体" w:eastAsia="宋体" w:hint="default"/>
                            <w:sz w:val="18"/>
                            <w:szCs w:val="18"/>
                          </w:rPr>
                        </w:pPr>
                        <w:r>
                          <w:rPr>
                            <w:rFonts w:ascii="宋体" w:hAnsi="宋体" w:cs="宋体" w:eastAsia="宋体" w:hint="default"/>
                            <w:spacing w:val="-3"/>
                            <w:sz w:val="18"/>
                            <w:szCs w:val="18"/>
                          </w:rPr>
                          <w:t>（十一）；关于应收账款账面余额及坏账准</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备见附注五、（三）。</w:t>
                        </w:r>
                      </w:p>
                    </w:tc>
                    <w:tc>
                      <w:tcPr>
                        <w:tcW w:w="6238" w:type="dxa"/>
                        <w:tcBorders>
                          <w:top w:val="single" w:sz="6" w:space="0" w:color="000000"/>
                          <w:left w:val="single" w:sz="6" w:space="0" w:color="000000"/>
                          <w:bottom w:val="single" w:sz="6" w:space="0" w:color="000000"/>
                          <w:right w:val="single" w:sz="6" w:space="0" w:color="000000"/>
                        </w:tcBorders>
                      </w:tcPr>
                      <w:p>
                        <w:pPr>
                          <w:pStyle w:val="TableParagraph"/>
                          <w:spacing w:line="477" w:lineRule="auto" w:before="99"/>
                          <w:ind w:left="2" w:right="3"/>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）对于管理层按照信用风险特征组合计提坏账准备的应收账款，通过考虑同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类应收款项组合的实际回款情况及历史坏账发生情况，结合客户信用和市场条件</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等因素，评估管理层将应收款项划分为若干信用风险组合的合理性和各组合对应</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的坏账计提方法及计提比例的恰当性；</w:t>
                        </w:r>
                      </w:p>
                      <w:p>
                        <w:pPr>
                          <w:pStyle w:val="TableParagraph"/>
                          <w:spacing w:line="477" w:lineRule="auto" w:before="54"/>
                          <w:ind w:left="2" w:right="2"/>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）对于采用账龄分析法计提坏账准备的应收账款，结合收入确认时点，测试</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管理层账龄划分的准确性；在核实确认应收账款账龄的基础上，复核应收账款坏</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账准备是否按经董事会批准的会计政策规定的方法和比例提取，其计算和会计处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理是否正确；</w:t>
                        </w:r>
                      </w:p>
                      <w:p>
                        <w:pPr>
                          <w:pStyle w:val="TableParagraph"/>
                          <w:spacing w:line="477" w:lineRule="auto" w:before="54"/>
                          <w:ind w:left="2" w:right="2"/>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6</w:t>
                        </w:r>
                        <w:r>
                          <w:rPr>
                            <w:rFonts w:ascii="宋体" w:hAnsi="宋体" w:cs="宋体" w:eastAsia="宋体" w:hint="default"/>
                            <w:spacing w:val="-3"/>
                            <w:sz w:val="18"/>
                            <w:szCs w:val="18"/>
                          </w:rPr>
                          <w:t>）通过公开渠道查询主要客户的工商登记资料等，评估主要客户的信用风险</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结合信用风险特征及账龄分析，并执行现场查验、应收账款函证程序及检查期后</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回款情况等，评价管理层坏账准备计提的合理性；</w:t>
                        </w:r>
                      </w:p>
                      <w:p>
                        <w:pPr>
                          <w:pStyle w:val="TableParagraph"/>
                          <w:spacing w:line="477" w:lineRule="auto" w:before="54"/>
                          <w:ind w:left="2" w:right="3"/>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7</w:t>
                        </w:r>
                        <w:r>
                          <w:rPr>
                            <w:rFonts w:ascii="宋体" w:hAnsi="宋体" w:cs="宋体" w:eastAsia="宋体" w:hint="default"/>
                            <w:sz w:val="18"/>
                            <w:szCs w:val="18"/>
                          </w:rPr>
                          <w:t>）分析计算资产负债表日坏账准备金额与应收账款余额之间的比率，比较前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期坏账准备计提数和实际发生数，以及本期实际核销坏账情况，分析应收账款坏</w:t>
                        </w:r>
                      </w:p>
                      <w:p>
                        <w:pPr>
                          <w:pStyle w:val="TableParagraph"/>
                          <w:spacing w:line="240" w:lineRule="auto" w:before="54"/>
                          <w:ind w:left="2" w:right="0"/>
                          <w:jc w:val="both"/>
                          <w:rPr>
                            <w:rFonts w:ascii="宋体" w:hAnsi="宋体" w:cs="宋体" w:eastAsia="宋体" w:hint="default"/>
                            <w:sz w:val="18"/>
                            <w:szCs w:val="18"/>
                          </w:rPr>
                        </w:pPr>
                        <w:r>
                          <w:rPr>
                            <w:rFonts w:ascii="宋体" w:hAnsi="宋体" w:cs="宋体" w:eastAsia="宋体" w:hint="default"/>
                            <w:sz w:val="18"/>
                            <w:szCs w:val="18"/>
                          </w:rPr>
                          <w:t>账准备计提是否充分、适当。</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spacing w:line="468" w:lineRule="exact"/>
        <w:ind w:left="4543"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311.2pt;height:23.4pt;mso-position-horizontal-relative:char;mso-position-vertical-relative:line" coordorigin="0,0" coordsize="6224,468">
            <v:group style="position:absolute;left:0;top:0;width:6224;height:468" coordorigin="0,0" coordsize="6224,468">
              <v:shape style="position:absolute;left:0;top:0;width:6224;height:468" coordorigin="0,0" coordsize="6224,468" path="m0,468l6224,468,6224,0,0,0,0,468xe" filled="true" fillcolor="#ffffff" stroked="false">
                <v:path arrowok="t"/>
                <v:fill type="solid"/>
              </v:shape>
            </v:group>
          </v:group>
        </w:pict>
      </w:r>
      <w:r>
        <w:rPr>
          <w:rFonts w:ascii="宋体" w:hAnsi="宋体" w:cs="宋体" w:eastAsia="宋体" w:hint="default"/>
          <w:position w:val="-8"/>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477" w:lineRule="auto" w:before="44"/>
        <w:ind w:left="1494" w:right="1118" w:firstLine="1"/>
        <w:jc w:val="left"/>
      </w:pPr>
      <w:r>
        <w:rPr>
          <w:rFonts w:ascii="宋体" w:hAnsi="宋体" w:cs="宋体" w:eastAsia="宋体" w:hint="default"/>
          <w:b/>
          <w:bCs/>
        </w:rPr>
        <w:t>四、其他信息</w:t>
      </w:r>
      <w:r>
        <w:rPr>
          <w:rFonts w:ascii="宋体" w:hAnsi="宋体" w:cs="宋体" w:eastAsia="宋体" w:hint="default"/>
          <w:b/>
          <w:bCs/>
          <w:w w:val="99"/>
        </w:rPr>
        <w:t> </w:t>
      </w:r>
      <w:r>
        <w:rPr>
          <w:spacing w:val="-2"/>
        </w:rPr>
        <w:t>今天国际管理层（以下简称管理层）对其他信息负责。其他信息包括今天国际</w:t>
      </w:r>
      <w:r>
        <w:rPr>
          <w:rFonts w:ascii="宋体" w:hAnsi="宋体" w:cs="宋体" w:eastAsia="宋体" w:hint="default"/>
          <w:spacing w:val="-2"/>
        </w:rPr>
        <w:t>2017</w:t>
      </w:r>
      <w:r>
        <w:rPr>
          <w:spacing w:val="-2"/>
        </w:rPr>
        <w:t>年年度报告中涵盖的信息，但不包括</w:t>
      </w:r>
    </w:p>
    <w:p>
      <w:pPr>
        <w:pStyle w:val="BodyText"/>
        <w:spacing w:line="477" w:lineRule="auto" w:before="54"/>
        <w:ind w:left="1493" w:right="1118" w:hanging="360"/>
        <w:jc w:val="left"/>
      </w:pPr>
      <w:r>
        <w:rPr/>
        <w:t>财务报表和我们的审计报告。 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477" w:lineRule="auto" w:before="54"/>
        <w:ind w:left="1494" w:right="0" w:hanging="360"/>
        <w:jc w:val="left"/>
      </w:pPr>
      <w:r>
        <w:rPr/>
        <w:t>程中了解到的情况存在重大不一致或者似乎存在重大错报。 </w:t>
      </w:r>
      <w:r>
        <w:rPr>
          <w:spacing w:val="-2"/>
        </w:rPr>
        <w:t>基于我们已执行的工作，如果我们确定其他信息存在重大错报，我们应当报告该事实。在这方面，我们无任何事项需要</w:t>
      </w:r>
    </w:p>
    <w:p>
      <w:pPr>
        <w:pStyle w:val="BodyText"/>
        <w:spacing w:line="240" w:lineRule="auto" w:before="54"/>
        <w:ind w:left="1134" w:right="0"/>
        <w:jc w:val="left"/>
      </w:pPr>
      <w:r>
        <w:rPr/>
        <w:t>报告。</w:t>
      </w:r>
    </w:p>
    <w:p>
      <w:pPr>
        <w:spacing w:line="240" w:lineRule="auto" w:before="10"/>
        <w:rPr>
          <w:rFonts w:ascii="宋体" w:hAnsi="宋体" w:cs="宋体" w:eastAsia="宋体" w:hint="default"/>
          <w:sz w:val="17"/>
          <w:szCs w:val="17"/>
        </w:rPr>
      </w:pPr>
    </w:p>
    <w:p>
      <w:pPr>
        <w:spacing w:line="477" w:lineRule="auto" w:before="0"/>
        <w:ind w:left="1493" w:right="0" w:firstLine="1"/>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w w:val="99"/>
          <w:sz w:val="18"/>
          <w:szCs w:val="18"/>
        </w:rPr>
        <w:t> </w:t>
      </w:r>
      <w:r>
        <w:rPr>
          <w:rFonts w:ascii="宋体" w:hAnsi="宋体" w:cs="宋体" w:eastAsia="宋体" w:hint="default"/>
          <w:spacing w:val="-2"/>
          <w:sz w:val="18"/>
          <w:szCs w:val="18"/>
        </w:rPr>
        <w:t>管理层负责按照企业会计准则的规定编制财务报表，使其实现公允反映，并设计、执行和维护必要的内部控制，以使财</w:t>
      </w:r>
    </w:p>
    <w:p>
      <w:pPr>
        <w:pStyle w:val="BodyText"/>
        <w:spacing w:line="477" w:lineRule="auto" w:before="54"/>
        <w:ind w:left="1493" w:right="0" w:hanging="360"/>
        <w:jc w:val="left"/>
      </w:pPr>
      <w:r>
        <w:rPr/>
        <w:t>务报表不存在由于舞弊或错误导致的重大错报。 </w:t>
      </w:r>
      <w:r>
        <w:rPr>
          <w:spacing w:val="-2"/>
        </w:rPr>
        <w:t>在编制财务报表时，管理层负责评估今天国际的持续经营能力，披露与持续经营相关的事项（如适用），并运用持续经</w:t>
      </w:r>
    </w:p>
    <w:p>
      <w:pPr>
        <w:pStyle w:val="BodyText"/>
        <w:spacing w:line="477" w:lineRule="auto" w:before="54"/>
        <w:ind w:left="1494" w:right="5712" w:hanging="360"/>
        <w:jc w:val="left"/>
      </w:pPr>
      <w:r>
        <w:rPr/>
        <w:t>营假设，除非计划进行清算、终止运营或别无其他现实的选择。 治理层负责监督今天国际的财务报告过程。</w:t>
      </w:r>
    </w:p>
    <w:p>
      <w:pPr>
        <w:spacing w:after="0" w:line="477"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477" w:lineRule="auto" w:before="0"/>
        <w:ind w:left="1493" w:right="0" w:firstLine="1"/>
        <w:jc w:val="left"/>
        <w:rPr>
          <w:rFonts w:ascii="宋体" w:hAnsi="宋体" w:cs="宋体" w:eastAsia="宋体" w:hint="default"/>
          <w:sz w:val="18"/>
          <w:szCs w:val="18"/>
        </w:rPr>
      </w:pPr>
      <w:r>
        <w:rPr>
          <w:rFonts w:ascii="宋体" w:hAnsi="宋体" w:cs="宋体" w:eastAsia="宋体" w:hint="default"/>
          <w:b/>
          <w:bCs/>
          <w:sz w:val="18"/>
          <w:szCs w:val="18"/>
        </w:rPr>
        <w:t>六、注册会计师对财务报表审计的责任</w:t>
      </w:r>
      <w:r>
        <w:rPr>
          <w:rFonts w:ascii="宋体" w:hAnsi="宋体" w:cs="宋体" w:eastAsia="宋体" w:hint="default"/>
          <w:b/>
          <w:bCs/>
          <w:w w:val="99"/>
          <w:sz w:val="18"/>
          <w:szCs w:val="18"/>
        </w:rPr>
        <w:t> </w:t>
      </w:r>
      <w:r>
        <w:rPr>
          <w:rFonts w:ascii="宋体" w:hAnsi="宋体" w:cs="宋体" w:eastAsia="宋体" w:hint="default"/>
          <w:spacing w:val="-2"/>
          <w:sz w:val="18"/>
          <w:szCs w:val="18"/>
        </w:rPr>
        <w:t>我们的目标是对财务报表整体是否不存在由于舞弊或错误导致的重大错报获取合理保证，并出具包含审计意见的审计报</w:t>
      </w:r>
    </w:p>
    <w:p>
      <w:pPr>
        <w:pStyle w:val="BodyText"/>
        <w:spacing w:line="477" w:lineRule="auto" w:before="54"/>
        <w:ind w:right="1132"/>
        <w:jc w:val="both"/>
      </w:pPr>
      <w:r>
        <w:rPr>
          <w:spacing w:val="-2"/>
        </w:rPr>
        <w:t>告。合理保证是高水平的保证，但并不能保证按照审计准则执行的审计在某一重大错报存在时总能发现。错报可能由于舞弊</w:t>
      </w:r>
      <w:r>
        <w:rPr>
          <w:spacing w:val="-66"/>
        </w:rPr>
        <w:t> </w:t>
      </w:r>
      <w:r>
        <w:rPr>
          <w:spacing w:val="-66"/>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pStyle w:val="BodyText"/>
        <w:spacing w:line="240" w:lineRule="auto" w:before="54"/>
        <w:ind w:left="1493" w:right="0"/>
        <w:jc w:val="left"/>
      </w:pPr>
      <w:r>
        <w:rPr/>
        <w:t>在按照审计准则执行审计工作的过程中，我们运用职业判断，并保持职业怀疑。同时，我们也执行以下工作：</w:t>
      </w:r>
    </w:p>
    <w:p>
      <w:pPr>
        <w:spacing w:line="240" w:lineRule="auto" w:before="10"/>
        <w:rPr>
          <w:rFonts w:ascii="宋体" w:hAnsi="宋体" w:cs="宋体" w:eastAsia="宋体" w:hint="default"/>
          <w:sz w:val="17"/>
          <w:szCs w:val="17"/>
        </w:rPr>
      </w:pPr>
    </w:p>
    <w:p>
      <w:pPr>
        <w:pStyle w:val="BodyText"/>
        <w:spacing w:line="477" w:lineRule="auto"/>
        <w:ind w:left="1134" w:right="1032" w:firstLine="360"/>
        <w:jc w:val="left"/>
      </w:pPr>
      <w:r>
        <w:rPr/>
        <w:t>（</w:t>
      </w:r>
      <w:r>
        <w:rPr>
          <w:rFonts w:ascii="宋体" w:hAnsi="宋体" w:cs="宋体" w:eastAsia="宋体" w:hint="default"/>
        </w:rPr>
        <w:t>1</w:t>
      </w:r>
      <w:r>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54"/>
        <w:ind w:left="1493" w:right="0"/>
        <w:jc w:val="left"/>
      </w:pPr>
      <w:r>
        <w:rPr/>
        <w:t>（</w:t>
      </w:r>
      <w:r>
        <w:rPr>
          <w:rFonts w:ascii="宋体" w:hAnsi="宋体" w:cs="宋体" w:eastAsia="宋体" w:hint="default"/>
        </w:rPr>
        <w:t>2</w:t>
      </w:r>
      <w:r>
        <w:rPr/>
        <w:t>）了解与审计相关的内部控制，以设计恰当的审计程序，但目的并非对内部控制的有效性发表意见。</w:t>
      </w:r>
    </w:p>
    <w:p>
      <w:pPr>
        <w:spacing w:line="240" w:lineRule="auto" w:before="10"/>
        <w:rPr>
          <w:rFonts w:ascii="宋体" w:hAnsi="宋体" w:cs="宋体" w:eastAsia="宋体" w:hint="default"/>
          <w:sz w:val="17"/>
          <w:szCs w:val="17"/>
        </w:rPr>
      </w:pPr>
    </w:p>
    <w:p>
      <w:pPr>
        <w:pStyle w:val="BodyText"/>
        <w:spacing w:line="240" w:lineRule="auto"/>
        <w:ind w:left="1493" w:right="0"/>
        <w:jc w:val="left"/>
      </w:pPr>
      <w:r>
        <w:rPr/>
        <w:t>（</w:t>
      </w:r>
      <w:r>
        <w:rPr>
          <w:rFonts w:ascii="宋体" w:hAnsi="宋体" w:cs="宋体" w:eastAsia="宋体" w:hint="default"/>
        </w:rPr>
        <w:t>3</w:t>
      </w:r>
      <w:r>
        <w:rPr/>
        <w:t>）评价管理层选用会计政策的恰当性和作出会计估计及相关披露的合理性。</w:t>
      </w:r>
    </w:p>
    <w:p>
      <w:pPr>
        <w:spacing w:line="240" w:lineRule="auto" w:before="10"/>
        <w:rPr>
          <w:rFonts w:ascii="宋体" w:hAnsi="宋体" w:cs="宋体" w:eastAsia="宋体" w:hint="default"/>
          <w:sz w:val="17"/>
          <w:szCs w:val="17"/>
        </w:rPr>
      </w:pPr>
    </w:p>
    <w:p>
      <w:pPr>
        <w:pStyle w:val="BodyText"/>
        <w:spacing w:line="477" w:lineRule="auto"/>
        <w:ind w:left="1134" w:right="1131" w:firstLine="360"/>
        <w:jc w:val="both"/>
      </w:pPr>
      <w:r>
        <w:rPr/>
        <w:t>（</w:t>
      </w:r>
      <w:r>
        <w:rPr>
          <w:rFonts w:ascii="宋体" w:hAnsi="宋体" w:cs="宋体" w:eastAsia="宋体" w:hint="default"/>
        </w:rPr>
        <w:t>4</w:t>
      </w:r>
      <w:r>
        <w:rPr/>
        <w:t>）对管理层使用持续经营假设的恰当性得出结论。同时，根据获取的审计证据，就可能导致对今天国际持续经营能 </w:t>
      </w:r>
      <w:r>
        <w:rPr>
          <w:spacing w:val="-2"/>
        </w:rPr>
        <w:t>力产生重大疑虑的事项或情况是否存在重大不确定性得出结论。如果我们得出结论认为存在重大不确定性，审计准则要求我</w:t>
      </w:r>
      <w:r>
        <w:rPr>
          <w:spacing w:val="-64"/>
        </w:rPr>
        <w:t> </w:t>
      </w:r>
      <w:r>
        <w:rPr>
          <w:spacing w:val="-64"/>
        </w:rPr>
      </w:r>
      <w:r>
        <w:rPr>
          <w:spacing w:val="-2"/>
        </w:rPr>
        <w:t>们在审计报告中提请报表使用者注意财务报表中的相关披露；如果披露不充分，我们应当发表非无保留意见。我们的结论基</w:t>
      </w:r>
      <w:r>
        <w:rPr>
          <w:spacing w:val="-66"/>
        </w:rPr>
        <w:t> </w:t>
      </w:r>
      <w:r>
        <w:rPr>
          <w:spacing w:val="-66"/>
        </w:rPr>
      </w:r>
      <w:r>
        <w:rPr/>
        <w:t>于截至审计报告日可获得的信息。然而，未来的事项或情况可能导致今天国际不能持续经营。</w:t>
      </w:r>
    </w:p>
    <w:p>
      <w:pPr>
        <w:pStyle w:val="BodyText"/>
        <w:spacing w:line="240" w:lineRule="auto" w:before="54"/>
        <w:ind w:left="1493" w:right="0"/>
        <w:jc w:val="left"/>
      </w:pPr>
      <w:r>
        <w:rPr/>
        <w:t>（</w:t>
      </w:r>
      <w:r>
        <w:rPr>
          <w:rFonts w:ascii="宋体" w:hAnsi="宋体" w:cs="宋体" w:eastAsia="宋体" w:hint="default"/>
        </w:rPr>
        <w:t>5</w:t>
      </w:r>
      <w:r>
        <w:rPr/>
        <w:t>）评价财务报表的总体列报、结构和内容（包括披露），并评价财务报表是否公允反映相关交易和事项。</w:t>
      </w:r>
    </w:p>
    <w:p>
      <w:pPr>
        <w:spacing w:line="240" w:lineRule="auto" w:before="10"/>
        <w:rPr>
          <w:rFonts w:ascii="宋体" w:hAnsi="宋体" w:cs="宋体" w:eastAsia="宋体" w:hint="default"/>
          <w:sz w:val="17"/>
          <w:szCs w:val="17"/>
        </w:rPr>
      </w:pPr>
    </w:p>
    <w:p>
      <w:pPr>
        <w:pStyle w:val="BodyText"/>
        <w:spacing w:line="477" w:lineRule="auto"/>
        <w:ind w:left="1134" w:right="1122" w:firstLine="360"/>
        <w:jc w:val="left"/>
      </w:pPr>
      <w:r>
        <w:rPr/>
        <w:t>（</w:t>
      </w:r>
      <w:r>
        <w:rPr>
          <w:rFonts w:ascii="宋体" w:hAnsi="宋体" w:cs="宋体" w:eastAsia="宋体" w:hint="default"/>
        </w:rPr>
        <w:t>6</w:t>
      </w:r>
      <w:r>
        <w:rPr/>
        <w:t>）就今天国际中实体或业务活动的财务信息获取充分、适当的审计证据，以对财务报表发表审计意见。我们负责指 导、监督和执行集团审计，并对审计意见承担全部责任。</w:t>
      </w:r>
    </w:p>
    <w:p>
      <w:pPr>
        <w:pStyle w:val="BodyText"/>
        <w:spacing w:line="477" w:lineRule="auto" w:before="54"/>
        <w:ind w:left="1134" w:right="0" w:firstLine="360"/>
        <w:jc w:val="left"/>
      </w:pPr>
      <w:r>
        <w:rPr>
          <w:spacing w:val="-2"/>
        </w:rPr>
        <w:t>我们与治理层就计划的审计范围、时间安排和重大审计发现等事项进行沟通，包括沟通我们在审计中识别出的值得关注</w:t>
      </w:r>
      <w:r>
        <w:rPr/>
        <w:t> 的内部控制缺陷。</w:t>
      </w:r>
    </w:p>
    <w:p>
      <w:pPr>
        <w:pStyle w:val="BodyText"/>
        <w:spacing w:line="477" w:lineRule="auto" w:before="54"/>
        <w:ind w:left="1134" w:right="0" w:firstLine="360"/>
        <w:jc w:val="left"/>
      </w:pPr>
      <w:r>
        <w:rPr>
          <w:spacing w:val="-2"/>
        </w:rPr>
        <w:t>我们还就已遵守与独立性相关的职业道德要求向治理层提供声明，并与治理层沟通可能被合理认为影响我们独立性的所</w:t>
      </w:r>
      <w:r>
        <w:rPr/>
        <w:t> 有关系和其他事项，以及相关的防范措施。</w:t>
      </w:r>
    </w:p>
    <w:p>
      <w:pPr>
        <w:pStyle w:val="BodyText"/>
        <w:spacing w:line="477" w:lineRule="auto" w:before="54"/>
        <w:ind w:left="1134" w:right="1131"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6"/>
        </w:rPr>
        <w:t> </w:t>
      </w:r>
      <w:r>
        <w:rPr>
          <w:spacing w:val="-66"/>
        </w:rPr>
      </w:r>
      <w:r>
        <w:rPr/>
        <w:t>的负面后果超过在公众利益方面产生的益处，我们确定不应在审计报告中沟通该事项。</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1"/>
          <w:szCs w:val="21"/>
        </w:rPr>
      </w:pPr>
    </w:p>
    <w:p>
      <w:pPr>
        <w:pStyle w:val="Heading4"/>
        <w:tabs>
          <w:tab w:pos="3749" w:val="left" w:leader="none"/>
        </w:tabs>
        <w:spacing w:line="240" w:lineRule="auto"/>
        <w:ind w:left="1408" w:right="0"/>
        <w:jc w:val="left"/>
        <w:rPr>
          <w:b w:val="0"/>
          <w:bCs w:val="0"/>
        </w:rPr>
      </w:pPr>
      <w:r>
        <w:rPr>
          <w:w w:val="95"/>
        </w:rPr>
        <w:t>立信会计师事务所</w:t>
        <w:tab/>
      </w:r>
      <w:r>
        <w:rPr/>
        <w:t>中国注册会计师：崔岩（项目合伙人）</w:t>
      </w:r>
      <w:r>
        <w:rPr>
          <w:b w:val="0"/>
          <w:bCs w:val="0"/>
        </w:rPr>
      </w:r>
    </w:p>
    <w:p>
      <w:pPr>
        <w:spacing w:line="240" w:lineRule="auto" w:before="10"/>
        <w:rPr>
          <w:rFonts w:ascii="宋体" w:hAnsi="宋体" w:cs="宋体" w:eastAsia="宋体" w:hint="default"/>
          <w:b/>
          <w:bCs/>
          <w:sz w:val="17"/>
          <w:szCs w:val="17"/>
        </w:rPr>
      </w:pPr>
    </w:p>
    <w:p>
      <w:pPr>
        <w:pStyle w:val="Heading4"/>
        <w:tabs>
          <w:tab w:pos="3758" w:val="left" w:leader="none"/>
        </w:tabs>
        <w:spacing w:line="240" w:lineRule="auto"/>
        <w:ind w:left="1408" w:right="0"/>
        <w:jc w:val="left"/>
        <w:rPr>
          <w:b w:val="0"/>
          <w:bCs w:val="0"/>
        </w:rPr>
      </w:pPr>
      <w:r>
        <w:rPr>
          <w:w w:val="95"/>
        </w:rPr>
        <w:t>（特殊普通合伙）</w:t>
        <w:tab/>
      </w:r>
      <w:r>
        <w:rPr/>
        <w:t>中国注册会计师：付忠伟</w:t>
      </w:r>
      <w:r>
        <w:rPr>
          <w:b w:val="0"/>
          <w:bCs w:val="0"/>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7"/>
          <w:szCs w:val="17"/>
        </w:rPr>
      </w:pPr>
    </w:p>
    <w:p>
      <w:pPr>
        <w:pStyle w:val="Heading4"/>
        <w:tabs>
          <w:tab w:pos="3996" w:val="left" w:leader="none"/>
        </w:tabs>
        <w:spacing w:line="240" w:lineRule="auto"/>
        <w:ind w:left="1408" w:right="0"/>
        <w:jc w:val="left"/>
        <w:rPr>
          <w:b w:val="0"/>
          <w:bCs w:val="0"/>
        </w:rPr>
      </w:pPr>
      <w:r>
        <w:rPr>
          <w:w w:val="95"/>
        </w:rPr>
        <w:t>中国</w:t>
      </w:r>
      <w:r>
        <w:rPr>
          <w:rFonts w:ascii="Times New Roman" w:hAnsi="Times New Roman" w:cs="Times New Roman" w:eastAsia="Times New Roman" w:hint="default"/>
          <w:w w:val="95"/>
        </w:rPr>
        <w:t>•</w:t>
      </w:r>
      <w:r>
        <w:rPr>
          <w:w w:val="95"/>
        </w:rPr>
        <w:t>上海</w:t>
        <w:tab/>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24</w:t>
      </w:r>
      <w:r>
        <w:rPr/>
        <w:t>日</w:t>
      </w:r>
      <w:r>
        <w:rPr>
          <w:b w:val="0"/>
          <w:bCs w:val="0"/>
        </w:rPr>
      </w:r>
    </w:p>
    <w:p>
      <w:pPr>
        <w:spacing w:after="0" w:line="240" w:lineRule="auto"/>
        <w:jc w:val="left"/>
        <w:sectPr>
          <w:footerReference w:type="default" r:id="rId16"/>
          <w:pgSz w:w="11910" w:h="16840"/>
          <w:pgMar w:footer="979" w:header="747" w:top="1060" w:bottom="1160" w:left="0" w:right="0"/>
          <w:pgNumType w:start="74"/>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二、财务报表" w:id="152"/>
      <w:bookmarkEnd w:id="152"/>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合并资产负债表" w:id="153"/>
      <w:bookmarkEnd w:id="153"/>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9"/>
        <w:rPr>
          <w:rFonts w:ascii="宋体" w:hAnsi="宋体" w:cs="宋体" w:eastAsia="宋体" w:hint="default"/>
          <w:b/>
          <w:bCs/>
          <w:sz w:val="26"/>
          <w:szCs w:val="26"/>
        </w:rPr>
      </w:pPr>
    </w:p>
    <w:p>
      <w:pPr>
        <w:pStyle w:val="BodyText"/>
        <w:tabs>
          <w:tab w:pos="9235" w:val="left" w:leader="none"/>
        </w:tabs>
        <w:spacing w:line="338" w:lineRule="auto"/>
        <w:ind w:left="10053" w:right="1130" w:hanging="8920"/>
        <w:jc w:val="right"/>
      </w:pPr>
      <w:r>
        <w:rPr/>
        <w:t>编制单位：深圳市今天国际物流技术股份有限公司</w:t>
        <w:tab/>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 单位：元</w:t>
      </w:r>
    </w:p>
    <w:p>
      <w:pPr>
        <w:spacing w:line="240" w:lineRule="auto" w:before="6"/>
        <w:rPr>
          <w:rFonts w:ascii="宋体" w:hAnsi="宋体" w:cs="宋体" w:eastAsia="宋体" w:hint="default"/>
          <w:sz w:val="2"/>
          <w:szCs w:val="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303,840,073.27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262,685,042.04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66,861,481.16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33,361,634.00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454,857,239.34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388,180,151.57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21,720,090.03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25,803,142.91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20,610,034.07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33,978,348.84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117,195,135.06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51,481,847.36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66,058,428.44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200,205,694.02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1,051,142,481.37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995,695,860.74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37,788,885.39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16,504,757.71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17,147,849.35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71,505,732.47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17,457,717.40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95,562,603.83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96,068,002.78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13,886,156.21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16,548,030.55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78,146.54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150,281.90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14,404,620.54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9,382,686.98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8,330,563.29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249,730,902.69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165,085,132.25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1,300,873,384.06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1,160,780,992.99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11,656,740.00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1,952,400.00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191,984,600.14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124,288,586.87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110,753,457.95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151,525,033.89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10,941,025.25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8,228,204.67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16,115,732.82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13,590,139.54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130,334.72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123,368.05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64,214,682.19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10,183,710.87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41,589,955.50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37,612,339.34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487,386,528.57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357,503,783.23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15,218,201.83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14,657,774.73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13,306,901.38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16,262,231.20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105,697.16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47,744.79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28,630,800.37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70,967,750.72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516,017,328.94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428,471,533.95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154,029,600.00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347,759,224.35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358,537,000.35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49,800,960.00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-508,568.50</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-36,774.64</w:t>
            </w:r>
            <w:r>
              <w:rPr>
                <w:rFonts w:ascii="Times New Roman"/>
                <w:sz w:val="18"/>
              </w:rPr>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43,174,929.12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34,945,063.28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289,439,097.51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254,864,170.05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784,093,322.48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732,309,459.04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762,732.64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784,856,055.12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732,309,459.04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1,300,873,384.06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1,160,780,992.99</w:t>
            </w: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561" w:val="left" w:leader="none"/>
        </w:tabs>
        <w:spacing w:line="240" w:lineRule="auto" w:before="44"/>
        <w:ind w:left="0" w:right="1229"/>
        <w:jc w:val="right"/>
      </w:pPr>
      <w:r>
        <w:rPr/>
        <w:t>法定代表人：邵健伟</w:t>
        <w:tab/>
        <w:t>主管会计工作负责人：张永清</w:t>
        <w:tab/>
        <w:t>会计机构负责人：蓝国斌</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母公司资产负债表" w:id="154"/>
      <w:bookmarkEnd w:id="154"/>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265,122,212.95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241,319,383.65</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66,861,481.16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33,361,634.00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454,798,739.34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387,848,432.07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18,256,313.44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25,527,930.06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19,795,737.89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33,384,083.26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112,499,159.75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35,535,530.86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63,776,721.95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200,205,694.02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1,001,110,366.48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957,182,687.92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102,242,915.12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35,482,429.73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29,501,070.46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17,147,849.35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57,629,655.73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12,865,048.03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95,354,245.68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96,068,002.78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13,825,688.94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13,755,215.28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78,146.54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150,281.90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12,415,661.47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9,271,644.79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8,330,563.29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311,047,383.94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193,071,035.15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1,312,157,750.42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1,150,253,723.07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11,656,740.00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2,742,626.60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264,654,795.36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149,915,436.38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107,409,856.95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151,525,033.89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7,248,550.35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5,788,902.52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6,949,886.47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10,324,359.60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130,334.72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123,368.05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62,499,682.77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10,598,347.07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41,589,955.50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37,612,339.34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542,139,802.12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378,630,413.45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14,373,284.28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14,352,910.53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13,306,901.38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16,262,231.20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27,680,185.66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70,615,141.73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569,819,987.78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449,245,555.18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154,029,600.00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342,084,642.27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352,862,418.27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49,800,960.00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-19,927.65</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43,174,929.12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34,945,063.28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252,869,478.90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229,200,686.34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742,337,762.64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701,008,167.89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1,312,157,750.42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1,150,253,723.07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134" w:right="0"/>
        <w:jc w:val="left"/>
        <w:rPr>
          <w:b w:val="0"/>
          <w:bCs w:val="0"/>
        </w:rPr>
      </w:pPr>
      <w:bookmarkStart w:name="3、合并利润表" w:id="155"/>
      <w:bookmarkEnd w:id="155"/>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569,617,745.01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398,637,531.94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569,617,745.01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398,637,531.94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95"/>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485,783,493.26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343,712,803.14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360,164,427.96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251,569,135.78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95"/>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380.599976pt;width:157.7pt;height:19.650pt;mso-position-horizontal-relative:page;mso-position-vertical-relative:page;z-index:-880864" coordorigin="4242,7612" coordsize="3154,393">
            <v:shape style="position:absolute;left:4242;top:7612;width:3154;height:393" coordorigin="4242,7612" coordsize="3154,393" path="m4242,8004l7396,8004,7396,7612,4242,7612,4242,8004xe" filled="true" fillcolor="#ffffff" stroked="false">
              <v:path arrowok="t"/>
              <v:fill type="solid"/>
            </v:shape>
            <w10:wrap type="none"/>
          </v:group>
        </w:pict>
      </w:r>
      <w:r>
        <w:rPr/>
        <w:pict>
          <v:group style="position:absolute;margin-left:212.119995pt;margin-top:516.820007pt;width:157.7pt;height:19.650pt;mso-position-horizontal-relative:page;mso-position-vertical-relative:page;z-index:-880840" coordorigin="4242,10336" coordsize="3154,393">
            <v:shape style="position:absolute;left:4242;top:10336;width:3154;height:393" coordorigin="4242,10336" coordsize="3154,393" path="m4242,10729l7396,10729,7396,10336,4242,10336,4242,1072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3080"/>
        <w:gridCol w:w="1060"/>
        <w:gridCol w:w="2151"/>
        <w:gridCol w:w="3278"/>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5,391,630.94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3,713,776.49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31,238,930.28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26,166,352.44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85,642,822.25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55,517,372.02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-1,705,654.32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-539,927.60</w:t>
            </w:r>
            <w:r>
              <w:rPr>
                <w:rFonts w:ascii="Times New Roman"/>
                <w:sz w:val="18"/>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5,051,336.15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7,286,094.01</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12,091,768.93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1,236,712.33</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3,077,313.42</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119"/>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1"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6"/>
                <w:sz w:val="18"/>
                <w:szCs w:val="18"/>
              </w:rPr>
              <w:t>益</w:t>
            </w:r>
            <w:r>
              <w:rPr>
                <w:rFonts w:ascii="宋体" w:hAnsi="宋体" w:cs="宋体" w:eastAsia="宋体" w:hint="default"/>
                <w:sz w:val="18"/>
                <w:szCs w:val="18"/>
              </w:rPr>
              <w:t>（损失以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50,017.56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92,292.31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6,027,404.73</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102,003,442.97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56,253,733.44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6,910,732.98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7,189,926.35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1,828,535.44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76,133.89</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60"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97" w:right="0"/>
              <w:jc w:val="left"/>
              <w:rPr>
                <w:rFonts w:ascii="Times New Roman" w:hAnsi="Times New Roman" w:cs="Times New Roman" w:eastAsia="Times New Roman" w:hint="default"/>
                <w:sz w:val="18"/>
                <w:szCs w:val="18"/>
              </w:rPr>
            </w:pPr>
            <w:r>
              <w:rPr>
                <w:rFonts w:ascii="Times New Roman"/>
                <w:sz w:val="18"/>
              </w:rPr>
              <w:t>107,085,640.51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63,367,525.90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14,250,114.57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8,727,233.05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92,835,525.94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54,640,292.85</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92,835,525.94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54,640,292.85</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93,204,793.30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54,640,292.85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-369,267.36</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-471,793.86</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439,853.41</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-471,793.86</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439,853.41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21"/>
              <w:jc w:val="righ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36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-471,793.86</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439,853.41</w:t>
            </w: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-19,927.65</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-451,866.21</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439,853.41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92,363,732.08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55,080,146.26</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92,732,999.44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55,080,146.26</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-369,267.36</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0.41</w:t>
            </w:r>
          </w:p>
        </w:tc>
      </w:tr>
    </w:tbl>
    <w:p>
      <w:pPr>
        <w:pStyle w:val="BodyText"/>
        <w:tabs>
          <w:tab w:pos="4554" w:val="left" w:leader="none"/>
          <w:tab w:pos="8695" w:val="left" w:leader="none"/>
        </w:tabs>
        <w:spacing w:line="624" w:lineRule="auto" w:before="51"/>
        <w:ind w:right="1229"/>
        <w:jc w:val="left"/>
      </w:pPr>
      <w:r>
        <w:rPr/>
        <w:t>本期发生同一控制下企业合并的，被合并方在合并前实现的净利润为：元，上期被合并方实现的净利润为：元。 法定代表人：邵健伟</w:t>
        <w:tab/>
        <w:t>主管会计工作负责人：张永清</w:t>
        <w:tab/>
        <w:t>会计机构负责人：蓝国斌</w:t>
      </w:r>
    </w:p>
    <w:p>
      <w:pPr>
        <w:pStyle w:val="Heading3"/>
        <w:spacing w:line="240" w:lineRule="auto" w:before="63"/>
        <w:ind w:right="0"/>
        <w:jc w:val="left"/>
        <w:rPr>
          <w:b w:val="0"/>
          <w:bCs w:val="0"/>
        </w:rPr>
      </w:pPr>
      <w:bookmarkStart w:name="4、母公司利润表" w:id="156"/>
      <w:bookmarkEnd w:id="156"/>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569,674,893.11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396,610,343.90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400,352,522.46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269,844,542.50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4,180,738.68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3,101,351.06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27,349,205.47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23,163,918.05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68,577,542.96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46,604,643.46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-1,382,277.10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-593,295.73</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5,035,548.94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7,697,180.90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23,087,589.29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1,236,712.33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3,077,313.42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50,017.56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6,027,404.73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94,726,623.28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48,028,715.99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2,002,891.30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5,145,417.78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1,828,498.98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75,836.30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94,901,015.60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53,098,297.47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12,602,357.20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8,536,673.52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82,298,658.40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44,561,623.95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82,298,658.40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44,561,623.95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-19,927.65</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-19,927.65</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-19,927.65</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82,278,730.75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44,561,623.95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134" w:right="0"/>
        <w:jc w:val="left"/>
        <w:rPr>
          <w:b w:val="0"/>
          <w:bCs w:val="0"/>
        </w:rPr>
      </w:pPr>
      <w:bookmarkStart w:name="5、合并现金流量表" w:id="157"/>
      <w:bookmarkEnd w:id="157"/>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517,432,854.86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375,747,911.81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5,953,119.17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2,196,790.71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52,955,081.57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44,768,722.64</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576,341,055.60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422,713,425.16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378,483,316.71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273,089,605.01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8"/>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63,050,833.21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47,613,964.99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61,423,355.48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30,852,165.19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73,455,078.12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72,706,719.30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576,412,583.52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424,262,454.49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-71,527.92</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-1,549,029.33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5,288,905.04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1,236,712.33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145,353,905.04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1,356,712.33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56,595,416.24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33,927,756.68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34,731,499.62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919,617.58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92,246,533.44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233,927,756.68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53,107,371.60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-232,571,044.35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50,932,960.00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319,156,800.00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1,132,000.00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50,932,960.00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319,156,800.00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52,819,465.28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2,612,500.00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8,421,766.04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62,819,465.28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11,034,266.04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-11,886,505.28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308,122,533.96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-230,406.23</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381,095.09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40,918,932.17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74,383,555.37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248,562,844.09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174,179,288.72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289,481,776.26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248,562,844.09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134" w:right="0"/>
        <w:jc w:val="left"/>
        <w:rPr>
          <w:b w:val="0"/>
          <w:bCs w:val="0"/>
        </w:rPr>
      </w:pPr>
      <w:bookmarkStart w:name="6、母公司现金流量表" w:id="158"/>
      <w:bookmarkEnd w:id="158"/>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513,046,633.86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372,049,651.81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1,358,024.64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77,667.33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52,453,050.43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49,882,393.04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566,857,708.93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422,009,712.18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375,304,619.50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293,089,412.17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41,593,695.07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34,143,981.78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51,932,274.21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24,495,884.52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74,862,598.09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69,871,658.94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543,693,186.87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421,600,937.41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23,164,522.06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408,774.77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141,023,900.00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4,904,675.87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1,236,712.33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145,993,575.87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1,356,712.33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55,979,424.74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33,733,733.68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76,597,499.62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132,576,924.36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243,733,733.68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13,416,651.51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-242,377,021.35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49,800,960.00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319,156,800.00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49,800,960.00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319,156,800.00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52,819,465.28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2,612,500.00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8,421,766.04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62,819,465.28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11,034,266.04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-13,018,505.28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308,122,533.96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4,061.95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1,776.40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23,566,730.24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66,156,063.78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227,197,185.70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161,041,121.92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250,763,915.94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227,197,185.70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7、合并所有者权益变动表" w:id="159"/>
      <w:bookmarkEnd w:id="159"/>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本期金额</w:t>
      </w:r>
    </w:p>
    <w:p>
      <w:pPr>
        <w:pStyle w:val="BodyText"/>
        <w:spacing w:line="240" w:lineRule="auto" w:before="117"/>
        <w:ind w:left="0" w:right="1130"/>
        <w:jc w:val="right"/>
      </w:pPr>
      <w:r>
        <w:rPr/>
        <w:t>单位：元</w:t>
      </w:r>
    </w:p>
    <w:p>
      <w:pPr>
        <w:spacing w:after="0" w:line="240" w:lineRule="auto"/>
        <w:jc w:val="right"/>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4"/>
        <w:gridCol w:w="666"/>
        <w:gridCol w:w="665"/>
        <w:gridCol w:w="665"/>
        <w:gridCol w:w="659"/>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15" w:type="dxa"/>
            <w:vMerge/>
            <w:tcBorders>
              <w:left w:val="single" w:sz="4" w:space="0" w:color="000000"/>
              <w:right w:val="single" w:sz="4" w:space="0" w:color="000000"/>
            </w:tcBorders>
            <w:shd w:val="clear" w:color="auto" w:fill="D2D2D2"/>
          </w:tcPr>
          <w:p>
            <w:pPr/>
          </w:p>
        </w:tc>
        <w:tc>
          <w:tcPr>
            <w:tcW w:w="6821"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21"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5"/>
              <w:ind w:left="10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358,537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,000.35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-36,774.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64</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34,945,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063.28</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254,864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,170.05</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732,309</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,459.04</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358,537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,000.35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-36,774.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64</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34,945,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063.28</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254,864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,170.05</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732,309</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,459.04</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-10,777,</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776.00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49,800,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960.00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-471,79</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3.86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8,229,8</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65.84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34,574,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927.46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762,732</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.64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52,546,</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596.08</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-471,79</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3.86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93,204,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793.30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92,732,</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999.44</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2,829,</w:t>
            </w:r>
          </w:p>
          <w:p>
            <w:pPr>
              <w:pStyle w:val="TableParagraph"/>
              <w:spacing w:line="240" w:lineRule="auto" w:before="106"/>
              <w:ind w:left="35" w:right="0"/>
              <w:jc w:val="left"/>
              <w:rPr>
                <w:rFonts w:ascii="Times New Roman" w:hAnsi="Times New Roman" w:cs="Times New Roman" w:eastAsia="Times New Roman" w:hint="default"/>
                <w:sz w:val="18"/>
                <w:szCs w:val="18"/>
              </w:rPr>
            </w:pPr>
            <w:r>
              <w:rPr>
                <w:rFonts w:ascii="Times New Roman"/>
                <w:sz w:val="18"/>
              </w:rPr>
              <w:t>600.00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56,422,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224.00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49,800,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960.00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762,732</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.64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10,213,</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596.64</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2,829,</w:t>
            </w:r>
          </w:p>
          <w:p>
            <w:pPr>
              <w:pStyle w:val="TableParagraph"/>
              <w:spacing w:line="240" w:lineRule="auto" w:before="106"/>
              <w:ind w:left="35" w:right="0"/>
              <w:jc w:val="left"/>
              <w:rPr>
                <w:rFonts w:ascii="Times New Roman" w:hAnsi="Times New Roman" w:cs="Times New Roman" w:eastAsia="Times New Roman" w:hint="default"/>
                <w:sz w:val="18"/>
                <w:szCs w:val="18"/>
              </w:rPr>
            </w:pPr>
            <w:r>
              <w:rPr>
                <w:rFonts w:ascii="Times New Roman"/>
                <w:sz w:val="18"/>
              </w:rPr>
              <w:t>600.00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46,971,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360.00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49,800,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960.00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762,732</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.64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762,732</w:t>
            </w:r>
          </w:p>
          <w:p>
            <w:pPr>
              <w:pStyle w:val="TableParagraph"/>
              <w:spacing w:line="240" w:lineRule="auto" w:before="106"/>
              <w:ind w:left="400" w:right="0"/>
              <w:jc w:val="left"/>
              <w:rPr>
                <w:rFonts w:ascii="Times New Roman" w:hAnsi="Times New Roman" w:cs="Times New Roman" w:eastAsia="Times New Roman" w:hint="default"/>
                <w:sz w:val="18"/>
                <w:szCs w:val="18"/>
              </w:rPr>
            </w:pPr>
            <w:r>
              <w:rPr>
                <w:rFonts w:ascii="Times New Roman"/>
                <w:sz w:val="18"/>
              </w:rPr>
              <w:t>.64</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9,450,8</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64.00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9,450,8</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64.00</w:t>
            </w: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8,229,8</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65.84</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-58,629,</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865.84</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-50,400,</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8,229,8</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65.84</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-8,229,8</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65.84</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-50,400,</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-50,400,</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67,200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-67,200,</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67,200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-67,200,</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154,02</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9,600.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347,759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,224.35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49,800,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960.00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-508,56</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8.50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43,174,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929.12</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289,439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,097.51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762,732</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.64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784,856</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,055.12</w:t>
            </w:r>
          </w:p>
        </w:tc>
      </w:tr>
    </w:tbl>
    <w:p>
      <w:pPr>
        <w:pStyle w:val="BodyText"/>
        <w:spacing w:line="240" w:lineRule="auto" w:before="51"/>
        <w:ind w:left="1134" w:right="0"/>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5"/>
        <w:gridCol w:w="665"/>
        <w:gridCol w:w="678"/>
        <w:gridCol w:w="652"/>
        <w:gridCol w:w="659"/>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4"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15" w:type="dxa"/>
            <w:vMerge/>
            <w:tcBorders>
              <w:left w:val="single" w:sz="4" w:space="0" w:color="000000"/>
              <w:right w:val="single" w:sz="4" w:space="0" w:color="000000"/>
            </w:tcBorders>
            <w:shd w:val="clear" w:color="auto" w:fill="D2D2D2"/>
          </w:tcPr>
          <w:p>
            <w:pPr/>
          </w:p>
        </w:tc>
        <w:tc>
          <w:tcPr>
            <w:tcW w:w="6834"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34"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10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69,436,</w:t>
            </w:r>
          </w:p>
          <w:p>
            <w:pPr>
              <w:pStyle w:val="TableParagraph"/>
              <w:spacing w:line="240" w:lineRule="auto" w:before="106"/>
              <w:ind w:left="137" w:right="0"/>
              <w:jc w:val="left"/>
              <w:rPr>
                <w:rFonts w:ascii="Times New Roman" w:hAnsi="Times New Roman" w:cs="Times New Roman" w:eastAsia="Times New Roman" w:hint="default"/>
                <w:sz w:val="18"/>
                <w:szCs w:val="18"/>
              </w:rPr>
            </w:pPr>
            <w:r>
              <w:rPr>
                <w:rFonts w:ascii="Times New Roman"/>
                <w:sz w:val="18"/>
              </w:rPr>
              <w:t>938.37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-476,62</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8.05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30,488,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900.88</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204,680</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,039.60</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367,129</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,250.80</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69,436,</w:t>
            </w:r>
          </w:p>
          <w:p>
            <w:pPr>
              <w:pStyle w:val="TableParagraph"/>
              <w:spacing w:line="240" w:lineRule="auto" w:before="106"/>
              <w:ind w:left="137" w:right="0"/>
              <w:jc w:val="left"/>
              <w:rPr>
                <w:rFonts w:ascii="Times New Roman" w:hAnsi="Times New Roman" w:cs="Times New Roman" w:eastAsia="Times New Roman" w:hint="default"/>
                <w:sz w:val="18"/>
                <w:szCs w:val="18"/>
              </w:rPr>
            </w:pPr>
            <w:r>
              <w:rPr>
                <w:rFonts w:ascii="Times New Roman"/>
                <w:sz w:val="18"/>
              </w:rPr>
              <w:t>938.37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-476,62</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8.05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30,488,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900.88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204,680</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,039.60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367,129</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,250.80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289,100</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,061.98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439,853</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.41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4,456,1</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62.40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50,184,</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130.45</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365,180</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,208.24</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439,853</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.41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54,640,</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292.85</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55,080,</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146.26</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289,100</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,061.98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310,100</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,061.98</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289,100</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,061.98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310,100</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,061.98</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4,456,1</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62.40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-4,456,1</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62.40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4,456,1</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62.40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-4,456,1</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62.40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358,537</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,000.35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-36,774.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34,945,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063.28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254,864</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,170.05</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732,309</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,459.04</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134" w:right="0"/>
        <w:jc w:val="left"/>
        <w:rPr>
          <w:b w:val="0"/>
          <w:bCs w:val="0"/>
        </w:rPr>
      </w:pPr>
      <w:bookmarkStart w:name="8、母公司所有者权益变动表" w:id="160"/>
      <w:bookmarkEnd w:id="160"/>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30"/>
        <w:gridCol w:w="703"/>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2"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84,000,0</w:t>
            </w:r>
          </w:p>
          <w:p>
            <w:pPr>
              <w:pStyle w:val="TableParagraph"/>
              <w:spacing w:line="240" w:lineRule="auto" w:before="106"/>
              <w:ind w:left="258"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352,862,4</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18.27</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34,945,06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3.28</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9"/>
              <w:ind w:left="58" w:right="0"/>
              <w:jc w:val="left"/>
              <w:rPr>
                <w:rFonts w:ascii="Times New Roman" w:hAnsi="Times New Roman" w:cs="Times New Roman" w:eastAsia="Times New Roman" w:hint="default"/>
                <w:sz w:val="18"/>
                <w:szCs w:val="18"/>
              </w:rPr>
            </w:pPr>
            <w:r>
              <w:rPr>
                <w:rFonts w:ascii="Times New Roman"/>
                <w:sz w:val="18"/>
              </w:rPr>
              <w:t>229,200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,686.34</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9"/>
              <w:ind w:left="27" w:right="0"/>
              <w:jc w:val="left"/>
              <w:rPr>
                <w:rFonts w:ascii="Times New Roman" w:hAnsi="Times New Roman" w:cs="Times New Roman" w:eastAsia="Times New Roman" w:hint="default"/>
                <w:sz w:val="18"/>
                <w:szCs w:val="18"/>
              </w:rPr>
            </w:pPr>
            <w:r>
              <w:rPr>
                <w:rFonts w:ascii="Times New Roman"/>
                <w:sz w:val="18"/>
              </w:rPr>
              <w:t>701,008,1</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67.89</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84,000,0</w:t>
            </w:r>
          </w:p>
          <w:p>
            <w:pPr>
              <w:pStyle w:val="TableParagraph"/>
              <w:spacing w:line="240" w:lineRule="auto" w:before="106"/>
              <w:ind w:left="258"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352,862,4</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18.27</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34,945,06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3.28</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229,200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,686.34</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701,008,1</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67.89</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70,029,6</w:t>
            </w:r>
          </w:p>
          <w:p>
            <w:pPr>
              <w:pStyle w:val="TableParagraph"/>
              <w:spacing w:line="240" w:lineRule="auto" w:before="106"/>
              <w:ind w:left="258"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-10,777,7</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76.00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49,800,96</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-19,927.6</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8,229,865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23,668,</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792.56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41,329,59</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4.75</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-19,927.6</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82,298,</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658.40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82,278,73</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0.75</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2,829,60</w:t>
            </w:r>
          </w:p>
          <w:p>
            <w:pPr>
              <w:pStyle w:val="TableParagraph"/>
              <w:spacing w:line="240" w:lineRule="auto" w:before="106"/>
              <w:ind w:left="348"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56,422,22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49,800,96</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9,450,864</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2,829,60</w:t>
            </w:r>
          </w:p>
          <w:p>
            <w:pPr>
              <w:pStyle w:val="TableParagraph"/>
              <w:spacing w:line="240" w:lineRule="auto" w:before="106"/>
              <w:ind w:left="348"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46,971,36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49,800,96</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9,450,864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9,450,864</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8,229,865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-58,629,</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865.84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-50,400,0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8,229,865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-8,229,8</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65.84</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-50,400,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-50,400,0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67,200,0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-67,200,0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67,200,0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-67,200,0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154,029,</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600.00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342,084,6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42.27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49,800,96</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-19,927.6</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43,174,92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9.12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252,869</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,478.90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742,337,7</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62.64</w:t>
            </w:r>
          </w:p>
        </w:tc>
      </w:tr>
    </w:tbl>
    <w:p>
      <w:pPr>
        <w:pStyle w:val="BodyText"/>
        <w:spacing w:line="240" w:lineRule="auto" w:before="51"/>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63,000,0</w:t>
            </w:r>
          </w:p>
          <w:p>
            <w:pPr>
              <w:pStyle w:val="TableParagraph"/>
              <w:spacing w:line="240" w:lineRule="auto" w:before="106"/>
              <w:ind w:left="258"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63,762,35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6.29</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30,488,90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0.88</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189,095</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,224.79</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27" w:right="0"/>
              <w:jc w:val="left"/>
              <w:rPr>
                <w:rFonts w:ascii="Times New Roman" w:hAnsi="Times New Roman" w:cs="Times New Roman" w:eastAsia="Times New Roman" w:hint="default"/>
                <w:sz w:val="18"/>
                <w:szCs w:val="18"/>
              </w:rPr>
            </w:pPr>
            <w:r>
              <w:rPr>
                <w:rFonts w:ascii="Times New Roman"/>
                <w:sz w:val="18"/>
              </w:rPr>
              <w:t>346,346,4</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81.96</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63,000,0</w:t>
            </w:r>
          </w:p>
          <w:p>
            <w:pPr>
              <w:pStyle w:val="TableParagraph"/>
              <w:spacing w:line="240" w:lineRule="auto" w:before="106"/>
              <w:ind w:left="258"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63,762,35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6.29</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30,488,90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0.88</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189,095</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,224.79</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346,346,4</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81.96</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三、本期增减变动</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1"/>
              <w:ind w:left="32" w:right="0"/>
              <w:jc w:val="left"/>
              <w:rPr>
                <w:rFonts w:ascii="Times New Roman" w:hAnsi="Times New Roman" w:cs="Times New Roman" w:eastAsia="Times New Roman" w:hint="default"/>
                <w:sz w:val="18"/>
                <w:szCs w:val="18"/>
              </w:rPr>
            </w:pPr>
            <w:r>
              <w:rPr>
                <w:rFonts w:ascii="Times New Roman"/>
                <w:sz w:val="18"/>
              </w:rPr>
              <w:t>21,000,0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289,100,0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4,456,162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Times New Roman" w:hAnsi="Times New Roman" w:cs="Times New Roman" w:eastAsia="Times New Roman" w:hint="default"/>
                <w:sz w:val="18"/>
                <w:szCs w:val="18"/>
              </w:rPr>
            </w:pPr>
            <w:r>
              <w:rPr>
                <w:rFonts w:ascii="Times New Roman"/>
                <w:sz w:val="18"/>
              </w:rPr>
              <w:t>40,105,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7" w:right="0"/>
              <w:jc w:val="left"/>
              <w:rPr>
                <w:rFonts w:ascii="Times New Roman" w:hAnsi="Times New Roman" w:cs="Times New Roman" w:eastAsia="Times New Roman" w:hint="default"/>
                <w:sz w:val="18"/>
                <w:szCs w:val="18"/>
              </w:rPr>
            </w:pPr>
            <w:r>
              <w:rPr>
                <w:rFonts w:ascii="Times New Roman"/>
                <w:sz w:val="18"/>
              </w:rPr>
              <w:t>354,661,6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67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10"/>
              <w:ind w:left="22" w:right="21"/>
              <w:jc w:val="left"/>
              <w:rPr>
                <w:rFonts w:ascii="宋体" w:hAnsi="宋体" w:cs="宋体" w:eastAsia="宋体" w:hint="default"/>
                <w:sz w:val="18"/>
                <w:szCs w:val="18"/>
              </w:rPr>
            </w:pP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0" w:right="0"/>
              <w:jc w:val="left"/>
              <w:rPr>
                <w:rFonts w:ascii="Times New Roman" w:hAnsi="Times New Roman" w:cs="Times New Roman" w:eastAsia="Times New Roman" w:hint="default"/>
                <w:sz w:val="18"/>
                <w:szCs w:val="18"/>
              </w:rPr>
            </w:pPr>
            <w:r>
              <w:rPr>
                <w:rFonts w:ascii="Times New Roman"/>
                <w:sz w:val="18"/>
              </w:rPr>
              <w:t>61.98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.40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8" w:right="0"/>
              <w:jc w:val="left"/>
              <w:rPr>
                <w:rFonts w:ascii="Times New Roman" w:hAnsi="Times New Roman" w:cs="Times New Roman" w:eastAsia="Times New Roman" w:hint="default"/>
                <w:sz w:val="18"/>
                <w:szCs w:val="18"/>
              </w:rPr>
            </w:pPr>
            <w:r>
              <w:rPr>
                <w:rFonts w:ascii="Times New Roman"/>
                <w:sz w:val="18"/>
              </w:rPr>
              <w:t>461.55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3" w:right="0"/>
              <w:jc w:val="left"/>
              <w:rPr>
                <w:rFonts w:ascii="Times New Roman" w:hAnsi="Times New Roman" w:cs="Times New Roman" w:eastAsia="Times New Roman" w:hint="default"/>
                <w:sz w:val="18"/>
                <w:szCs w:val="18"/>
              </w:rPr>
            </w:pPr>
            <w:r>
              <w:rPr>
                <w:rFonts w:ascii="Times New Roman"/>
                <w:sz w:val="18"/>
              </w:rPr>
              <w:t>85.93</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44,561,</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623.95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44,561,62</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3.95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21,000,0</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289,100,0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61.98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310,100,0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61.98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21,000,0</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289,100,0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61.98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310,100,0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61.98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4,456,162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-4,456,1</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62.40</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4,456,162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-4,456,1</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62.40</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84,000,0</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352,862,4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18.27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34,945,06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3.28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229,200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,686.34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701,008,1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67.89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6"/>
          <w:szCs w:val="16"/>
        </w:rPr>
      </w:pPr>
    </w:p>
    <w:p>
      <w:pPr>
        <w:pStyle w:val="Heading4"/>
        <w:spacing w:line="240" w:lineRule="auto" w:before="44"/>
        <w:ind w:left="1133" w:right="0"/>
        <w:jc w:val="left"/>
        <w:rPr>
          <w:b w:val="0"/>
          <w:bCs w:val="0"/>
        </w:rPr>
      </w:pPr>
      <w:bookmarkStart w:name="三、公司基本情况" w:id="161"/>
      <w:bookmarkEnd w:id="161"/>
      <w:r>
        <w:rPr>
          <w:b w:val="0"/>
          <w:bCs w:val="0"/>
        </w:rPr>
      </w:r>
      <w:r>
        <w:rPr/>
        <w:t>三、公司基本情况</w:t>
      </w:r>
      <w:r>
        <w:rPr>
          <w:b w:val="0"/>
          <w:bCs w:val="0"/>
        </w:rPr>
      </w: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22"/>
          <w:szCs w:val="22"/>
        </w:rPr>
      </w:pPr>
    </w:p>
    <w:p>
      <w:pPr>
        <w:pStyle w:val="BodyText"/>
        <w:spacing w:line="477" w:lineRule="auto"/>
        <w:ind w:left="1493" w:right="1118"/>
        <w:jc w:val="left"/>
      </w:pPr>
      <w:r>
        <w:rPr>
          <w:rFonts w:ascii="宋体" w:hAnsi="宋体" w:cs="宋体" w:eastAsia="宋体" w:hint="default"/>
        </w:rPr>
        <w:t>(</w:t>
      </w:r>
      <w:r>
        <w:rPr/>
        <w:t>一</w:t>
      </w:r>
      <w:r>
        <w:rPr>
          <w:rFonts w:ascii="宋体" w:hAnsi="宋体" w:cs="宋体" w:eastAsia="宋体" w:hint="default"/>
        </w:rPr>
        <w:t>) </w:t>
      </w:r>
      <w:r>
        <w:rPr/>
        <w:t>公司概况 </w:t>
      </w:r>
      <w:r>
        <w:rPr>
          <w:spacing w:val="-2"/>
        </w:rPr>
        <w:t>深圳市今天国际物流技术股份有限公司（以下简称“公司”或“本公司”）成立于</w:t>
      </w:r>
      <w:r>
        <w:rPr>
          <w:rFonts w:ascii="宋体" w:hAnsi="宋体" w:cs="宋体" w:eastAsia="宋体" w:hint="default"/>
          <w:spacing w:val="-2"/>
        </w:rPr>
        <w:t>2000</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19</w:t>
      </w:r>
      <w:r>
        <w:rPr>
          <w:spacing w:val="-2"/>
        </w:rPr>
        <w:t>日，系由深圳市今天物</w:t>
      </w:r>
    </w:p>
    <w:p>
      <w:pPr>
        <w:pStyle w:val="BodyText"/>
        <w:spacing w:line="477" w:lineRule="auto" w:before="54"/>
        <w:ind w:right="1123"/>
        <w:jc w:val="left"/>
      </w:pPr>
      <w:r>
        <w:rPr/>
        <w:t>流技术有限公司依法整体变更设立的股份有限公司。公司的统一社会信用代码：</w:t>
      </w:r>
      <w:r>
        <w:rPr>
          <w:rFonts w:ascii="宋体" w:hAnsi="宋体" w:cs="宋体" w:eastAsia="宋体" w:hint="default"/>
        </w:rPr>
        <w:t>9144030072472803X3</w:t>
      </w:r>
      <w:r>
        <w:rPr/>
        <w:t>。</w:t>
      </w:r>
      <w:r>
        <w:rPr>
          <w:rFonts w:ascii="宋体" w:hAnsi="宋体" w:cs="宋体" w:eastAsia="宋体" w:hint="default"/>
        </w:rPr>
        <w:t>2016</w:t>
      </w:r>
      <w:r>
        <w:rPr/>
        <w:t>年</w:t>
      </w:r>
      <w:r>
        <w:rPr>
          <w:rFonts w:ascii="宋体" w:hAnsi="宋体" w:cs="宋体" w:eastAsia="宋体" w:hint="default"/>
        </w:rPr>
        <w:t>8</w:t>
      </w:r>
      <w:r>
        <w:rPr/>
        <w:t>月</w:t>
      </w:r>
      <w:r>
        <w:rPr>
          <w:rFonts w:ascii="宋体" w:hAnsi="宋体" w:cs="宋体" w:eastAsia="宋体" w:hint="default"/>
        </w:rPr>
        <w:t>18</w:t>
      </w:r>
      <w:r>
        <w:rPr/>
        <w:t>日在深 圳证券交易所上市。</w:t>
      </w:r>
    </w:p>
    <w:p>
      <w:pPr>
        <w:pStyle w:val="BodyText"/>
        <w:spacing w:line="477" w:lineRule="auto" w:before="54"/>
        <w:ind w:left="1134" w:right="1130" w:firstLine="360"/>
        <w:jc w:val="both"/>
      </w:pPr>
      <w:r>
        <w:rPr>
          <w:spacing w:val="-2"/>
        </w:rPr>
        <w:t>截至</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日止，本公司累计发行股本总数</w:t>
      </w:r>
      <w:r>
        <w:rPr>
          <w:rFonts w:ascii="宋体" w:hAnsi="宋体" w:cs="宋体" w:eastAsia="宋体" w:hint="default"/>
          <w:spacing w:val="-2"/>
        </w:rPr>
        <w:t>15,402.96</w:t>
      </w:r>
      <w:r>
        <w:rPr>
          <w:spacing w:val="-2"/>
        </w:rPr>
        <w:t>万股，注册资本为</w:t>
      </w:r>
      <w:r>
        <w:rPr>
          <w:rFonts w:ascii="宋体" w:hAnsi="宋体" w:cs="宋体" w:eastAsia="宋体" w:hint="default"/>
          <w:spacing w:val="-2"/>
        </w:rPr>
        <w:t>15,402.96</w:t>
      </w:r>
      <w:r>
        <w:rPr>
          <w:spacing w:val="-2"/>
        </w:rPr>
        <w:t>万元，注册地：深圳市罗湖区</w:t>
      </w:r>
      <w:r>
        <w:rPr/>
        <w:t> </w:t>
      </w:r>
      <w:r>
        <w:rPr>
          <w:spacing w:val="-2"/>
        </w:rPr>
        <w:t>笋岗东路</w:t>
      </w:r>
      <w:r>
        <w:rPr>
          <w:rFonts w:ascii="宋体" w:hAnsi="宋体" w:cs="宋体" w:eastAsia="宋体" w:hint="default"/>
          <w:spacing w:val="-2"/>
        </w:rPr>
        <w:t>1002</w:t>
      </w:r>
      <w:r>
        <w:rPr>
          <w:spacing w:val="-2"/>
        </w:rPr>
        <w:t>宝安广场</w:t>
      </w:r>
      <w:r>
        <w:rPr>
          <w:rFonts w:ascii="宋体" w:hAnsi="宋体" w:cs="宋体" w:eastAsia="宋体" w:hint="default"/>
          <w:spacing w:val="-2"/>
        </w:rPr>
        <w:t>A</w:t>
      </w:r>
      <w:r>
        <w:rPr>
          <w:spacing w:val="-2"/>
        </w:rPr>
        <w:t>座</w:t>
      </w:r>
      <w:r>
        <w:rPr>
          <w:rFonts w:ascii="宋体" w:hAnsi="宋体" w:cs="宋体" w:eastAsia="宋体" w:hint="default"/>
          <w:spacing w:val="-2"/>
        </w:rPr>
        <w:t>10</w:t>
      </w:r>
      <w:r>
        <w:rPr>
          <w:spacing w:val="-2"/>
        </w:rPr>
        <w:t>楼</w:t>
      </w:r>
      <w:r>
        <w:rPr>
          <w:rFonts w:ascii="宋体" w:hAnsi="宋体" w:cs="宋体" w:eastAsia="宋体" w:hint="default"/>
          <w:spacing w:val="-2"/>
        </w:rPr>
        <w:t>F</w:t>
      </w:r>
      <w:r>
        <w:rPr>
          <w:spacing w:val="-2"/>
        </w:rPr>
        <w:t>、</w:t>
      </w:r>
      <w:r>
        <w:rPr>
          <w:rFonts w:ascii="宋体" w:hAnsi="宋体" w:cs="宋体" w:eastAsia="宋体" w:hint="default"/>
          <w:spacing w:val="-2"/>
        </w:rPr>
        <w:t>G</w:t>
      </w:r>
      <w:r>
        <w:rPr>
          <w:spacing w:val="-2"/>
        </w:rPr>
        <w:t>、</w:t>
      </w:r>
      <w:r>
        <w:rPr>
          <w:rFonts w:ascii="宋体" w:hAnsi="宋体" w:cs="宋体" w:eastAsia="宋体" w:hint="default"/>
          <w:spacing w:val="-2"/>
        </w:rPr>
        <w:t>H</w:t>
      </w:r>
      <w:r>
        <w:rPr>
          <w:spacing w:val="-2"/>
        </w:rPr>
        <w:t>，总部地址：深圳市罗湖区笋岗东路</w:t>
      </w:r>
      <w:r>
        <w:rPr>
          <w:rFonts w:ascii="宋体" w:hAnsi="宋体" w:cs="宋体" w:eastAsia="宋体" w:hint="default"/>
          <w:spacing w:val="-2"/>
        </w:rPr>
        <w:t>1002</w:t>
      </w:r>
      <w:r>
        <w:rPr>
          <w:spacing w:val="-2"/>
        </w:rPr>
        <w:t>宝安广场</w:t>
      </w:r>
      <w:r>
        <w:rPr>
          <w:rFonts w:ascii="宋体" w:hAnsi="宋体" w:cs="宋体" w:eastAsia="宋体" w:hint="default"/>
          <w:spacing w:val="-2"/>
        </w:rPr>
        <w:t>A</w:t>
      </w:r>
      <w:r>
        <w:rPr>
          <w:spacing w:val="-2"/>
        </w:rPr>
        <w:t>座</w:t>
      </w:r>
      <w:r>
        <w:rPr>
          <w:rFonts w:ascii="宋体" w:hAnsi="宋体" w:cs="宋体" w:eastAsia="宋体" w:hint="default"/>
          <w:spacing w:val="-2"/>
        </w:rPr>
        <w:t>10</w:t>
      </w:r>
      <w:r>
        <w:rPr>
          <w:spacing w:val="-2"/>
        </w:rPr>
        <w:t>楼</w:t>
      </w:r>
      <w:r>
        <w:rPr>
          <w:rFonts w:ascii="宋体" w:hAnsi="宋体" w:cs="宋体" w:eastAsia="宋体" w:hint="default"/>
          <w:spacing w:val="-2"/>
        </w:rPr>
        <w:t>F</w:t>
      </w:r>
      <w:r>
        <w:rPr>
          <w:spacing w:val="-2"/>
        </w:rPr>
        <w:t>、</w:t>
      </w:r>
      <w:r>
        <w:rPr>
          <w:rFonts w:ascii="宋体" w:hAnsi="宋体" w:cs="宋体" w:eastAsia="宋体" w:hint="default"/>
          <w:spacing w:val="-2"/>
        </w:rPr>
        <w:t>G</w:t>
      </w:r>
      <w:r>
        <w:rPr>
          <w:spacing w:val="-2"/>
        </w:rPr>
        <w:t>、</w:t>
      </w:r>
      <w:r>
        <w:rPr>
          <w:rFonts w:ascii="宋体" w:hAnsi="宋体" w:cs="宋体" w:eastAsia="宋体" w:hint="default"/>
          <w:spacing w:val="-2"/>
        </w:rPr>
        <w:t>H</w:t>
      </w:r>
      <w:r>
        <w:rPr>
          <w:spacing w:val="-2"/>
        </w:rPr>
        <w:t>。本公司的实际控</w:t>
      </w:r>
      <w:r>
        <w:rPr>
          <w:spacing w:val="-47"/>
        </w:rPr>
        <w:t> </w:t>
      </w:r>
      <w:r>
        <w:rPr>
          <w:spacing w:val="-47"/>
        </w:rPr>
      </w:r>
      <w:r>
        <w:rPr/>
        <w:t>制人为邵健伟。</w:t>
      </w:r>
    </w:p>
    <w:p>
      <w:pPr>
        <w:pStyle w:val="BodyText"/>
        <w:spacing w:line="477" w:lineRule="auto" w:before="54"/>
        <w:ind w:left="1494" w:right="6432"/>
        <w:jc w:val="left"/>
      </w:pPr>
      <w:r>
        <w:rPr/>
        <w:t>（二）公司的业务性质、及主要产品或提供的劳务 公司业务性质：公司所属软件和信息技术服务业。</w:t>
      </w:r>
    </w:p>
    <w:p>
      <w:pPr>
        <w:pStyle w:val="BodyText"/>
        <w:spacing w:line="477" w:lineRule="auto" w:before="54"/>
        <w:ind w:left="1134" w:right="1133" w:firstLine="360"/>
        <w:jc w:val="both"/>
      </w:pPr>
      <w:r>
        <w:rPr>
          <w:spacing w:val="-2"/>
        </w:rPr>
        <w:t>主要经营活动或产品：公司为一家自动化物流系统综合解决方案提供商，主要产品分为工业生产型物流系统、商业配送</w:t>
      </w:r>
      <w:r>
        <w:rPr/>
        <w:t> 型物流系统、运营维护。</w:t>
      </w:r>
    </w:p>
    <w:p>
      <w:pPr>
        <w:pStyle w:val="BodyText"/>
        <w:spacing w:line="477" w:lineRule="auto" w:before="54"/>
        <w:ind w:left="1494" w:right="5982"/>
        <w:jc w:val="left"/>
      </w:pPr>
      <w:r>
        <w:rPr/>
        <w:t>（三）财务报告的批准报出 本财务报告业经公司董事会于</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25</w:t>
      </w:r>
      <w:r>
        <w:rPr/>
        <w:t>日批准报出。</w:t>
      </w:r>
    </w:p>
    <w:p>
      <w:pPr>
        <w:pStyle w:val="BodyText"/>
        <w:spacing w:line="477" w:lineRule="auto" w:before="54"/>
        <w:ind w:left="1584" w:right="5082" w:hanging="90"/>
        <w:jc w:val="left"/>
      </w:pPr>
      <w:r>
        <w:rPr/>
        <w:pict>
          <v:shape style="position:absolute;margin-left:87.019997pt;margin-top:45.071716pt;width:390.7pt;height:153.7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814"/>
                  </w:tblGrid>
                  <w:tr>
                    <w:trPr>
                      <w:trHeight w:val="511" w:hRule="exact"/>
                    </w:trPr>
                    <w:tc>
                      <w:tcPr>
                        <w:tcW w:w="7814" w:type="dxa"/>
                        <w:tcBorders>
                          <w:top w:val="single" w:sz="6" w:space="0" w:color="000000"/>
                          <w:left w:val="nil" w:sz="6" w:space="0" w:color="auto"/>
                          <w:bottom w:val="single" w:sz="12" w:space="0" w:color="000000"/>
                          <w:right w:val="nil" w:sz="6" w:space="0" w:color="auto"/>
                        </w:tcBorders>
                      </w:tcPr>
                      <w:p>
                        <w:pPr>
                          <w:pStyle w:val="TableParagraph"/>
                          <w:spacing w:line="240" w:lineRule="auto" w:before="99"/>
                          <w:ind w:left="1958" w:right="0"/>
                          <w:jc w:val="left"/>
                          <w:rPr>
                            <w:rFonts w:ascii="宋体" w:hAnsi="宋体" w:cs="宋体" w:eastAsia="宋体" w:hint="default"/>
                            <w:sz w:val="18"/>
                            <w:szCs w:val="18"/>
                          </w:rPr>
                        </w:pPr>
                        <w:r>
                          <w:rPr>
                            <w:rFonts w:ascii="宋体" w:hAnsi="宋体" w:cs="宋体" w:eastAsia="宋体" w:hint="default"/>
                            <w:sz w:val="18"/>
                            <w:szCs w:val="18"/>
                          </w:rPr>
                          <w:t>子公司名称</w:t>
                        </w:r>
                      </w:p>
                    </w:tc>
                  </w:tr>
                  <w:tr>
                    <w:trPr>
                      <w:trHeight w:val="508" w:hRule="exact"/>
                    </w:trPr>
                    <w:tc>
                      <w:tcPr>
                        <w:tcW w:w="7814" w:type="dxa"/>
                        <w:tcBorders>
                          <w:top w:val="single" w:sz="12" w:space="0" w:color="000000"/>
                          <w:left w:val="nil" w:sz="6" w:space="0" w:color="auto"/>
                          <w:bottom w:val="single" w:sz="12" w:space="0" w:color="000000"/>
                          <w:right w:val="nil" w:sz="6" w:space="0" w:color="auto"/>
                        </w:tcBorders>
                      </w:tcPr>
                      <w:p>
                        <w:pPr>
                          <w:pStyle w:val="TableParagraph"/>
                          <w:spacing w:line="240" w:lineRule="auto" w:before="88"/>
                          <w:ind w:left="9" w:right="0"/>
                          <w:jc w:val="left"/>
                          <w:rPr>
                            <w:rFonts w:ascii="宋体" w:hAnsi="宋体" w:cs="宋体" w:eastAsia="宋体" w:hint="default"/>
                            <w:sz w:val="18"/>
                            <w:szCs w:val="18"/>
                          </w:rPr>
                        </w:pPr>
                        <w:r>
                          <w:rPr>
                            <w:rFonts w:ascii="宋体" w:hAnsi="宋体" w:cs="宋体" w:eastAsia="宋体" w:hint="default"/>
                            <w:sz w:val="18"/>
                            <w:szCs w:val="18"/>
                          </w:rPr>
                          <w:t>深圳市同创智软件技术有限公司</w:t>
                        </w:r>
                      </w:p>
                    </w:tc>
                  </w:tr>
                  <w:tr>
                    <w:trPr>
                      <w:trHeight w:val="509" w:hRule="exact"/>
                    </w:trPr>
                    <w:tc>
                      <w:tcPr>
                        <w:tcW w:w="7814" w:type="dxa"/>
                        <w:tcBorders>
                          <w:top w:val="single" w:sz="12" w:space="0" w:color="000000"/>
                          <w:left w:val="nil" w:sz="6" w:space="0" w:color="auto"/>
                          <w:bottom w:val="single" w:sz="12" w:space="0" w:color="000000"/>
                          <w:right w:val="nil" w:sz="6" w:space="0" w:color="auto"/>
                        </w:tcBorders>
                      </w:tcPr>
                      <w:p>
                        <w:pPr>
                          <w:pStyle w:val="TableParagraph"/>
                          <w:spacing w:line="240" w:lineRule="auto" w:before="88"/>
                          <w:ind w:left="9" w:right="0"/>
                          <w:jc w:val="left"/>
                          <w:rPr>
                            <w:rFonts w:ascii="宋体" w:hAnsi="宋体" w:cs="宋体" w:eastAsia="宋体" w:hint="default"/>
                            <w:sz w:val="18"/>
                            <w:szCs w:val="18"/>
                          </w:rPr>
                        </w:pPr>
                        <w:r>
                          <w:rPr>
                            <w:rFonts w:ascii="宋体" w:hAnsi="宋体" w:cs="宋体" w:eastAsia="宋体" w:hint="default"/>
                            <w:sz w:val="18"/>
                            <w:szCs w:val="18"/>
                          </w:rPr>
                          <w:t>今天国际物流科技有限公司</w:t>
                        </w:r>
                      </w:p>
                    </w:tc>
                  </w:tr>
                  <w:tr>
                    <w:trPr>
                      <w:trHeight w:val="508" w:hRule="exact"/>
                    </w:trPr>
                    <w:tc>
                      <w:tcPr>
                        <w:tcW w:w="7814" w:type="dxa"/>
                        <w:tcBorders>
                          <w:top w:val="single" w:sz="12" w:space="0" w:color="000000"/>
                          <w:left w:val="nil" w:sz="6" w:space="0" w:color="auto"/>
                          <w:bottom w:val="single" w:sz="12" w:space="0" w:color="000000"/>
                          <w:right w:val="nil" w:sz="6" w:space="0" w:color="auto"/>
                        </w:tcBorders>
                      </w:tcPr>
                      <w:p>
                        <w:pPr>
                          <w:pStyle w:val="TableParagraph"/>
                          <w:spacing w:line="240" w:lineRule="auto" w:before="88"/>
                          <w:ind w:left="9" w:right="0"/>
                          <w:jc w:val="left"/>
                          <w:rPr>
                            <w:rFonts w:ascii="宋体" w:hAnsi="宋体" w:cs="宋体" w:eastAsia="宋体" w:hint="default"/>
                            <w:sz w:val="18"/>
                            <w:szCs w:val="18"/>
                          </w:rPr>
                        </w:pPr>
                        <w:r>
                          <w:rPr>
                            <w:rFonts w:ascii="宋体" w:hAnsi="宋体" w:cs="宋体" w:eastAsia="宋体" w:hint="default"/>
                            <w:sz w:val="18"/>
                            <w:szCs w:val="18"/>
                          </w:rPr>
                          <w:t>北京今天华迅智能技术有限公司</w:t>
                        </w:r>
                      </w:p>
                    </w:tc>
                  </w:tr>
                  <w:tr>
                    <w:trPr>
                      <w:trHeight w:val="508" w:hRule="exact"/>
                    </w:trPr>
                    <w:tc>
                      <w:tcPr>
                        <w:tcW w:w="7814" w:type="dxa"/>
                        <w:tcBorders>
                          <w:top w:val="single" w:sz="12" w:space="0" w:color="000000"/>
                          <w:left w:val="nil" w:sz="6" w:space="0" w:color="auto"/>
                          <w:bottom w:val="single" w:sz="12" w:space="0" w:color="000000"/>
                          <w:right w:val="nil" w:sz="6" w:space="0" w:color="auto"/>
                        </w:tcBorders>
                      </w:tcPr>
                      <w:p>
                        <w:pPr>
                          <w:pStyle w:val="TableParagraph"/>
                          <w:spacing w:line="240" w:lineRule="auto" w:before="88"/>
                          <w:ind w:left="9" w:right="0"/>
                          <w:jc w:val="left"/>
                          <w:rPr>
                            <w:rFonts w:ascii="宋体" w:hAnsi="宋体" w:cs="宋体" w:eastAsia="宋体" w:hint="default"/>
                            <w:sz w:val="18"/>
                            <w:szCs w:val="18"/>
                          </w:rPr>
                        </w:pPr>
                        <w:r>
                          <w:rPr>
                            <w:rFonts w:ascii="宋体" w:hAnsi="宋体" w:cs="宋体" w:eastAsia="宋体" w:hint="default"/>
                            <w:sz w:val="18"/>
                            <w:szCs w:val="18"/>
                          </w:rPr>
                          <w:t>上海今天华峰智能系统有限公司</w:t>
                        </w:r>
                      </w:p>
                    </w:tc>
                  </w:tr>
                  <w:tr>
                    <w:trPr>
                      <w:trHeight w:val="509" w:hRule="exact"/>
                    </w:trPr>
                    <w:tc>
                      <w:tcPr>
                        <w:tcW w:w="7814" w:type="dxa"/>
                        <w:tcBorders>
                          <w:top w:val="single" w:sz="12" w:space="0" w:color="000000"/>
                          <w:left w:val="nil" w:sz="6" w:space="0" w:color="auto"/>
                          <w:bottom w:val="single" w:sz="12" w:space="0" w:color="000000"/>
                          <w:right w:val="nil" w:sz="6" w:space="0" w:color="auto"/>
                        </w:tcBorders>
                      </w:tcPr>
                      <w:p>
                        <w:pPr>
                          <w:pStyle w:val="TableParagraph"/>
                          <w:spacing w:line="240" w:lineRule="auto" w:before="88"/>
                          <w:ind w:left="9" w:right="0"/>
                          <w:jc w:val="left"/>
                          <w:rPr>
                            <w:rFonts w:ascii="宋体" w:hAnsi="宋体" w:cs="宋体" w:eastAsia="宋体" w:hint="default"/>
                            <w:sz w:val="18"/>
                            <w:szCs w:val="18"/>
                          </w:rPr>
                        </w:pPr>
                        <w:r>
                          <w:rPr>
                            <w:rFonts w:ascii="宋体" w:hAnsi="宋体" w:cs="宋体" w:eastAsia="宋体" w:hint="default"/>
                            <w:sz w:val="18"/>
                            <w:szCs w:val="18"/>
                          </w:rPr>
                          <w:t>深圳市今天国际智能机器人有限公司</w:t>
                        </w:r>
                      </w:p>
                    </w:tc>
                  </w:tr>
                </w:tbl>
                <w:p>
                  <w:pPr/>
                </w:p>
              </w:txbxContent>
            </v:textbox>
            <w10:wrap type="none"/>
          </v:shape>
        </w:pict>
      </w:r>
      <w:r>
        <w:rPr/>
        <w:t>（四）合并财务报表范围 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日止，本公司合并财务报表范围内子公司如下：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240" w:lineRule="auto" w:before="44"/>
        <w:ind w:left="1554" w:right="0"/>
        <w:jc w:val="left"/>
      </w:pPr>
      <w:r>
        <w:rPr/>
        <w:t>报告期内合并财务报表范围及其变化情况详见第十一节财务报告</w:t>
      </w:r>
      <w:r>
        <w:rPr>
          <w:rFonts w:ascii="Times New Roman" w:hAnsi="Times New Roman" w:cs="Times New Roman" w:eastAsia="Times New Roman" w:hint="default"/>
          <w:spacing w:val="-1"/>
          <w:w w:val="100"/>
        </w:rPr>
        <w:t>“</w:t>
      </w:r>
      <w:r>
        <w:rPr/>
        <w:t>八</w:t>
      </w:r>
      <w:r>
        <w:rPr>
          <w:spacing w:val="-77"/>
        </w:rPr>
        <w:t>、</w:t>
      </w:r>
      <w:r>
        <w:rPr/>
        <w:t>合并范围的变更</w:t>
      </w:r>
      <w:r>
        <w:rPr>
          <w:rFonts w:ascii="Times New Roman" w:hAnsi="Times New Roman" w:cs="Times New Roman" w:eastAsia="Times New Roman" w:hint="default"/>
          <w:w w:val="100"/>
        </w:rPr>
        <w:t>”</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和</w:t>
      </w:r>
      <w:r>
        <w:rPr>
          <w:spacing w:val="-18"/>
        </w:rPr>
        <w:t> </w:t>
      </w:r>
      <w:r>
        <w:rPr>
          <w:rFonts w:ascii="Times New Roman" w:hAnsi="Times New Roman" w:cs="Times New Roman" w:eastAsia="Times New Roman" w:hint="default"/>
          <w:spacing w:val="-1"/>
          <w:w w:val="100"/>
        </w:rPr>
        <w:t>“</w:t>
      </w:r>
      <w:r>
        <w:rPr/>
        <w:t>九</w:t>
      </w:r>
      <w:r>
        <w:rPr>
          <w:spacing w:val="-78"/>
        </w:rPr>
        <w:t>、</w:t>
      </w:r>
      <w:r>
        <w:rPr>
          <w:spacing w:val="-2"/>
        </w:rPr>
        <w:t>在</w:t>
      </w:r>
      <w:r>
        <w:rPr/>
        <w:t>其他主体中的权益</w:t>
      </w:r>
      <w:r>
        <w:rPr>
          <w:rFonts w:ascii="Times New Roman" w:hAnsi="Times New Roman" w:cs="Times New Roman" w:eastAsia="Times New Roman" w:hint="default"/>
          <w:w w:val="100"/>
        </w:rPr>
        <w:t>”</w:t>
      </w:r>
      <w:r>
        <w:rPr/>
        <w:t>。</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Heading4"/>
        <w:spacing w:line="240" w:lineRule="auto"/>
        <w:ind w:left="1133" w:right="0"/>
        <w:jc w:val="left"/>
        <w:rPr>
          <w:b w:val="0"/>
          <w:bCs w:val="0"/>
        </w:rPr>
      </w:pPr>
      <w:bookmarkStart w:name="、四、财务报表的编制基础" w:id="162"/>
      <w:bookmarkEnd w:id="162"/>
      <w:r>
        <w:rPr>
          <w:b w:val="0"/>
          <w:bCs w:val="0"/>
        </w:rPr>
      </w:r>
      <w:r>
        <w:rPr/>
        <w:t>、四、财务报表的编制基础</w:t>
      </w:r>
      <w:r>
        <w:rPr>
          <w:b w:val="0"/>
          <w:bCs w:val="0"/>
        </w:rPr>
      </w: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22"/>
          <w:szCs w:val="22"/>
        </w:rPr>
      </w:pPr>
    </w:p>
    <w:p>
      <w:pPr>
        <w:pStyle w:val="Heading4"/>
        <w:spacing w:line="240" w:lineRule="auto"/>
        <w:ind w:left="1133" w:right="0"/>
        <w:jc w:val="left"/>
        <w:rPr>
          <w:b w:val="0"/>
          <w:bCs w:val="0"/>
        </w:rPr>
      </w:pPr>
      <w:bookmarkStart w:name="1、编制基础" w:id="163"/>
      <w:bookmarkEnd w:id="163"/>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21"/>
          <w:szCs w:val="21"/>
        </w:rPr>
      </w:pPr>
    </w:p>
    <w:p>
      <w:pPr>
        <w:pStyle w:val="BodyText"/>
        <w:spacing w:line="240" w:lineRule="auto"/>
        <w:ind w:left="1424" w:right="0"/>
        <w:jc w:val="left"/>
      </w:pPr>
      <w:r>
        <w:rPr/>
        <w:t>公司以持续经营为基础，根据实际发生的交易和事项，按照财政部颁布的《企业会计准则</w:t>
      </w:r>
      <w:r>
        <w:rPr>
          <w:rFonts w:ascii="Times New Roman" w:hAnsi="Times New Roman" w:cs="Times New Roman" w:eastAsia="Times New Roman" w:hint="default"/>
        </w:rPr>
        <w:t>——</w:t>
      </w:r>
      <w:r>
        <w:rPr/>
        <w:t>基本准则》和各项具体会</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51" w:lineRule="auto"/>
        <w:ind w:right="0"/>
        <w:jc w:val="left"/>
      </w:pPr>
      <w:r>
        <w:rPr>
          <w:spacing w:val="-2"/>
        </w:rPr>
        <w:t>计准则、企业会计准则应用指南、企业会计准则解释及其他相关规定（以下合称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w:t>
      </w:r>
      <w:r>
        <w:rPr>
          <w:spacing w:val="-47"/>
        </w:rPr>
        <w:t> </w:t>
      </w:r>
      <w:r>
        <w:rPr>
          <w:spacing w:val="-47"/>
        </w:rPr>
      </w:r>
      <w:r>
        <w:rPr/>
        <w:t>委员会《公开发行证券的公司信息披露编报规则第</w:t>
      </w:r>
      <w:r>
        <w:rPr>
          <w:rFonts w:ascii="Times New Roman" w:hAnsi="Times New Roman" w:cs="Times New Roman" w:eastAsia="Times New Roman" w:hint="default"/>
        </w:rPr>
        <w:t>15</w:t>
      </w:r>
      <w:r>
        <w:rPr>
          <w:rFonts w:ascii="Times New Roman" w:hAnsi="Times New Roman" w:cs="Times New Roman" w:eastAsia="Times New Roman" w:hint="default"/>
          <w:spacing w:val="26"/>
        </w:rPr>
        <w:t> </w:t>
      </w:r>
      <w:r>
        <w:rPr/>
        <w:t>号</w:t>
      </w:r>
      <w:r>
        <w:rPr>
          <w:rFonts w:ascii="Times New Roman" w:hAnsi="Times New Roman" w:cs="Times New Roman" w:eastAsia="Times New Roman" w:hint="default"/>
        </w:rPr>
        <w:t>——</w:t>
      </w:r>
      <w:r>
        <w:rPr/>
        <w:t>财务报告的一般规定》的披露规定编制财务报表。</w:t>
      </w:r>
    </w:p>
    <w:p>
      <w:pPr>
        <w:spacing w:line="240" w:lineRule="auto" w:before="4"/>
        <w:rPr>
          <w:rFonts w:ascii="宋体" w:hAnsi="宋体" w:cs="宋体" w:eastAsia="宋体" w:hint="default"/>
          <w:sz w:val="26"/>
          <w:szCs w:val="26"/>
        </w:rPr>
      </w:pPr>
    </w:p>
    <w:p>
      <w:pPr>
        <w:pStyle w:val="Heading4"/>
        <w:spacing w:line="240" w:lineRule="auto"/>
        <w:ind w:left="1133" w:right="0"/>
        <w:jc w:val="left"/>
        <w:rPr>
          <w:b w:val="0"/>
          <w:bCs w:val="0"/>
        </w:rPr>
      </w:pPr>
      <w:bookmarkStart w:name="2、持续经营" w:id="164"/>
      <w:bookmarkEnd w:id="164"/>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21"/>
          <w:szCs w:val="21"/>
        </w:rPr>
      </w:pPr>
    </w:p>
    <w:p>
      <w:pPr>
        <w:pStyle w:val="BodyText"/>
        <w:spacing w:line="240" w:lineRule="auto"/>
        <w:ind w:left="1424" w:right="0"/>
        <w:jc w:val="left"/>
      </w:pPr>
      <w:r>
        <w:rPr/>
        <w:t>公司自本报告期末至少</w:t>
      </w:r>
      <w:r>
        <w:rPr>
          <w:rFonts w:ascii="Times New Roman" w:hAnsi="Times New Roman" w:cs="Times New Roman" w:eastAsia="Times New Roman" w:hint="default"/>
        </w:rPr>
        <w:t>12</w:t>
      </w:r>
      <w:r>
        <w:rPr/>
        <w:t>个月内具备持续经营能力，无影响持续经营能力的重大事项。</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Heading4"/>
        <w:spacing w:line="240" w:lineRule="auto"/>
        <w:ind w:left="1133" w:right="0"/>
        <w:jc w:val="left"/>
        <w:rPr>
          <w:b w:val="0"/>
          <w:bCs w:val="0"/>
        </w:rPr>
      </w:pPr>
      <w:bookmarkStart w:name="五、重要会计政策及会计估计" w:id="165"/>
      <w:bookmarkEnd w:id="165"/>
      <w:r>
        <w:rPr>
          <w:b w:val="0"/>
          <w:bCs w:val="0"/>
        </w:rPr>
      </w:r>
      <w:r>
        <w:rPr/>
        <w:t>五、重要会计政策及会计估计</w:t>
      </w:r>
      <w:r>
        <w:rPr>
          <w:b w:val="0"/>
          <w:bCs w:val="0"/>
        </w:rPr>
      </w:r>
    </w:p>
    <w:p>
      <w:pPr>
        <w:spacing w:line="240" w:lineRule="auto" w:before="0"/>
        <w:rPr>
          <w:rFonts w:ascii="宋体" w:hAnsi="宋体" w:cs="宋体" w:eastAsia="宋体" w:hint="default"/>
          <w:b/>
          <w:bCs/>
          <w:sz w:val="18"/>
          <w:szCs w:val="18"/>
        </w:rPr>
      </w:pPr>
    </w:p>
    <w:p>
      <w:pPr>
        <w:spacing w:line="240" w:lineRule="auto" w:before="10"/>
        <w:rPr>
          <w:rFonts w:ascii="宋体" w:hAnsi="宋体" w:cs="宋体" w:eastAsia="宋体" w:hint="default"/>
          <w:b/>
          <w:bCs/>
          <w:sz w:val="22"/>
          <w:szCs w:val="22"/>
        </w:rPr>
      </w:pPr>
    </w:p>
    <w:p>
      <w:pPr>
        <w:pStyle w:val="BodyText"/>
        <w:spacing w:line="516" w:lineRule="auto"/>
        <w:ind w:right="7693"/>
        <w:jc w:val="left"/>
      </w:pPr>
      <w:r>
        <w:rPr/>
        <w:t>公司是否需要遵守特殊行业的披露要求 否</w:t>
      </w:r>
    </w:p>
    <w:p>
      <w:pPr>
        <w:pStyle w:val="BodyText"/>
        <w:spacing w:line="516" w:lineRule="auto" w:before="66"/>
        <w:ind w:left="1496" w:right="0" w:hanging="363"/>
        <w:jc w:val="left"/>
      </w:pPr>
      <w:r>
        <w:rPr/>
        <w:t>具体会计政策和会计估计提示： </w:t>
      </w:r>
      <w:r>
        <w:rPr>
          <w:spacing w:val="-5"/>
        </w:rPr>
        <w:t>以下披露内容已涵盖了本公司根据实际生产经营特点制定的具体会计政策和会计估计。详见第十一节财务报告</w:t>
      </w:r>
      <w:r>
        <w:rPr>
          <w:rFonts w:ascii="Times New Roman" w:hAnsi="Times New Roman" w:cs="Times New Roman" w:eastAsia="Times New Roman" w:hint="default"/>
          <w:spacing w:val="-5"/>
        </w:rPr>
        <w:t>“</w:t>
      </w:r>
      <w:r>
        <w:rPr>
          <w:spacing w:val="-5"/>
        </w:rPr>
        <w:t>五、（</w:t>
      </w:r>
      <w:r>
        <w:rPr>
          <w:rFonts w:ascii="Times New Roman" w:hAnsi="Times New Roman" w:cs="Times New Roman" w:eastAsia="Times New Roman" w:hint="default"/>
          <w:spacing w:val="-5"/>
        </w:rPr>
        <w:t>11</w:t>
      </w:r>
      <w:r>
        <w:rPr>
          <w:spacing w:val="-5"/>
        </w:rPr>
        <w:t>）</w:t>
      </w:r>
    </w:p>
    <w:p>
      <w:pPr>
        <w:pStyle w:val="BodyText"/>
        <w:spacing w:line="239" w:lineRule="exact"/>
        <w:ind w:right="0"/>
        <w:jc w:val="left"/>
      </w:pPr>
      <w:r>
        <w:rPr/>
        <w:t>应收款项坏账准备</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五、（</w:t>
      </w:r>
      <w:r>
        <w:rPr>
          <w:rFonts w:ascii="Times New Roman" w:hAnsi="Times New Roman" w:cs="Times New Roman" w:eastAsia="Times New Roman" w:hint="default"/>
        </w:rPr>
        <w:t>12</w:t>
      </w:r>
      <w:r>
        <w:rPr/>
        <w:t>）存货</w:t>
      </w:r>
      <w:r>
        <w:rPr>
          <w:rFonts w:ascii="Times New Roman" w:hAnsi="Times New Roman" w:cs="Times New Roman" w:eastAsia="Times New Roman" w:hint="default"/>
        </w:rPr>
        <w:t>”</w:t>
      </w:r>
      <w:r>
        <w:rPr/>
        <w:t>、 </w:t>
      </w:r>
      <w:r>
        <w:rPr>
          <w:rFonts w:ascii="Times New Roman" w:hAnsi="Times New Roman" w:cs="Times New Roman" w:eastAsia="Times New Roman" w:hint="default"/>
        </w:rPr>
        <w:t>“</w:t>
      </w:r>
      <w:r>
        <w:rPr/>
        <w:t>五、（</w:t>
      </w:r>
      <w:r>
        <w:rPr>
          <w:rFonts w:ascii="Times New Roman" w:hAnsi="Times New Roman" w:cs="Times New Roman" w:eastAsia="Times New Roman" w:hint="default"/>
        </w:rPr>
        <w:t>23</w:t>
      </w:r>
      <w:r>
        <w:rPr/>
        <w:t>）预计负债</w:t>
      </w:r>
      <w:r>
        <w:rPr>
          <w:rFonts w:ascii="Times New Roman" w:hAnsi="Times New Roman" w:cs="Times New Roman" w:eastAsia="Times New Roman" w:hint="default"/>
        </w:rPr>
        <w:t>”</w:t>
      </w:r>
      <w:r>
        <w:rPr/>
        <w:t>、</w:t>
      </w:r>
      <w:r>
        <w:rPr>
          <w:spacing w:val="-38"/>
        </w:rPr>
        <w:t> </w:t>
      </w:r>
      <w:r>
        <w:rPr>
          <w:rFonts w:ascii="Times New Roman" w:hAnsi="Times New Roman" w:cs="Times New Roman" w:eastAsia="Times New Roman" w:hint="default"/>
        </w:rPr>
        <w:t>“</w:t>
      </w:r>
      <w:r>
        <w:rPr/>
        <w:t>五、（</w:t>
      </w:r>
      <w:r>
        <w:rPr>
          <w:rFonts w:ascii="Times New Roman" w:hAnsi="Times New Roman" w:cs="Times New Roman" w:eastAsia="Times New Roman" w:hint="default"/>
        </w:rPr>
        <w:t>26</w:t>
      </w:r>
      <w:r>
        <w:rPr/>
        <w:t>）收入</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Heading4"/>
        <w:spacing w:line="240" w:lineRule="auto"/>
        <w:ind w:left="1133" w:right="0"/>
        <w:jc w:val="left"/>
        <w:rPr>
          <w:b w:val="0"/>
          <w:bCs w:val="0"/>
        </w:rPr>
      </w:pPr>
      <w:bookmarkStart w:name="1、遵循企业会计准则的声明" w:id="166"/>
      <w:bookmarkEnd w:id="166"/>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21"/>
          <w:szCs w:val="21"/>
        </w:rPr>
      </w:pPr>
    </w:p>
    <w:p>
      <w:pPr>
        <w:pStyle w:val="BodyText"/>
        <w:spacing w:line="477" w:lineRule="auto"/>
        <w:ind w:right="1118" w:firstLine="290"/>
        <w:jc w:val="left"/>
      </w:pPr>
      <w:r>
        <w:rPr>
          <w:spacing w:val="-1"/>
        </w:rPr>
        <w:t>公司所编制的财务报表符合企业会计准则的要求，真实、完整地反映了报告期公司的财务状况、经营成果、现金流量等</w:t>
      </w:r>
      <w:r>
        <w:rPr/>
        <w:t> 有关信息。</w:t>
      </w:r>
    </w:p>
    <w:p>
      <w:pPr>
        <w:spacing w:line="240" w:lineRule="auto" w:before="0"/>
        <w:rPr>
          <w:rFonts w:ascii="宋体" w:hAnsi="宋体" w:cs="宋体" w:eastAsia="宋体" w:hint="default"/>
          <w:sz w:val="18"/>
          <w:szCs w:val="18"/>
        </w:rPr>
      </w:pPr>
    </w:p>
    <w:p>
      <w:pPr>
        <w:pStyle w:val="Heading4"/>
        <w:spacing w:line="240" w:lineRule="auto" w:before="118"/>
        <w:ind w:left="1133" w:right="0"/>
        <w:jc w:val="left"/>
        <w:rPr>
          <w:b w:val="0"/>
          <w:bCs w:val="0"/>
        </w:rPr>
      </w:pPr>
      <w:bookmarkStart w:name="2、会计期间" w:id="167"/>
      <w:bookmarkEnd w:id="167"/>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21"/>
          <w:szCs w:val="21"/>
        </w:rPr>
      </w:pPr>
    </w:p>
    <w:p>
      <w:pPr>
        <w:pStyle w:val="BodyText"/>
        <w:spacing w:line="240" w:lineRule="auto"/>
        <w:ind w:left="1344" w:right="0"/>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Heading4"/>
        <w:spacing w:line="240" w:lineRule="auto"/>
        <w:ind w:right="0"/>
        <w:jc w:val="left"/>
        <w:rPr>
          <w:b w:val="0"/>
          <w:bCs w:val="0"/>
        </w:rPr>
      </w:pPr>
      <w:bookmarkStart w:name="3、营业周期" w:id="168"/>
      <w:bookmarkEnd w:id="168"/>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21"/>
          <w:szCs w:val="21"/>
        </w:rPr>
      </w:pPr>
    </w:p>
    <w:p>
      <w:pPr>
        <w:pStyle w:val="BodyText"/>
        <w:spacing w:line="240" w:lineRule="auto"/>
        <w:ind w:left="1344" w:right="0"/>
        <w:jc w:val="left"/>
      </w:pPr>
      <w:r>
        <w:rPr/>
        <w:t>本公司营业周期为</w:t>
      </w:r>
      <w:r>
        <w:rPr>
          <w:rFonts w:ascii="Times New Roman" w:hAnsi="Times New Roman" w:cs="Times New Roman" w:eastAsia="Times New Roman" w:hint="default"/>
        </w:rPr>
        <w:t>12</w:t>
      </w:r>
      <w:r>
        <w:rPr/>
        <w:t>个月。</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Heading4"/>
        <w:spacing w:line="240" w:lineRule="auto"/>
        <w:ind w:right="0"/>
        <w:jc w:val="left"/>
        <w:rPr>
          <w:b w:val="0"/>
          <w:bCs w:val="0"/>
        </w:rPr>
      </w:pPr>
      <w:bookmarkStart w:name="4、记账本位币" w:id="169"/>
      <w:bookmarkEnd w:id="169"/>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21"/>
          <w:szCs w:val="21"/>
        </w:rPr>
      </w:pPr>
    </w:p>
    <w:p>
      <w:pPr>
        <w:pStyle w:val="BodyText"/>
        <w:spacing w:line="477" w:lineRule="auto"/>
        <w:ind w:left="1344" w:right="1182"/>
        <w:jc w:val="left"/>
      </w:pPr>
      <w:r>
        <w:rPr/>
        <w:t>本公司采用人民币为记账本位币。 本公司之香港子公司今天国际物流科技有限公司以其注册地的法定货币港币为记账本位币，编制财务报表时折算为人民</w:t>
      </w:r>
    </w:p>
    <w:p>
      <w:pPr>
        <w:pStyle w:val="BodyText"/>
        <w:spacing w:line="240" w:lineRule="auto" w:before="54"/>
        <w:ind w:left="1134" w:right="0"/>
        <w:jc w:val="left"/>
      </w:pPr>
      <w:r>
        <w:rPr/>
        <w:t>币。</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4"/>
        <w:spacing w:line="240" w:lineRule="auto"/>
        <w:ind w:left="1133" w:right="0"/>
        <w:jc w:val="left"/>
        <w:rPr>
          <w:b w:val="0"/>
          <w:bCs w:val="0"/>
        </w:rPr>
      </w:pPr>
      <w:bookmarkStart w:name="5、同一控制下和非同一控制下企业合并的会计处理方法" w:id="170"/>
      <w:bookmarkEnd w:id="170"/>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21"/>
          <w:szCs w:val="21"/>
        </w:rPr>
      </w:pPr>
    </w:p>
    <w:p>
      <w:pPr>
        <w:pStyle w:val="BodyText"/>
        <w:spacing w:line="477" w:lineRule="auto"/>
        <w:ind w:right="1043" w:firstLine="355"/>
        <w:jc w:val="both"/>
      </w:pPr>
      <w:r>
        <w:rPr>
          <w:spacing w:val="-2"/>
        </w:rPr>
        <w:t>同一控制下企业合并：本公司在企业合并中取得的资产和负债，按照合并日被合并方资产、负债（包括最终控制方收购</w:t>
      </w:r>
      <w:r>
        <w:rPr/>
        <w:t> </w:t>
      </w:r>
      <w:r>
        <w:rPr>
          <w:spacing w:val="-2"/>
        </w:rPr>
        <w:t>被合并方而形成的商誉）在最终控制方合并财务报表中的账面价值计量。在合并中取得的净资产账面价值与支付的合并对价</w:t>
      </w:r>
      <w:r>
        <w:rPr>
          <w:spacing w:val="-64"/>
        </w:rPr>
        <w:t> </w:t>
      </w:r>
      <w:r>
        <w:rPr>
          <w:spacing w:val="-64"/>
        </w:rPr>
      </w:r>
      <w:r>
        <w:rPr>
          <w:spacing w:val="-4"/>
        </w:rPr>
        <w:t>账面价值（或发行股份面值总额）的差额，调整资本公积中的股本溢价，资本公积中的股本溢价不足冲减的，调整留存收益。</w:t>
      </w:r>
    </w:p>
    <w:p>
      <w:pPr>
        <w:pStyle w:val="BodyText"/>
        <w:spacing w:line="477" w:lineRule="auto" w:before="54"/>
        <w:ind w:left="1134" w:right="1132" w:firstLine="420"/>
        <w:jc w:val="both"/>
      </w:pPr>
      <w:r>
        <w:rPr/>
        <w:t>非同一控制下企业合并：本公司在购买日对作为企业合并对价付出的资产、发生或承担的负债按照公允价值计量，公 </w:t>
      </w:r>
      <w:r>
        <w:rPr>
          <w:spacing w:val="-2"/>
        </w:rPr>
        <w:t>允价值与其账面价值的差额，计入当期损益。本公司对合并成本大于合并中取得的被购买方可辨认净资产公允价值份额的差</w:t>
      </w:r>
      <w:r>
        <w:rPr>
          <w:spacing w:val="-64"/>
        </w:rPr>
        <w:t> </w:t>
      </w:r>
      <w:r>
        <w:rPr>
          <w:spacing w:val="-64"/>
        </w:rPr>
      </w:r>
      <w:r>
        <w:rPr/>
        <w:t>额，确认为商誉；合并成本小于合并中取得的被购买方可辨认净资产公允价值份额的差额，经复核后，计入当期损益。</w:t>
      </w:r>
    </w:p>
    <w:p>
      <w:pPr>
        <w:pStyle w:val="BodyText"/>
        <w:spacing w:line="477" w:lineRule="auto" w:before="54"/>
        <w:ind w:right="1170" w:firstLine="420"/>
        <w:jc w:val="both"/>
      </w:pPr>
      <w:r>
        <w:rPr/>
        <w:t>为企业合并发生的审计、法律服务、评估咨询等中介费用以及其他直接相关费用，于发生时计入当期损益；为企业合 并而发行权益性证券的交易费用，冲减权益。</w:t>
      </w:r>
    </w:p>
    <w:p>
      <w:pPr>
        <w:spacing w:line="240" w:lineRule="auto" w:before="0"/>
        <w:rPr>
          <w:rFonts w:ascii="宋体" w:hAnsi="宋体" w:cs="宋体" w:eastAsia="宋体" w:hint="default"/>
          <w:sz w:val="18"/>
          <w:szCs w:val="18"/>
        </w:rPr>
      </w:pPr>
    </w:p>
    <w:p>
      <w:pPr>
        <w:pStyle w:val="Heading4"/>
        <w:spacing w:line="240" w:lineRule="auto" w:before="118"/>
        <w:ind w:left="1133" w:right="0"/>
        <w:jc w:val="left"/>
        <w:rPr>
          <w:b w:val="0"/>
          <w:bCs w:val="0"/>
        </w:rPr>
      </w:pPr>
      <w:bookmarkStart w:name="6、合并财务报表的编制方法" w:id="171"/>
      <w:bookmarkEnd w:id="171"/>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21"/>
          <w:szCs w:val="21"/>
        </w:rPr>
      </w:pPr>
    </w:p>
    <w:p>
      <w:pPr>
        <w:pStyle w:val="BodyText"/>
        <w:spacing w:line="451" w:lineRule="auto"/>
        <w:ind w:left="1424" w:right="1118" w:firstLine="71"/>
        <w:jc w:val="left"/>
      </w:pPr>
      <w:r>
        <w:rPr>
          <w:rFonts w:ascii="Times New Roman" w:hAnsi="Times New Roman" w:cs="Times New Roman" w:eastAsia="Times New Roman" w:hint="default"/>
        </w:rPr>
        <w:t>1</w:t>
      </w:r>
      <w:r>
        <w:rPr/>
        <w:t>、合并范围 </w:t>
      </w:r>
      <w:r>
        <w:rPr>
          <w:spacing w:val="-1"/>
        </w:rPr>
        <w:t>本公司合并财务报表的合并范围以控制为基础确定，所有子公司（包括本公司所控制的被投资方可分割的部分）均纳入</w:t>
      </w:r>
    </w:p>
    <w:p>
      <w:pPr>
        <w:pStyle w:val="BodyText"/>
        <w:spacing w:line="240" w:lineRule="auto" w:before="74"/>
        <w:ind w:left="1134" w:right="0"/>
        <w:jc w:val="left"/>
      </w:pPr>
      <w:r>
        <w:rPr/>
        <w:t>合并财务报表。</w:t>
      </w:r>
    </w:p>
    <w:p>
      <w:pPr>
        <w:spacing w:line="240" w:lineRule="auto" w:before="10"/>
        <w:rPr>
          <w:rFonts w:ascii="宋体" w:hAnsi="宋体" w:cs="宋体" w:eastAsia="宋体" w:hint="default"/>
          <w:sz w:val="17"/>
          <w:szCs w:val="17"/>
        </w:rPr>
      </w:pPr>
    </w:p>
    <w:p>
      <w:pPr>
        <w:pStyle w:val="BodyText"/>
        <w:spacing w:line="451" w:lineRule="auto"/>
        <w:ind w:left="1449" w:right="1129" w:hanging="99"/>
        <w:jc w:val="left"/>
      </w:pPr>
      <w:r>
        <w:rPr>
          <w:rFonts w:ascii="Times New Roman" w:hAnsi="Times New Roman" w:cs="Times New Roman" w:eastAsia="Times New Roman" w:hint="default"/>
        </w:rPr>
        <w:t>2</w:t>
      </w:r>
      <w:r>
        <w:rPr/>
        <w:t>、合并程序 </w:t>
      </w:r>
      <w:r>
        <w:rPr>
          <w:spacing w:val="-1"/>
        </w:rPr>
        <w:t>本公司以自身和各子公司的财务报表为基础，根据其他有关资料，编制合并财务报表。本公司编制合并财务报表，将整</w:t>
      </w:r>
    </w:p>
    <w:p>
      <w:pPr>
        <w:pStyle w:val="BodyText"/>
        <w:spacing w:line="477" w:lineRule="auto" w:before="74"/>
        <w:ind w:left="1134" w:right="0"/>
        <w:jc w:val="left"/>
      </w:pPr>
      <w:r>
        <w:rPr>
          <w:spacing w:val="-2"/>
        </w:rPr>
        <w:t>个企业集团视为一个会计主体，依据相关企业会计准则的确认、计量和列报要求，按照统一的会计政策，反映本企业集团整</w:t>
      </w:r>
      <w:r>
        <w:rPr>
          <w:spacing w:val="-66"/>
        </w:rPr>
        <w:t> </w:t>
      </w:r>
      <w:r>
        <w:rPr>
          <w:spacing w:val="-66"/>
        </w:rPr>
      </w:r>
      <w:r>
        <w:rPr/>
        <w:t>体财务状况、经营成果和现金流量。</w:t>
      </w:r>
    </w:p>
    <w:p>
      <w:pPr>
        <w:pStyle w:val="BodyText"/>
        <w:spacing w:line="477" w:lineRule="auto" w:before="54"/>
        <w:ind w:left="1134" w:right="1131" w:firstLine="420"/>
        <w:jc w:val="both"/>
      </w:pPr>
      <w:r>
        <w:rPr/>
        <w:t>所有纳入合并财务报表合并范围的子公司所采用的会计政策、会计期间与本公司一致，如子公司采用的会计政策、会 </w:t>
      </w:r>
      <w:r>
        <w:rPr>
          <w:spacing w:val="-2"/>
        </w:rPr>
        <w:t>计期间与本公司不一致的，在编制合并财务报表时，按本公司的会计政策、会计期间进行必要的调整。对于非同一控制下企</w:t>
      </w:r>
      <w:r>
        <w:rPr>
          <w:spacing w:val="-66"/>
        </w:rPr>
        <w:t> </w:t>
      </w:r>
      <w:r>
        <w:rPr>
          <w:spacing w:val="-66"/>
        </w:rPr>
      </w:r>
      <w:r>
        <w:rPr>
          <w:spacing w:val="-2"/>
        </w:rPr>
        <w:t>业合并取得的子公司，以购买日可辨认净资产公允价值为基础对其财务报表进行调整。对于同一控制下企业合并取得的子公</w:t>
      </w:r>
      <w:r>
        <w:rPr>
          <w:spacing w:val="-64"/>
        </w:rPr>
        <w:t> </w:t>
      </w:r>
      <w:r>
        <w:rPr>
          <w:spacing w:val="-64"/>
        </w:rPr>
      </w:r>
      <w:r>
        <w:rPr>
          <w:spacing w:val="-2"/>
        </w:rPr>
        <w:t>司，以其资产、负债（包括最终控制方收购该子公司而形成的商誉）在最终控制方财务报表中的账面价值为基础对其财务报</w:t>
      </w:r>
      <w:r>
        <w:rPr>
          <w:spacing w:val="-66"/>
        </w:rPr>
        <w:t> </w:t>
      </w:r>
      <w:r>
        <w:rPr>
          <w:spacing w:val="-66"/>
        </w:rPr>
      </w:r>
      <w:r>
        <w:rPr/>
        <w:t>表进行调整。</w:t>
      </w:r>
    </w:p>
    <w:p>
      <w:pPr>
        <w:pStyle w:val="BodyText"/>
        <w:spacing w:line="477" w:lineRule="auto" w:before="54"/>
        <w:ind w:left="1134" w:right="1131" w:firstLine="420"/>
        <w:jc w:val="both"/>
      </w:pPr>
      <w:r>
        <w:rPr/>
        <w:t>子公司所有者权益、当期净损益和当期综合收益中属于少数股东的份额分别在合并资产负债表中所有者权益项目下、 </w:t>
      </w:r>
      <w:r>
        <w:rPr>
          <w:spacing w:val="-2"/>
        </w:rPr>
        <w:t>合并利润表中净利润项目下和综合收益总额项目下单独列示。子公司少数股东分担的当期亏损超过了少数股东在该子公司期</w:t>
      </w:r>
      <w:r>
        <w:rPr>
          <w:spacing w:val="-64"/>
        </w:rPr>
        <w:t> </w:t>
      </w:r>
      <w:r>
        <w:rPr>
          <w:spacing w:val="-64"/>
        </w:rPr>
      </w:r>
      <w:r>
        <w:rPr/>
        <w:t>初所有者权益中所享有份额而形成的余额，冲减少数股东权益。</w:t>
      </w:r>
    </w:p>
    <w:p>
      <w:pPr>
        <w:pStyle w:val="BodyText"/>
        <w:spacing w:line="451" w:lineRule="auto" w:before="54"/>
        <w:ind w:left="1449" w:right="1129"/>
        <w:jc w:val="left"/>
      </w:pPr>
      <w:r>
        <w:rPr/>
        <w:t>（</w:t>
      </w:r>
      <w:r>
        <w:rPr>
          <w:rFonts w:ascii="Times New Roman" w:hAnsi="Times New Roman" w:cs="Times New Roman" w:eastAsia="Times New Roman" w:hint="default"/>
        </w:rPr>
        <w:t>1</w:t>
      </w:r>
      <w:r>
        <w:rPr/>
        <w:t>）增加子公司或业务 </w:t>
      </w:r>
      <w:r>
        <w:rPr>
          <w:spacing w:val="-1"/>
        </w:rPr>
        <w:t>在报告期内，若因同一控制下企业合并增加子公司或业务的，则调整合并资产负债表的期初数；将子公司或业务合并当</w:t>
      </w:r>
    </w:p>
    <w:p>
      <w:pPr>
        <w:pStyle w:val="BodyText"/>
        <w:spacing w:line="240" w:lineRule="auto" w:before="74"/>
        <w:ind w:left="1134" w:right="0"/>
        <w:jc w:val="left"/>
      </w:pPr>
      <w:r>
        <w:rPr/>
        <w:t>期期初至报告期末的收入、费用、利润纳入合并利润表；将子公司或业务合并当期期初至报告期末的现金流量纳入合并现金</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left="1553" w:right="1153" w:hanging="420"/>
        <w:jc w:val="left"/>
      </w:pPr>
      <w:r>
        <w:rPr/>
        <w:t>流量表，同时对比较报表的相关项目进行调整，视同合并后的报告主体自最终控制方开始控制时点起一直存在。 因追加投资等原因能够对同一控制下的被投资方实施控制的，视同参与合并的各方在最终控制方开始控制时即以目前</w:t>
      </w:r>
    </w:p>
    <w:p>
      <w:pPr>
        <w:pStyle w:val="BodyText"/>
        <w:spacing w:line="477" w:lineRule="auto" w:before="54"/>
        <w:ind w:right="1130"/>
        <w:jc w:val="both"/>
      </w:pPr>
      <w:r>
        <w:rPr>
          <w:spacing w:val="-2"/>
        </w:rPr>
        <w:t>的状态存在进行调整。在取得被合并方控制权之前持有的股权投资，在取得原股权之日与合并方和被合并方同处于同一控制</w:t>
      </w:r>
      <w:r>
        <w:rPr>
          <w:spacing w:val="-63"/>
        </w:rPr>
        <w:t> </w:t>
      </w:r>
      <w:r>
        <w:rPr>
          <w:spacing w:val="-63"/>
        </w:rPr>
      </w:r>
      <w:r>
        <w:rPr>
          <w:spacing w:val="-2"/>
        </w:rPr>
        <w:t>之日孰晚日起至合并日之间已确认有关损益、其他综合收益以及其他净资产变动，分别冲减比较报表期间的期初留存收益或</w:t>
      </w:r>
      <w:r>
        <w:rPr>
          <w:spacing w:val="-64"/>
        </w:rPr>
        <w:t> </w:t>
      </w:r>
      <w:r>
        <w:rPr>
          <w:spacing w:val="-64"/>
        </w:rPr>
      </w:r>
      <w:r>
        <w:rPr/>
        <w:t>当期损益。</w:t>
      </w:r>
    </w:p>
    <w:p>
      <w:pPr>
        <w:pStyle w:val="BodyText"/>
        <w:spacing w:line="477" w:lineRule="auto" w:before="54"/>
        <w:ind w:right="1133" w:firstLine="420"/>
        <w:jc w:val="both"/>
      </w:pPr>
      <w:r>
        <w:rPr/>
        <w:t>在报告期内，若因非同一控制下企业合并增加子公司或业务的，则不调整合并资产负债表期初数；将该子公司或业务 </w:t>
      </w:r>
      <w:r>
        <w:rPr>
          <w:spacing w:val="-2"/>
        </w:rPr>
        <w:t>自购买日至报告期末的收入、费用、利润纳入合并利润表；该子公司或业务自购买日至报告期末的现金流量纳入合并现金流</w:t>
      </w:r>
      <w:r>
        <w:rPr>
          <w:spacing w:val="-66"/>
        </w:rPr>
        <w:t> </w:t>
      </w:r>
      <w:r>
        <w:rPr>
          <w:spacing w:val="-66"/>
        </w:rPr>
      </w:r>
      <w:r>
        <w:rPr/>
        <w:t>量表。</w:t>
      </w:r>
    </w:p>
    <w:p>
      <w:pPr>
        <w:pStyle w:val="BodyText"/>
        <w:spacing w:line="477" w:lineRule="auto" w:before="54"/>
        <w:ind w:right="1131" w:firstLine="420"/>
        <w:jc w:val="both"/>
      </w:pPr>
      <w:r>
        <w:rPr/>
        <w:t>因追加投资等原因能够对非同一控制下的被投资方实施控制的，对于购买日之前持有的被购买方的股权，本公司按照 </w:t>
      </w:r>
      <w:r>
        <w:rPr>
          <w:spacing w:val="-2"/>
        </w:rPr>
        <w:t>该股权在购买日的公允价值进行重新计量，公允价值与其账面价值的差额计入当期投资收益。购买日之前持有的被购买方的</w:t>
      </w:r>
      <w:r>
        <w:rPr>
          <w:spacing w:val="-64"/>
        </w:rPr>
        <w:t> </w:t>
      </w:r>
      <w:r>
        <w:rPr>
          <w:spacing w:val="-64"/>
        </w:rPr>
      </w:r>
      <w:r>
        <w:rPr>
          <w:spacing w:val="-2"/>
        </w:rPr>
        <w:t>股权涉及权益法核算下的其他综合收益以及除净损益、其他综合收益和利润分配之外的其他所有者权益变动的，与其相关的</w:t>
      </w:r>
      <w:r>
        <w:rPr>
          <w:spacing w:val="-64"/>
        </w:rPr>
        <w:t> </w:t>
      </w:r>
      <w:r>
        <w:rPr>
          <w:spacing w:val="-64"/>
        </w:rPr>
      </w:r>
      <w:r>
        <w:rPr>
          <w:spacing w:val="-2"/>
        </w:rPr>
        <w:t>其他综合收益、其他所有者权益变动转为购买日所属当期投资收益，由于被投资方重新计量设定受益计划净负债或净资产变</w:t>
      </w:r>
      <w:r>
        <w:rPr>
          <w:spacing w:val="-64"/>
        </w:rPr>
        <w:t> </w:t>
      </w:r>
      <w:r>
        <w:rPr>
          <w:spacing w:val="-64"/>
        </w:rPr>
      </w:r>
      <w:r>
        <w:rPr/>
        <w:t>动而产生的其他综合收益除外。</w:t>
      </w:r>
    </w:p>
    <w:p>
      <w:pPr>
        <w:pStyle w:val="BodyText"/>
        <w:spacing w:line="240" w:lineRule="auto" w:before="54"/>
        <w:ind w:left="1449" w:right="0"/>
        <w:jc w:val="left"/>
      </w:pPr>
      <w:r>
        <w:rPr/>
        <w:t>（</w:t>
      </w:r>
      <w:r>
        <w:rPr>
          <w:rFonts w:ascii="Times New Roman" w:hAnsi="Times New Roman" w:cs="Times New Roman" w:eastAsia="Times New Roman" w:hint="default"/>
        </w:rPr>
        <w:t>2</w:t>
      </w:r>
      <w:r>
        <w:rPr/>
        <w:t>）处置子公司或业务</w:t>
      </w:r>
    </w:p>
    <w:p>
      <w:pPr>
        <w:spacing w:line="240" w:lineRule="auto" w:before="9"/>
        <w:rPr>
          <w:rFonts w:ascii="宋体" w:hAnsi="宋体" w:cs="宋体" w:eastAsia="宋体" w:hint="default"/>
          <w:sz w:val="16"/>
          <w:szCs w:val="16"/>
        </w:rPr>
      </w:pPr>
    </w:p>
    <w:p>
      <w:pPr>
        <w:pStyle w:val="BodyText"/>
        <w:spacing w:line="477" w:lineRule="auto"/>
        <w:ind w:left="1660" w:right="0"/>
        <w:jc w:val="left"/>
      </w:pPr>
      <w:r>
        <w:rPr/>
        <w:t>①一般处理方法 </w:t>
      </w:r>
      <w:r>
        <w:rPr>
          <w:spacing w:val="-2"/>
        </w:rPr>
        <w:t>在报告期内，本公司处置子公司或业务，则该子公司或业务期初至处置日的收入、费用、利润纳入合并利润表；该子</w:t>
      </w:r>
    </w:p>
    <w:p>
      <w:pPr>
        <w:pStyle w:val="BodyText"/>
        <w:spacing w:line="477" w:lineRule="auto" w:before="54"/>
        <w:ind w:left="1134" w:right="0"/>
        <w:jc w:val="left"/>
      </w:pPr>
      <w:r>
        <w:rPr/>
        <w:t>公司或业务期初至处置日的现金流量纳入合并现金流量表。 </w:t>
      </w:r>
      <w:r>
        <w:rPr>
          <w:spacing w:val="-2"/>
        </w:rPr>
        <w:t>因处置部分股权投资或其他原因丧失了对被投资方控制权时，对于处置后的剩余股权投资，本公司按照其在丧失控制权日的</w:t>
      </w:r>
      <w:r>
        <w:rPr>
          <w:spacing w:val="-64"/>
        </w:rPr>
        <w:t> </w:t>
      </w:r>
      <w:r>
        <w:rPr>
          <w:spacing w:val="-64"/>
        </w:rPr>
      </w:r>
      <w:r>
        <w:rPr>
          <w:spacing w:val="-2"/>
        </w:rPr>
        <w:t>公允价值进行重新计量。处置股权取得的对价与剩余股权公允价值之和，减去按原持股比例计算应享有原有子公司自购买日</w:t>
      </w:r>
      <w:r>
        <w:rPr>
          <w:spacing w:val="-64"/>
        </w:rPr>
        <w:t> </w:t>
      </w:r>
      <w:r>
        <w:rPr>
          <w:spacing w:val="-64"/>
        </w:rPr>
      </w:r>
      <w:r>
        <w:rPr>
          <w:spacing w:val="-2"/>
        </w:rPr>
        <w:t>或合并日开始持续计算的净资产的份额与商誉之和的差额，计入丧失控制权当期的投资收益。与原有子公司股权投资相关的</w:t>
      </w:r>
      <w:r>
        <w:rPr>
          <w:spacing w:val="-64"/>
        </w:rPr>
        <w:t> </w:t>
      </w:r>
      <w:r>
        <w:rPr>
          <w:spacing w:val="-64"/>
        </w:rPr>
      </w:r>
      <w:r>
        <w:rPr>
          <w:spacing w:val="-2"/>
        </w:rPr>
        <w:t>其他综合收益或除净损益、其他综合收益及利润分配之外的其他所有者权益变动，在丧失控制权时转为当期投资收益，由于</w:t>
      </w:r>
      <w:r>
        <w:rPr>
          <w:spacing w:val="-66"/>
        </w:rPr>
        <w:t> </w:t>
      </w:r>
      <w:r>
        <w:rPr>
          <w:spacing w:val="-66"/>
        </w:rPr>
      </w:r>
      <w:r>
        <w:rPr/>
        <w:t>被投资方重新计量设定受益计划净负债或净资产变动而产生的其他综合收益除外。</w:t>
      </w:r>
    </w:p>
    <w:p>
      <w:pPr>
        <w:pStyle w:val="BodyText"/>
        <w:spacing w:line="240" w:lineRule="auto" w:before="54"/>
        <w:ind w:left="1553" w:right="0"/>
        <w:jc w:val="left"/>
      </w:pPr>
      <w:r>
        <w:rPr/>
        <w:t>因其他投资方对子公司增资而导致本公司持股比例下降从而丧失控制权的，按照上述原则进行会计处理。</w:t>
      </w:r>
    </w:p>
    <w:p>
      <w:pPr>
        <w:spacing w:line="240" w:lineRule="auto" w:before="10"/>
        <w:rPr>
          <w:rFonts w:ascii="宋体" w:hAnsi="宋体" w:cs="宋体" w:eastAsia="宋体" w:hint="default"/>
          <w:sz w:val="17"/>
          <w:szCs w:val="17"/>
        </w:rPr>
      </w:pPr>
    </w:p>
    <w:p>
      <w:pPr>
        <w:pStyle w:val="BodyText"/>
        <w:spacing w:line="477" w:lineRule="auto"/>
        <w:ind w:left="1553" w:right="1153"/>
        <w:jc w:val="left"/>
      </w:pPr>
      <w:r>
        <w:rPr/>
        <w:t>②分步处置子公司 通过多次交易分步处置对子公司股权投资直至丧失控制权的，处置对子公司股权投资的各项交易的条款、条件以及经</w:t>
      </w:r>
    </w:p>
    <w:p>
      <w:pPr>
        <w:pStyle w:val="BodyText"/>
        <w:spacing w:line="477" w:lineRule="auto" w:before="54"/>
        <w:ind w:left="1553" w:right="3373" w:hanging="420"/>
        <w:jc w:val="left"/>
      </w:pPr>
      <w:r>
        <w:rPr/>
        <w:t>济影响符合以下一种或多种情况，通常表明应将多次交易事项作为一揽子交易进行会计处理： ⅰ．这些交易是同时或者在考虑了彼此影响的情况下订立的； ⅱ．这些交易整体才能达成一项完整的商业结果； ⅲ．一项交易的发生取决于其他至少一项交易的发生； ⅳ．一项交易单独看是不经济的，但是和其他交易一并考虑时是经济的。</w:t>
      </w:r>
    </w:p>
    <w:p>
      <w:pPr>
        <w:spacing w:after="0" w:line="477"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0"/>
        <w:jc w:val="left"/>
      </w:pPr>
      <w:r>
        <w:rPr>
          <w:spacing w:val="-2"/>
        </w:rPr>
        <w:t>处置对子公司股权投资直至丧失控制权的各项交易属于一揽子交易的，本公司将各项交易作为一项处置子公司并丧失控制权</w:t>
      </w:r>
      <w:r>
        <w:rPr>
          <w:spacing w:val="-64"/>
        </w:rPr>
        <w:t> </w:t>
      </w:r>
      <w:r>
        <w:rPr>
          <w:spacing w:val="-64"/>
        </w:rPr>
      </w:r>
      <w:r>
        <w:rPr>
          <w:spacing w:val="-2"/>
        </w:rPr>
        <w:t>的交易进行会计处理；但是，在丧失控制权之前每一次处置价款与处置投资对应的享有该子公司净资产份额的差额，在合并</w:t>
      </w:r>
      <w:r>
        <w:rPr>
          <w:spacing w:val="-66"/>
        </w:rPr>
        <w:t> </w:t>
      </w:r>
      <w:r>
        <w:rPr>
          <w:spacing w:val="-66"/>
        </w:rPr>
      </w:r>
      <w:r>
        <w:rPr/>
        <w:t>财务报表中确认为其他综合收益，在丧失控制权时一并转入丧失控制权当期的损益。 </w:t>
      </w:r>
      <w:r>
        <w:rPr>
          <w:spacing w:val="-2"/>
        </w:rPr>
        <w:t>处置对子公司股权投资直至丧失控制权的各项交易不属于一揽子交易的，在丧失控制权之前，按不丧失控制权的情况下部分</w:t>
      </w:r>
      <w:r>
        <w:rPr>
          <w:spacing w:val="-64"/>
        </w:rPr>
        <w:t> </w:t>
      </w:r>
      <w:r>
        <w:rPr>
          <w:spacing w:val="-64"/>
        </w:rPr>
      </w:r>
      <w:r>
        <w:rPr/>
        <w:t>处置对子公司的股权投资的相关政策进行会计处理；在丧失控制权时，按处置子公司一般处理方法进行会计处理。</w:t>
      </w:r>
    </w:p>
    <w:p>
      <w:pPr>
        <w:pStyle w:val="BodyText"/>
        <w:spacing w:line="451" w:lineRule="auto" w:before="54"/>
        <w:ind w:left="1554" w:right="1152"/>
        <w:jc w:val="left"/>
      </w:pPr>
      <w:r>
        <w:rPr/>
        <w:t>（</w:t>
      </w:r>
      <w:r>
        <w:rPr>
          <w:rFonts w:ascii="Times New Roman" w:hAnsi="Times New Roman" w:cs="Times New Roman" w:eastAsia="Times New Roman" w:hint="default"/>
        </w:rPr>
        <w:t>3</w:t>
      </w:r>
      <w:r>
        <w:rPr/>
        <w:t>）购买子公司少数股权 本公司因购买少数股权新取得的长期股权投资与按照新增持股比例计算应享有子公司自购买日（或合并日）开始持续</w:t>
      </w:r>
    </w:p>
    <w:p>
      <w:pPr>
        <w:pStyle w:val="BodyText"/>
        <w:spacing w:line="477" w:lineRule="auto" w:before="74"/>
        <w:ind w:left="1134" w:right="1118"/>
        <w:jc w:val="left"/>
      </w:pPr>
      <w:r>
        <w:rPr>
          <w:spacing w:val="-2"/>
        </w:rPr>
        <w:t>计算的净资产份额之间的差额，调整合并资产负债表中的资本公积中的股本溢价，资本公积中的股本溢价不足冲减的，调整</w:t>
      </w:r>
      <w:r>
        <w:rPr>
          <w:spacing w:val="-66"/>
        </w:rPr>
        <w:t> </w:t>
      </w:r>
      <w:r>
        <w:rPr>
          <w:spacing w:val="-66"/>
        </w:rPr>
      </w:r>
      <w:r>
        <w:rPr/>
        <w:t>留存收益。</w:t>
      </w:r>
    </w:p>
    <w:p>
      <w:pPr>
        <w:pStyle w:val="BodyText"/>
        <w:spacing w:line="451" w:lineRule="auto" w:before="54"/>
        <w:ind w:left="1554" w:right="1152"/>
        <w:jc w:val="left"/>
      </w:pPr>
      <w:r>
        <w:rPr/>
        <w:t>（</w:t>
      </w:r>
      <w:r>
        <w:rPr>
          <w:rFonts w:ascii="Times New Roman" w:hAnsi="Times New Roman" w:cs="Times New Roman" w:eastAsia="Times New Roman" w:hint="default"/>
        </w:rPr>
        <w:t>4</w:t>
      </w:r>
      <w:r>
        <w:rPr/>
        <w:t>）不丧失控制权的情况下部分处置对子公司的股权投资 在不丧失控制权的情况下因部分处置对子公司的长期股权投资而取得的处置价款与处置长期股权投资相对应享有子公</w:t>
      </w:r>
    </w:p>
    <w:p>
      <w:pPr>
        <w:pStyle w:val="BodyText"/>
        <w:spacing w:line="477" w:lineRule="auto" w:before="74"/>
        <w:ind w:left="1134" w:right="0"/>
        <w:jc w:val="left"/>
      </w:pPr>
      <w:r>
        <w:rPr>
          <w:spacing w:val="-2"/>
        </w:rPr>
        <w:t>司自购买日或合并日开始持续计算的净资产份额之间的差额，调整合并资产负债表中的资本公积中的股本溢价，资本公积中</w:t>
      </w:r>
      <w:r>
        <w:rPr>
          <w:spacing w:val="-64"/>
        </w:rPr>
        <w:t> </w:t>
      </w:r>
      <w:r>
        <w:rPr>
          <w:spacing w:val="-64"/>
        </w:rPr>
      </w:r>
      <w:r>
        <w:rPr/>
        <w:t>的股本溢价不足冲减的，调整留存收益。</w:t>
      </w:r>
    </w:p>
    <w:p>
      <w:pPr>
        <w:spacing w:line="240" w:lineRule="auto" w:before="0"/>
        <w:rPr>
          <w:rFonts w:ascii="宋体" w:hAnsi="宋体" w:cs="宋体" w:eastAsia="宋体" w:hint="default"/>
          <w:sz w:val="18"/>
          <w:szCs w:val="18"/>
        </w:rPr>
      </w:pPr>
    </w:p>
    <w:p>
      <w:pPr>
        <w:pStyle w:val="Heading4"/>
        <w:spacing w:line="240" w:lineRule="auto" w:before="118"/>
        <w:ind w:left="1553" w:right="0" w:hanging="420"/>
        <w:jc w:val="left"/>
        <w:rPr>
          <w:b w:val="0"/>
          <w:bCs w:val="0"/>
        </w:rPr>
      </w:pPr>
      <w:bookmarkStart w:name="7、合营安排分类及共同经营会计处理方法" w:id="172"/>
      <w:bookmarkEnd w:id="172"/>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21"/>
          <w:szCs w:val="21"/>
        </w:rPr>
      </w:pPr>
    </w:p>
    <w:p>
      <w:pPr>
        <w:pStyle w:val="BodyText"/>
        <w:spacing w:line="477" w:lineRule="auto"/>
        <w:ind w:left="1553" w:right="2413"/>
        <w:jc w:val="left"/>
      </w:pPr>
      <w:r>
        <w:rPr/>
        <w:t>合营安排分为共同经营和合营企业。 当本公司是合营安排的合营方，享有该安排相关资产且承担该安排相关负债时，为共同经营。 本公司确认与共同经营中利益份额相关的下列项目，并按照相关企业会计准则的规定进行会计处理：</w:t>
      </w:r>
    </w:p>
    <w:p>
      <w:pPr>
        <w:pStyle w:val="BodyText"/>
        <w:spacing w:line="240" w:lineRule="auto" w:before="54"/>
        <w:ind w:left="1433" w:right="0"/>
        <w:jc w:val="left"/>
      </w:pPr>
      <w:r>
        <w:rPr/>
        <w:t>（</w:t>
      </w:r>
      <w:r>
        <w:rPr>
          <w:rFonts w:ascii="Times New Roman" w:hAnsi="Times New Roman" w:cs="Times New Roman" w:eastAsia="Times New Roman" w:hint="default"/>
        </w:rPr>
        <w:t>1</w:t>
      </w:r>
      <w:r>
        <w:rPr/>
        <w:t>）确认本公司单独所持有的资产，以及按本公司份额确认共同持有的资产；</w:t>
      </w:r>
    </w:p>
    <w:p>
      <w:pPr>
        <w:spacing w:line="240" w:lineRule="auto" w:before="9"/>
        <w:rPr>
          <w:rFonts w:ascii="宋体" w:hAnsi="宋体" w:cs="宋体" w:eastAsia="宋体" w:hint="default"/>
          <w:sz w:val="16"/>
          <w:szCs w:val="16"/>
        </w:rPr>
      </w:pPr>
    </w:p>
    <w:p>
      <w:pPr>
        <w:pStyle w:val="BodyText"/>
        <w:spacing w:line="240" w:lineRule="auto"/>
        <w:ind w:left="1433" w:right="0"/>
        <w:jc w:val="left"/>
      </w:pPr>
      <w:r>
        <w:rPr/>
        <w:t>（</w:t>
      </w:r>
      <w:r>
        <w:rPr>
          <w:rFonts w:ascii="Times New Roman" w:hAnsi="Times New Roman" w:cs="Times New Roman" w:eastAsia="Times New Roman" w:hint="default"/>
        </w:rPr>
        <w:t>2</w:t>
      </w:r>
      <w:r>
        <w:rPr/>
        <w:t>）确认本公司单独所承担的负债，以及按本公司份额确认共同承担的负债；</w:t>
      </w:r>
    </w:p>
    <w:p>
      <w:pPr>
        <w:spacing w:line="240" w:lineRule="auto" w:before="9"/>
        <w:rPr>
          <w:rFonts w:ascii="宋体" w:hAnsi="宋体" w:cs="宋体" w:eastAsia="宋体" w:hint="default"/>
          <w:sz w:val="16"/>
          <w:szCs w:val="16"/>
        </w:rPr>
      </w:pPr>
    </w:p>
    <w:p>
      <w:pPr>
        <w:pStyle w:val="BodyText"/>
        <w:spacing w:line="240" w:lineRule="auto"/>
        <w:ind w:left="1433" w:right="0"/>
        <w:jc w:val="left"/>
      </w:pPr>
      <w:r>
        <w:rPr/>
        <w:t>（</w:t>
      </w:r>
      <w:r>
        <w:rPr>
          <w:rFonts w:ascii="Times New Roman" w:hAnsi="Times New Roman" w:cs="Times New Roman" w:eastAsia="Times New Roman" w:hint="default"/>
        </w:rPr>
        <w:t>3</w:t>
      </w:r>
      <w:r>
        <w:rPr/>
        <w:t>）确认出售本公司享有的共同经营产出份额所产生的收入；</w:t>
      </w:r>
    </w:p>
    <w:p>
      <w:pPr>
        <w:spacing w:line="240" w:lineRule="auto" w:before="9"/>
        <w:rPr>
          <w:rFonts w:ascii="宋体" w:hAnsi="宋体" w:cs="宋体" w:eastAsia="宋体" w:hint="default"/>
          <w:sz w:val="16"/>
          <w:szCs w:val="16"/>
        </w:rPr>
      </w:pPr>
    </w:p>
    <w:p>
      <w:pPr>
        <w:pStyle w:val="BodyText"/>
        <w:spacing w:line="240" w:lineRule="auto"/>
        <w:ind w:left="1434" w:right="0"/>
        <w:jc w:val="left"/>
      </w:pPr>
      <w:r>
        <w:rPr/>
        <w:t>（</w:t>
      </w:r>
      <w:r>
        <w:rPr>
          <w:rFonts w:ascii="Times New Roman" w:hAnsi="Times New Roman" w:cs="Times New Roman" w:eastAsia="Times New Roman" w:hint="default"/>
        </w:rPr>
        <w:t>4</w:t>
      </w:r>
      <w:r>
        <w:rPr/>
        <w:t>）按本公司份额确认共同经营因出售产出所产生的收入；</w:t>
      </w:r>
    </w:p>
    <w:p>
      <w:pPr>
        <w:spacing w:line="240" w:lineRule="auto" w:before="9"/>
        <w:rPr>
          <w:rFonts w:ascii="宋体" w:hAnsi="宋体" w:cs="宋体" w:eastAsia="宋体" w:hint="default"/>
          <w:sz w:val="16"/>
          <w:szCs w:val="16"/>
        </w:rPr>
      </w:pPr>
    </w:p>
    <w:p>
      <w:pPr>
        <w:pStyle w:val="BodyText"/>
        <w:spacing w:line="451" w:lineRule="auto"/>
        <w:ind w:right="4423" w:firstLine="300"/>
        <w:jc w:val="left"/>
      </w:pPr>
      <w:r>
        <w:rPr/>
        <w:t>（</w:t>
      </w:r>
      <w:r>
        <w:rPr>
          <w:rFonts w:ascii="Times New Roman" w:hAnsi="Times New Roman" w:cs="Times New Roman" w:eastAsia="Times New Roman" w:hint="default"/>
        </w:rPr>
        <w:t>5</w:t>
      </w:r>
      <w:r>
        <w:rPr/>
        <w:t>）确认单独所发生的费用，以及按本公司份额确认共同经营发生的费用。 本公司对合营企业投资的会计政策见本附注</w:t>
      </w:r>
      <w:r>
        <w:rPr>
          <w:rFonts w:ascii="Times New Roman" w:hAnsi="Times New Roman" w:cs="Times New Roman" w:eastAsia="Times New Roman" w:hint="default"/>
        </w:rPr>
        <w:t>“</w:t>
      </w:r>
      <w:r>
        <w:rPr/>
        <w:t>二、（十三）长期股权投资</w:t>
      </w:r>
      <w:r>
        <w:rPr>
          <w:rFonts w:ascii="Times New Roman" w:hAnsi="Times New Roman" w:cs="Times New Roman" w:eastAsia="Times New Roman" w:hint="default"/>
        </w:rPr>
        <w:t>”</w:t>
      </w:r>
      <w:r>
        <w:rPr/>
        <w:t>。</w:t>
      </w:r>
    </w:p>
    <w:p>
      <w:pPr>
        <w:spacing w:line="240" w:lineRule="auto" w:before="3"/>
        <w:rPr>
          <w:rFonts w:ascii="宋体" w:hAnsi="宋体" w:cs="宋体" w:eastAsia="宋体" w:hint="default"/>
          <w:sz w:val="26"/>
          <w:szCs w:val="26"/>
        </w:rPr>
      </w:pPr>
    </w:p>
    <w:p>
      <w:pPr>
        <w:pStyle w:val="Heading4"/>
        <w:spacing w:line="240" w:lineRule="auto"/>
        <w:ind w:left="1133" w:right="0"/>
        <w:jc w:val="left"/>
        <w:rPr>
          <w:b w:val="0"/>
          <w:bCs w:val="0"/>
        </w:rPr>
      </w:pPr>
      <w:bookmarkStart w:name="8、现金及现金等价物的确定标准" w:id="173"/>
      <w:bookmarkEnd w:id="173"/>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21"/>
          <w:szCs w:val="21"/>
        </w:rPr>
      </w:pPr>
    </w:p>
    <w:p>
      <w:pPr>
        <w:pStyle w:val="BodyText"/>
        <w:spacing w:line="477" w:lineRule="auto"/>
        <w:ind w:right="0" w:firstLine="315"/>
        <w:jc w:val="left"/>
      </w:pPr>
      <w:r>
        <w:rPr>
          <w:spacing w:val="-1"/>
        </w:rPr>
        <w:t>在编制现金流量表时，将本公司库存现金以及可以随时用于支付的存款确认为现金。将同时具备期限短（从购买日起三</w:t>
      </w:r>
      <w:r>
        <w:rPr/>
        <w:t> 个月内到期）、流动性强、易于转换为已知现金、价值变动风险很小四个条件的投资，确定为现金等价物。</w:t>
      </w:r>
    </w:p>
    <w:p>
      <w:pPr>
        <w:spacing w:after="0" w:line="477"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4"/>
        <w:spacing w:line="240" w:lineRule="auto"/>
        <w:ind w:left="1133" w:right="0"/>
        <w:jc w:val="left"/>
        <w:rPr>
          <w:b w:val="0"/>
          <w:bCs w:val="0"/>
        </w:rPr>
      </w:pPr>
      <w:bookmarkStart w:name="9、外币业务和外币报表折算" w:id="174"/>
      <w:bookmarkEnd w:id="174"/>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21"/>
          <w:szCs w:val="21"/>
        </w:rPr>
      </w:pPr>
    </w:p>
    <w:p>
      <w:pPr>
        <w:pStyle w:val="BodyText"/>
        <w:spacing w:line="451" w:lineRule="auto"/>
        <w:ind w:left="1554" w:right="3852" w:firstLine="86"/>
        <w:jc w:val="left"/>
      </w:pPr>
      <w:r>
        <w:rPr>
          <w:rFonts w:ascii="Times New Roman" w:hAnsi="Times New Roman" w:cs="Times New Roman" w:eastAsia="Times New Roman" w:hint="default"/>
        </w:rPr>
        <w:t>1</w:t>
      </w:r>
      <w:r>
        <w:rPr/>
        <w:t>、外币业务 外币业务采用交易发生日的即期汇率作为折算汇率将外币金额折合成人民币记账。</w:t>
      </w:r>
    </w:p>
    <w:p>
      <w:pPr>
        <w:pStyle w:val="BodyText"/>
        <w:spacing w:line="477" w:lineRule="auto" w:before="74"/>
        <w:ind w:right="0" w:firstLine="420"/>
        <w:jc w:val="left"/>
      </w:pPr>
      <w:r>
        <w:rPr/>
        <w:t>外币货币性项目余额按资产负债表日即期汇率折算，由此产生的汇兑差额，除属于与购建符合资本化条件的资产相关 </w:t>
      </w:r>
      <w:r>
        <w:rPr>
          <w:spacing w:val="-4"/>
        </w:rPr>
        <w:t>的外币专门借款产生的汇兑差额按照借款费用资本化的原则处理外，均计入当期损益。以历史成本计量的外币非货币性项目，</w:t>
      </w:r>
      <w:r>
        <w:rPr>
          <w:spacing w:val="-44"/>
        </w:rPr>
        <w:t> </w:t>
      </w:r>
      <w:r>
        <w:rPr>
          <w:spacing w:val="-44"/>
        </w:rPr>
      </w:r>
      <w:r>
        <w:rPr>
          <w:spacing w:val="-2"/>
        </w:rPr>
        <w:t>仍采用交易发生日的即期汇率折算，不改变其记账本位币金额。以公允价值计量的外币非货币性项目，采用公允价值确定日</w:t>
      </w:r>
      <w:r>
        <w:rPr>
          <w:spacing w:val="-66"/>
        </w:rPr>
        <w:t> </w:t>
      </w:r>
      <w:r>
        <w:rPr>
          <w:spacing w:val="-66"/>
        </w:rPr>
      </w:r>
      <w:r>
        <w:rPr/>
        <w:t>的即期汇率折算，由此产生的汇兑差额计入当期损益或资本公积。</w:t>
      </w:r>
    </w:p>
    <w:p>
      <w:pPr>
        <w:pStyle w:val="BodyText"/>
        <w:spacing w:line="451" w:lineRule="auto" w:before="54"/>
        <w:ind w:left="1554" w:right="1172"/>
        <w:jc w:val="left"/>
      </w:pPr>
      <w:r>
        <w:rPr>
          <w:rFonts w:ascii="Times New Roman" w:hAnsi="Times New Roman" w:cs="Times New Roman" w:eastAsia="Times New Roman" w:hint="default"/>
        </w:rPr>
        <w:t>2</w:t>
      </w:r>
      <w:r>
        <w:rPr/>
        <w:t>、外币财务报表的折算 资产负债表中的资产和负债项目，采用资产负债表日的即期汇率折算；所有者权益项目除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项目外，其他</w:t>
      </w:r>
    </w:p>
    <w:p>
      <w:pPr>
        <w:pStyle w:val="BodyText"/>
        <w:spacing w:line="477" w:lineRule="auto" w:before="43"/>
        <w:ind w:right="0"/>
        <w:jc w:val="left"/>
      </w:pPr>
      <w:r>
        <w:rPr>
          <w:spacing w:val="-2"/>
        </w:rPr>
        <w:t>项目采用发生时的即期汇率折算。利润表中的收入和费用项目，采用交易发生日的即期汇率折算。按照上述折算产生的外币</w:t>
      </w:r>
      <w:r>
        <w:rPr>
          <w:spacing w:val="-66"/>
        </w:rPr>
        <w:t> </w:t>
      </w:r>
      <w:r>
        <w:rPr>
          <w:spacing w:val="-66"/>
        </w:rPr>
      </w:r>
      <w:r>
        <w:rPr/>
        <w:t>财务报表折算差额，在资产负债表所有者权益项目下单独列示。</w:t>
      </w:r>
    </w:p>
    <w:p>
      <w:pPr>
        <w:pStyle w:val="BodyText"/>
        <w:spacing w:line="477" w:lineRule="auto" w:before="54"/>
        <w:ind w:right="1133" w:firstLine="420"/>
        <w:jc w:val="both"/>
      </w:pPr>
      <w:r>
        <w:rPr/>
        <w:t>处置境外经营时，将资产负债表中所有者权益项目下列示的、与该境外经营相关的外币财务报表折算差额，自所有者 </w:t>
      </w:r>
      <w:r>
        <w:rPr>
          <w:spacing w:val="-2"/>
        </w:rPr>
        <w:t>权益项目转入处置当期损益；部分处置境外经营的，按处置的比例计算处置部分的外币财务报表折算差额，转入处置当期损</w:t>
      </w:r>
      <w:r>
        <w:rPr>
          <w:spacing w:val="-66"/>
        </w:rPr>
        <w:t> </w:t>
      </w:r>
      <w:r>
        <w:rPr>
          <w:spacing w:val="-66"/>
        </w:rPr>
      </w:r>
      <w:r>
        <w:rPr/>
        <w:t>益。</w:t>
      </w:r>
    </w:p>
    <w:p>
      <w:pPr>
        <w:spacing w:line="240" w:lineRule="auto" w:before="0"/>
        <w:rPr>
          <w:rFonts w:ascii="宋体" w:hAnsi="宋体" w:cs="宋体" w:eastAsia="宋体" w:hint="default"/>
          <w:sz w:val="18"/>
          <w:szCs w:val="18"/>
        </w:rPr>
      </w:pPr>
    </w:p>
    <w:p>
      <w:pPr>
        <w:pStyle w:val="Heading4"/>
        <w:spacing w:line="240" w:lineRule="auto" w:before="119"/>
        <w:ind w:right="0"/>
        <w:jc w:val="left"/>
        <w:rPr>
          <w:b w:val="0"/>
          <w:bCs w:val="0"/>
        </w:rPr>
      </w:pPr>
      <w:bookmarkStart w:name="10、金融工具" w:id="175"/>
      <w:bookmarkEnd w:id="175"/>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21"/>
          <w:szCs w:val="21"/>
        </w:rPr>
      </w:pPr>
    </w:p>
    <w:p>
      <w:pPr>
        <w:pStyle w:val="BodyText"/>
        <w:spacing w:line="240" w:lineRule="auto"/>
        <w:ind w:left="1351" w:right="0"/>
        <w:jc w:val="left"/>
      </w:pPr>
      <w:r>
        <w:rPr/>
        <w:t>金融工具包括金融资产、金融负债和权益工具。</w:t>
      </w:r>
    </w:p>
    <w:p>
      <w:pPr>
        <w:spacing w:line="240" w:lineRule="auto" w:before="10"/>
        <w:rPr>
          <w:rFonts w:ascii="宋体" w:hAnsi="宋体" w:cs="宋体" w:eastAsia="宋体" w:hint="default"/>
          <w:sz w:val="17"/>
          <w:szCs w:val="17"/>
        </w:rPr>
      </w:pPr>
    </w:p>
    <w:p>
      <w:pPr>
        <w:pStyle w:val="BodyText"/>
        <w:spacing w:line="451" w:lineRule="auto"/>
        <w:ind w:left="1554" w:right="1152" w:hanging="130"/>
        <w:jc w:val="left"/>
      </w:pPr>
      <w:r>
        <w:rPr>
          <w:rFonts w:ascii="Times New Roman" w:hAnsi="Times New Roman" w:cs="Times New Roman" w:eastAsia="Times New Roman" w:hint="default"/>
        </w:rPr>
        <w:t>1</w:t>
      </w:r>
      <w:r>
        <w:rPr/>
        <w:t>、金融工具的分类 金融资产和金融负债于初始确认时分类为：以公允价值计量且其变动计入当期损益的金融资产或金融负债，包括交易</w:t>
      </w:r>
    </w:p>
    <w:p>
      <w:pPr>
        <w:pStyle w:val="BodyText"/>
        <w:spacing w:line="477" w:lineRule="auto" w:before="74"/>
        <w:ind w:left="1134" w:right="0"/>
        <w:jc w:val="left"/>
      </w:pPr>
      <w:r>
        <w:rPr>
          <w:spacing w:val="-2"/>
        </w:rPr>
        <w:t>性金融资产或金融负债和直接指定为以公允价值计量且其变动计入当期损益的金融资产或金融负债；持有至到期投资；应收</w:t>
      </w:r>
      <w:r>
        <w:rPr>
          <w:spacing w:val="-64"/>
        </w:rPr>
        <w:t> </w:t>
      </w:r>
      <w:r>
        <w:rPr>
          <w:spacing w:val="-64"/>
        </w:rPr>
      </w:r>
      <w:r>
        <w:rPr/>
        <w:t>款项；可供出售金融资产；其他金融负债等。</w:t>
      </w:r>
    </w:p>
    <w:p>
      <w:pPr>
        <w:pStyle w:val="BodyText"/>
        <w:spacing w:line="240" w:lineRule="auto" w:before="54"/>
        <w:ind w:left="1424" w:right="0"/>
        <w:jc w:val="left"/>
      </w:pPr>
      <w:r>
        <w:rPr>
          <w:rFonts w:ascii="Times New Roman" w:hAnsi="Times New Roman" w:cs="Times New Roman" w:eastAsia="Times New Roman" w:hint="default"/>
        </w:rPr>
        <w:t>2</w:t>
      </w:r>
      <w:r>
        <w:rPr/>
        <w:t>、金融工具的确认依据和计量方法</w:t>
      </w:r>
    </w:p>
    <w:p>
      <w:pPr>
        <w:spacing w:line="240" w:lineRule="auto" w:before="9"/>
        <w:rPr>
          <w:rFonts w:ascii="宋体" w:hAnsi="宋体" w:cs="宋体" w:eastAsia="宋体" w:hint="default"/>
          <w:sz w:val="16"/>
          <w:szCs w:val="16"/>
        </w:rPr>
      </w:pPr>
    </w:p>
    <w:p>
      <w:pPr>
        <w:pStyle w:val="BodyText"/>
        <w:spacing w:line="451" w:lineRule="auto"/>
        <w:ind w:left="1507" w:right="1199" w:hanging="156"/>
        <w:jc w:val="left"/>
      </w:pPr>
      <w:r>
        <w:rPr/>
        <w:t>（</w:t>
      </w:r>
      <w:r>
        <w:rPr>
          <w:rFonts w:ascii="Times New Roman" w:hAnsi="Times New Roman" w:cs="Times New Roman" w:eastAsia="Times New Roman" w:hint="default"/>
        </w:rPr>
        <w:t>1</w:t>
      </w:r>
      <w:r>
        <w:rPr/>
        <w:t>）以公允价值计量且其变动计入当期损益的金融资产（金融负债） 取得时以公允价值（扣除已宣告但尚未发放的现金股利或已到付息期但尚未领取的债券利息）作为初始确认金额，相</w:t>
      </w:r>
    </w:p>
    <w:p>
      <w:pPr>
        <w:pStyle w:val="BodyText"/>
        <w:spacing w:line="477" w:lineRule="auto" w:before="74"/>
        <w:ind w:left="1507" w:right="2819" w:hanging="374"/>
        <w:jc w:val="left"/>
      </w:pPr>
      <w:r>
        <w:rPr/>
        <w:t>关的交易费用计入当期损益。 持有期间将取得的利息或现金股利确认为投资收益，期末将公允价值变动计入当期损益。 处置时，其公允价值与初始入账金额之间的差额确认为投资收益，同时调整公允价值变动损益。</w:t>
      </w:r>
    </w:p>
    <w:p>
      <w:pPr>
        <w:pStyle w:val="BodyText"/>
        <w:spacing w:line="451" w:lineRule="auto" w:before="54"/>
        <w:ind w:left="1553" w:right="2233" w:hanging="203"/>
        <w:jc w:val="left"/>
      </w:pPr>
      <w:r>
        <w:rPr/>
        <w:t>（</w:t>
      </w:r>
      <w:r>
        <w:rPr>
          <w:rFonts w:ascii="Times New Roman" w:hAnsi="Times New Roman" w:cs="Times New Roman" w:eastAsia="Times New Roman" w:hint="default"/>
        </w:rPr>
        <w:t>2</w:t>
      </w:r>
      <w:r>
        <w:rPr/>
        <w:t>）持有至到期投资 取得时按公允价值（扣除已到付息期但尚未领取的债券利息）和相关交易费用之和作为初始确认金额。</w:t>
      </w:r>
    </w:p>
    <w:p>
      <w:pPr>
        <w:spacing w:after="0" w:line="451"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153" w:firstLine="420"/>
        <w:jc w:val="left"/>
      </w:pPr>
      <w:r>
        <w:rPr/>
        <w:t>持有期间按照摊余成本和实际利率计算确认利息收入，计入投资收益。实际利率在取得时确定，在该预期存续期间或 适用的更短期间内保持不变。</w:t>
      </w:r>
    </w:p>
    <w:p>
      <w:pPr>
        <w:pStyle w:val="BodyText"/>
        <w:spacing w:line="240" w:lineRule="auto" w:before="54"/>
        <w:ind w:left="1553" w:right="0"/>
        <w:jc w:val="left"/>
      </w:pPr>
      <w:r>
        <w:rPr/>
        <w:t>处置时，将所取得价款与该投资账面价值之间的差额计入投资收益。</w:t>
      </w:r>
    </w:p>
    <w:p>
      <w:pPr>
        <w:spacing w:line="240" w:lineRule="auto" w:before="10"/>
        <w:rPr>
          <w:rFonts w:ascii="宋体" w:hAnsi="宋体" w:cs="宋体" w:eastAsia="宋体" w:hint="default"/>
          <w:sz w:val="17"/>
          <w:szCs w:val="17"/>
        </w:rPr>
      </w:pPr>
    </w:p>
    <w:p>
      <w:pPr>
        <w:pStyle w:val="BodyText"/>
        <w:spacing w:line="451" w:lineRule="auto"/>
        <w:ind w:left="1554" w:right="1152" w:hanging="105"/>
        <w:jc w:val="left"/>
      </w:pPr>
      <w:r>
        <w:rPr/>
        <w:t>（</w:t>
      </w:r>
      <w:r>
        <w:rPr>
          <w:rFonts w:ascii="Times New Roman" w:hAnsi="Times New Roman" w:cs="Times New Roman" w:eastAsia="Times New Roman" w:hint="default"/>
        </w:rPr>
        <w:t>3</w:t>
      </w:r>
      <w:r>
        <w:rPr/>
        <w:t>）应收款项 公司对外销售商品或提供劳务形成的应收债权，以及公司持有的其他企业的不包括在活跃市场上有报价的债务工具的</w:t>
      </w:r>
    </w:p>
    <w:p>
      <w:pPr>
        <w:pStyle w:val="BodyText"/>
        <w:spacing w:line="477" w:lineRule="auto" w:before="74"/>
        <w:ind w:left="1134" w:right="1118"/>
        <w:jc w:val="left"/>
      </w:pPr>
      <w:r>
        <w:rPr>
          <w:spacing w:val="-2"/>
        </w:rPr>
        <w:t>债权，包括应收账款、其他应收款等，以向购货方应收的合同或协议价款作为初始确认金额；具有融资性质的，按其现值进</w:t>
      </w:r>
      <w:r>
        <w:rPr>
          <w:spacing w:val="-66"/>
        </w:rPr>
        <w:t> </w:t>
      </w:r>
      <w:r>
        <w:rPr>
          <w:spacing w:val="-66"/>
        </w:rPr>
      </w:r>
      <w:r>
        <w:rPr/>
        <w:t>行初始确认。</w:t>
      </w:r>
    </w:p>
    <w:p>
      <w:pPr>
        <w:pStyle w:val="BodyText"/>
        <w:spacing w:line="240" w:lineRule="auto" w:before="54"/>
        <w:ind w:left="1553" w:right="0"/>
        <w:jc w:val="left"/>
      </w:pPr>
      <w:r>
        <w:rPr/>
        <w:t>收回或处置时，将取得的价款与该应收款项账面价值之间的差额计入当期损益。</w:t>
      </w:r>
    </w:p>
    <w:p>
      <w:pPr>
        <w:spacing w:line="240" w:lineRule="auto" w:before="10"/>
        <w:rPr>
          <w:rFonts w:ascii="宋体" w:hAnsi="宋体" w:cs="宋体" w:eastAsia="宋体" w:hint="default"/>
          <w:sz w:val="17"/>
          <w:szCs w:val="17"/>
        </w:rPr>
      </w:pPr>
    </w:p>
    <w:p>
      <w:pPr>
        <w:pStyle w:val="BodyText"/>
        <w:spacing w:line="451" w:lineRule="auto"/>
        <w:ind w:left="1554" w:right="1152" w:hanging="105"/>
        <w:jc w:val="left"/>
      </w:pPr>
      <w:r>
        <w:rPr/>
        <w:t>（</w:t>
      </w:r>
      <w:r>
        <w:rPr>
          <w:rFonts w:ascii="Times New Roman" w:hAnsi="Times New Roman" w:cs="Times New Roman" w:eastAsia="Times New Roman" w:hint="default"/>
        </w:rPr>
        <w:t>4</w:t>
      </w:r>
      <w:r>
        <w:rPr/>
        <w:t>）可供出售金融资产 取得时按公允价值（扣除已宣告但尚未发放的现金股利或已到付息期但尚未领取的债券利息）和相关交易费用之和作</w:t>
      </w:r>
    </w:p>
    <w:p>
      <w:pPr>
        <w:pStyle w:val="BodyText"/>
        <w:spacing w:line="477" w:lineRule="auto" w:before="74"/>
        <w:ind w:left="1553" w:right="1033" w:hanging="420"/>
        <w:jc w:val="left"/>
      </w:pPr>
      <w:r>
        <w:rPr/>
        <w:t>为初始确认金额。 </w:t>
      </w:r>
      <w:r>
        <w:rPr>
          <w:spacing w:val="-2"/>
        </w:rPr>
        <w:t>持有期间将取得的利息或现金股利确认为投资收益。期末以公允价值计量且将公允价值变动计入其他综合收益。但是，</w:t>
      </w:r>
    </w:p>
    <w:p>
      <w:pPr>
        <w:pStyle w:val="BodyText"/>
        <w:spacing w:line="477" w:lineRule="auto" w:before="54"/>
        <w:ind w:right="0"/>
        <w:jc w:val="left"/>
      </w:pPr>
      <w:r>
        <w:rPr>
          <w:spacing w:val="-2"/>
        </w:rPr>
        <w:t>在活跃市场中没有报价且其公允价值不能可靠计量的权益工具投资，以及与该权益工具挂钩并须通过交付该权益工具结算的</w:t>
      </w:r>
      <w:r>
        <w:rPr>
          <w:spacing w:val="-64"/>
        </w:rPr>
        <w:t> </w:t>
      </w:r>
      <w:r>
        <w:rPr>
          <w:spacing w:val="-64"/>
        </w:rPr>
      </w:r>
      <w:r>
        <w:rPr/>
        <w:t>衍生金融资产，按照成本计量。</w:t>
      </w:r>
    </w:p>
    <w:p>
      <w:pPr>
        <w:pStyle w:val="BodyText"/>
        <w:spacing w:line="477" w:lineRule="auto" w:before="54"/>
        <w:ind w:right="1153" w:firstLine="420"/>
        <w:jc w:val="left"/>
      </w:pPr>
      <w:r>
        <w:rPr/>
        <w:t>处置时，将取得的价款与该金融资产账面价值之间的差额，计入投资损益；同时，将原直接计入其他综合收益的公允 价值变动累计额对应处置部分的金额转出，计入当期损益。</w:t>
      </w:r>
    </w:p>
    <w:p>
      <w:pPr>
        <w:pStyle w:val="BodyText"/>
        <w:spacing w:line="463" w:lineRule="auto" w:before="54"/>
        <w:ind w:left="1553" w:right="3673" w:hanging="105"/>
        <w:jc w:val="left"/>
      </w:pPr>
      <w:r>
        <w:rPr/>
        <w:t>（</w:t>
      </w:r>
      <w:r>
        <w:rPr>
          <w:rFonts w:ascii="Times New Roman" w:hAnsi="Times New Roman" w:cs="Times New Roman" w:eastAsia="Times New Roman" w:hint="default"/>
        </w:rPr>
        <w:t>5</w:t>
      </w:r>
      <w:r>
        <w:rPr/>
        <w:t>）其他金融负债 按其公允价值和相关交易费用之和作为初始确认金额。采用摊余成本进行后续计量。 </w:t>
      </w:r>
      <w:r>
        <w:rPr>
          <w:rFonts w:ascii="Times New Roman" w:hAnsi="Times New Roman" w:cs="Times New Roman" w:eastAsia="Times New Roman" w:hint="default"/>
        </w:rPr>
        <w:t>3</w:t>
      </w:r>
      <w:r>
        <w:rPr/>
        <w:t>、金融资产转移的确认依据和计量方法</w:t>
      </w:r>
    </w:p>
    <w:p>
      <w:pPr>
        <w:pStyle w:val="BodyText"/>
        <w:spacing w:line="477" w:lineRule="auto" w:before="33"/>
        <w:ind w:right="1153" w:firstLine="420"/>
        <w:jc w:val="left"/>
      </w:pPr>
      <w:r>
        <w:rPr/>
        <w:t>公司发生金融资产转移时，如已将金融资产所有权上几乎所有的风险和报酬转移给转入方，则终止确认该金融资产； 如保留了金融资产所有权上几乎所有的风险和报酬的，则不终止确认该金融资产。</w:t>
      </w:r>
    </w:p>
    <w:p>
      <w:pPr>
        <w:pStyle w:val="BodyText"/>
        <w:spacing w:line="477" w:lineRule="auto" w:before="54"/>
        <w:ind w:right="1153" w:firstLine="420"/>
        <w:jc w:val="left"/>
      </w:pPr>
      <w:r>
        <w:rPr/>
        <w:t>在判断金融资产转移是否满足上述金融资产终止确认条件时，采用实质重于形式的原则。公司将金融资产转移区分为 金融资产整体转移和部分转移。金融资产整体转移满足终止确认条件的，将下列两项金额的差额计入当期损益：</w:t>
      </w:r>
    </w:p>
    <w:p>
      <w:pPr>
        <w:pStyle w:val="BodyText"/>
        <w:spacing w:line="240" w:lineRule="auto" w:before="54"/>
        <w:ind w:left="1449" w:right="0"/>
        <w:jc w:val="left"/>
      </w:pPr>
      <w:r>
        <w:rPr/>
        <w:t>（</w:t>
      </w:r>
      <w:r>
        <w:rPr>
          <w:rFonts w:ascii="Times New Roman" w:hAnsi="Times New Roman" w:cs="Times New Roman" w:eastAsia="Times New Roman" w:hint="default"/>
        </w:rPr>
        <w:t>1</w:t>
      </w:r>
      <w:r>
        <w:rPr/>
        <w:t>）所转移金融资产的账面价值；</w:t>
      </w:r>
    </w:p>
    <w:p>
      <w:pPr>
        <w:spacing w:line="240" w:lineRule="auto" w:before="9"/>
        <w:rPr>
          <w:rFonts w:ascii="宋体" w:hAnsi="宋体" w:cs="宋体" w:eastAsia="宋体" w:hint="default"/>
          <w:sz w:val="16"/>
          <w:szCs w:val="16"/>
        </w:rPr>
      </w:pPr>
    </w:p>
    <w:p>
      <w:pPr>
        <w:pStyle w:val="BodyText"/>
        <w:spacing w:line="451" w:lineRule="auto"/>
        <w:ind w:left="1134" w:right="1167" w:firstLine="315"/>
        <w:jc w:val="left"/>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）因转移而收到的对价，与原直接计入所有者权益的公允价值变动累计额（涉及转移的金融资产为可供出售金融资 产的情形）之和。</w:t>
      </w:r>
    </w:p>
    <w:p>
      <w:pPr>
        <w:pStyle w:val="BodyText"/>
        <w:spacing w:line="477" w:lineRule="auto" w:before="74"/>
        <w:ind w:right="0" w:firstLine="420"/>
        <w:jc w:val="left"/>
      </w:pPr>
      <w:r>
        <w:rPr>
          <w:spacing w:val="-2"/>
        </w:rPr>
        <w:t>金融资产部分转移满足终止确认条件的，将所转移金融资产整体的账面价值，在终止确认部分和未终止确认部分之间，</w:t>
      </w:r>
      <w:r>
        <w:rPr/>
        <w:t> 按照各自的相对公允价值进行分摊，并将下列两项金额的差额计入当期损益：</w:t>
      </w:r>
    </w:p>
    <w:p>
      <w:pPr>
        <w:pStyle w:val="BodyText"/>
        <w:spacing w:line="240" w:lineRule="auto" w:before="54"/>
        <w:ind w:left="1449" w:right="0"/>
        <w:jc w:val="left"/>
      </w:pPr>
      <w:r>
        <w:rPr/>
        <w:t>（</w:t>
      </w:r>
      <w:r>
        <w:rPr>
          <w:rFonts w:ascii="Times New Roman" w:hAnsi="Times New Roman" w:cs="Times New Roman" w:eastAsia="Times New Roman" w:hint="default"/>
        </w:rPr>
        <w:t>1</w:t>
      </w:r>
      <w:r>
        <w:rPr/>
        <w:t>）终止确认部分的账面价值；</w:t>
      </w:r>
    </w:p>
    <w:p>
      <w:pPr>
        <w:spacing w:line="240" w:lineRule="auto" w:before="9"/>
        <w:rPr>
          <w:rFonts w:ascii="宋体" w:hAnsi="宋体" w:cs="宋体" w:eastAsia="宋体" w:hint="default"/>
          <w:sz w:val="16"/>
          <w:szCs w:val="16"/>
        </w:rPr>
      </w:pPr>
    </w:p>
    <w:p>
      <w:pPr>
        <w:pStyle w:val="BodyText"/>
        <w:spacing w:line="240" w:lineRule="auto"/>
        <w:ind w:left="1449" w:right="0"/>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）终止确认部分的对价，与原直接计入所有者权益的公允价值变动累计额中对应终止确认部分的金额（涉及转移的</w:t>
      </w:r>
    </w:p>
    <w:p>
      <w:pPr>
        <w:spacing w:after="0" w:line="240" w:lineRule="auto"/>
        <w:jc w:val="left"/>
        <w:sectPr>
          <w:footerReference w:type="default" r:id="rId17"/>
          <w:pgSz w:w="11910" w:h="16840"/>
          <w:pgMar w:footer="979" w:header="747"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68" w:lineRule="auto"/>
        <w:ind w:left="1424" w:right="1118" w:hanging="291"/>
        <w:jc w:val="left"/>
      </w:pPr>
      <w:r>
        <w:rPr/>
        <w:t>金融资产为可供出售金融资产的情形）之和。 金融资产转移不满足终止确认条件的，继续确认该金融资产，所收到的对价确认为一项金融负债。 </w:t>
      </w:r>
      <w:r>
        <w:rPr>
          <w:rFonts w:ascii="Times New Roman" w:hAnsi="Times New Roman" w:cs="Times New Roman" w:eastAsia="Times New Roman" w:hint="default"/>
        </w:rPr>
        <w:t>4</w:t>
      </w:r>
      <w:r>
        <w:rPr/>
        <w:t>、金融负债终止确认条件 </w:t>
      </w:r>
      <w:r>
        <w:rPr>
          <w:spacing w:val="-1"/>
        </w:rPr>
        <w:t>金融负债的现时义务全部或部分已经解除的，则终止确认该金融负债或其一部分；本公司若与债权人签定协议，以承担</w:t>
      </w:r>
    </w:p>
    <w:p>
      <w:pPr>
        <w:pStyle w:val="BodyText"/>
        <w:spacing w:line="477" w:lineRule="auto" w:before="61"/>
        <w:ind w:left="1134" w:right="1132"/>
        <w:jc w:val="both"/>
      </w:pPr>
      <w:r>
        <w:rPr>
          <w:spacing w:val="-2"/>
        </w:rPr>
        <w:t>新金融负债方式替换现存金融负债，且新金融负债与现存金融负债的合同条款实质上不同的，则终止确认现存金融负债，并</w:t>
      </w:r>
      <w:r>
        <w:rPr>
          <w:spacing w:val="-66"/>
        </w:rPr>
        <w:t> </w:t>
      </w:r>
      <w:r>
        <w:rPr>
          <w:spacing w:val="-66"/>
        </w:rPr>
      </w:r>
      <w:r>
        <w:rPr/>
        <w:t>同时确认新金融负债。</w:t>
      </w:r>
    </w:p>
    <w:p>
      <w:pPr>
        <w:pStyle w:val="BodyText"/>
        <w:spacing w:line="477" w:lineRule="auto" w:before="54"/>
        <w:ind w:left="1134" w:right="0" w:firstLine="300"/>
        <w:jc w:val="left"/>
      </w:pPr>
      <w:r>
        <w:rPr>
          <w:spacing w:val="-1"/>
        </w:rPr>
        <w:t>对现存金融负债全部或部分合同条款作出实质性修改的，则终止确认现存金融负债或其一部分，同时将修改条款后的金</w:t>
      </w:r>
      <w:r>
        <w:rPr/>
        <w:t> 融负债确认为一项新金融负债。</w:t>
      </w:r>
    </w:p>
    <w:p>
      <w:pPr>
        <w:pStyle w:val="BodyText"/>
        <w:spacing w:line="477" w:lineRule="auto" w:before="54"/>
        <w:ind w:left="1134" w:right="0" w:firstLine="300"/>
        <w:jc w:val="left"/>
      </w:pPr>
      <w:r>
        <w:rPr>
          <w:spacing w:val="-1"/>
        </w:rPr>
        <w:t>金融负债全部或部分终止确认时，终止确认的金融负债账面价值与支付对价（包括转出的非现金资产或承担的新金融负</w:t>
      </w:r>
      <w:r>
        <w:rPr/>
        <w:t> 债）之间的差额，计入当期损益。</w:t>
      </w:r>
    </w:p>
    <w:p>
      <w:pPr>
        <w:pStyle w:val="BodyText"/>
        <w:spacing w:line="477" w:lineRule="auto" w:before="54"/>
        <w:ind w:left="1134" w:right="1032" w:firstLine="300"/>
        <w:jc w:val="left"/>
      </w:pPr>
      <w:r>
        <w:rPr/>
        <w:t>本公司若回购部分金融负债的，在回购日按照继续确认部分与终止确认部分的相对公允价值，将该金融负债整体的账面 价值进行分配。分配给终止确认部分的账面价值与支付的对价（包括转出的非现金资产或承担的新金融负债）之间的差额， 计入当期损益。</w:t>
      </w:r>
    </w:p>
    <w:p>
      <w:pPr>
        <w:pStyle w:val="BodyText"/>
        <w:spacing w:line="451" w:lineRule="auto" w:before="54"/>
        <w:ind w:left="1424" w:right="0" w:firstLine="9"/>
        <w:jc w:val="left"/>
      </w:pPr>
      <w:r>
        <w:rPr>
          <w:rFonts w:ascii="Times New Roman" w:hAnsi="Times New Roman" w:cs="Times New Roman" w:eastAsia="Times New Roman" w:hint="default"/>
        </w:rPr>
        <w:t>5</w:t>
      </w:r>
      <w:r>
        <w:rPr/>
        <w:t>、金融资产和金融负债的公允价值的确定方法 </w:t>
      </w:r>
      <w:r>
        <w:rPr>
          <w:spacing w:val="-1"/>
        </w:rPr>
        <w:t>存在活跃市场的金融工具，以活跃市场中的报价确定其公允价值。不存在活跃市场的金融工具，采用估值技术确定其公</w:t>
      </w:r>
    </w:p>
    <w:p>
      <w:pPr>
        <w:pStyle w:val="BodyText"/>
        <w:spacing w:line="477" w:lineRule="auto" w:before="74"/>
        <w:ind w:left="1134" w:right="1132"/>
        <w:jc w:val="both"/>
      </w:pPr>
      <w:r>
        <w:rPr>
          <w:spacing w:val="-2"/>
        </w:rPr>
        <w:t>允价值。在估值时，本公司采用在当前情况下适用并且有足够可利用数据和其他信息支持的估值技术，选择与市场参与者在</w:t>
      </w:r>
      <w:r>
        <w:rPr>
          <w:spacing w:val="-66"/>
        </w:rPr>
        <w:t> </w:t>
      </w:r>
      <w:r>
        <w:rPr>
          <w:spacing w:val="-66"/>
        </w:rPr>
      </w:r>
      <w:r>
        <w:rPr>
          <w:spacing w:val="-2"/>
        </w:rPr>
        <w:t>相关资产或负债的交易中所考虑的资产或负债特征相一致的输入值，并优先使用相关可观察输入值。只有在相关可观察输入</w:t>
      </w:r>
      <w:r>
        <w:rPr>
          <w:spacing w:val="-64"/>
        </w:rPr>
        <w:t> </w:t>
      </w:r>
      <w:r>
        <w:rPr>
          <w:spacing w:val="-64"/>
        </w:rPr>
      </w:r>
      <w:r>
        <w:rPr/>
        <w:t>值无法取得或取得不切实可行的情况下，才使用不可观察输入值。</w:t>
      </w:r>
    </w:p>
    <w:p>
      <w:pPr>
        <w:pStyle w:val="BodyText"/>
        <w:spacing w:line="451" w:lineRule="auto" w:before="54"/>
        <w:ind w:left="1434" w:right="0"/>
        <w:jc w:val="left"/>
      </w:pPr>
      <w:r>
        <w:rPr>
          <w:rFonts w:ascii="Times New Roman" w:hAnsi="Times New Roman" w:cs="Times New Roman" w:eastAsia="Times New Roman" w:hint="default"/>
        </w:rPr>
        <w:t>6</w:t>
      </w:r>
      <w:r>
        <w:rPr/>
        <w:t>、金融资产（不含应收款项）减值的测试方法及会计处理方法 </w:t>
      </w:r>
      <w:r>
        <w:rPr>
          <w:spacing w:val="-1"/>
        </w:rPr>
        <w:t>除以公允价值计量且其变动计入当期损益的金融资产外，本公司于资产负债表日对金融资产的账面价值进行检查，如果</w:t>
      </w:r>
    </w:p>
    <w:p>
      <w:pPr>
        <w:pStyle w:val="BodyText"/>
        <w:spacing w:line="240" w:lineRule="auto" w:before="74"/>
        <w:ind w:left="1134" w:right="0"/>
        <w:jc w:val="left"/>
      </w:pPr>
      <w:r>
        <w:rPr/>
        <w:t>有客观证据表明某项金融资产发生减值的，计提减值准备。</w:t>
      </w:r>
    </w:p>
    <w:p>
      <w:pPr>
        <w:spacing w:line="240" w:lineRule="auto" w:before="10"/>
        <w:rPr>
          <w:rFonts w:ascii="宋体" w:hAnsi="宋体" w:cs="宋体" w:eastAsia="宋体" w:hint="default"/>
          <w:sz w:val="17"/>
          <w:szCs w:val="17"/>
        </w:rPr>
      </w:pPr>
    </w:p>
    <w:p>
      <w:pPr>
        <w:pStyle w:val="BodyText"/>
        <w:spacing w:line="451" w:lineRule="auto"/>
        <w:ind w:left="1553" w:right="1153" w:hanging="120"/>
        <w:jc w:val="left"/>
      </w:pPr>
      <w:r>
        <w:rPr/>
        <w:t>（</w:t>
      </w:r>
      <w:r>
        <w:rPr>
          <w:rFonts w:ascii="Times New Roman" w:hAnsi="Times New Roman" w:cs="Times New Roman" w:eastAsia="Times New Roman" w:hint="default"/>
        </w:rPr>
        <w:t>1</w:t>
      </w:r>
      <w:r>
        <w:rPr/>
        <w:t>）可供出售金融资产的减值准备： 期末如果可供出售金融资产的公允价值发生严重下降，或在综合考虑各种相关因素后，预期这种下降趋势属于非暂时</w:t>
      </w:r>
    </w:p>
    <w:p>
      <w:pPr>
        <w:pStyle w:val="BodyText"/>
        <w:spacing w:line="477" w:lineRule="auto" w:before="74"/>
        <w:ind w:left="1553" w:right="1153" w:hanging="420"/>
        <w:jc w:val="left"/>
      </w:pPr>
      <w:r>
        <w:rPr/>
        <w:t>性的，就认定其已发生减值，将原直接计入所有者权益的公允价值下降形成的累计损失一并转出，确认减值损失。 对于已确认减值损失的可供出售债务工具，在随后的会计期间公允价值已上升且客观上与确认原减值损失确认后发生</w:t>
      </w:r>
    </w:p>
    <w:p>
      <w:pPr>
        <w:pStyle w:val="BodyText"/>
        <w:spacing w:line="477" w:lineRule="auto" w:before="54"/>
        <w:ind w:left="1554" w:right="5652" w:hanging="420"/>
        <w:jc w:val="left"/>
      </w:pPr>
      <w:r>
        <w:rPr/>
        <w:t>的事项有关的，原确认的减值损失予以转回，计入当期损益。 可供出售权益工具投资发生的减值损失，不通过损益转回。</w:t>
      </w:r>
    </w:p>
    <w:p>
      <w:pPr>
        <w:pStyle w:val="BodyText"/>
        <w:spacing w:line="451" w:lineRule="auto" w:before="54"/>
        <w:ind w:left="1553" w:right="4753" w:hanging="105"/>
        <w:jc w:val="left"/>
      </w:pPr>
      <w:r>
        <w:rPr/>
        <w:t>（</w:t>
      </w:r>
      <w:r>
        <w:rPr>
          <w:rFonts w:ascii="Times New Roman" w:hAnsi="Times New Roman" w:cs="Times New Roman" w:eastAsia="Times New Roman" w:hint="default"/>
        </w:rPr>
        <w:t>2</w:t>
      </w:r>
      <w:r>
        <w:rPr/>
        <w:t>）持有至到期投资的减值准备： 持有至到期投资减值损失的计量比照应收款项减值损失计量方法处理。</w:t>
      </w:r>
    </w:p>
    <w:p>
      <w:pPr>
        <w:spacing w:after="0" w:line="451" w:lineRule="auto"/>
        <w:jc w:val="left"/>
        <w:sectPr>
          <w:footerReference w:type="default" r:id="rId18"/>
          <w:pgSz w:w="11910" w:h="16840"/>
          <w:pgMar w:footer="979" w:header="747" w:top="1060" w:bottom="1160" w:left="0" w:right="0"/>
          <w:pgNumType w:start="101"/>
        </w:sectPr>
      </w:pPr>
    </w:p>
    <w:p>
      <w:pPr>
        <w:spacing w:line="240" w:lineRule="auto" w:before="13"/>
        <w:rPr>
          <w:rFonts w:ascii="宋体" w:hAnsi="宋体" w:cs="宋体" w:eastAsia="宋体" w:hint="default"/>
          <w:sz w:val="25"/>
          <w:szCs w:val="25"/>
        </w:rPr>
      </w:pPr>
    </w:p>
    <w:p>
      <w:pPr>
        <w:pStyle w:val="Heading4"/>
        <w:spacing w:line="240" w:lineRule="auto" w:before="44"/>
        <w:ind w:left="1133" w:right="0"/>
        <w:jc w:val="left"/>
        <w:rPr>
          <w:b w:val="0"/>
          <w:bCs w:val="0"/>
        </w:rPr>
      </w:pPr>
      <w:bookmarkStart w:name="11、应收款项" w:id="176"/>
      <w:bookmarkEnd w:id="176"/>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8"/>
        <w:ind w:right="0"/>
        <w:jc w:val="left"/>
        <w:rPr>
          <w:b w:val="0"/>
          <w:bCs w:val="0"/>
        </w:rPr>
      </w:pPr>
      <w:bookmarkStart w:name="（1）单项金额重大并单独计提坏账准备的应收款项" w:id="177"/>
      <w:bookmarkEnd w:id="177"/>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12"/>
        <w:rPr>
          <w:rFonts w:ascii="宋体" w:hAnsi="宋体" w:cs="宋体" w:eastAsia="宋体" w:hint="default"/>
          <w:b/>
          <w:bCs/>
          <w:sz w:val="26"/>
          <w:szCs w:val="26"/>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单项金额重大的应收账款是指期末余额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万元及以上的应</w:t>
            </w:r>
          </w:p>
          <w:p>
            <w:pPr>
              <w:pStyle w:val="TableParagraph"/>
              <w:spacing w:line="302" w:lineRule="auto" w:before="63"/>
              <w:ind w:left="23" w:right="68"/>
              <w:jc w:val="left"/>
              <w:rPr>
                <w:rFonts w:ascii="宋体" w:hAnsi="宋体" w:cs="宋体" w:eastAsia="宋体" w:hint="default"/>
                <w:sz w:val="18"/>
                <w:szCs w:val="18"/>
              </w:rPr>
            </w:pPr>
            <w:r>
              <w:rPr>
                <w:rFonts w:ascii="宋体" w:hAnsi="宋体" w:cs="宋体" w:eastAsia="宋体" w:hint="default"/>
                <w:sz w:val="18"/>
                <w:szCs w:val="18"/>
              </w:rPr>
              <w:t>收账款，单项金额重大的其他应收款是指期末余额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 及以上的其他应收款。</w:t>
            </w:r>
          </w:p>
        </w:tc>
      </w:tr>
      <w:tr>
        <w:trPr>
          <w:trHeight w:val="196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对单项金额重大的应收款项单独进行减值测试，如有客观证 据表明其发生了减值的，根据其预计未来现金流量（不包括 尚未发生的未来信用损失）按原实际利率折现的现值低于其 账面价值的差额，确认为减值损失，计入当期损益。如无客 观证据表明其发生了减值的，则并入正常信用风险组合采用 账龄分析法计提坏账准备。</w:t>
            </w:r>
          </w:p>
        </w:tc>
      </w:tr>
    </w:tbl>
    <w:p>
      <w:pPr>
        <w:spacing w:line="240" w:lineRule="auto" w:before="6"/>
        <w:rPr>
          <w:rFonts w:ascii="宋体" w:hAnsi="宋体" w:cs="宋体" w:eastAsia="宋体" w:hint="default"/>
          <w:b/>
          <w:bCs/>
          <w:sz w:val="20"/>
          <w:szCs w:val="20"/>
        </w:rPr>
      </w:pPr>
    </w:p>
    <w:p>
      <w:pPr>
        <w:pStyle w:val="Heading4"/>
        <w:spacing w:line="240" w:lineRule="auto" w:before="44"/>
        <w:ind w:right="0"/>
        <w:jc w:val="left"/>
        <w:rPr>
          <w:b w:val="0"/>
          <w:bCs w:val="0"/>
        </w:rPr>
      </w:pPr>
      <w:bookmarkStart w:name="（2）按信用风险特征组合计提坏账准备的应收款项" w:id="178"/>
      <w:bookmarkEnd w:id="178"/>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0"/>
        <w:rPr>
          <w:rFonts w:ascii="宋体" w:hAnsi="宋体" w:cs="宋体" w:eastAsia="宋体" w:hint="default"/>
          <w:b/>
          <w:bCs/>
          <w:sz w:val="27"/>
          <w:szCs w:val="27"/>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无信用风险组合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正常信用风险组合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left="1134" w:right="0"/>
        <w:jc w:val="left"/>
      </w:pPr>
      <w:r>
        <w:rPr/>
        <w:t>组合中，采用账龄分析法计提坏账准备的：</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134" w:right="0"/>
        <w:jc w:val="left"/>
      </w:pPr>
      <w:r>
        <w:rPr/>
        <w:t>组合中，采用余额百分比法计提坏账准备的：</w:t>
      </w:r>
    </w:p>
    <w:p>
      <w:pPr>
        <w:pStyle w:val="BodyText"/>
        <w:spacing w:line="338" w:lineRule="auto" w:before="117"/>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pStyle w:val="Heading4"/>
        <w:spacing w:line="240" w:lineRule="auto" w:before="126"/>
        <w:ind w:left="1133" w:right="0"/>
        <w:jc w:val="left"/>
        <w:rPr>
          <w:b w:val="0"/>
          <w:bCs w:val="0"/>
        </w:rPr>
      </w:pPr>
      <w:bookmarkStart w:name="（3）单项金额不重大但单独计提坏账准备的应收款项" w:id="179"/>
      <w:bookmarkEnd w:id="179"/>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0"/>
        <w:rPr>
          <w:rFonts w:ascii="宋体" w:hAnsi="宋体" w:cs="宋体" w:eastAsia="宋体" w:hint="default"/>
          <w:b/>
          <w:bCs/>
          <w:sz w:val="27"/>
          <w:szCs w:val="27"/>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8"/>
              <w:jc w:val="both"/>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单项金额虽不重大但单项计提坏账准备的应收款项是指单项 金额虽不重大但已涉及诉讼事项或已有客观证据表明很有可 能形成损失的应收款项。</w:t>
            </w:r>
          </w:p>
        </w:tc>
      </w:tr>
      <w:tr>
        <w:trPr>
          <w:trHeight w:val="67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对单项金额虽不重大但已涉及诉讼事项或已有客观证据表明 很有可能形成损失的应收款项需单独进行减值测试，根据其</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2"/>
        <w:rPr>
          <w:rFonts w:ascii="宋体" w:hAnsi="宋体" w:cs="宋体" w:eastAsia="宋体" w:hint="default"/>
          <w:b/>
          <w:bCs/>
          <w:sz w:val="28"/>
          <w:szCs w:val="28"/>
        </w:rPr>
      </w:pPr>
    </w:p>
    <w:p>
      <w:pPr>
        <w:spacing w:line="1005" w:lineRule="exact"/>
        <w:ind w:left="1129" w:right="0" w:firstLine="0"/>
        <w:rPr>
          <w:rFonts w:ascii="宋体" w:hAnsi="宋体" w:cs="宋体" w:eastAsia="宋体" w:hint="default"/>
          <w:sz w:val="20"/>
          <w:szCs w:val="20"/>
        </w:rPr>
      </w:pPr>
      <w:r>
        <w:rPr>
          <w:rFonts w:ascii="宋体" w:hAnsi="宋体" w:cs="宋体" w:eastAsia="宋体" w:hint="default"/>
          <w:position w:val="-19"/>
          <w:sz w:val="20"/>
          <w:szCs w:val="20"/>
        </w:rPr>
        <w:pict>
          <v:group style="width:478.95pt;height:50.3pt;mso-position-horizontal-relative:char;mso-position-vertical-relative:line" coordorigin="0,0" coordsize="9579,1006">
            <v:group style="position:absolute;left:10;top:14;width:4775;height:977" coordorigin="10,14" coordsize="4775,977">
              <v:shape style="position:absolute;left:10;top:14;width:4775;height:977" coordorigin="10,14" coordsize="4775,977" path="m10,991l4784,991,4784,14,10,14,10,991xe" filled="true" fillcolor="#d2d2d2"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996" coordorigin="5,5" coordsize="2,996">
              <v:shape style="position:absolute;left:5;top:5;width:2;height:996" coordorigin="5,5" coordsize="0,996" path="m5,5l5,1001e" filled="false" stroked="true" strokeweight=".48pt" strokecolor="#000000">
                <v:path arrowok="t"/>
              </v:shape>
            </v:group>
            <v:group style="position:absolute;left:10;top:996;width:4776;height:2" coordorigin="10,996" coordsize="4776,2">
              <v:shape style="position:absolute;left:10;top:996;width:4776;height:2" coordorigin="10,996" coordsize="4776,0" path="m10,996l4785,996e" filled="false" stroked="true" strokeweight=".48pt" strokecolor="#000000">
                <v:path arrowok="t"/>
              </v:shape>
            </v:group>
            <v:group style="position:absolute;left:4790;top:5;width:2;height:996" coordorigin="4790,5" coordsize="2,996">
              <v:shape style="position:absolute;left:4790;top:5;width:2;height:996" coordorigin="4790,5" coordsize="0,996" path="m4790,5l4790,1001e" filled="false" stroked="true" strokeweight=".48pt" strokecolor="#000000">
                <v:path arrowok="t"/>
              </v:shape>
            </v:group>
            <v:group style="position:absolute;left:4795;top:996;width:4774;height:2" coordorigin="4795,996" coordsize="4774,2">
              <v:shape style="position:absolute;left:4795;top:996;width:4774;height:2" coordorigin="4795,996" coordsize="4774,0" path="m4795,996l9569,996e" filled="false" stroked="true" strokeweight=".48pt" strokecolor="#000000">
                <v:path arrowok="t"/>
              </v:shape>
            </v:group>
            <v:group style="position:absolute;left:9574;top:5;width:2;height:996" coordorigin="9574,5" coordsize="2,996">
              <v:shape style="position:absolute;left:9574;top:5;width:2;height:996" coordorigin="9574,5" coordsize="0,996" path="m9574,5l9574,1001e" filled="false" stroked="true" strokeweight=".48pt" strokecolor="#000000">
                <v:path arrowok="t"/>
              </v:shape>
              <v:shape style="position:absolute;left:4789;top:10;width:4785;height:987" type="#_x0000_t202" filled="false" stroked="false">
                <v:textbox inset="0,0,0,0">
                  <w:txbxContent>
                    <w:p>
                      <w:pPr>
                        <w:spacing w:line="319" w:lineRule="auto" w:before="15"/>
                        <w:ind w:left="28" w:right="75" w:firstLine="0"/>
                        <w:jc w:val="both"/>
                        <w:rPr>
                          <w:rFonts w:ascii="宋体" w:hAnsi="宋体" w:cs="宋体" w:eastAsia="宋体" w:hint="default"/>
                          <w:sz w:val="18"/>
                          <w:szCs w:val="18"/>
                        </w:rPr>
                      </w:pPr>
                      <w:r>
                        <w:rPr>
                          <w:rFonts w:ascii="宋体" w:hAnsi="宋体" w:cs="宋体" w:eastAsia="宋体" w:hint="default"/>
                          <w:sz w:val="18"/>
                          <w:szCs w:val="18"/>
                        </w:rPr>
                        <w:t>预计未来现金流量（不包括尚未发生的未来信用损失）按原 实际利率折现的现值低于其账面价值的差额，确认为减值损 失，计入当期损益。</w:t>
                      </w:r>
                    </w:p>
                  </w:txbxContent>
                </v:textbox>
                <w10:wrap type="none"/>
              </v:shape>
            </v:group>
          </v:group>
        </w:pict>
      </w:r>
      <w:r>
        <w:rPr>
          <w:rFonts w:ascii="宋体" w:hAnsi="宋体" w:cs="宋体" w:eastAsia="宋体" w:hint="default"/>
          <w:position w:val="-19"/>
          <w:sz w:val="20"/>
          <w:szCs w:val="20"/>
        </w:rPr>
      </w:r>
    </w:p>
    <w:p>
      <w:pPr>
        <w:spacing w:line="240" w:lineRule="auto" w:before="2"/>
        <w:rPr>
          <w:rFonts w:ascii="宋体" w:hAnsi="宋体" w:cs="宋体" w:eastAsia="宋体" w:hint="default"/>
          <w:b/>
          <w:bCs/>
          <w:sz w:val="20"/>
          <w:szCs w:val="20"/>
        </w:rPr>
      </w:pPr>
    </w:p>
    <w:p>
      <w:pPr>
        <w:pStyle w:val="Heading4"/>
        <w:spacing w:line="240" w:lineRule="auto" w:before="44"/>
        <w:ind w:right="0"/>
        <w:jc w:val="left"/>
        <w:rPr>
          <w:b w:val="0"/>
          <w:bCs w:val="0"/>
        </w:rPr>
      </w:pPr>
      <w:bookmarkStart w:name="12、存货" w:id="180"/>
      <w:bookmarkEnd w:id="180"/>
      <w:r>
        <w:rPr>
          <w:b w:val="0"/>
          <w:bCs w:val="0"/>
        </w:rPr>
      </w:r>
      <w:r>
        <w:rPr>
          <w:rFonts w:ascii="Times New Roman" w:hAnsi="Times New Roman" w:cs="Times New Roman" w:eastAsia="Times New Roman" w:hint="default"/>
        </w:rPr>
        <w:t>12</w:t>
      </w:r>
      <w:r>
        <w:rPr/>
        <w:t>、存货</w:t>
      </w:r>
      <w:r>
        <w:rPr>
          <w:b w:val="0"/>
          <w:bCs w:val="0"/>
        </w:rPr>
      </w:r>
    </w:p>
    <w:p>
      <w:pPr>
        <w:spacing w:line="240" w:lineRule="auto" w:before="0"/>
        <w:rPr>
          <w:rFonts w:ascii="宋体" w:hAnsi="宋体" w:cs="宋体" w:eastAsia="宋体" w:hint="default"/>
          <w:b/>
          <w:bCs/>
          <w:sz w:val="18"/>
          <w:szCs w:val="18"/>
        </w:rPr>
      </w:pPr>
    </w:p>
    <w:p>
      <w:pPr>
        <w:pStyle w:val="BodyText"/>
        <w:spacing w:line="357" w:lineRule="auto" w:before="128"/>
        <w:ind w:left="1134" w:right="7692"/>
        <w:jc w:val="left"/>
      </w:pPr>
      <w:r>
        <w:rPr/>
        <w:t>公司是否需要遵守特殊行业的披露要求 否</w:t>
      </w:r>
    </w:p>
    <w:p>
      <w:pPr>
        <w:pStyle w:val="BodyText"/>
        <w:spacing w:line="504" w:lineRule="auto" w:before="107"/>
        <w:ind w:left="1567" w:right="2579"/>
        <w:jc w:val="left"/>
      </w:pPr>
      <w:r>
        <w:rPr>
          <w:rFonts w:ascii="Times New Roman" w:hAnsi="Times New Roman" w:cs="Times New Roman" w:eastAsia="Times New Roman" w:hint="default"/>
        </w:rPr>
        <w:t>1</w:t>
      </w:r>
      <w:r>
        <w:rPr/>
        <w:t>、存货的分类 存货分类为：原材料、在产品、库存商品、发出商品、工程成本、运营维护成本、低值易耗品等。 </w:t>
      </w:r>
      <w:r>
        <w:rPr>
          <w:rFonts w:ascii="Times New Roman" w:hAnsi="Times New Roman" w:cs="Times New Roman" w:eastAsia="Times New Roman" w:hint="default"/>
        </w:rPr>
        <w:t>2</w:t>
      </w:r>
      <w:r>
        <w:rPr/>
        <w:t>、发出存货的计价方法</w:t>
      </w:r>
    </w:p>
    <w:p>
      <w:pPr>
        <w:pStyle w:val="BodyText"/>
        <w:spacing w:line="463" w:lineRule="auto" w:before="39"/>
        <w:ind w:right="1131" w:firstLine="360"/>
        <w:jc w:val="both"/>
      </w:pPr>
      <w:r>
        <w:rPr>
          <w:spacing w:val="-2"/>
        </w:rPr>
        <w:t>存货按实际成本进行初始计量，工程成本按实际发出的硬件（外购设备）成本和可辨认直接费用计价，按工程项目进行</w:t>
      </w:r>
      <w:r>
        <w:rPr/>
        <w:t> </w:t>
      </w:r>
      <w:r>
        <w:rPr>
          <w:spacing w:val="-2"/>
        </w:rPr>
        <w:t>汇集和结转。存货发出区别不同情况予以确认：（</w:t>
      </w:r>
      <w:r>
        <w:rPr>
          <w:rFonts w:ascii="Times New Roman" w:hAnsi="Times New Roman" w:cs="Times New Roman" w:eastAsia="Times New Roman" w:hint="default"/>
          <w:spacing w:val="-2"/>
        </w:rPr>
        <w:t>1</w:t>
      </w:r>
      <w:r>
        <w:rPr>
          <w:spacing w:val="-2"/>
        </w:rPr>
        <w:t>）采购存货专门用于单项业务时，按个别计价法确认；（</w:t>
      </w:r>
      <w:r>
        <w:rPr>
          <w:rFonts w:ascii="Times New Roman" w:hAnsi="Times New Roman" w:cs="Times New Roman" w:eastAsia="Times New Roman" w:hint="default"/>
          <w:spacing w:val="-2"/>
        </w:rPr>
        <w:t>2</w:t>
      </w:r>
      <w:r>
        <w:rPr>
          <w:spacing w:val="-2"/>
        </w:rPr>
        <w:t>）非为单项业</w:t>
      </w:r>
      <w:r>
        <w:rPr>
          <w:spacing w:val="-65"/>
        </w:rPr>
        <w:t> </w:t>
      </w:r>
      <w:r>
        <w:rPr>
          <w:spacing w:val="-65"/>
        </w:rPr>
      </w:r>
      <w:r>
        <w:rPr/>
        <w:t>务单独采购的存货，按加权平均法计价确认。</w:t>
      </w:r>
    </w:p>
    <w:p>
      <w:pPr>
        <w:pStyle w:val="BodyText"/>
        <w:spacing w:line="487" w:lineRule="auto" w:before="104"/>
        <w:ind w:left="1494" w:right="0" w:firstLine="73"/>
        <w:jc w:val="left"/>
      </w:pPr>
      <w:r>
        <w:rPr>
          <w:rFonts w:ascii="Times New Roman" w:hAnsi="Times New Roman" w:cs="Times New Roman" w:eastAsia="Times New Roman" w:hint="default"/>
        </w:rPr>
        <w:t>3</w:t>
      </w:r>
      <w:r>
        <w:rPr/>
        <w:t>、存货可变现净值的确定依据及存货跌价准备的计提方法 </w:t>
      </w:r>
      <w:r>
        <w:rPr>
          <w:spacing w:val="-2"/>
        </w:rPr>
        <w:t>可变现净值的确定：产成品、商品和用于出售的材料等直接用于出售的商品存货，以该存货的估计售价减去估计的销售</w:t>
      </w:r>
    </w:p>
    <w:p>
      <w:pPr>
        <w:pStyle w:val="BodyText"/>
        <w:spacing w:line="477" w:lineRule="auto" w:before="47"/>
        <w:ind w:left="1134" w:right="1032"/>
        <w:jc w:val="left"/>
      </w:pPr>
      <w:r>
        <w:rPr>
          <w:spacing w:val="-2"/>
        </w:rPr>
        <w:t>费用和相关税费后的金额，确定其可变现净值；需要经过加工的材料存货，以所生产的产品的估计售价减去至完工时估计将</w:t>
      </w:r>
      <w:r>
        <w:rPr>
          <w:spacing w:val="-66"/>
        </w:rPr>
        <w:t> </w:t>
      </w:r>
      <w:r>
        <w:rPr>
          <w:spacing w:val="-66"/>
        </w:rPr>
      </w:r>
      <w:r>
        <w:rPr/>
        <w:t>要发生的成本、估计的销售费用和相关税费后的金额，确定其可变现净值；需要经过系统安装方可出售的自动化物流系统， </w:t>
      </w:r>
      <w:r>
        <w:rPr>
          <w:spacing w:val="-2"/>
        </w:rPr>
        <w:t>以该项自动化物流系统估计售价减去估计将要发生的自动化物流系统安装成本、估计的销售费用和相关税费后的金额，确定</w:t>
      </w:r>
      <w:r>
        <w:rPr>
          <w:spacing w:val="-64"/>
        </w:rPr>
        <w:t> </w:t>
      </w:r>
      <w:r>
        <w:rPr>
          <w:spacing w:val="-64"/>
        </w:rPr>
      </w:r>
      <w:r>
        <w:rPr/>
        <w:t>其可变现净值。</w:t>
      </w:r>
    </w:p>
    <w:p>
      <w:pPr>
        <w:pStyle w:val="BodyText"/>
        <w:spacing w:line="477" w:lineRule="auto" w:before="94"/>
        <w:ind w:left="1134" w:right="1131" w:firstLine="360"/>
        <w:jc w:val="both"/>
      </w:pPr>
      <w:r>
        <w:rPr>
          <w:spacing w:val="-2"/>
        </w:rPr>
        <w:t>存货跌价准备的计提方法：资产负债表日，按单个存货可变现净值低于账面价值的差额计提存货跌价准备，计入当期损</w:t>
      </w:r>
      <w:r>
        <w:rPr/>
        <w:t> </w:t>
      </w:r>
      <w:r>
        <w:rPr>
          <w:spacing w:val="-2"/>
        </w:rPr>
        <w:t>益，以后期间存货价值恢复的，在原已计提的存货跌价准备金额内转回，转回的金额计入当期损益。确定存货的可变现净值</w:t>
      </w:r>
      <w:r>
        <w:rPr>
          <w:spacing w:val="-66"/>
        </w:rPr>
        <w:t> </w:t>
      </w:r>
      <w:r>
        <w:rPr>
          <w:spacing w:val="-66"/>
        </w:rPr>
      </w:r>
      <w:r>
        <w:rPr>
          <w:spacing w:val="-2"/>
        </w:rPr>
        <w:t>时，以资产负债表日取得最可靠的证据估计的售价为基础并考虑持有存货的目的，资产负债表日至财务报告批准报出日之间</w:t>
      </w:r>
      <w:r>
        <w:rPr>
          <w:spacing w:val="-64"/>
        </w:rPr>
        <w:t> </w:t>
      </w:r>
      <w:r>
        <w:rPr>
          <w:spacing w:val="-64"/>
        </w:rPr>
      </w:r>
      <w:r>
        <w:rPr>
          <w:spacing w:val="-2"/>
        </w:rPr>
        <w:t>存货售价发生波动的，如有确凿证据表明其对资产负债表日存货已经存在的情况提供了新的或进一步的证据，作为调整事项</w:t>
      </w:r>
      <w:r>
        <w:rPr>
          <w:spacing w:val="-64"/>
        </w:rPr>
        <w:t> </w:t>
      </w:r>
      <w:r>
        <w:rPr>
          <w:spacing w:val="-64"/>
        </w:rPr>
      </w:r>
      <w:r>
        <w:rPr/>
        <w:t>进行处理；否则，作为非调整事项。</w:t>
      </w:r>
    </w:p>
    <w:p>
      <w:pPr>
        <w:pStyle w:val="BodyText"/>
        <w:spacing w:line="518" w:lineRule="auto" w:before="94"/>
        <w:ind w:left="1494" w:right="7602"/>
        <w:jc w:val="left"/>
      </w:pPr>
      <w:r>
        <w:rPr>
          <w:rFonts w:ascii="宋体" w:hAnsi="宋体" w:cs="宋体" w:eastAsia="宋体" w:hint="default"/>
        </w:rPr>
        <w:t>4</w:t>
      </w:r>
      <w:r>
        <w:rPr/>
        <w:t>、存货的盘存制度 采用永续盘存制。 </w:t>
      </w:r>
      <w:r>
        <w:rPr>
          <w:rFonts w:ascii="宋体" w:hAnsi="宋体" w:cs="宋体" w:eastAsia="宋体" w:hint="default"/>
        </w:rPr>
        <w:t>5</w:t>
      </w:r>
      <w:r>
        <w:rPr/>
        <w:t>、低值易耗品和包装物的摊销方法</w:t>
      </w:r>
    </w:p>
    <w:p>
      <w:pPr>
        <w:pStyle w:val="BodyText"/>
        <w:spacing w:line="240" w:lineRule="auto" w:before="63"/>
        <w:ind w:left="1494" w:right="0"/>
        <w:jc w:val="left"/>
      </w:pPr>
      <w:r>
        <w:rPr/>
        <w:t>（</w:t>
      </w:r>
      <w:r>
        <w:rPr>
          <w:rFonts w:ascii="宋体" w:hAnsi="宋体" w:cs="宋体" w:eastAsia="宋体" w:hint="default"/>
        </w:rPr>
        <w:t>1</w:t>
      </w:r>
      <w:r>
        <w:rPr/>
        <w:t>）低值易耗品采用一次转销法；</w:t>
      </w:r>
    </w:p>
    <w:p>
      <w:pPr>
        <w:spacing w:line="240" w:lineRule="auto" w:before="10"/>
        <w:rPr>
          <w:rFonts w:ascii="宋体" w:hAnsi="宋体" w:cs="宋体" w:eastAsia="宋体" w:hint="default"/>
          <w:sz w:val="20"/>
          <w:szCs w:val="20"/>
        </w:rPr>
      </w:pPr>
    </w:p>
    <w:p>
      <w:pPr>
        <w:pStyle w:val="BodyText"/>
        <w:spacing w:line="240" w:lineRule="auto"/>
        <w:ind w:left="1493" w:right="0"/>
        <w:jc w:val="left"/>
      </w:pPr>
      <w:r>
        <w:rPr/>
        <w:t>（</w:t>
      </w:r>
      <w:r>
        <w:rPr>
          <w:rFonts w:ascii="宋体" w:hAnsi="宋体" w:cs="宋体" w:eastAsia="宋体" w:hint="default"/>
        </w:rPr>
        <w:t>2</w:t>
      </w:r>
      <w:r>
        <w:rPr/>
        <w:t>）包装物采用一次转销法。</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Heading4"/>
        <w:spacing w:line="240" w:lineRule="auto" w:before="44"/>
        <w:ind w:left="1133" w:right="0"/>
        <w:jc w:val="left"/>
        <w:rPr>
          <w:b w:val="0"/>
          <w:bCs w:val="0"/>
        </w:rPr>
      </w:pPr>
      <w:bookmarkStart w:name="13、持有待售资产" w:id="181"/>
      <w:bookmarkEnd w:id="181"/>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0"/>
        <w:rPr>
          <w:rFonts w:ascii="宋体" w:hAnsi="宋体" w:cs="宋体" w:eastAsia="宋体" w:hint="default"/>
          <w:b/>
          <w:bCs/>
          <w:sz w:val="18"/>
          <w:szCs w:val="18"/>
        </w:rPr>
      </w:pPr>
    </w:p>
    <w:p>
      <w:pPr>
        <w:spacing w:line="240" w:lineRule="auto" w:before="11"/>
        <w:rPr>
          <w:rFonts w:ascii="宋体" w:hAnsi="宋体" w:cs="宋体" w:eastAsia="宋体" w:hint="default"/>
          <w:b/>
          <w:bCs/>
          <w:sz w:val="15"/>
          <w:szCs w:val="15"/>
        </w:rPr>
      </w:pPr>
    </w:p>
    <w:p>
      <w:pPr>
        <w:pStyle w:val="BodyText"/>
        <w:spacing w:line="240" w:lineRule="auto"/>
        <w:ind w:left="1494" w:right="0"/>
        <w:jc w:val="left"/>
      </w:pPr>
      <w:r>
        <w:rPr/>
        <w:t>本公司将同时满足下列条件的非流动资产或处置组划分为持有待售类别：</w:t>
      </w:r>
    </w:p>
    <w:p>
      <w:pPr>
        <w:spacing w:line="240" w:lineRule="auto" w:before="11"/>
        <w:rPr>
          <w:rFonts w:ascii="宋体" w:hAnsi="宋体" w:cs="宋体" w:eastAsia="宋体" w:hint="default"/>
          <w:sz w:val="20"/>
          <w:szCs w:val="20"/>
        </w:rPr>
      </w:pPr>
    </w:p>
    <w:p>
      <w:pPr>
        <w:pStyle w:val="BodyText"/>
        <w:spacing w:line="240" w:lineRule="auto"/>
        <w:ind w:left="1493" w:right="0"/>
        <w:jc w:val="left"/>
      </w:pPr>
      <w:r>
        <w:rPr/>
        <w:t>（</w:t>
      </w:r>
      <w:r>
        <w:rPr>
          <w:rFonts w:ascii="宋体" w:hAnsi="宋体" w:cs="宋体" w:eastAsia="宋体" w:hint="default"/>
        </w:rPr>
        <w:t>1</w:t>
      </w:r>
      <w:r>
        <w:rPr/>
        <w:t>）根据类似交易中出售此类资产或处置组的惯例，在当前状况下即可立即出售；</w:t>
      </w:r>
    </w:p>
    <w:p>
      <w:pPr>
        <w:spacing w:line="240" w:lineRule="auto" w:before="10"/>
        <w:rPr>
          <w:rFonts w:ascii="宋体" w:hAnsi="宋体" w:cs="宋体" w:eastAsia="宋体" w:hint="default"/>
          <w:sz w:val="20"/>
          <w:szCs w:val="20"/>
        </w:rPr>
      </w:pPr>
    </w:p>
    <w:p>
      <w:pPr>
        <w:pStyle w:val="BodyText"/>
        <w:spacing w:line="477" w:lineRule="auto"/>
        <w:ind w:left="1134" w:right="1141" w:firstLine="360"/>
        <w:jc w:val="both"/>
      </w:pPr>
      <w:r>
        <w:rPr/>
        <w:t>（</w:t>
      </w:r>
      <w:r>
        <w:rPr>
          <w:rFonts w:ascii="宋体" w:hAnsi="宋体" w:cs="宋体" w:eastAsia="宋体" w:hint="default"/>
        </w:rPr>
        <w:t>2</w:t>
      </w:r>
      <w:r>
        <w:rPr/>
        <w:t>）出售极可能发生，即本公司已经就一项出售计划作出决议且获得确定的购买承诺，预计出售将在一年内完成。有 关规定要求本公司相关权力机构或者监管部门批准后方可出售的，已经获得批准。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56"/>
        <w:ind w:left="1133" w:right="0"/>
        <w:jc w:val="left"/>
        <w:rPr>
          <w:b w:val="0"/>
          <w:bCs w:val="0"/>
        </w:rPr>
      </w:pPr>
      <w:bookmarkStart w:name="14、长期股权投资" w:id="182"/>
      <w:bookmarkEnd w:id="182"/>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15"/>
          <w:szCs w:val="15"/>
        </w:rPr>
      </w:pPr>
    </w:p>
    <w:p>
      <w:pPr>
        <w:spacing w:line="451" w:lineRule="auto" w:before="0"/>
        <w:ind w:left="149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宋体" w:hAnsi="宋体" w:cs="宋体" w:eastAsia="宋体" w:hint="default"/>
          <w:b/>
          <w:bCs/>
          <w:sz w:val="18"/>
          <w:szCs w:val="18"/>
        </w:rPr>
        <w:t>共同控制、重大影响的判断标准</w:t>
      </w:r>
      <w:r>
        <w:rPr>
          <w:rFonts w:ascii="宋体" w:hAnsi="宋体" w:cs="宋体" w:eastAsia="宋体" w:hint="default"/>
          <w:b/>
          <w:bCs/>
          <w:w w:val="99"/>
          <w:sz w:val="18"/>
          <w:szCs w:val="18"/>
        </w:rPr>
        <w:t> </w:t>
      </w:r>
      <w:r>
        <w:rPr>
          <w:rFonts w:ascii="宋体" w:hAnsi="宋体" w:cs="宋体" w:eastAsia="宋体" w:hint="default"/>
          <w:spacing w:val="-2"/>
          <w:sz w:val="18"/>
          <w:szCs w:val="18"/>
        </w:rPr>
        <w:t>共同控制，是指按照相关约定对某项安排所共有的控制，并且该安排的相关活动必须经过分享控制权的参与方一致同意</w:t>
      </w:r>
    </w:p>
    <w:p>
      <w:pPr>
        <w:pStyle w:val="BodyText"/>
        <w:spacing w:line="477" w:lineRule="auto" w:before="74"/>
        <w:ind w:right="1118"/>
        <w:jc w:val="left"/>
      </w:pPr>
      <w:r>
        <w:rPr>
          <w:spacing w:val="-2"/>
        </w:rPr>
        <w:t>后才能决策。本公司与其他合营方一同对被投资单位实施共同控制且对被投资单位净资产享有权利的，被投资单位为本公司</w:t>
      </w:r>
      <w:r>
        <w:rPr>
          <w:spacing w:val="-64"/>
        </w:rPr>
        <w:t> </w:t>
      </w:r>
      <w:r>
        <w:rPr>
          <w:spacing w:val="-64"/>
        </w:rPr>
      </w:r>
      <w:r>
        <w:rPr/>
        <w:t>的合营企业。</w:t>
      </w:r>
    </w:p>
    <w:p>
      <w:pPr>
        <w:pStyle w:val="BodyText"/>
        <w:spacing w:line="477" w:lineRule="auto" w:before="54"/>
        <w:ind w:right="1131" w:firstLine="360"/>
        <w:jc w:val="both"/>
      </w:pPr>
      <w:r>
        <w:rPr>
          <w:spacing w:val="-2"/>
        </w:rPr>
        <w:t>重大影响，是指对一个企业的财务和经营决策有参与决策的权力，但并不能够控制或者与其他方一起共同控制这些政策</w:t>
      </w:r>
      <w:r>
        <w:rPr/>
        <w:t> 的制定。本公司能够对被投资单位施加重大影响的，被投资单位为本公司联营企业。</w:t>
      </w:r>
    </w:p>
    <w:p>
      <w:pPr>
        <w:pStyle w:val="Heading4"/>
        <w:spacing w:line="240" w:lineRule="auto" w:before="54"/>
        <w:ind w:left="1567" w:right="0"/>
        <w:jc w:val="left"/>
        <w:rPr>
          <w:b w:val="0"/>
          <w:bCs w:val="0"/>
        </w:rPr>
      </w:pPr>
      <w:r>
        <w:rPr>
          <w:rFonts w:ascii="Times New Roman" w:hAnsi="Times New Roman" w:cs="Times New Roman" w:eastAsia="Times New Roman" w:hint="default"/>
          <w:b w:val="0"/>
          <w:bCs w:val="0"/>
        </w:rPr>
        <w:t>2</w:t>
      </w:r>
      <w:r>
        <w:rPr>
          <w:rFonts w:ascii="宋体" w:hAnsi="宋体" w:cs="宋体" w:eastAsia="宋体" w:hint="default"/>
          <w:b w:val="0"/>
          <w:bCs w:val="0"/>
        </w:rPr>
        <w:t>、</w:t>
      </w:r>
      <w:r>
        <w:rPr/>
        <w:t>初始投资成本的确定</w:t>
      </w:r>
      <w:r>
        <w:rPr>
          <w:b w:val="0"/>
          <w:bCs w:val="0"/>
        </w:rPr>
      </w:r>
    </w:p>
    <w:p>
      <w:pPr>
        <w:spacing w:line="240" w:lineRule="auto" w:before="10"/>
        <w:rPr>
          <w:rFonts w:ascii="宋体" w:hAnsi="宋体" w:cs="宋体" w:eastAsia="宋体" w:hint="default"/>
          <w:b/>
          <w:bCs/>
          <w:sz w:val="16"/>
          <w:szCs w:val="16"/>
        </w:rPr>
      </w:pPr>
    </w:p>
    <w:p>
      <w:pPr>
        <w:pStyle w:val="BodyText"/>
        <w:spacing w:line="451" w:lineRule="auto"/>
        <w:ind w:left="1493" w:right="0"/>
        <w:jc w:val="left"/>
      </w:pPr>
      <w:r>
        <w:rPr/>
        <w:t>（</w:t>
      </w:r>
      <w:r>
        <w:rPr>
          <w:rFonts w:ascii="Times New Roman" w:hAnsi="Times New Roman" w:cs="Times New Roman" w:eastAsia="Times New Roman" w:hint="default"/>
        </w:rPr>
        <w:t>1</w:t>
      </w:r>
      <w:r>
        <w:rPr/>
        <w:t>）企业合并形成的长期股权投资 </w:t>
      </w:r>
      <w:r>
        <w:rPr>
          <w:spacing w:val="-2"/>
        </w:rPr>
        <w:t>同一控制下的企业合并：公司以支付现金、转让非现金资产或承担债务方式以及以发行权益性证券作为合并对价的，在</w:t>
      </w:r>
    </w:p>
    <w:p>
      <w:pPr>
        <w:pStyle w:val="BodyText"/>
        <w:spacing w:line="477" w:lineRule="auto" w:before="74"/>
        <w:ind w:right="0"/>
        <w:jc w:val="left"/>
      </w:pPr>
      <w:r>
        <w:rPr>
          <w:spacing w:val="-2"/>
        </w:rPr>
        <w:t>合并日按照取得被合并方所有者权益在最终控制方合并财务报表中的账面价值的份额作为长期股权投资的初始投资成本。因</w:t>
      </w:r>
      <w:r>
        <w:rPr>
          <w:spacing w:val="-64"/>
        </w:rPr>
        <w:t> </w:t>
      </w:r>
      <w:r>
        <w:rPr>
          <w:spacing w:val="-64"/>
        </w:rPr>
      </w:r>
      <w:r>
        <w:rPr>
          <w:spacing w:val="-2"/>
        </w:rPr>
        <w:t>追加投资等原因能够对同一控制下的被投资单位实施控制的，在合并日根据合并后应享有被合并方净资产在最终控制方合并</w:t>
      </w:r>
      <w:r>
        <w:rPr>
          <w:spacing w:val="-64"/>
        </w:rPr>
        <w:t> </w:t>
      </w:r>
      <w:r>
        <w:rPr>
          <w:spacing w:val="-64"/>
        </w:rPr>
      </w:r>
      <w:r>
        <w:rPr>
          <w:spacing w:val="-2"/>
        </w:rPr>
        <w:t>财务报表中的账面价值的份额，确定长期股权投资的初始投资成本。合并日长期股权投资的初始投资成本，与达到合并前的</w:t>
      </w:r>
      <w:r>
        <w:rPr>
          <w:spacing w:val="-66"/>
        </w:rPr>
        <w:t> </w:t>
      </w:r>
      <w:r>
        <w:rPr>
          <w:spacing w:val="-66"/>
        </w:rPr>
      </w:r>
      <w:r>
        <w:rPr>
          <w:spacing w:val="-4"/>
        </w:rPr>
        <w:t>长期股权投资账面价值加上合并日进一步取得股份新支付对价的账面价值之和的差额，调整股本溢价，股本溢价不足冲减的，</w:t>
      </w:r>
      <w:r>
        <w:rPr>
          <w:spacing w:val="-44"/>
        </w:rPr>
        <w:t> </w:t>
      </w:r>
      <w:r>
        <w:rPr>
          <w:spacing w:val="-44"/>
        </w:rPr>
      </w:r>
      <w:r>
        <w:rPr/>
        <w:t>冲减留存收益。</w:t>
      </w:r>
    </w:p>
    <w:p>
      <w:pPr>
        <w:pStyle w:val="BodyText"/>
        <w:spacing w:line="477" w:lineRule="auto" w:before="54"/>
        <w:ind w:right="1132" w:firstLine="360"/>
        <w:jc w:val="both"/>
      </w:pPr>
      <w:r>
        <w:rPr>
          <w:spacing w:val="-2"/>
        </w:rPr>
        <w:t>非同一控制下的企业合并：公司按照购买日确定的合并成本作为长期股权投资的初始投资成本。因追加投资等原因能够</w:t>
      </w:r>
      <w:r>
        <w:rPr/>
        <w:t> </w:t>
      </w:r>
      <w:r>
        <w:rPr>
          <w:spacing w:val="-2"/>
        </w:rPr>
        <w:t>对非同一控制下的被投资单位实施控制的，按照原持有的股权投资账面价值加上新增投资成本之和，作为改按成本法核算的</w:t>
      </w:r>
      <w:r>
        <w:rPr>
          <w:spacing w:val="-64"/>
        </w:rPr>
        <w:t> </w:t>
      </w:r>
      <w:r>
        <w:rPr>
          <w:spacing w:val="-64"/>
        </w:rPr>
      </w:r>
      <w:r>
        <w:rPr/>
        <w:t>初始投资成本。</w:t>
      </w:r>
    </w:p>
    <w:p>
      <w:pPr>
        <w:pStyle w:val="BodyText"/>
        <w:spacing w:line="468" w:lineRule="auto" w:before="54"/>
        <w:ind w:left="1493" w:right="1118"/>
        <w:jc w:val="left"/>
      </w:pPr>
      <w:r>
        <w:rPr/>
        <w:t>（</w:t>
      </w:r>
      <w:r>
        <w:rPr>
          <w:rFonts w:ascii="Times New Roman" w:hAnsi="Times New Roman" w:cs="Times New Roman" w:eastAsia="Times New Roman" w:hint="default"/>
        </w:rPr>
        <w:t>2</w:t>
      </w:r>
      <w:r>
        <w:rPr/>
        <w:t>）其他方式取得的长期股权投资 以支付现金方式取得的长期股权投资，按照实际支付的购买价款作为初始投资成本。 以发行权益性证券取得的长期股权投资，按照发行权益性证券的公允价值作为初始投资成本。 </w:t>
      </w:r>
      <w:r>
        <w:rPr>
          <w:spacing w:val="-2"/>
        </w:rPr>
        <w:t>在非货币性资产交换具备商业实质和换入资产或换出资产的公允价值能够可靠计量的前提下，非货币性资产交换换入的</w:t>
      </w:r>
    </w:p>
    <w:p>
      <w:pPr>
        <w:spacing w:after="0" w:line="468"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131"/>
        <w:jc w:val="both"/>
      </w:pPr>
      <w:r>
        <w:rPr>
          <w:spacing w:val="-2"/>
        </w:rPr>
        <w:t>长期股权投资以换出资产的公允价值和应支付的相关税费确定其初始投资成本，除非有确凿证据表明换入资产的公允价值更</w:t>
      </w:r>
      <w:r>
        <w:rPr>
          <w:spacing w:val="-64"/>
        </w:rPr>
        <w:t> </w:t>
      </w:r>
      <w:r>
        <w:rPr>
          <w:spacing w:val="-64"/>
        </w:rPr>
      </w:r>
      <w:r>
        <w:rPr>
          <w:spacing w:val="-2"/>
        </w:rPr>
        <w:t>加可靠；不满足上述前提的非货币性资产交换，以换出资产的账面价值和应支付的相关税费作为换入长期股权投资的初始投</w:t>
      </w:r>
      <w:r>
        <w:rPr>
          <w:spacing w:val="-64"/>
        </w:rPr>
        <w:t> </w:t>
      </w:r>
      <w:r>
        <w:rPr>
          <w:spacing w:val="-64"/>
        </w:rPr>
      </w:r>
      <w:r>
        <w:rPr/>
        <w:t>资成本。</w:t>
      </w:r>
    </w:p>
    <w:p>
      <w:pPr>
        <w:pStyle w:val="BodyText"/>
        <w:spacing w:line="240" w:lineRule="auto" w:before="54"/>
        <w:ind w:left="1493" w:right="0"/>
        <w:jc w:val="left"/>
      </w:pPr>
      <w:r>
        <w:rPr/>
        <w:t>通过债务重组取得的长期股权投资，其初始投资成本按照公允价值为基础确定。</w:t>
      </w:r>
    </w:p>
    <w:p>
      <w:pPr>
        <w:spacing w:line="240" w:lineRule="auto" w:before="10"/>
        <w:rPr>
          <w:rFonts w:ascii="宋体" w:hAnsi="宋体" w:cs="宋体" w:eastAsia="宋体" w:hint="default"/>
          <w:sz w:val="17"/>
          <w:szCs w:val="17"/>
        </w:rPr>
      </w:pPr>
    </w:p>
    <w:p>
      <w:pPr>
        <w:pStyle w:val="Heading4"/>
        <w:spacing w:line="240" w:lineRule="auto"/>
        <w:ind w:left="1495" w:right="0"/>
        <w:jc w:val="left"/>
        <w:rPr>
          <w:b w:val="0"/>
          <w:bCs w:val="0"/>
        </w:rPr>
      </w:pPr>
      <w:r>
        <w:rPr>
          <w:rFonts w:ascii="Times New Roman" w:hAnsi="Times New Roman" w:cs="Times New Roman" w:eastAsia="Times New Roman" w:hint="default"/>
        </w:rPr>
        <w:t>3</w:t>
      </w:r>
      <w:r>
        <w:rPr/>
        <w:t>、后续计量及损益确认方法</w:t>
      </w:r>
      <w:r>
        <w:rPr>
          <w:b w:val="0"/>
          <w:bCs w:val="0"/>
        </w:rPr>
      </w:r>
    </w:p>
    <w:p>
      <w:pPr>
        <w:spacing w:line="240" w:lineRule="auto" w:before="9"/>
        <w:rPr>
          <w:rFonts w:ascii="宋体" w:hAnsi="宋体" w:cs="宋体" w:eastAsia="宋体" w:hint="default"/>
          <w:b/>
          <w:bCs/>
          <w:sz w:val="16"/>
          <w:szCs w:val="16"/>
        </w:rPr>
      </w:pPr>
    </w:p>
    <w:p>
      <w:pPr>
        <w:pStyle w:val="BodyText"/>
        <w:spacing w:line="451" w:lineRule="auto"/>
        <w:ind w:left="1493" w:right="0"/>
        <w:jc w:val="left"/>
      </w:pPr>
      <w:r>
        <w:rPr/>
        <w:t>（</w:t>
      </w:r>
      <w:r>
        <w:rPr>
          <w:rFonts w:ascii="Times New Roman" w:hAnsi="Times New Roman" w:cs="Times New Roman" w:eastAsia="Times New Roman" w:hint="default"/>
        </w:rPr>
        <w:t>1</w:t>
      </w:r>
      <w:r>
        <w:rPr/>
        <w:t>）成本法核算的长期股权投资 </w:t>
      </w:r>
      <w:r>
        <w:rPr>
          <w:spacing w:val="-2"/>
        </w:rPr>
        <w:t>公司对子公司的长期股权投资，采用成本法核算。除取得投资时实际支付的价款或对价中包含的已宣告但尚未发放的现</w:t>
      </w:r>
    </w:p>
    <w:p>
      <w:pPr>
        <w:pStyle w:val="BodyText"/>
        <w:spacing w:line="240" w:lineRule="auto" w:before="74"/>
        <w:ind w:right="0"/>
        <w:jc w:val="both"/>
      </w:pPr>
      <w:r>
        <w:rPr/>
        <w:t>金股利或利润外，公司按照享有被投资单位宣告发放的现金股利或利润确认当期投资收益。</w:t>
      </w:r>
    </w:p>
    <w:p>
      <w:pPr>
        <w:spacing w:line="240" w:lineRule="auto" w:before="10"/>
        <w:rPr>
          <w:rFonts w:ascii="宋体" w:hAnsi="宋体" w:cs="宋体" w:eastAsia="宋体" w:hint="default"/>
          <w:sz w:val="17"/>
          <w:szCs w:val="17"/>
        </w:rPr>
      </w:pPr>
    </w:p>
    <w:p>
      <w:pPr>
        <w:pStyle w:val="BodyText"/>
        <w:spacing w:line="451" w:lineRule="auto"/>
        <w:ind w:left="1493" w:right="0"/>
        <w:jc w:val="left"/>
      </w:pPr>
      <w:r>
        <w:rPr/>
        <w:t>（</w:t>
      </w:r>
      <w:r>
        <w:rPr>
          <w:rFonts w:ascii="Times New Roman" w:hAnsi="Times New Roman" w:cs="Times New Roman" w:eastAsia="Times New Roman" w:hint="default"/>
        </w:rPr>
        <w:t>2</w:t>
      </w:r>
      <w:r>
        <w:rPr/>
        <w:t>）权益法核算的长期股权投资 </w:t>
      </w:r>
      <w:r>
        <w:rPr>
          <w:spacing w:val="-2"/>
        </w:rPr>
        <w:t>对联营企业和合营企业的长期股权投资，采用权益法核算。初始投资成本大于投资时应享有被投资单位可辨认净资产公</w:t>
      </w:r>
    </w:p>
    <w:p>
      <w:pPr>
        <w:pStyle w:val="BodyText"/>
        <w:spacing w:line="477" w:lineRule="auto" w:before="74"/>
        <w:ind w:right="1130"/>
        <w:jc w:val="both"/>
      </w:pPr>
      <w:r>
        <w:rPr>
          <w:spacing w:val="-2"/>
        </w:rPr>
        <w:t>允价值份额的差额，不调整长期股权投资的初始投资成本；初始投资成本小于投资时应享有被投资单位可辨认净资产公允价</w:t>
      </w:r>
      <w:r>
        <w:rPr>
          <w:spacing w:val="-63"/>
        </w:rPr>
        <w:t> </w:t>
      </w:r>
      <w:r>
        <w:rPr>
          <w:spacing w:val="-63"/>
        </w:rPr>
      </w:r>
      <w:r>
        <w:rPr/>
        <w:t>值份额的差额，计入当期损益。</w:t>
      </w:r>
    </w:p>
    <w:p>
      <w:pPr>
        <w:pStyle w:val="BodyText"/>
        <w:spacing w:line="477" w:lineRule="auto" w:before="54"/>
        <w:ind w:right="1132" w:firstLine="360"/>
        <w:jc w:val="both"/>
      </w:pPr>
      <w:r>
        <w:rPr>
          <w:spacing w:val="-2"/>
        </w:rPr>
        <w:t>公司按照应享有或应分担的被投资单位实现的净损益和其他综合收益的份额，分别确认投资收益和其他综合收益，同时</w:t>
      </w:r>
      <w:r>
        <w:rPr/>
        <w:t> </w:t>
      </w:r>
      <w:r>
        <w:rPr>
          <w:spacing w:val="-2"/>
        </w:rPr>
        <w:t>调整长期股权投资的账面价值；按照被投资单位宣告分派的利润或现金股利计算应享有的部分，相应减少长期股权投资的账</w:t>
      </w:r>
      <w:r>
        <w:rPr>
          <w:spacing w:val="-64"/>
        </w:rPr>
        <w:t> </w:t>
      </w:r>
      <w:r>
        <w:rPr>
          <w:spacing w:val="-64"/>
        </w:rPr>
      </w:r>
      <w:r>
        <w:rPr>
          <w:spacing w:val="-2"/>
        </w:rPr>
        <w:t>面价值；对于被投资单位除净损益、其他综合收益和利润分配以外所有者权益的其他变动，调整长期股权投资的账面价值并</w:t>
      </w:r>
      <w:r>
        <w:rPr>
          <w:spacing w:val="-66"/>
        </w:rPr>
        <w:t> </w:t>
      </w:r>
      <w:r>
        <w:rPr>
          <w:spacing w:val="-66"/>
        </w:rPr>
      </w:r>
      <w:r>
        <w:rPr/>
        <w:t>计入所有者权益。</w:t>
      </w:r>
    </w:p>
    <w:p>
      <w:pPr>
        <w:pStyle w:val="BodyText"/>
        <w:spacing w:line="477" w:lineRule="auto" w:before="54"/>
        <w:ind w:right="1131" w:firstLine="360"/>
        <w:jc w:val="both"/>
      </w:pPr>
      <w:r>
        <w:rPr>
          <w:spacing w:val="-2"/>
        </w:rPr>
        <w:t>在确认应享有被投资单位净损益的份额时，以取得投资时被投资单位可辨认净资产的公允价值为基础，并按照公司的会</w:t>
      </w:r>
      <w:r>
        <w:rPr/>
        <w:t> </w:t>
      </w:r>
      <w:r>
        <w:rPr>
          <w:spacing w:val="-2"/>
        </w:rPr>
        <w:t>计政策及会计期间，对被投资单位的净利润进行调整后确认。在持有投资期间，被投资单位编制合并财务报表的，以合并财</w:t>
      </w:r>
      <w:r>
        <w:rPr>
          <w:spacing w:val="-66"/>
        </w:rPr>
        <w:t> </w:t>
      </w:r>
      <w:r>
        <w:rPr>
          <w:spacing w:val="-66"/>
        </w:rPr>
      </w:r>
      <w:r>
        <w:rPr/>
        <w:t>务报表中的净利润、其他综合收益和其他所有者权益变动中归属于被投资单位的金额为基础进行核算。</w:t>
      </w:r>
    </w:p>
    <w:p>
      <w:pPr>
        <w:pStyle w:val="BodyText"/>
        <w:spacing w:line="468" w:lineRule="auto" w:before="54"/>
        <w:ind w:right="1133" w:firstLine="360"/>
        <w:jc w:val="both"/>
      </w:pPr>
      <w:r>
        <w:rPr>
          <w:spacing w:val="-2"/>
        </w:rPr>
        <w:t>公司与联营企业、合营企业之间发生的未实现内部交易损益按照应享有的比例计算归属于公司的部分，予以抵销，在此</w:t>
      </w:r>
      <w:r>
        <w:rPr/>
        <w:t> </w:t>
      </w:r>
      <w:r>
        <w:rPr>
          <w:spacing w:val="-2"/>
        </w:rPr>
        <w:t>基础上确认投资收益。与被投资单位发生的未实现内部交易损失，属于资产减值损失的，全额确认。公司与联营企业、合营</w:t>
      </w:r>
      <w:r>
        <w:rPr>
          <w:spacing w:val="-66"/>
        </w:rPr>
        <w:t> </w:t>
      </w:r>
      <w:r>
        <w:rPr>
          <w:spacing w:val="-66"/>
        </w:rPr>
      </w:r>
      <w:r>
        <w:rPr/>
        <w:t>企业之间发生投出或出售资产的交易，该资产构成业务的，按照本附注</w:t>
      </w:r>
      <w:r>
        <w:rPr>
          <w:rFonts w:ascii="Times New Roman" w:hAnsi="Times New Roman" w:cs="Times New Roman" w:eastAsia="Times New Roman" w:hint="default"/>
        </w:rPr>
        <w:t>“</w:t>
      </w:r>
      <w:r>
        <w:rPr/>
        <w:t>二、（五）同一控制下和非同一控制下企业合并的 会计处理方法</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二、（六）合并财务报表的编制方法</w:t>
      </w:r>
      <w:r>
        <w:rPr>
          <w:rFonts w:ascii="Times New Roman" w:hAnsi="Times New Roman" w:cs="Times New Roman" w:eastAsia="Times New Roman" w:hint="default"/>
        </w:rPr>
        <w:t>”</w:t>
      </w:r>
      <w:r>
        <w:rPr/>
        <w:t>中披露的相关政策进行会计处理。</w:t>
      </w:r>
    </w:p>
    <w:p>
      <w:pPr>
        <w:pStyle w:val="BodyText"/>
        <w:spacing w:line="477" w:lineRule="auto" w:before="29"/>
        <w:ind w:right="1033" w:firstLine="360"/>
        <w:jc w:val="left"/>
      </w:pPr>
      <w:r>
        <w:rPr>
          <w:spacing w:val="-2"/>
        </w:rPr>
        <w:t>在公司确认应分担被投资单位发生的亏损时，按照以下顺序进行处理：首先，冲减长期股权投资的账面价值。其次，长</w:t>
      </w:r>
      <w:r>
        <w:rPr/>
        <w:t> 期股权投资的账面价值不足以冲减的，以其他实质上构成对被投资单位净投资的长期权益账面价值为限继续确认投资损失， </w:t>
      </w:r>
      <w:r>
        <w:rPr>
          <w:spacing w:val="-2"/>
        </w:rPr>
        <w:t>冲减长期应收项目等的账面价值。最后，经过上述处理，按照投资合同或协议约定企业仍承担额外义务的，按预计承担的义</w:t>
      </w:r>
      <w:r>
        <w:rPr>
          <w:spacing w:val="-66"/>
        </w:rPr>
        <w:t> </w:t>
      </w:r>
      <w:r>
        <w:rPr>
          <w:spacing w:val="-66"/>
        </w:rPr>
      </w:r>
      <w:r>
        <w:rPr/>
        <w:t>务确认预计负债，计入当期投资损失。</w:t>
      </w:r>
    </w:p>
    <w:p>
      <w:pPr>
        <w:pStyle w:val="BodyText"/>
        <w:spacing w:line="451" w:lineRule="auto" w:before="54"/>
        <w:ind w:left="1567" w:right="4559" w:hanging="74"/>
        <w:jc w:val="left"/>
      </w:pPr>
      <w:r>
        <w:rPr/>
        <w:t>（</w:t>
      </w:r>
      <w:r>
        <w:rPr>
          <w:rFonts w:ascii="Times New Roman" w:hAnsi="Times New Roman" w:cs="Times New Roman" w:eastAsia="Times New Roman" w:hint="default"/>
        </w:rPr>
        <w:t>3</w:t>
      </w:r>
      <w:r>
        <w:rPr/>
        <w:t>）长期股权投资的处置 处置长期股权投资，其账面价值与实际取得价款的差额，计入当期损益。</w:t>
      </w:r>
    </w:p>
    <w:p>
      <w:pPr>
        <w:pStyle w:val="BodyText"/>
        <w:spacing w:line="240" w:lineRule="auto" w:before="74"/>
        <w:ind w:left="1494" w:right="0"/>
        <w:jc w:val="left"/>
      </w:pPr>
      <w:r>
        <w:rPr/>
        <w:t>采用权益法核算的长期股权投资，在处置该项投资时，采用与被投资单位直接处置相关资产或负债相同的基础，按相应</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132"/>
        <w:jc w:val="both"/>
      </w:pPr>
      <w:r>
        <w:rPr>
          <w:spacing w:val="-2"/>
        </w:rPr>
        <w:t>比例对原计入其他综合收益的部分进行会计处理。因被投资单位除净损益、其他综合收益和利润分配以外的其他所有者权益</w:t>
      </w:r>
      <w:r>
        <w:rPr>
          <w:spacing w:val="-64"/>
        </w:rPr>
        <w:t> </w:t>
      </w:r>
      <w:r>
        <w:rPr>
          <w:spacing w:val="-64"/>
        </w:rPr>
      </w:r>
      <w:r>
        <w:rPr>
          <w:spacing w:val="-2"/>
        </w:rPr>
        <w:t>变动而确认的所有者权益，按比例结转入当期损益，由于被投资方重新计量设定受益计划净负债或净资产变动而产生的其他</w:t>
      </w:r>
      <w:r>
        <w:rPr>
          <w:spacing w:val="-64"/>
        </w:rPr>
        <w:t> </w:t>
      </w:r>
      <w:r>
        <w:rPr>
          <w:spacing w:val="-64"/>
        </w:rPr>
      </w:r>
      <w:r>
        <w:rPr/>
        <w:t>综合收益除外。</w:t>
      </w:r>
    </w:p>
    <w:p>
      <w:pPr>
        <w:pStyle w:val="BodyText"/>
        <w:spacing w:line="477" w:lineRule="auto" w:before="54"/>
        <w:ind w:right="1033" w:firstLine="360"/>
        <w:jc w:val="left"/>
      </w:pPr>
      <w:r>
        <w:rPr>
          <w:spacing w:val="-2"/>
        </w:rPr>
        <w:t>因处置部分股权投资等原因丧失了对被投资单位的共同控制或重大影响的，处置后的剩余股权改按金融工具确认和计量</w:t>
      </w:r>
      <w:r>
        <w:rPr/>
        <w:t> </w:t>
      </w:r>
      <w:r>
        <w:rPr>
          <w:spacing w:val="-2"/>
        </w:rPr>
        <w:t>准则核算，其在丧失共同控制或重大影响之日的公允价值与账面价值之间的差额计入当期损益。原股权投资因采用权益法核</w:t>
      </w:r>
      <w:r>
        <w:rPr>
          <w:spacing w:val="-64"/>
        </w:rPr>
        <w:t> </w:t>
      </w:r>
      <w:r>
        <w:rPr>
          <w:spacing w:val="-64"/>
        </w:rPr>
      </w:r>
      <w:r>
        <w:rPr/>
        <w:t>算而确认的其他综合收益，在终止采用权益法核算时采用与被投资单位直接处置相关资产或负债相同的基础进行会计处理。 </w:t>
      </w:r>
      <w:r>
        <w:rPr>
          <w:spacing w:val="-2"/>
        </w:rPr>
        <w:t>因被投资方除净损益、其他综合收益和利润分配以外的其他所有者权益变动而确认的所有者权益，在终止采用权益法核算时</w:t>
      </w:r>
      <w:r>
        <w:rPr>
          <w:spacing w:val="-64"/>
        </w:rPr>
        <w:t> </w:t>
      </w:r>
      <w:r>
        <w:rPr>
          <w:spacing w:val="-64"/>
        </w:rPr>
      </w:r>
      <w:r>
        <w:rPr/>
        <w:t>全部转入当期损益。</w:t>
      </w:r>
    </w:p>
    <w:p>
      <w:pPr>
        <w:pStyle w:val="BodyText"/>
        <w:spacing w:line="477" w:lineRule="auto" w:before="54"/>
        <w:ind w:right="1131" w:firstLine="433"/>
        <w:jc w:val="both"/>
      </w:pPr>
      <w:r>
        <w:rPr/>
        <w:t>因处置部分股权投资、因其他投资方对子公司增资而导致本公司持股比例下降等原因丧失了对被投资单位控制权的， </w:t>
      </w:r>
      <w:r>
        <w:rPr>
          <w:spacing w:val="-2"/>
        </w:rPr>
        <w:t>在编制个别财务报表时，剩余股权能够对被投资单位实施共同控制或重大影响的，改按权益法核算，并对该剩余股权视同自</w:t>
      </w:r>
      <w:r>
        <w:rPr>
          <w:spacing w:val="-66"/>
        </w:rPr>
        <w:t> </w:t>
      </w:r>
      <w:r>
        <w:rPr>
          <w:spacing w:val="-66"/>
        </w:rPr>
      </w:r>
      <w:r>
        <w:rPr>
          <w:spacing w:val="-2"/>
        </w:rPr>
        <w:t>取得时即采用权益法核算进行调整；剩余股权不能对被投资单位实施共同控制或施加重大影响的，改按金融工具确认和计量</w:t>
      </w:r>
      <w:r>
        <w:rPr>
          <w:spacing w:val="-64"/>
        </w:rPr>
        <w:t> </w:t>
      </w:r>
      <w:r>
        <w:rPr>
          <w:spacing w:val="-64"/>
        </w:rPr>
      </w:r>
      <w:r>
        <w:rPr/>
        <w:t>准则的有关规定进行会计处理，其在丧失控制之日的公允价值与账面价值间的差额计入当期损益。</w:t>
      </w:r>
    </w:p>
    <w:p>
      <w:pPr>
        <w:pStyle w:val="BodyText"/>
        <w:spacing w:line="477" w:lineRule="auto" w:before="54"/>
        <w:ind w:right="1132" w:firstLine="360"/>
        <w:jc w:val="both"/>
      </w:pPr>
      <w:r>
        <w:rPr>
          <w:spacing w:val="-2"/>
        </w:rPr>
        <w:t>处置的股权是因追加投资等原因通过企业合并取得的，在编制个别财务报表时，处置后的剩余股权采用成本法或权益法</w:t>
      </w:r>
      <w:r>
        <w:rPr/>
        <w:t> </w:t>
      </w:r>
      <w:r>
        <w:rPr>
          <w:spacing w:val="-2"/>
        </w:rPr>
        <w:t>核算的，购买日之前持有的股权投资因采用权益法核算而确认的其他综合收益和其他所有者权益按比例结转；处置后的剩余</w:t>
      </w:r>
      <w:r>
        <w:rPr>
          <w:spacing w:val="-64"/>
        </w:rPr>
        <w:t> </w:t>
      </w:r>
      <w:r>
        <w:rPr>
          <w:spacing w:val="-64"/>
        </w:rPr>
      </w:r>
      <w:r>
        <w:rPr/>
        <w:t>股权改按金融工具确认和计量准则进行会计处理的，其他综合收益和其他所有者权益全部结转。</w:t>
      </w:r>
    </w:p>
    <w:p>
      <w:pPr>
        <w:spacing w:line="240" w:lineRule="auto" w:before="3"/>
        <w:rPr>
          <w:rFonts w:ascii="宋体" w:hAnsi="宋体" w:cs="宋体" w:eastAsia="宋体" w:hint="default"/>
          <w:sz w:val="21"/>
          <w:szCs w:val="21"/>
        </w:rPr>
      </w:pPr>
    </w:p>
    <w:p>
      <w:pPr>
        <w:pStyle w:val="Heading4"/>
        <w:spacing w:line="240" w:lineRule="auto"/>
        <w:ind w:left="1133" w:right="0"/>
        <w:jc w:val="left"/>
        <w:rPr>
          <w:b w:val="0"/>
          <w:bCs w:val="0"/>
        </w:rPr>
      </w:pPr>
      <w:bookmarkStart w:name="15、投资性房地产" w:id="183"/>
      <w:bookmarkEnd w:id="183"/>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0"/>
        <w:rPr>
          <w:rFonts w:ascii="宋体" w:hAnsi="宋体" w:cs="宋体" w:eastAsia="宋体" w:hint="default"/>
          <w:b/>
          <w:bCs/>
          <w:sz w:val="18"/>
          <w:szCs w:val="18"/>
        </w:rPr>
      </w:pPr>
    </w:p>
    <w:p>
      <w:pPr>
        <w:pStyle w:val="BodyText"/>
        <w:spacing w:line="360" w:lineRule="auto" w:before="128"/>
        <w:ind w:right="8953"/>
        <w:jc w:val="left"/>
      </w:pPr>
      <w:r>
        <w:rPr/>
        <w:t>投资性房地产计量模式 成本法计量 折旧或摊销方法</w:t>
      </w:r>
    </w:p>
    <w:p>
      <w:pPr>
        <w:pStyle w:val="BodyText"/>
        <w:spacing w:line="477" w:lineRule="auto" w:before="103"/>
        <w:ind w:right="1132" w:firstLine="360"/>
        <w:jc w:val="both"/>
      </w:pPr>
      <w:r>
        <w:rPr>
          <w:spacing w:val="-2"/>
        </w:rPr>
        <w:t>投资性房地产是指为赚取租金或资本增值，或两者兼有而持有的房地产，包括已出租的土地使用权、持有并准备增值后</w:t>
      </w:r>
      <w:r>
        <w:rPr/>
        <w:t> </w:t>
      </w:r>
      <w:r>
        <w:rPr>
          <w:spacing w:val="-2"/>
        </w:rPr>
        <w:t>转让的土地使用权、已出租的建筑物（含自行建造或开发活动完成后用于出租的建筑物以及正在建造或开发过程中将来用于</w:t>
      </w:r>
      <w:r>
        <w:rPr>
          <w:spacing w:val="-64"/>
        </w:rPr>
        <w:t> </w:t>
      </w:r>
      <w:r>
        <w:rPr>
          <w:spacing w:val="-64"/>
        </w:rPr>
      </w:r>
      <w:r>
        <w:rPr/>
        <w:t>出租的建筑物）。</w:t>
      </w:r>
    </w:p>
    <w:p>
      <w:pPr>
        <w:pStyle w:val="BodyText"/>
        <w:spacing w:line="477" w:lineRule="auto" w:before="54"/>
        <w:ind w:right="1131" w:firstLine="360"/>
        <w:jc w:val="both"/>
      </w:pPr>
      <w:r>
        <w:rPr>
          <w:spacing w:val="-2"/>
        </w:rPr>
        <w:t>公司对现有投资性房地产采用成本模式计量。对按照成本模式计量的投资性房地产－出租用建筑物采用与本公司固定资</w:t>
      </w:r>
      <w:r>
        <w:rPr/>
        <w:t> 产相同的折旧政策，出租用土地使用权按与无形资产相同的摊销政策执行。</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18"/>
        <w:ind w:left="1133" w:right="0"/>
        <w:jc w:val="left"/>
        <w:rPr>
          <w:b w:val="0"/>
          <w:bCs w:val="0"/>
        </w:rPr>
      </w:pPr>
      <w:bookmarkStart w:name="16、固定资产" w:id="184"/>
      <w:bookmarkEnd w:id="184"/>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9"/>
        <w:ind w:right="0"/>
        <w:jc w:val="left"/>
        <w:rPr>
          <w:b w:val="0"/>
          <w:bCs w:val="0"/>
        </w:rPr>
      </w:pPr>
      <w:bookmarkStart w:name="（1）确认条件" w:id="185"/>
      <w:bookmarkEnd w:id="185"/>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15"/>
          <w:szCs w:val="15"/>
        </w:rPr>
      </w:pPr>
    </w:p>
    <w:p>
      <w:pPr>
        <w:pStyle w:val="BodyText"/>
        <w:spacing w:line="240" w:lineRule="auto"/>
        <w:ind w:left="1494" w:right="0"/>
        <w:jc w:val="left"/>
      </w:pPr>
      <w:r>
        <w:rPr/>
        <w:t>固定资产指为生产商品、提供劳务、出租或经营管理而持有，并且使用寿命超过一个会计年度的有形资产。固定资产在</w:t>
      </w:r>
    </w:p>
    <w:p>
      <w:pPr>
        <w:spacing w:after="0" w:line="240" w:lineRule="auto"/>
        <w:jc w:val="left"/>
        <w:sectPr>
          <w:footerReference w:type="default" r:id="rId19"/>
          <w:pgSz w:w="11910" w:h="16840"/>
          <w:pgMar w:footer="979" w:header="747" w:top="1060" w:bottom="1160" w:left="0" w:right="0"/>
          <w:pgNumType w:start="106"/>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118"/>
        <w:jc w:val="left"/>
      </w:pPr>
      <w:r>
        <w:rPr>
          <w:spacing w:val="-2"/>
        </w:rPr>
        <w:t>同时满足下列条件时予以确认：（</w:t>
      </w:r>
      <w:r>
        <w:rPr>
          <w:rFonts w:ascii="宋体" w:hAnsi="宋体" w:cs="宋体" w:eastAsia="宋体" w:hint="default"/>
          <w:spacing w:val="-2"/>
        </w:rPr>
        <w:t>1</w:t>
      </w:r>
      <w:r>
        <w:rPr>
          <w:spacing w:val="-2"/>
        </w:rPr>
        <w:t>）与该固定资产有关的经济利益很可能流入企业；（</w:t>
      </w:r>
      <w:r>
        <w:rPr>
          <w:rFonts w:ascii="宋体" w:hAnsi="宋体" w:cs="宋体" w:eastAsia="宋体" w:hint="default"/>
          <w:spacing w:val="-2"/>
        </w:rPr>
        <w:t>2</w:t>
      </w:r>
      <w:r>
        <w:rPr>
          <w:spacing w:val="-2"/>
        </w:rPr>
        <w:t>）该固定资产的成本能够可靠地计</w:t>
      </w:r>
      <w:r>
        <w:rPr>
          <w:spacing w:val="-66"/>
        </w:rPr>
        <w:t> </w:t>
      </w:r>
      <w:r>
        <w:rPr>
          <w:spacing w:val="-66"/>
        </w:rPr>
      </w:r>
      <w:r>
        <w:rPr/>
        <w:t>量。</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bookmarkStart w:name="（2）折旧方法" w:id="186"/>
      <w:bookmarkEnd w:id="186"/>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2"/>
        <w:rPr>
          <w:rFonts w:ascii="宋体" w:hAnsi="宋体" w:cs="宋体" w:eastAsia="宋体" w:hint="default"/>
          <w:b/>
          <w:bCs/>
          <w:sz w:val="26"/>
          <w:szCs w:val="26"/>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3.17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9.50-19.00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23.75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w:t>
            </w:r>
          </w:p>
        </w:tc>
      </w:tr>
    </w:tbl>
    <w:p>
      <w:pPr>
        <w:spacing w:line="240" w:lineRule="auto" w:before="6"/>
        <w:rPr>
          <w:rFonts w:ascii="宋体" w:hAnsi="宋体" w:cs="宋体" w:eastAsia="宋体" w:hint="default"/>
          <w:b/>
          <w:bCs/>
          <w:sz w:val="20"/>
          <w:szCs w:val="20"/>
        </w:rPr>
      </w:pPr>
    </w:p>
    <w:p>
      <w:pPr>
        <w:pStyle w:val="Heading4"/>
        <w:spacing w:line="240" w:lineRule="auto" w:before="44"/>
        <w:ind w:right="0"/>
        <w:jc w:val="left"/>
        <w:rPr>
          <w:b w:val="0"/>
          <w:bCs w:val="0"/>
        </w:rPr>
      </w:pPr>
      <w:bookmarkStart w:name="（3）融资租入固定资产的认定依据、计价和折旧方法" w:id="187"/>
      <w:bookmarkEnd w:id="187"/>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15"/>
          <w:szCs w:val="15"/>
        </w:rPr>
      </w:pPr>
    </w:p>
    <w:p>
      <w:pPr>
        <w:pStyle w:val="BodyText"/>
        <w:spacing w:line="458" w:lineRule="auto"/>
        <w:ind w:right="1130" w:firstLine="360"/>
        <w:jc w:val="both"/>
      </w:pPr>
      <w:r>
        <w:rPr>
          <w:spacing w:val="-4"/>
        </w:rPr>
        <w:t>公司与租赁方所签订的租赁协议条款中规定了下列条件之一的，确认为融资租入资产：（</w:t>
      </w:r>
      <w:r>
        <w:rPr>
          <w:rFonts w:ascii="Times New Roman" w:hAnsi="Times New Roman" w:cs="Times New Roman" w:eastAsia="Times New Roman" w:hint="default"/>
          <w:spacing w:val="-4"/>
        </w:rPr>
        <w:t>1</w:t>
      </w:r>
      <w:r>
        <w:rPr>
          <w:spacing w:val="-4"/>
        </w:rPr>
        <w:t>）租赁期满后租赁资产的所有</w:t>
      </w:r>
      <w:r>
        <w:rPr/>
        <w:t> </w:t>
      </w:r>
      <w:r>
        <w:rPr>
          <w:spacing w:val="-5"/>
        </w:rPr>
        <w:t>权归属于本公司；（</w:t>
      </w:r>
      <w:r>
        <w:rPr>
          <w:rFonts w:ascii="Times New Roman" w:hAnsi="Times New Roman" w:cs="Times New Roman" w:eastAsia="Times New Roman" w:hint="default"/>
          <w:spacing w:val="-5"/>
        </w:rPr>
        <w:t>2</w:t>
      </w:r>
      <w:r>
        <w:rPr>
          <w:spacing w:val="-5"/>
        </w:rPr>
        <w:t>）公司具有购买资产的选择权，购买价款远低于行使选择权时该资产的公允价值；（</w:t>
      </w:r>
      <w:r>
        <w:rPr>
          <w:rFonts w:ascii="Times New Roman" w:hAnsi="Times New Roman" w:cs="Times New Roman" w:eastAsia="Times New Roman" w:hint="default"/>
          <w:spacing w:val="-5"/>
        </w:rPr>
        <w:t>3</w:t>
      </w:r>
      <w:r>
        <w:rPr>
          <w:spacing w:val="-5"/>
        </w:rPr>
        <w:t>）租赁期占所租赁</w:t>
      </w:r>
      <w:r>
        <w:rPr>
          <w:spacing w:val="-73"/>
        </w:rPr>
        <w:t> </w:t>
      </w:r>
      <w:r>
        <w:rPr>
          <w:spacing w:val="-73"/>
        </w:rPr>
      </w:r>
      <w:r>
        <w:rPr>
          <w:spacing w:val="-4"/>
        </w:rPr>
        <w:t>资产使用寿命的大部分；（</w:t>
      </w:r>
      <w:r>
        <w:rPr>
          <w:rFonts w:ascii="Times New Roman" w:hAnsi="Times New Roman" w:cs="Times New Roman" w:eastAsia="Times New Roman" w:hint="default"/>
          <w:spacing w:val="-4"/>
        </w:rPr>
        <w:t>4</w:t>
      </w:r>
      <w:r>
        <w:rPr>
          <w:spacing w:val="-4"/>
        </w:rPr>
        <w:t>）租赁开始日的最低租赁付款额现值，与该资产的公允价值不存在较大的差异。公司在承租开始</w:t>
      </w:r>
      <w:r>
        <w:rPr>
          <w:spacing w:val="-44"/>
        </w:rPr>
        <w:t> </w:t>
      </w:r>
      <w:r>
        <w:rPr>
          <w:spacing w:val="-44"/>
        </w:rPr>
      </w:r>
      <w:r>
        <w:rPr>
          <w:spacing w:val="-2"/>
        </w:rPr>
        <w:t>日，将租赁资产公允价值与最低租赁付款额现值两者中较低者作为租入资产的入账价值，将最低租赁付款额作为长期应付款</w:t>
      </w:r>
      <w:r>
        <w:rPr>
          <w:spacing w:val="-64"/>
        </w:rPr>
        <w:t> </w:t>
      </w:r>
      <w:r>
        <w:rPr>
          <w:spacing w:val="-64"/>
        </w:rPr>
      </w:r>
      <w:r>
        <w:rPr/>
        <w:t>的入账价值，其差额作为未确认的融资费。</w:t>
      </w:r>
    </w:p>
    <w:p>
      <w:pPr>
        <w:spacing w:line="240" w:lineRule="auto" w:before="3"/>
        <w:rPr>
          <w:rFonts w:ascii="宋体" w:hAnsi="宋体" w:cs="宋体" w:eastAsia="宋体" w:hint="default"/>
          <w:sz w:val="22"/>
          <w:szCs w:val="22"/>
        </w:rPr>
      </w:pPr>
    </w:p>
    <w:p>
      <w:pPr>
        <w:pStyle w:val="Heading4"/>
        <w:spacing w:line="240" w:lineRule="auto"/>
        <w:ind w:left="1133" w:right="0"/>
        <w:jc w:val="left"/>
        <w:rPr>
          <w:b w:val="0"/>
          <w:bCs w:val="0"/>
        </w:rPr>
      </w:pPr>
      <w:bookmarkStart w:name="17、在建工程" w:id="188"/>
      <w:bookmarkEnd w:id="188"/>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0"/>
        <w:rPr>
          <w:rFonts w:ascii="宋体" w:hAnsi="宋体" w:cs="宋体" w:eastAsia="宋体" w:hint="default"/>
          <w:b/>
          <w:bCs/>
          <w:sz w:val="18"/>
          <w:szCs w:val="18"/>
        </w:rPr>
      </w:pPr>
    </w:p>
    <w:p>
      <w:pPr>
        <w:pStyle w:val="BodyText"/>
        <w:spacing w:line="357" w:lineRule="auto" w:before="129"/>
        <w:ind w:right="7693"/>
        <w:jc w:val="left"/>
      </w:pPr>
      <w:r>
        <w:rPr/>
        <w:t>公司是否需要遵守特殊行业的披露要求 否</w:t>
      </w:r>
    </w:p>
    <w:p>
      <w:pPr>
        <w:pStyle w:val="BodyText"/>
        <w:spacing w:line="477" w:lineRule="auto" w:before="104"/>
        <w:ind w:left="1134" w:right="1131" w:firstLine="360"/>
        <w:jc w:val="both"/>
      </w:pPr>
      <w:r>
        <w:rPr>
          <w:spacing w:val="-2"/>
        </w:rPr>
        <w:t>在建工程项目按建造该项资产达到预定可使用状态前所发生的必要支出，作为固定资产的入账价值。所建造的固定资产</w:t>
      </w:r>
      <w:r>
        <w:rPr/>
        <w:t> </w:t>
      </w:r>
      <w:r>
        <w:rPr>
          <w:spacing w:val="-2"/>
        </w:rPr>
        <w:t>在工程已达到预定可使用状态，但尚未办理竣工决算的，自达到预定可使用状态之日起，根据工程预算、造价或者工程实际</w:t>
      </w:r>
      <w:r>
        <w:rPr>
          <w:spacing w:val="-66"/>
        </w:rPr>
        <w:t> </w:t>
      </w:r>
      <w:r>
        <w:rPr>
          <w:spacing w:val="-66"/>
        </w:rPr>
      </w:r>
      <w:r>
        <w:rPr>
          <w:spacing w:val="-2"/>
        </w:rPr>
        <w:t>成本等，按估计的价值转入固定资产，并按本公司固定资产折旧政策计提固定资产的折旧，待办理竣工决算后，再按实际成</w:t>
      </w:r>
      <w:r>
        <w:rPr>
          <w:spacing w:val="-66"/>
        </w:rPr>
        <w:t> </w:t>
      </w:r>
      <w:r>
        <w:rPr>
          <w:spacing w:val="-66"/>
        </w:rPr>
      </w:r>
      <w:r>
        <w:rPr/>
        <w:t>本调整原来的暂估价值，但不调整原已计提的折旧额。</w:t>
      </w:r>
    </w:p>
    <w:p>
      <w:pPr>
        <w:spacing w:line="240" w:lineRule="auto" w:before="0"/>
        <w:rPr>
          <w:rFonts w:ascii="宋体" w:hAnsi="宋体" w:cs="宋体" w:eastAsia="宋体" w:hint="default"/>
          <w:sz w:val="21"/>
          <w:szCs w:val="21"/>
        </w:rPr>
      </w:pPr>
    </w:p>
    <w:p>
      <w:pPr>
        <w:pStyle w:val="Heading4"/>
        <w:spacing w:line="240" w:lineRule="auto"/>
        <w:ind w:right="0"/>
        <w:jc w:val="left"/>
        <w:rPr>
          <w:b w:val="0"/>
          <w:bCs w:val="0"/>
        </w:rPr>
      </w:pPr>
      <w:bookmarkStart w:name="18、借款费用" w:id="189"/>
      <w:bookmarkEnd w:id="189"/>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0"/>
        <w:rPr>
          <w:rFonts w:ascii="宋体" w:hAnsi="宋体" w:cs="宋体" w:eastAsia="宋体" w:hint="default"/>
          <w:b/>
          <w:bCs/>
          <w:sz w:val="18"/>
          <w:szCs w:val="18"/>
        </w:rPr>
      </w:pPr>
    </w:p>
    <w:p>
      <w:pPr>
        <w:spacing w:line="240" w:lineRule="auto" w:before="11"/>
        <w:rPr>
          <w:rFonts w:ascii="宋体" w:hAnsi="宋体" w:cs="宋体" w:eastAsia="宋体" w:hint="default"/>
          <w:b/>
          <w:bCs/>
          <w:sz w:val="15"/>
          <w:szCs w:val="15"/>
        </w:rPr>
      </w:pPr>
    </w:p>
    <w:p>
      <w:pPr>
        <w:pStyle w:val="BodyText"/>
        <w:spacing w:line="504" w:lineRule="auto"/>
        <w:ind w:left="1493" w:right="1118"/>
        <w:jc w:val="left"/>
      </w:pPr>
      <w:r>
        <w:rPr>
          <w:rFonts w:ascii="Times New Roman" w:hAnsi="Times New Roman" w:cs="Times New Roman" w:eastAsia="Times New Roman" w:hint="default"/>
        </w:rPr>
        <w:t>1</w:t>
      </w:r>
      <w:r>
        <w:rPr/>
        <w:t>、借款费用资本化的确认原则 借款费用，包括借款利息、折价或者溢价的摊销、辅助费用以及因外币借款而发生的汇兑差额等。 </w:t>
      </w:r>
      <w:r>
        <w:rPr>
          <w:spacing w:val="-2"/>
        </w:rPr>
        <w:t>公司发生的借款费用，可直接归属于符合资本化条件的资产的购建或者生产的，予以资本化，计入相关资产成本；其他</w:t>
      </w:r>
    </w:p>
    <w:p>
      <w:pPr>
        <w:pStyle w:val="BodyText"/>
        <w:spacing w:line="240" w:lineRule="auto" w:before="35"/>
        <w:ind w:right="0"/>
        <w:jc w:val="left"/>
      </w:pPr>
      <w:r>
        <w:rPr/>
        <w:t>借款费用，在发生时根据其发生额确认为费用，计入当期损益。</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123" w:firstLine="450"/>
        <w:jc w:val="left"/>
      </w:pPr>
      <w:r>
        <w:rPr/>
        <w:t>符合资本化条件的资产，是指需要经过相当长时间的购建或者生产活动才能达到预定可使用或者可销售状态的固定资 产、投资性房地产和存货等资产。</w:t>
      </w:r>
    </w:p>
    <w:p>
      <w:pPr>
        <w:pStyle w:val="BodyText"/>
        <w:spacing w:line="240" w:lineRule="auto" w:before="94"/>
        <w:ind w:left="1493" w:right="0"/>
        <w:jc w:val="left"/>
      </w:pPr>
      <w:r>
        <w:rPr/>
        <w:t>借款费用同时满足下列条件时开始资本化：</w:t>
      </w:r>
    </w:p>
    <w:p>
      <w:pPr>
        <w:spacing w:line="240" w:lineRule="auto" w:before="11"/>
        <w:rPr>
          <w:rFonts w:ascii="宋体" w:hAnsi="宋体" w:cs="宋体" w:eastAsia="宋体" w:hint="default"/>
          <w:sz w:val="20"/>
          <w:szCs w:val="20"/>
        </w:rPr>
      </w:pPr>
    </w:p>
    <w:p>
      <w:pPr>
        <w:pStyle w:val="BodyText"/>
        <w:spacing w:line="451" w:lineRule="auto"/>
        <w:ind w:left="1134" w:right="1122" w:firstLine="360"/>
        <w:jc w:val="left"/>
      </w:pPr>
      <w:r>
        <w:rPr/>
        <w:t>（</w:t>
      </w:r>
      <w:r>
        <w:rPr>
          <w:rFonts w:ascii="Times New Roman" w:hAnsi="Times New Roman" w:cs="Times New Roman" w:eastAsia="Times New Roman" w:hint="default"/>
        </w:rPr>
        <w:t>1</w:t>
      </w:r>
      <w:r>
        <w:rPr/>
        <w:t>）资产支出已经发生，资产支出包括为购建或者生产符合资本化条件的资产而以支付现金、转移非现金资产或者承 担带息债务形式发生的支出；</w:t>
      </w:r>
    </w:p>
    <w:p>
      <w:pPr>
        <w:pStyle w:val="BodyText"/>
        <w:spacing w:line="240" w:lineRule="auto" w:before="113"/>
        <w:ind w:left="1494" w:right="0"/>
        <w:jc w:val="left"/>
      </w:pPr>
      <w:r>
        <w:rPr/>
        <w:t>（</w:t>
      </w:r>
      <w:r>
        <w:rPr>
          <w:rFonts w:ascii="Times New Roman" w:hAnsi="Times New Roman" w:cs="Times New Roman" w:eastAsia="Times New Roman" w:hint="default"/>
        </w:rPr>
        <w:t>2</w:t>
      </w:r>
      <w:r>
        <w:rPr/>
        <w:t>）借款费用已经发生；</w:t>
      </w:r>
    </w:p>
    <w:p>
      <w:pPr>
        <w:spacing w:line="240" w:lineRule="auto" w:before="10"/>
        <w:rPr>
          <w:rFonts w:ascii="宋体" w:hAnsi="宋体" w:cs="宋体" w:eastAsia="宋体" w:hint="default"/>
          <w:sz w:val="19"/>
          <w:szCs w:val="19"/>
        </w:rPr>
      </w:pPr>
    </w:p>
    <w:p>
      <w:pPr>
        <w:pStyle w:val="BodyText"/>
        <w:spacing w:line="240" w:lineRule="auto"/>
        <w:ind w:left="1494" w:right="0"/>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spacing w:line="240" w:lineRule="auto" w:before="11"/>
        <w:rPr>
          <w:rFonts w:ascii="宋体" w:hAnsi="宋体" w:cs="宋体" w:eastAsia="宋体" w:hint="default"/>
          <w:sz w:val="19"/>
          <w:szCs w:val="19"/>
        </w:rPr>
      </w:pPr>
    </w:p>
    <w:p>
      <w:pPr>
        <w:pStyle w:val="BodyText"/>
        <w:spacing w:line="511" w:lineRule="auto"/>
        <w:ind w:left="1493" w:right="0" w:firstLine="90"/>
        <w:jc w:val="left"/>
      </w:pPr>
      <w:r>
        <w:rPr>
          <w:rFonts w:ascii="Times New Roman" w:hAnsi="Times New Roman" w:cs="Times New Roman" w:eastAsia="Times New Roman" w:hint="default"/>
        </w:rPr>
        <w:t>2</w:t>
      </w:r>
      <w:r>
        <w:rPr/>
        <w:t>、借款费用资本化期间 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 </w:t>
      </w:r>
      <w:r>
        <w:rPr>
          <w:spacing w:val="-2"/>
        </w:rPr>
        <w:t>购建或者生产的资产的各部分分别完工，但必须等到整体完工后才可使用或可对外销售的，在该资产整体完工时停止借</w:t>
      </w:r>
    </w:p>
    <w:p>
      <w:pPr>
        <w:pStyle w:val="BodyText"/>
        <w:spacing w:line="240" w:lineRule="auto" w:before="30"/>
        <w:ind w:right="0"/>
        <w:jc w:val="left"/>
      </w:pPr>
      <w:r>
        <w:rPr/>
        <w:t>款费用资本化。</w:t>
      </w:r>
    </w:p>
    <w:p>
      <w:pPr>
        <w:pStyle w:val="BodyText"/>
        <w:spacing w:line="430" w:lineRule="atLeast" w:before="91"/>
        <w:ind w:left="1554" w:right="0" w:firstLine="30"/>
        <w:jc w:val="left"/>
      </w:pPr>
      <w:r>
        <w:rPr>
          <w:rFonts w:ascii="Times New Roman" w:hAnsi="Times New Roman" w:cs="Times New Roman" w:eastAsia="Times New Roman" w:hint="default"/>
        </w:rPr>
        <w:t>3</w:t>
      </w:r>
      <w:r>
        <w:rPr/>
        <w:t>、暂停资本化期间 </w:t>
      </w:r>
      <w:r>
        <w:rPr>
          <w:spacing w:val="-3"/>
        </w:rPr>
        <w:t>符合资本化条件的资产在购建或生产过程中发生的非正常中断、且中断时间连续超过</w:t>
      </w:r>
      <w:r>
        <w:rPr>
          <w:rFonts w:ascii="Times New Roman" w:hAnsi="Times New Roman" w:cs="Times New Roman" w:eastAsia="Times New Roman" w:hint="default"/>
          <w:spacing w:val="-3"/>
        </w:rPr>
        <w:t>3</w:t>
      </w:r>
      <w:r>
        <w:rPr>
          <w:spacing w:val="-3"/>
        </w:rPr>
        <w:t>个月的，则借款费用暂停资本化；</w:t>
      </w:r>
    </w:p>
    <w:p>
      <w:pPr>
        <w:pStyle w:val="BodyText"/>
        <w:spacing w:line="316" w:lineRule="auto" w:before="63"/>
        <w:ind w:left="1134" w:right="0"/>
        <w:jc w:val="left"/>
      </w:pPr>
      <w:r>
        <w:rPr>
          <w:spacing w:val="-2"/>
        </w:rPr>
        <w:t>该项中断如是所购建或生产的符合资本化条件的资产达到预定可使用状态或者可销售状态必要的程序，则借款费用继续资本</w:t>
      </w:r>
      <w:r>
        <w:rPr>
          <w:spacing w:val="-64"/>
        </w:rPr>
        <w:t> </w:t>
      </w:r>
      <w:r>
        <w:rPr>
          <w:spacing w:val="-64"/>
        </w:rPr>
      </w:r>
      <w:r>
        <w:rPr/>
        <w:t>化。在中断期间发生的借款费用确认为当期损益，直至资产的购建或者生产活动重新开始后借款费用继续资本化。</w:t>
      </w:r>
    </w:p>
    <w:p>
      <w:pPr>
        <w:pStyle w:val="BodyText"/>
        <w:spacing w:line="487" w:lineRule="auto" w:before="137"/>
        <w:ind w:left="1494" w:right="0" w:firstLine="90"/>
        <w:jc w:val="left"/>
      </w:pPr>
      <w:r>
        <w:rPr>
          <w:rFonts w:ascii="Times New Roman" w:hAnsi="Times New Roman" w:cs="Times New Roman" w:eastAsia="Times New Roman" w:hint="default"/>
        </w:rPr>
        <w:t>4</w:t>
      </w:r>
      <w:r>
        <w:rPr/>
        <w:t>、借款费用资本化率、资本化金额的计算方法 </w:t>
      </w:r>
      <w:r>
        <w:rPr>
          <w:spacing w:val="-2"/>
        </w:rPr>
        <w:t>对于为购建或者生产符合资本化条件的资产而借入的专门借款，以专门借款当期实际发生的借款费用，减去尚未动用的</w:t>
      </w:r>
    </w:p>
    <w:p>
      <w:pPr>
        <w:pStyle w:val="BodyText"/>
        <w:spacing w:line="516" w:lineRule="auto" w:before="48"/>
        <w:ind w:left="1494" w:right="0" w:hanging="360"/>
        <w:jc w:val="left"/>
      </w:pPr>
      <w:r>
        <w:rPr/>
        <w:t>借款资金存入银行取得的利息收入或进行暂时性投资取得的投资收益后的金额，来确定借款费用的资本化金额。 </w:t>
      </w:r>
      <w:r>
        <w:rPr>
          <w:spacing w:val="-2"/>
        </w:rPr>
        <w:t>对于为购建或者生产符合资本化条件的资产而占用的一般借款，根据累计资产支出超过专门借款部分的资产支出加权平</w:t>
      </w:r>
    </w:p>
    <w:p>
      <w:pPr>
        <w:pStyle w:val="BodyText"/>
        <w:spacing w:line="477" w:lineRule="auto" w:before="25"/>
        <w:ind w:left="1134" w:right="1118"/>
        <w:jc w:val="left"/>
      </w:pPr>
      <w:r>
        <w:rPr>
          <w:spacing w:val="-2"/>
        </w:rPr>
        <w:t>均数乘以所占用一般借款的资本化率，计算确定一般借款应予资本化的借款费用金额。资本化率根据一般借款加权平均利率</w:t>
      </w:r>
      <w:r>
        <w:rPr>
          <w:spacing w:val="-64"/>
        </w:rPr>
        <w:t> </w:t>
      </w:r>
      <w:r>
        <w:rPr>
          <w:spacing w:val="-64"/>
        </w:rPr>
      </w:r>
      <w:r>
        <w:rPr/>
        <w:t>计算确定。</w:t>
      </w:r>
    </w:p>
    <w:p>
      <w:pPr>
        <w:pStyle w:val="BodyText"/>
        <w:spacing w:line="240" w:lineRule="auto" w:before="94"/>
        <w:ind w:left="1494" w:right="0"/>
        <w:jc w:val="left"/>
      </w:pPr>
      <w:r>
        <w:rPr/>
        <w:t>借款存在折价或者溢价的，按照实际利率法确定每一会计期间应摊销的折价或者溢价金额，调整每期利息金额。</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6"/>
          <w:szCs w:val="16"/>
        </w:rPr>
      </w:pPr>
    </w:p>
    <w:p>
      <w:pPr>
        <w:pStyle w:val="Heading4"/>
        <w:spacing w:line="240" w:lineRule="auto"/>
        <w:ind w:right="0"/>
        <w:jc w:val="left"/>
        <w:rPr>
          <w:b w:val="0"/>
          <w:bCs w:val="0"/>
        </w:rPr>
      </w:pPr>
      <w:bookmarkStart w:name="19、无形资产" w:id="190"/>
      <w:bookmarkEnd w:id="190"/>
      <w:r>
        <w:rPr>
          <w:b w:val="0"/>
          <w:bCs w:val="0"/>
        </w:rPr>
      </w:r>
      <w:r>
        <w:rPr>
          <w:rFonts w:ascii="Times New Roman" w:hAnsi="Times New Roman" w:cs="Times New Roman" w:eastAsia="Times New Roman" w:hint="default"/>
        </w:rPr>
        <w:t>19</w:t>
      </w:r>
      <w:r>
        <w:rPr/>
        <w:t>、无形资产</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9"/>
        <w:ind w:right="0"/>
        <w:jc w:val="left"/>
        <w:rPr>
          <w:b w:val="0"/>
          <w:bCs w:val="0"/>
        </w:rPr>
      </w:pPr>
      <w:bookmarkStart w:name="（1）计价方法、使用寿命、减值测试" w:id="191"/>
      <w:bookmarkEnd w:id="191"/>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0"/>
        <w:rPr>
          <w:rFonts w:ascii="宋体" w:hAnsi="宋体" w:cs="宋体" w:eastAsia="宋体" w:hint="default"/>
          <w:b/>
          <w:bCs/>
          <w:sz w:val="18"/>
          <w:szCs w:val="18"/>
        </w:rPr>
      </w:pPr>
    </w:p>
    <w:p>
      <w:pPr>
        <w:pStyle w:val="BodyText"/>
        <w:spacing w:line="357" w:lineRule="auto" w:before="129"/>
        <w:ind w:right="7693"/>
        <w:jc w:val="left"/>
      </w:pPr>
      <w:r>
        <w:rPr/>
        <w:t>公司是否需要遵守特殊行业的披露要求 否</w:t>
      </w:r>
    </w:p>
    <w:p>
      <w:pPr>
        <w:pStyle w:val="BodyText"/>
        <w:spacing w:line="240" w:lineRule="auto" w:before="28"/>
        <w:ind w:left="1712" w:right="0"/>
        <w:jc w:val="left"/>
      </w:pPr>
      <w:r>
        <w:rPr>
          <w:rFonts w:ascii="Times New Roman" w:hAnsi="Times New Roman" w:cs="Times New Roman" w:eastAsia="Times New Roman" w:hint="default"/>
        </w:rPr>
        <w:t>1</w:t>
      </w:r>
      <w:r>
        <w:rPr/>
        <w:t>、无形资产的计价方法</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487" w:lineRule="auto"/>
        <w:ind w:left="1494" w:right="0"/>
        <w:jc w:val="left"/>
      </w:pPr>
      <w:r>
        <w:rPr/>
        <w:t>（</w:t>
      </w:r>
      <w:r>
        <w:rPr>
          <w:rFonts w:ascii="Times New Roman" w:hAnsi="Times New Roman" w:cs="Times New Roman" w:eastAsia="Times New Roman" w:hint="default"/>
        </w:rPr>
        <w:t>1</w:t>
      </w:r>
      <w:r>
        <w:rPr/>
        <w:t>）公司取得无形资产时按成本进行初始计量； </w:t>
      </w:r>
      <w:r>
        <w:rPr>
          <w:spacing w:val="-2"/>
        </w:rPr>
        <w:t>外购无形资产的成本，包括购买价款、相关税费以及直接归属于使该项资产达到预定用途所发生的其他支出。购买无形</w:t>
      </w:r>
    </w:p>
    <w:p>
      <w:pPr>
        <w:pStyle w:val="BodyText"/>
        <w:spacing w:line="518" w:lineRule="auto" w:before="48"/>
        <w:ind w:left="1493" w:right="0" w:hanging="360"/>
        <w:jc w:val="left"/>
      </w:pPr>
      <w:r>
        <w:rPr/>
        <w:t>资产的价款超过正常信用条件延期支付，实质上具有融资性质的，无形资产的成本以购买价款的现值为基础确定。 </w:t>
      </w:r>
      <w:r>
        <w:rPr>
          <w:spacing w:val="-2"/>
        </w:rPr>
        <w:t>债务重组取得债务人用以抵债的无形资产，以该无形资产的公允价值为基础确定其入账价值，并将重组债务的账面价值</w:t>
      </w:r>
    </w:p>
    <w:p>
      <w:pPr>
        <w:pStyle w:val="BodyText"/>
        <w:spacing w:line="516" w:lineRule="auto" w:before="25"/>
        <w:ind w:left="1494" w:right="0" w:hanging="360"/>
        <w:jc w:val="left"/>
      </w:pPr>
      <w:r>
        <w:rPr/>
        <w:t>与该用以抵债的无形资产公允价值之间的差额，计入当期损益。 </w:t>
      </w:r>
      <w:r>
        <w:rPr>
          <w:spacing w:val="-2"/>
        </w:rPr>
        <w:t>在非货币性资产交换具备商业实质且换入资产或换出资产的公允价值能够可靠计量的前提下，非货币性资产交换换入的</w:t>
      </w:r>
    </w:p>
    <w:p>
      <w:pPr>
        <w:pStyle w:val="BodyText"/>
        <w:spacing w:line="477" w:lineRule="auto" w:before="25"/>
        <w:ind w:left="1134" w:right="0"/>
        <w:jc w:val="left"/>
      </w:pPr>
      <w:r>
        <w:rPr>
          <w:spacing w:val="-2"/>
        </w:rPr>
        <w:t>无形资产以换出资产的公允价值为基础确定其入账价值，除非有确凿证据表明换入资产的公允价值更加可靠；不满足上述前</w:t>
      </w:r>
      <w:r>
        <w:rPr>
          <w:spacing w:val="-64"/>
        </w:rPr>
        <w:t> </w:t>
      </w:r>
      <w:r>
        <w:rPr>
          <w:spacing w:val="-64"/>
        </w:rPr>
      </w:r>
      <w:r>
        <w:rPr/>
        <w:t>提的非货币性资产交换，以换出资产的账面价值和应支付的相关税费作为换入无形资产的成本，不确认损益。</w:t>
      </w:r>
    </w:p>
    <w:p>
      <w:pPr>
        <w:pStyle w:val="BodyText"/>
        <w:spacing w:line="477" w:lineRule="auto" w:before="92"/>
        <w:ind w:right="0" w:firstLine="360"/>
        <w:jc w:val="left"/>
      </w:pPr>
      <w:r>
        <w:rPr>
          <w:spacing w:val="-2"/>
        </w:rPr>
        <w:t>以同一控制下的企业吸收合并方式取得的无形资产按被合并方的账面价值确定其入账价值；以非同一控制下的企业吸收</w:t>
      </w:r>
      <w:r>
        <w:rPr/>
        <w:t> 合并方式取得的无形资产按公允价值确定其入账价值。</w:t>
      </w:r>
    </w:p>
    <w:p>
      <w:pPr>
        <w:pStyle w:val="BodyText"/>
        <w:spacing w:line="477" w:lineRule="auto" w:before="94"/>
        <w:ind w:left="1134" w:right="0" w:firstLine="360"/>
        <w:jc w:val="left"/>
      </w:pPr>
      <w:r>
        <w:rPr>
          <w:spacing w:val="-2"/>
        </w:rPr>
        <w:t>内部自行开发的无形资产，其成本包括：开发该无形资产时耗用的材料、劳务成本、注册费、在开发过程中使用的其他</w:t>
      </w:r>
      <w:r>
        <w:rPr/>
        <w:t> 专利权和特许权的摊销以及满足资本化条件的利息费用，以及为使该无形资产达到预定用途前所发生的其他直接费用。</w:t>
      </w:r>
    </w:p>
    <w:p>
      <w:pPr>
        <w:pStyle w:val="BodyText"/>
        <w:spacing w:line="489" w:lineRule="auto" w:before="94"/>
        <w:ind w:left="1493" w:right="7153"/>
        <w:jc w:val="left"/>
      </w:pPr>
      <w:r>
        <w:rPr/>
        <w:t>（</w:t>
      </w:r>
      <w:r>
        <w:rPr>
          <w:rFonts w:ascii="Times New Roman" w:hAnsi="Times New Roman" w:cs="Times New Roman" w:eastAsia="Times New Roman" w:hint="default"/>
        </w:rPr>
        <w:t>2</w:t>
      </w:r>
      <w:r>
        <w:rPr/>
        <w:t>）后续计量 在取得无形资产时分析判断其使用寿命。</w:t>
      </w:r>
    </w:p>
    <w:p>
      <w:pPr>
        <w:pStyle w:val="BodyText"/>
        <w:spacing w:line="477" w:lineRule="auto" w:before="85"/>
        <w:ind w:right="0" w:firstLine="360"/>
        <w:jc w:val="left"/>
      </w:pPr>
      <w:r>
        <w:rPr>
          <w:spacing w:val="-2"/>
        </w:rPr>
        <w:t>对于使用寿命有限的无形资产，在为企业带来经济利益的期限内按直线法摊销；无法预见无形资产为企业带来经济利益</w:t>
      </w:r>
      <w:r>
        <w:rPr/>
        <w:t> 期限的，视为使用寿命不确定的无形资产，不予摊销。</w:t>
      </w:r>
    </w:p>
    <w:p>
      <w:pPr>
        <w:pStyle w:val="Heading4"/>
        <w:spacing w:line="240" w:lineRule="auto" w:before="92"/>
        <w:ind w:left="1554" w:right="0"/>
        <w:jc w:val="left"/>
        <w:rPr>
          <w:rFonts w:ascii="宋体" w:hAnsi="宋体" w:cs="宋体" w:eastAsia="宋体" w:hint="default"/>
          <w:b w:val="0"/>
          <w:bCs w:val="0"/>
        </w:rPr>
      </w:pPr>
      <w:r>
        <w:rPr>
          <w:rFonts w:ascii="Times New Roman" w:hAnsi="Times New Roman" w:cs="Times New Roman" w:eastAsia="Times New Roman" w:hint="default"/>
          <w:b w:val="0"/>
          <w:bCs w:val="0"/>
        </w:rPr>
        <w:t>2</w:t>
      </w:r>
      <w:r>
        <w:rPr>
          <w:rFonts w:ascii="宋体" w:hAnsi="宋体" w:cs="宋体" w:eastAsia="宋体" w:hint="default"/>
          <w:b w:val="0"/>
          <w:bCs w:val="0"/>
        </w:rPr>
        <w:t>、</w:t>
      </w:r>
      <w:r>
        <w:rPr/>
        <w:t>使用寿命有限的无形资产的使用寿命估计情况</w:t>
      </w:r>
      <w:r>
        <w:rPr>
          <w:rFonts w:ascii="宋体" w:hAnsi="宋体" w:cs="宋体" w:eastAsia="宋体" w:hint="default"/>
          <w:b w:val="0"/>
          <w:bCs w:val="0"/>
        </w:rPr>
        <w:t>：</w:t>
      </w:r>
    </w:p>
    <w:p>
      <w:pPr>
        <w:spacing w:line="240" w:lineRule="auto" w:before="12"/>
        <w:rPr>
          <w:rFonts w:ascii="宋体" w:hAnsi="宋体" w:cs="宋体" w:eastAsia="宋体" w:hint="default"/>
          <w:sz w:val="9"/>
          <w:szCs w:val="9"/>
        </w:rPr>
      </w:pPr>
    </w:p>
    <w:tbl>
      <w:tblPr>
        <w:tblW w:w="0" w:type="auto"/>
        <w:jc w:val="left"/>
        <w:tblInd w:w="1836" w:type="dxa"/>
        <w:tblLayout w:type="fixed"/>
        <w:tblCellMar>
          <w:top w:w="0" w:type="dxa"/>
          <w:left w:w="0" w:type="dxa"/>
          <w:bottom w:w="0" w:type="dxa"/>
          <w:right w:w="0" w:type="dxa"/>
        </w:tblCellMar>
        <w:tblLook w:val="01E0"/>
      </w:tblPr>
      <w:tblGrid>
        <w:gridCol w:w="2724"/>
        <w:gridCol w:w="1700"/>
        <w:gridCol w:w="3222"/>
      </w:tblGrid>
      <w:tr>
        <w:trPr>
          <w:trHeight w:val="511" w:hRule="exact"/>
        </w:trPr>
        <w:tc>
          <w:tcPr>
            <w:tcW w:w="27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left="301"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322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9"/>
              <w:ind w:right="6"/>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508" w:hRule="exact"/>
        </w:trPr>
        <w:tc>
          <w:tcPr>
            <w:tcW w:w="27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7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r>
              <w:rPr>
                <w:rFonts w:ascii="Times New Roman" w:hAnsi="Times New Roman" w:cs="Times New Roman" w:eastAsia="Times New Roman" w:hint="default"/>
                <w:sz w:val="18"/>
                <w:szCs w:val="18"/>
              </w:rPr>
              <w:t>30</w:t>
            </w:r>
            <w:r>
              <w:rPr>
                <w:rFonts w:ascii="宋体" w:hAnsi="宋体" w:cs="宋体" w:eastAsia="宋体" w:hint="default"/>
                <w:sz w:val="18"/>
                <w:szCs w:val="18"/>
              </w:rPr>
              <w:t>年</w:t>
            </w:r>
          </w:p>
        </w:tc>
        <w:tc>
          <w:tcPr>
            <w:tcW w:w="322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8"/>
              <w:ind w:left="107" w:right="0"/>
              <w:jc w:val="left"/>
              <w:rPr>
                <w:rFonts w:ascii="宋体" w:hAnsi="宋体" w:cs="宋体" w:eastAsia="宋体" w:hint="default"/>
                <w:sz w:val="18"/>
                <w:szCs w:val="18"/>
              </w:rPr>
            </w:pPr>
            <w:r>
              <w:rPr>
                <w:rFonts w:ascii="宋体" w:hAnsi="宋体" w:cs="宋体" w:eastAsia="宋体" w:hint="default"/>
                <w:sz w:val="18"/>
                <w:szCs w:val="18"/>
              </w:rPr>
              <w:t>合同性权利期限</w:t>
            </w:r>
          </w:p>
        </w:tc>
      </w:tr>
      <w:tr>
        <w:trPr>
          <w:trHeight w:val="509" w:hRule="exact"/>
        </w:trPr>
        <w:tc>
          <w:tcPr>
            <w:tcW w:w="27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开发工具及办公软件</w:t>
            </w:r>
          </w:p>
        </w:tc>
        <w:tc>
          <w:tcPr>
            <w:tcW w:w="17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322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8"/>
              <w:ind w:left="107" w:right="0"/>
              <w:jc w:val="left"/>
              <w:rPr>
                <w:rFonts w:ascii="宋体" w:hAnsi="宋体" w:cs="宋体" w:eastAsia="宋体" w:hint="default"/>
                <w:sz w:val="18"/>
                <w:szCs w:val="18"/>
              </w:rPr>
            </w:pPr>
            <w:r>
              <w:rPr>
                <w:rFonts w:ascii="宋体" w:hAnsi="宋体" w:cs="宋体" w:eastAsia="宋体" w:hint="default"/>
                <w:sz w:val="18"/>
                <w:szCs w:val="18"/>
              </w:rPr>
              <w:t>根据预计产生经济利益期限估计</w:t>
            </w:r>
          </w:p>
        </w:tc>
      </w:tr>
    </w:tbl>
    <w:p>
      <w:pPr>
        <w:pStyle w:val="BodyText"/>
        <w:spacing w:line="477" w:lineRule="auto" w:before="88"/>
        <w:ind w:left="1424" w:right="4522"/>
        <w:jc w:val="left"/>
      </w:pPr>
      <w:r>
        <w:rPr/>
        <w:t>每年度终了，对使用寿命有限的无形资产的使用寿命及摊销方法进行复核。 经复核，本年期末无形资产的使用寿命及摊销方法与以前估计未有不同。</w:t>
      </w:r>
    </w:p>
    <w:p>
      <w:pPr>
        <w:spacing w:line="240" w:lineRule="auto" w:before="0"/>
        <w:rPr>
          <w:rFonts w:ascii="宋体" w:hAnsi="宋体" w:cs="宋体" w:eastAsia="宋体" w:hint="default"/>
          <w:sz w:val="18"/>
          <w:szCs w:val="18"/>
        </w:rPr>
      </w:pPr>
    </w:p>
    <w:p>
      <w:pPr>
        <w:pStyle w:val="Heading4"/>
        <w:spacing w:line="240" w:lineRule="auto" w:before="118"/>
        <w:ind w:left="1495" w:right="0"/>
        <w:jc w:val="left"/>
        <w:rPr>
          <w:b w:val="0"/>
          <w:bCs w:val="0"/>
        </w:rPr>
      </w:pPr>
      <w:bookmarkStart w:name="（2）内部研究开发支出会计政策" w:id="192"/>
      <w:bookmarkEnd w:id="192"/>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21"/>
          <w:szCs w:val="21"/>
        </w:rPr>
      </w:pPr>
    </w:p>
    <w:p>
      <w:pPr>
        <w:pStyle w:val="BodyText"/>
        <w:spacing w:line="468" w:lineRule="auto"/>
        <w:ind w:left="1494" w:right="1118"/>
        <w:jc w:val="left"/>
      </w:pPr>
      <w:r>
        <w:rPr>
          <w:rFonts w:ascii="Times New Roman" w:hAnsi="Times New Roman" w:cs="Times New Roman" w:eastAsia="Times New Roman" w:hint="default"/>
        </w:rPr>
        <w:t>3</w:t>
      </w:r>
      <w:r>
        <w:rPr/>
        <w:t>、</w:t>
      </w:r>
      <w:r>
        <w:rPr>
          <w:rFonts w:ascii="宋体" w:hAnsi="宋体" w:cs="宋体" w:eastAsia="宋体" w:hint="default"/>
          <w:b/>
          <w:bCs/>
        </w:rPr>
        <w:t>划分公司内部研究开发项目的研究阶段和开发阶段具体标准</w:t>
      </w:r>
      <w:r>
        <w:rPr>
          <w:rFonts w:ascii="宋体" w:hAnsi="宋体" w:cs="宋体" w:eastAsia="宋体" w:hint="default"/>
          <w:b/>
          <w:bCs/>
          <w:w w:val="99"/>
        </w:rPr>
        <w:t> </w:t>
      </w:r>
      <w:r>
        <w:rPr/>
        <w:t>公司内部研究开发项目的支出分为研究阶段支出和开发阶段支出。 研究阶段：为获取并理解新的科学或技术知识等而进行的独创性的有计划调查、研究活动的阶段。 </w:t>
      </w:r>
      <w:r>
        <w:rPr>
          <w:spacing w:val="-2"/>
        </w:rPr>
        <w:t>开发阶段：在进行商业性生产或使用前，将研究成果或其他知识应用于某项计划或设计，以生产出新的或具有实质性改</w:t>
      </w:r>
    </w:p>
    <w:p>
      <w:pPr>
        <w:spacing w:after="0" w:line="468"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0"/>
        <w:jc w:val="left"/>
      </w:pPr>
      <w:r>
        <w:rPr/>
        <w:t>进的材料、装置、产品等活动的阶段。</w:t>
      </w:r>
    </w:p>
    <w:p>
      <w:pPr>
        <w:spacing w:line="240" w:lineRule="auto" w:before="10"/>
        <w:rPr>
          <w:rFonts w:ascii="宋体" w:hAnsi="宋体" w:cs="宋体" w:eastAsia="宋体" w:hint="default"/>
          <w:sz w:val="17"/>
          <w:szCs w:val="17"/>
        </w:rPr>
      </w:pPr>
    </w:p>
    <w:p>
      <w:pPr>
        <w:pStyle w:val="BodyText"/>
        <w:spacing w:line="451" w:lineRule="auto"/>
        <w:ind w:left="1494" w:right="4452" w:firstLine="1"/>
        <w:jc w:val="left"/>
      </w:pPr>
      <w:r>
        <w:rPr>
          <w:rFonts w:ascii="Times New Roman" w:hAnsi="Times New Roman" w:cs="Times New Roman" w:eastAsia="Times New Roman" w:hint="default"/>
          <w:b/>
          <w:bCs/>
        </w:rPr>
        <w:t>4</w:t>
      </w:r>
      <w:r>
        <w:rPr>
          <w:rFonts w:ascii="宋体" w:hAnsi="宋体" w:cs="宋体" w:eastAsia="宋体" w:hint="default"/>
          <w:b/>
          <w:bCs/>
        </w:rPr>
        <w:t>、</w:t>
      </w:r>
      <w:r>
        <w:rPr/>
        <w:t>开发阶段支出符合资本化的具体标准 内部研究开发项目开发阶段的支出，同时满足下列条件时确认为无形资产：</w:t>
      </w:r>
    </w:p>
    <w:p>
      <w:pPr>
        <w:pStyle w:val="BodyText"/>
        <w:spacing w:line="240" w:lineRule="auto" w:before="74"/>
        <w:ind w:left="1493" w:right="0"/>
        <w:jc w:val="left"/>
      </w:pPr>
      <w:r>
        <w:rPr/>
        <w:t>（</w:t>
      </w:r>
      <w:r>
        <w:rPr>
          <w:rFonts w:ascii="Times New Roman" w:hAnsi="Times New Roman" w:cs="Times New Roman" w:eastAsia="Times New Roman" w:hint="default"/>
        </w:rPr>
        <w:t>1</w:t>
      </w:r>
      <w:r>
        <w:rPr/>
        <w:t>）完成该无形资产以使其能够使用或出售在技术上具有可行性；</w:t>
      </w:r>
    </w:p>
    <w:p>
      <w:pPr>
        <w:spacing w:line="240" w:lineRule="auto" w:before="9"/>
        <w:rPr>
          <w:rFonts w:ascii="宋体" w:hAnsi="宋体" w:cs="宋体" w:eastAsia="宋体" w:hint="default"/>
          <w:sz w:val="16"/>
          <w:szCs w:val="16"/>
        </w:rPr>
      </w:pPr>
    </w:p>
    <w:p>
      <w:pPr>
        <w:pStyle w:val="BodyText"/>
        <w:spacing w:line="240" w:lineRule="auto"/>
        <w:ind w:left="1493" w:right="0"/>
        <w:jc w:val="left"/>
      </w:pPr>
      <w:r>
        <w:rPr/>
        <w:t>（</w:t>
      </w:r>
      <w:r>
        <w:rPr>
          <w:rFonts w:ascii="Times New Roman" w:hAnsi="Times New Roman" w:cs="Times New Roman" w:eastAsia="Times New Roman" w:hint="default"/>
        </w:rPr>
        <w:t>2</w:t>
      </w:r>
      <w:r>
        <w:rPr/>
        <w:t>）具有完成该无形资产并使用或出售的意图；</w:t>
      </w:r>
    </w:p>
    <w:p>
      <w:pPr>
        <w:spacing w:line="240" w:lineRule="auto" w:before="9"/>
        <w:rPr>
          <w:rFonts w:ascii="宋体" w:hAnsi="宋体" w:cs="宋体" w:eastAsia="宋体" w:hint="default"/>
          <w:sz w:val="16"/>
          <w:szCs w:val="16"/>
        </w:rPr>
      </w:pPr>
    </w:p>
    <w:p>
      <w:pPr>
        <w:pStyle w:val="BodyText"/>
        <w:spacing w:line="451" w:lineRule="auto"/>
        <w:ind w:left="1134" w:right="1122" w:firstLine="360"/>
        <w:jc w:val="left"/>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）无形资产产生经济利益的方式，包括能够证明运用该无形资产生产的产品存在市场或无形资产自身存在市场，无 形资产将在内部使用的，能够证明其有用性；</w:t>
      </w:r>
    </w:p>
    <w:p>
      <w:pPr>
        <w:pStyle w:val="BodyText"/>
        <w:spacing w:line="240" w:lineRule="auto" w:before="74"/>
        <w:ind w:left="1494" w:right="0"/>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）有足够的技术、财务资源和其他资源支持，以完成该无形资产的开发，并有能力使用或出售该无形资产；</w:t>
      </w:r>
    </w:p>
    <w:p>
      <w:pPr>
        <w:spacing w:line="240" w:lineRule="auto" w:before="9"/>
        <w:rPr>
          <w:rFonts w:ascii="宋体" w:hAnsi="宋体" w:cs="宋体" w:eastAsia="宋体" w:hint="default"/>
          <w:sz w:val="16"/>
          <w:szCs w:val="16"/>
        </w:rPr>
      </w:pPr>
    </w:p>
    <w:p>
      <w:pPr>
        <w:pStyle w:val="BodyText"/>
        <w:spacing w:line="451" w:lineRule="auto"/>
        <w:ind w:left="1494" w:right="1752"/>
        <w:jc w:val="left"/>
      </w:pPr>
      <w:r>
        <w:rPr/>
        <w:t>（</w:t>
      </w:r>
      <w:r>
        <w:rPr>
          <w:rFonts w:ascii="Times New Roman" w:hAnsi="Times New Roman" w:cs="Times New Roman" w:eastAsia="Times New Roman" w:hint="default"/>
        </w:rPr>
        <w:t>5</w:t>
      </w:r>
      <w:r>
        <w:rPr/>
        <w:t>）归属于该无形资产开发阶段的支出能够可靠地计量。 开发阶段的支出，若不满足上列条件的，于发生时计入当期损益。研究阶段的支出，在发生时计入当期损益。</w:t>
      </w:r>
    </w:p>
    <w:p>
      <w:pPr>
        <w:spacing w:line="240" w:lineRule="auto" w:before="0"/>
        <w:rPr>
          <w:rFonts w:ascii="宋体" w:hAnsi="宋体" w:cs="宋体" w:eastAsia="宋体" w:hint="default"/>
          <w:sz w:val="18"/>
          <w:szCs w:val="18"/>
        </w:rPr>
      </w:pPr>
    </w:p>
    <w:p>
      <w:pPr>
        <w:pStyle w:val="Heading4"/>
        <w:spacing w:line="240" w:lineRule="auto" w:before="138"/>
        <w:ind w:left="1495" w:right="0"/>
        <w:jc w:val="left"/>
        <w:rPr>
          <w:b w:val="0"/>
          <w:bCs w:val="0"/>
        </w:rPr>
      </w:pPr>
      <w:bookmarkStart w:name="20、长期资产减值" w:id="193"/>
      <w:bookmarkEnd w:id="193"/>
      <w:r>
        <w:rPr>
          <w:b w:val="0"/>
          <w:bCs w:val="0"/>
        </w:rPr>
      </w:r>
      <w:r>
        <w:rPr>
          <w:rFonts w:ascii="Times New Roman" w:hAnsi="Times New Roman" w:cs="Times New Roman" w:eastAsia="Times New Roman" w:hint="default"/>
        </w:rPr>
        <w:t>20</w:t>
      </w:r>
      <w:r>
        <w:rPr/>
        <w:t>、长期资产减值</w:t>
      </w:r>
      <w:r>
        <w:rPr>
          <w:b w:val="0"/>
          <w:bCs w:val="0"/>
        </w:rPr>
      </w: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21"/>
          <w:szCs w:val="21"/>
        </w:rPr>
      </w:pPr>
    </w:p>
    <w:p>
      <w:pPr>
        <w:pStyle w:val="BodyText"/>
        <w:spacing w:line="477" w:lineRule="auto"/>
        <w:ind w:right="0" w:firstLine="360"/>
        <w:jc w:val="left"/>
      </w:pPr>
      <w:r>
        <w:rPr>
          <w:spacing w:val="-2"/>
        </w:rPr>
        <w:t>长期股权投资、采用成本模式计量的投资性房地产、固定资产、在建工程、使用寿命有限的无形资产等长期资产，于资</w:t>
      </w:r>
      <w:r>
        <w:rPr/>
        <w:t> </w:t>
      </w:r>
      <w:r>
        <w:rPr>
          <w:spacing w:val="-2"/>
        </w:rPr>
        <w:t>产负债表日存在减值迹象的，进行减值测试。减值测试结果表明资产的可收回金额低于其账面价值的，按其差额计提减值准</w:t>
      </w:r>
      <w:r>
        <w:rPr>
          <w:spacing w:val="-66"/>
        </w:rPr>
        <w:t> </w:t>
      </w:r>
      <w:r>
        <w:rPr>
          <w:spacing w:val="-66"/>
        </w:rPr>
      </w:r>
      <w:r>
        <w:rPr/>
        <w:t>备并计入减值损失。可收回金额为资产的公允价值减去处置费用后的净额与资产预计未来现金流量的现值两者之间的较高 </w:t>
      </w:r>
      <w:r>
        <w:rPr>
          <w:spacing w:val="-2"/>
        </w:rPr>
        <w:t>者。资产减值准备按单项资产为基础计算并确认，如果难以对单项资产的可收回金额进行估计的，以该资产所属的资产组确</w:t>
      </w:r>
      <w:r>
        <w:rPr>
          <w:spacing w:val="-66"/>
        </w:rPr>
        <w:t> </w:t>
      </w:r>
      <w:r>
        <w:rPr>
          <w:spacing w:val="-66"/>
        </w:rPr>
      </w:r>
      <w:r>
        <w:rPr/>
        <w:t>定资产组的可收回金额。资产组是能够独立产生现金流入的最小资产组合。</w:t>
      </w:r>
    </w:p>
    <w:p>
      <w:pPr>
        <w:pStyle w:val="BodyText"/>
        <w:spacing w:line="477" w:lineRule="auto" w:before="54"/>
        <w:ind w:left="1493" w:right="1033"/>
        <w:jc w:val="left"/>
      </w:pPr>
      <w:r>
        <w:rPr/>
        <w:t>商誉和使用寿命不确定的无形资产至少在每年年度终了进行减值测试。 本公司进行商誉减值测试，对于因企业合并形成的商誉的账面价值，自购买日起按照合理的方法分摊至相关的资产组；</w:t>
      </w:r>
    </w:p>
    <w:p>
      <w:pPr>
        <w:pStyle w:val="BodyText"/>
        <w:spacing w:line="477" w:lineRule="auto" w:before="54"/>
        <w:ind w:right="1033"/>
        <w:jc w:val="left"/>
      </w:pPr>
      <w:r>
        <w:rPr/>
        <w:t>难以分摊至相关的资产组的，将其分摊至相关的资产组组合。在将商誉的账面价值分摊至相关的资产组或者资产组组合时， </w:t>
      </w:r>
      <w:r>
        <w:rPr>
          <w:spacing w:val="-2"/>
        </w:rPr>
        <w:t>按照各资产组或者资产组组合的公允价值占相关资产组或者资产组组合公允价值总额的比例进行分摊。公允价值难以可靠计</w:t>
      </w:r>
      <w:r>
        <w:rPr>
          <w:spacing w:val="-64"/>
        </w:rPr>
        <w:t> </w:t>
      </w:r>
      <w:r>
        <w:rPr>
          <w:spacing w:val="-64"/>
        </w:rPr>
      </w:r>
      <w:r>
        <w:rPr/>
        <w:t>量的，按照各资产组或者资产组组合的账面价值占相关资产组或者资产组组合账面价值总额的比例进行分摊。</w:t>
      </w:r>
    </w:p>
    <w:p>
      <w:pPr>
        <w:pStyle w:val="BodyText"/>
        <w:spacing w:line="477" w:lineRule="auto" w:before="54"/>
        <w:ind w:right="1033" w:firstLine="360"/>
        <w:jc w:val="left"/>
      </w:pPr>
      <w:r>
        <w:rPr/>
        <w:t>在对包含商誉的相关资产组或者资产组组合进行减值测试时，如与商誉相关的资产组或者资产组组合存在减值迹象的， </w:t>
      </w:r>
      <w:r>
        <w:rPr>
          <w:spacing w:val="-4"/>
        </w:rPr>
        <w:t>先对不包含商誉的资产组或者资产组组合进行减值测试，计算可收回金额，并与相关账面价值相比较，确认相应的减值损失。</w:t>
      </w:r>
      <w:r>
        <w:rPr>
          <w:spacing w:val="-44"/>
        </w:rPr>
        <w:t> </w:t>
      </w:r>
      <w:r>
        <w:rPr>
          <w:spacing w:val="-44"/>
        </w:rPr>
      </w:r>
      <w:r>
        <w:rPr>
          <w:spacing w:val="-2"/>
        </w:rPr>
        <w:t>再对包含商誉的资产组或者资产组组合进行减值测试，比较这些相关资产组或者资产组组合的账面价值（包括所分摊的商誉</w:t>
      </w:r>
      <w:r>
        <w:rPr>
          <w:spacing w:val="-64"/>
        </w:rPr>
        <w:t> </w:t>
      </w:r>
      <w:r>
        <w:rPr>
          <w:spacing w:val="-64"/>
        </w:rPr>
      </w:r>
      <w:r>
        <w:rPr/>
        <w:t>的账面价值部分）与其可收回金额，如相关资产组或者资产组组合的可收回金额低于其账面价值的，确认商誉的减值损失。</w:t>
      </w:r>
    </w:p>
    <w:p>
      <w:pPr>
        <w:pStyle w:val="BodyText"/>
        <w:spacing w:line="240" w:lineRule="auto" w:before="54"/>
        <w:ind w:left="1494" w:right="0"/>
        <w:jc w:val="left"/>
      </w:pPr>
      <w:r>
        <w:rPr/>
        <w:t>上述资产减值损失一经确认，在以后会计期间不予转回。</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Heading4"/>
        <w:spacing w:line="240" w:lineRule="auto" w:before="44"/>
        <w:ind w:right="0"/>
        <w:jc w:val="left"/>
        <w:rPr>
          <w:b w:val="0"/>
          <w:bCs w:val="0"/>
        </w:rPr>
      </w:pPr>
      <w:bookmarkStart w:name="21、长期待摊费用" w:id="194"/>
      <w:bookmarkEnd w:id="194"/>
      <w:r>
        <w:rPr>
          <w:b w:val="0"/>
          <w:bCs w:val="0"/>
        </w:rPr>
      </w:r>
      <w:r>
        <w:rPr>
          <w:rFonts w:ascii="Times New Roman" w:hAnsi="Times New Roman" w:cs="Times New Roman" w:eastAsia="Times New Roman" w:hint="default"/>
        </w:rPr>
        <w:t>21</w:t>
      </w:r>
      <w:r>
        <w:rPr/>
        <w:t>、长期待摊费用</w:t>
      </w:r>
      <w:r>
        <w:rPr>
          <w:b w:val="0"/>
          <w:bCs w:val="0"/>
        </w:rPr>
      </w: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15"/>
          <w:szCs w:val="15"/>
        </w:rPr>
      </w:pPr>
    </w:p>
    <w:p>
      <w:pPr>
        <w:pStyle w:val="BodyText"/>
        <w:spacing w:line="477" w:lineRule="auto"/>
        <w:ind w:left="1493" w:right="3373"/>
        <w:jc w:val="left"/>
      </w:pPr>
      <w:r>
        <w:rPr/>
        <w:t>长期待摊费用为已经发生但应由本期和以后各期负担的分摊期限在一年以上的各项费用。 </w:t>
      </w:r>
      <w:r>
        <w:rPr>
          <w:rFonts w:ascii="宋体" w:hAnsi="宋体" w:cs="宋体" w:eastAsia="宋体" w:hint="default"/>
        </w:rPr>
        <w:t>1</w:t>
      </w:r>
      <w:r>
        <w:rPr/>
        <w:t>、摊销方法</w:t>
      </w:r>
    </w:p>
    <w:p>
      <w:pPr>
        <w:pStyle w:val="BodyText"/>
        <w:spacing w:line="477" w:lineRule="auto" w:before="54"/>
        <w:ind w:left="1493" w:right="7693"/>
        <w:jc w:val="left"/>
      </w:pPr>
      <w:r>
        <w:rPr/>
        <w:t>长期待摊费用在受益期内平均摊销 </w:t>
      </w:r>
      <w:r>
        <w:rPr>
          <w:rFonts w:ascii="宋体" w:hAnsi="宋体" w:cs="宋体" w:eastAsia="宋体" w:hint="default"/>
        </w:rPr>
        <w:t>2</w:t>
      </w:r>
      <w:r>
        <w:rPr/>
        <w:t>、摊销年限</w:t>
      </w:r>
    </w:p>
    <w:p>
      <w:pPr>
        <w:pStyle w:val="BodyText"/>
        <w:spacing w:line="240" w:lineRule="auto" w:before="54"/>
        <w:ind w:left="1493" w:right="0"/>
        <w:jc w:val="left"/>
      </w:pPr>
      <w:r>
        <w:rPr/>
        <w:t>不能确定受益期限的按不超过十年的期限平均摊销。</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6"/>
          <w:szCs w:val="16"/>
        </w:rPr>
      </w:pPr>
    </w:p>
    <w:p>
      <w:pPr>
        <w:pStyle w:val="Heading4"/>
        <w:spacing w:line="240" w:lineRule="auto"/>
        <w:ind w:right="0"/>
        <w:jc w:val="left"/>
        <w:rPr>
          <w:b w:val="0"/>
          <w:bCs w:val="0"/>
        </w:rPr>
      </w:pPr>
      <w:bookmarkStart w:name="22、职工薪酬" w:id="195"/>
      <w:bookmarkEnd w:id="195"/>
      <w:r>
        <w:rPr>
          <w:b w:val="0"/>
          <w:bCs w:val="0"/>
        </w:rPr>
      </w:r>
      <w:r>
        <w:rPr>
          <w:rFonts w:ascii="Times New Roman" w:hAnsi="Times New Roman" w:cs="Times New Roman" w:eastAsia="Times New Roman" w:hint="default"/>
        </w:rPr>
        <w:t>22</w:t>
      </w:r>
      <w:r>
        <w:rPr/>
        <w:t>、职工薪酬</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8"/>
        <w:ind w:right="0"/>
        <w:jc w:val="left"/>
        <w:rPr>
          <w:b w:val="0"/>
          <w:bCs w:val="0"/>
        </w:rPr>
      </w:pPr>
      <w:bookmarkStart w:name="（1）短期薪酬的会计处理方法" w:id="196"/>
      <w:bookmarkEnd w:id="196"/>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15"/>
          <w:szCs w:val="15"/>
        </w:rPr>
      </w:pPr>
    </w:p>
    <w:p>
      <w:pPr>
        <w:pStyle w:val="BodyText"/>
        <w:spacing w:line="477" w:lineRule="auto"/>
        <w:ind w:left="1493" w:right="0"/>
        <w:jc w:val="left"/>
      </w:pPr>
      <w:r>
        <w:rPr/>
        <w:t>本公司在职工为本公司提供服务的会计期间，将实际发生的短期薪酬确认为负债，并计入当期损益或相关资产成本。 </w:t>
      </w:r>
      <w:r>
        <w:rPr>
          <w:spacing w:val="-2"/>
        </w:rPr>
        <w:t>本公司为职工缴纳的社会保险费和住房公积金，以及按规定提取的工会经费和职工教育经费，在职工为本公司提供服务</w:t>
      </w:r>
    </w:p>
    <w:p>
      <w:pPr>
        <w:pStyle w:val="BodyText"/>
        <w:spacing w:line="477" w:lineRule="auto" w:before="54"/>
        <w:ind w:left="1493" w:right="4633" w:hanging="360"/>
        <w:jc w:val="left"/>
      </w:pPr>
      <w:r>
        <w:rPr/>
        <w:t>的会计期间，根据规定的计提基础和计提比例计算确定相应的职工薪酬金额。 职工福利费为非货币性福利的，如能够可靠计量的，按照公允价值计量。</w:t>
      </w:r>
    </w:p>
    <w:p>
      <w:pPr>
        <w:spacing w:line="240" w:lineRule="auto" w:before="3"/>
        <w:rPr>
          <w:rFonts w:ascii="宋体" w:hAnsi="宋体" w:cs="宋体" w:eastAsia="宋体" w:hint="default"/>
          <w:sz w:val="21"/>
          <w:szCs w:val="21"/>
        </w:rPr>
      </w:pPr>
    </w:p>
    <w:p>
      <w:pPr>
        <w:pStyle w:val="Heading4"/>
        <w:spacing w:line="240" w:lineRule="auto"/>
        <w:ind w:left="1133" w:right="0"/>
        <w:jc w:val="left"/>
        <w:rPr>
          <w:b w:val="0"/>
          <w:bCs w:val="0"/>
        </w:rPr>
      </w:pPr>
      <w:bookmarkStart w:name="（2）离职后福利的会计处理方法" w:id="197"/>
      <w:bookmarkEnd w:id="197"/>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15"/>
          <w:szCs w:val="15"/>
        </w:rPr>
      </w:pPr>
    </w:p>
    <w:p>
      <w:pPr>
        <w:pStyle w:val="BodyText"/>
        <w:spacing w:line="477" w:lineRule="auto"/>
        <w:ind w:left="1494" w:right="0"/>
        <w:jc w:val="left"/>
      </w:pPr>
      <w:r>
        <w:rPr/>
        <w:t>（</w:t>
      </w:r>
      <w:r>
        <w:rPr>
          <w:rFonts w:ascii="宋体" w:hAnsi="宋体" w:cs="宋体" w:eastAsia="宋体" w:hint="default"/>
        </w:rPr>
        <w:t>1</w:t>
      </w:r>
      <w:r>
        <w:rPr/>
        <w:t>）设定提存计划 </w:t>
      </w:r>
      <w:r>
        <w:rPr>
          <w:spacing w:val="-2"/>
        </w:rPr>
        <w:t>本公司按当地政府的相关规定为职工缴纳基本养老保险和失业保险，在职工为本公司提供服务的会计期间，按以当地规</w:t>
      </w:r>
    </w:p>
    <w:p>
      <w:pPr>
        <w:pStyle w:val="BodyText"/>
        <w:spacing w:line="477" w:lineRule="auto" w:before="54"/>
        <w:ind w:left="1493" w:right="1123" w:hanging="360"/>
        <w:jc w:val="left"/>
      </w:pPr>
      <w:r>
        <w:rPr/>
        <w:t>定的缴纳基数和比例计算应缴纳金额，确认为负债，并计入当期损益或相关资产成本。 除基本养老保险外，本公司还依据国家企业年金制度的相关政策建立了企业年金缴费制度（补充养老保险）</w:t>
      </w:r>
      <w:r>
        <w:rPr>
          <w:rFonts w:ascii="宋体" w:hAnsi="宋体" w:cs="宋体" w:eastAsia="宋体" w:hint="default"/>
        </w:rPr>
        <w:t>/</w:t>
      </w:r>
      <w:r>
        <w:rPr/>
        <w:t>企业年金</w:t>
      </w:r>
    </w:p>
    <w:p>
      <w:pPr>
        <w:pStyle w:val="BodyText"/>
        <w:spacing w:line="240" w:lineRule="auto" w:before="54"/>
        <w:ind w:right="0"/>
        <w:jc w:val="left"/>
      </w:pPr>
      <w:r>
        <w:rPr/>
        <w:t>计划。本公司按职工工资总额的一定比例向当地社会保险机构缴费</w:t>
      </w:r>
      <w:r>
        <w:rPr>
          <w:rFonts w:ascii="宋体" w:hAnsi="宋体" w:cs="宋体" w:eastAsia="宋体" w:hint="default"/>
        </w:rPr>
        <w:t>/</w:t>
      </w:r>
      <w:r>
        <w:rPr/>
        <w:t>年金计划缴费，相应支出计入当期损益或相关资产成本。</w:t>
      </w:r>
    </w:p>
    <w:p>
      <w:pPr>
        <w:spacing w:line="240" w:lineRule="auto" w:before="10"/>
        <w:rPr>
          <w:rFonts w:ascii="宋体" w:hAnsi="宋体" w:cs="宋体" w:eastAsia="宋体" w:hint="default"/>
          <w:sz w:val="17"/>
          <w:szCs w:val="17"/>
        </w:rPr>
      </w:pPr>
    </w:p>
    <w:p>
      <w:pPr>
        <w:pStyle w:val="BodyText"/>
        <w:spacing w:line="477" w:lineRule="auto"/>
        <w:ind w:left="1494" w:right="0"/>
        <w:jc w:val="left"/>
      </w:pPr>
      <w:r>
        <w:rPr/>
        <w:t>（</w:t>
      </w:r>
      <w:r>
        <w:rPr>
          <w:rFonts w:ascii="宋体" w:hAnsi="宋体" w:cs="宋体" w:eastAsia="宋体" w:hint="default"/>
        </w:rPr>
        <w:t>2</w:t>
      </w:r>
      <w:r>
        <w:rPr/>
        <w:t>）设定受益计划 </w:t>
      </w:r>
      <w:r>
        <w:rPr>
          <w:spacing w:val="-2"/>
        </w:rPr>
        <w:t>本公司根据预期累计福利单位法确定的公式将设定受益计划产生的福利义务归属于职工提供服务的期间，并计入当期损</w:t>
      </w:r>
    </w:p>
    <w:p>
      <w:pPr>
        <w:pStyle w:val="BodyText"/>
        <w:spacing w:line="477" w:lineRule="auto" w:before="54"/>
        <w:ind w:left="1493" w:right="1033" w:hanging="360"/>
        <w:jc w:val="left"/>
      </w:pPr>
      <w:r>
        <w:rPr/>
        <w:t>益或相关资产成本。 设定受益计划义务现值减去设定受益计划资产公允价值所形成的赤字或盈余确认为一项设定受益计划净负债或净资产。</w:t>
      </w:r>
    </w:p>
    <w:p>
      <w:pPr>
        <w:pStyle w:val="BodyText"/>
        <w:spacing w:line="477" w:lineRule="auto" w:before="54"/>
        <w:ind w:left="1493" w:right="0" w:hanging="360"/>
        <w:jc w:val="left"/>
      </w:pPr>
      <w:r>
        <w:rPr/>
        <w:t>设定受益计划存在盈余的，本公司以设定受益计划的盈余和资产上限两项的孰低者计量设定受益计划净资产。 </w:t>
      </w:r>
      <w:r>
        <w:rPr>
          <w:spacing w:val="-2"/>
        </w:rPr>
        <w:t>所有设定受益计划义务，包括预期在职工提供服务的年度报告期间结束后的十二个月内支付的义务，根据资产负债表日</w:t>
      </w:r>
    </w:p>
    <w:p>
      <w:pPr>
        <w:pStyle w:val="BodyText"/>
        <w:spacing w:line="477" w:lineRule="auto" w:before="54"/>
        <w:ind w:left="1493" w:right="0" w:hanging="360"/>
        <w:jc w:val="left"/>
      </w:pPr>
      <w:r>
        <w:rPr/>
        <w:t>与设定受益计划义务期限和币种相匹配的国债或活跃市场上的高质量公司债券的市场收益率予以折现。 </w:t>
      </w:r>
      <w:r>
        <w:rPr>
          <w:spacing w:val="-2"/>
        </w:rPr>
        <w:t>设定受益计划产生的服务成本和设定受益计划净负债或净资产的利息净额计入当期损益或相关资产成本；重新计量设定</w:t>
      </w:r>
    </w:p>
    <w:p>
      <w:pPr>
        <w:pStyle w:val="BodyText"/>
        <w:spacing w:line="240" w:lineRule="auto" w:before="54"/>
        <w:ind w:right="0"/>
        <w:jc w:val="left"/>
      </w:pPr>
      <w:r>
        <w:rPr/>
        <w:t>受益计划净负债或净资产所产生的变动计入其他综合收益，并且在后续会计期间不转回至损益，在原设定受益计划终止时在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left="1493" w:right="1393" w:hanging="360"/>
        <w:jc w:val="left"/>
      </w:pPr>
      <w:r>
        <w:rPr/>
        <w:t>权益范围内将原计入其他综合收益的部分全部结转至未分配利润。 在设定受益计划结算时，按在结算日确定的设定受益计划义务现值和结算价格两者的差额，确认结算利得或损失。</w:t>
      </w:r>
    </w:p>
    <w:p>
      <w:pPr>
        <w:spacing w:line="240" w:lineRule="auto" w:before="0"/>
        <w:rPr>
          <w:rFonts w:ascii="宋体" w:hAnsi="宋体" w:cs="宋体" w:eastAsia="宋体" w:hint="default"/>
          <w:sz w:val="18"/>
          <w:szCs w:val="18"/>
        </w:rPr>
      </w:pPr>
    </w:p>
    <w:p>
      <w:pPr>
        <w:pStyle w:val="Heading4"/>
        <w:spacing w:line="240" w:lineRule="auto" w:before="119"/>
        <w:ind w:left="1133" w:right="0"/>
        <w:jc w:val="left"/>
        <w:rPr>
          <w:b w:val="0"/>
          <w:bCs w:val="0"/>
        </w:rPr>
      </w:pPr>
      <w:bookmarkStart w:name="（3）辞退福利的会计处理方法" w:id="198"/>
      <w:bookmarkEnd w:id="198"/>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21"/>
          <w:szCs w:val="21"/>
        </w:rPr>
      </w:pPr>
    </w:p>
    <w:p>
      <w:pPr>
        <w:pStyle w:val="BodyText"/>
        <w:spacing w:line="477" w:lineRule="auto"/>
        <w:ind w:right="1153" w:firstLine="420"/>
        <w:jc w:val="left"/>
      </w:pPr>
      <w:r>
        <w:rPr/>
        <w:t>本公司在不能单方面撤回因解除劳动关系计划或裁减建议所提供的辞退福利时，或确认与涉及支付辞退福利的重组相 关的成本或费用时（两者孰早），确认辞退福利产生的职工薪酬负债，并计入当期损益。</w:t>
      </w:r>
    </w:p>
    <w:p>
      <w:pPr>
        <w:spacing w:line="240" w:lineRule="auto" w:before="0"/>
        <w:rPr>
          <w:rFonts w:ascii="宋体" w:hAnsi="宋体" w:cs="宋体" w:eastAsia="宋体" w:hint="default"/>
          <w:sz w:val="18"/>
          <w:szCs w:val="18"/>
        </w:rPr>
      </w:pPr>
    </w:p>
    <w:p>
      <w:pPr>
        <w:pStyle w:val="Heading4"/>
        <w:spacing w:line="240" w:lineRule="auto" w:before="118"/>
        <w:ind w:left="1133" w:right="0"/>
        <w:jc w:val="left"/>
        <w:rPr>
          <w:b w:val="0"/>
          <w:bCs w:val="0"/>
        </w:rPr>
      </w:pPr>
      <w:bookmarkStart w:name="（4）其他长期职工福利的会计处理方法" w:id="199"/>
      <w:bookmarkEnd w:id="199"/>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0"/>
        <w:rPr>
          <w:rFonts w:ascii="宋体" w:hAnsi="宋体" w:cs="宋体" w:eastAsia="宋体" w:hint="default"/>
          <w:b/>
          <w:bCs/>
          <w:sz w:val="18"/>
          <w:szCs w:val="18"/>
        </w:rPr>
      </w:pPr>
    </w:p>
    <w:p>
      <w:pPr>
        <w:spacing w:line="240" w:lineRule="auto" w:before="10"/>
        <w:rPr>
          <w:rFonts w:ascii="宋体" w:hAnsi="宋体" w:cs="宋体" w:eastAsia="宋体" w:hint="default"/>
          <w:b/>
          <w:bCs/>
          <w:sz w:val="15"/>
          <w:szCs w:val="15"/>
        </w:rPr>
      </w:pPr>
    </w:p>
    <w:p>
      <w:pPr>
        <w:pStyle w:val="Heading4"/>
        <w:spacing w:line="240" w:lineRule="auto"/>
        <w:ind w:left="1133" w:right="0"/>
        <w:jc w:val="left"/>
        <w:rPr>
          <w:b w:val="0"/>
          <w:bCs w:val="0"/>
        </w:rPr>
      </w:pPr>
      <w:bookmarkStart w:name="23、预计负债" w:id="200"/>
      <w:bookmarkEnd w:id="200"/>
      <w:r>
        <w:rPr>
          <w:b w:val="0"/>
          <w:bCs w:val="0"/>
        </w:rPr>
      </w:r>
      <w:r>
        <w:rPr>
          <w:rFonts w:ascii="Times New Roman" w:hAnsi="Times New Roman" w:cs="Times New Roman" w:eastAsia="Times New Roman" w:hint="default"/>
        </w:rPr>
        <w:t>23</w:t>
      </w:r>
      <w:r>
        <w:rPr/>
        <w:t>、预计负债</w:t>
      </w:r>
      <w:r>
        <w:rPr>
          <w:b w:val="0"/>
          <w:bCs w:val="0"/>
        </w:rPr>
      </w: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15"/>
          <w:szCs w:val="15"/>
        </w:rPr>
      </w:pPr>
    </w:p>
    <w:p>
      <w:pPr>
        <w:pStyle w:val="BodyText"/>
        <w:spacing w:line="477" w:lineRule="auto"/>
        <w:ind w:left="1134" w:right="1152" w:firstLine="420"/>
        <w:jc w:val="left"/>
      </w:pPr>
      <w:r>
        <w:rPr/>
        <w:t>本公司涉及诉讼、债务担保、亏损合同、重组事项时，如该等事项很可能需要未来以交付资产或提供劳务、其金额能 够可靠计量的，确认为预计负债。</w:t>
      </w:r>
    </w:p>
    <w:p>
      <w:pPr>
        <w:pStyle w:val="BodyText"/>
        <w:spacing w:line="477" w:lineRule="auto" w:before="54"/>
        <w:ind w:left="1554" w:right="4752"/>
        <w:jc w:val="left"/>
      </w:pPr>
      <w:r>
        <w:rPr>
          <w:rFonts w:ascii="宋体" w:hAnsi="宋体" w:cs="宋体" w:eastAsia="宋体" w:hint="default"/>
        </w:rPr>
        <w:t>1</w:t>
      </w:r>
      <w:r>
        <w:rPr/>
        <w:t>、预计负债的确认标准 与或有事项相关的义务同时满足下列条件时，本公司确认为预计负债：</w:t>
      </w:r>
    </w:p>
    <w:p>
      <w:pPr>
        <w:pStyle w:val="BodyText"/>
        <w:spacing w:line="240" w:lineRule="auto" w:before="54"/>
        <w:ind w:left="1553" w:right="0"/>
        <w:jc w:val="left"/>
      </w:pPr>
      <w:r>
        <w:rPr/>
        <w:t>（</w:t>
      </w:r>
      <w:r>
        <w:rPr>
          <w:rFonts w:ascii="宋体" w:hAnsi="宋体" w:cs="宋体" w:eastAsia="宋体" w:hint="default"/>
        </w:rPr>
        <w:t>1</w:t>
      </w:r>
      <w:r>
        <w:rPr/>
        <w:t>）该义务是本公司承担的现时义务；</w:t>
      </w:r>
    </w:p>
    <w:p>
      <w:pPr>
        <w:spacing w:line="240" w:lineRule="auto" w:before="10"/>
        <w:rPr>
          <w:rFonts w:ascii="宋体" w:hAnsi="宋体" w:cs="宋体" w:eastAsia="宋体" w:hint="default"/>
          <w:sz w:val="17"/>
          <w:szCs w:val="17"/>
        </w:rPr>
      </w:pPr>
    </w:p>
    <w:p>
      <w:pPr>
        <w:pStyle w:val="BodyText"/>
        <w:spacing w:line="240" w:lineRule="auto"/>
        <w:ind w:left="1553" w:right="0"/>
        <w:jc w:val="left"/>
      </w:pPr>
      <w:r>
        <w:rPr/>
        <w:t>（</w:t>
      </w:r>
      <w:r>
        <w:rPr>
          <w:rFonts w:ascii="宋体" w:hAnsi="宋体" w:cs="宋体" w:eastAsia="宋体" w:hint="default"/>
        </w:rPr>
        <w:t>2</w:t>
      </w:r>
      <w:r>
        <w:rPr/>
        <w:t>）履行该义务很可能导致经济利益流出本公司；</w:t>
      </w:r>
    </w:p>
    <w:p>
      <w:pPr>
        <w:spacing w:line="240" w:lineRule="auto" w:before="10"/>
        <w:rPr>
          <w:rFonts w:ascii="宋体" w:hAnsi="宋体" w:cs="宋体" w:eastAsia="宋体" w:hint="default"/>
          <w:sz w:val="17"/>
          <w:szCs w:val="17"/>
        </w:rPr>
      </w:pPr>
    </w:p>
    <w:p>
      <w:pPr>
        <w:pStyle w:val="BodyText"/>
        <w:spacing w:line="477" w:lineRule="auto"/>
        <w:ind w:left="1553" w:right="7363"/>
        <w:jc w:val="left"/>
      </w:pPr>
      <w:r>
        <w:rPr/>
        <w:t>（</w:t>
      </w:r>
      <w:r>
        <w:rPr>
          <w:rFonts w:ascii="宋体" w:hAnsi="宋体" w:cs="宋体" w:eastAsia="宋体" w:hint="default"/>
        </w:rPr>
        <w:t>3</w:t>
      </w:r>
      <w:r>
        <w:rPr/>
        <w:t>）该义务的金额能够可靠地计量。 </w:t>
      </w:r>
      <w:r>
        <w:rPr>
          <w:rFonts w:ascii="宋体" w:hAnsi="宋体" w:cs="宋体" w:eastAsia="宋体" w:hint="default"/>
        </w:rPr>
        <w:t>2</w:t>
      </w:r>
      <w:r>
        <w:rPr/>
        <w:t>、预计负债的计量方法</w:t>
      </w:r>
    </w:p>
    <w:p>
      <w:pPr>
        <w:pStyle w:val="BodyText"/>
        <w:spacing w:line="477" w:lineRule="auto" w:before="54"/>
        <w:ind w:left="1134" w:right="1132" w:firstLine="420"/>
        <w:jc w:val="both"/>
      </w:pPr>
      <w:r>
        <w:rPr/>
        <w:t>本公司根据合同约定或以往年度质保费实际发生情况合理估计可能产生的质保费用，在质保期间对所交付的自动化物 </w:t>
      </w:r>
      <w:r>
        <w:rPr>
          <w:spacing w:val="-2"/>
        </w:rPr>
        <w:t>流系统项目按合同收入总额的一定比例计提预计负债，实际发生的质保费用在预计负债中列支，不足部分计入实际发生当期</w:t>
      </w:r>
      <w:r>
        <w:rPr>
          <w:spacing w:val="-64"/>
        </w:rPr>
        <w:t> </w:t>
      </w:r>
      <w:r>
        <w:rPr>
          <w:spacing w:val="-64"/>
        </w:rPr>
      </w:r>
      <w:r>
        <w:rPr/>
        <w:t>损益，项目质保期满后结余的预提质保金予以冲回。</w:t>
      </w:r>
    </w:p>
    <w:p>
      <w:pPr>
        <w:pStyle w:val="BodyText"/>
        <w:spacing w:line="477" w:lineRule="auto" w:before="54"/>
        <w:ind w:left="1134" w:right="1032" w:firstLine="420"/>
        <w:jc w:val="left"/>
      </w:pPr>
      <w:r>
        <w:rPr/>
        <w:t>预计负债按照履行相关现时义务所需支出的最佳估计数进行初始计量，企业清偿预计负债所需支出全部或部分预期由 第三方补偿的，补偿金额只有在基本确定能够收到时才能作为资产单独确认。确认的补偿金额不超过预计负债的账面价值。</w:t>
      </w:r>
    </w:p>
    <w:p>
      <w:pPr>
        <w:pStyle w:val="BodyText"/>
        <w:spacing w:line="477" w:lineRule="auto" w:before="54"/>
        <w:ind w:left="1134" w:right="1152" w:firstLine="420"/>
        <w:jc w:val="left"/>
      </w:pPr>
      <w:r>
        <w:rPr/>
        <w:t>本公司亏损合同产生的义务和因重组而承担的重组义务同时符合上述条件的，确认为预计负债。只有在承诺出售部分 业务（即签订约束性出售协议）时，才能确认因重组而承担了重组义务。</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bookmarkStart w:name="24、股份支付" w:id="201"/>
      <w:bookmarkEnd w:id="201"/>
      <w:r>
        <w:rPr>
          <w:b w:val="0"/>
          <w:bCs w:val="0"/>
        </w:rPr>
      </w:r>
      <w:r>
        <w:rPr>
          <w:rFonts w:ascii="Times New Roman" w:hAnsi="Times New Roman" w:cs="Times New Roman" w:eastAsia="Times New Roman" w:hint="default"/>
        </w:rPr>
        <w:t>24</w:t>
      </w:r>
      <w:r>
        <w:rPr/>
        <w:t>、股份支付</w:t>
      </w:r>
      <w:r>
        <w:rPr>
          <w:b w:val="0"/>
          <w:bCs w:val="0"/>
        </w:rPr>
      </w: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15"/>
          <w:szCs w:val="15"/>
        </w:rPr>
      </w:pPr>
    </w:p>
    <w:p>
      <w:pPr>
        <w:pStyle w:val="BodyText"/>
        <w:spacing w:line="477" w:lineRule="auto"/>
        <w:ind w:left="1134" w:right="1152" w:firstLine="420"/>
        <w:jc w:val="left"/>
      </w:pPr>
      <w:r>
        <w:rPr/>
        <w:t>本公司的股份支付是为了获取职工提供服务而授予权益工具或者承担以权益工具为基础确定的负债的交易。本公司的 股份支付分为以权益结算的股份支付和以现金结算的股份支付。</w:t>
      </w:r>
    </w:p>
    <w:p>
      <w:pPr>
        <w:pStyle w:val="BodyText"/>
        <w:spacing w:line="240" w:lineRule="auto" w:before="54"/>
        <w:ind w:left="1554" w:right="0"/>
        <w:jc w:val="left"/>
      </w:pPr>
      <w:r>
        <w:rPr>
          <w:rFonts w:ascii="宋体" w:hAnsi="宋体" w:cs="宋体" w:eastAsia="宋体" w:hint="default"/>
        </w:rPr>
        <w:t>1</w:t>
      </w:r>
      <w:r>
        <w:rPr/>
        <w:t>、以权益结算的股份支付及权益工具</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025" w:firstLine="420"/>
        <w:jc w:val="left"/>
      </w:pPr>
      <w:r>
        <w:rPr/>
        <w:t>以权益结算的股份支付换取职工提供服务的，以授予职工权益工具的公允价值计量。本公司以限制性股票进行股份支 </w:t>
      </w:r>
      <w:r>
        <w:rPr>
          <w:spacing w:val="-2"/>
        </w:rPr>
        <w:t>付的，职工出资认购股票，股票在达到解锁条件并解锁前不得上市流通或转让；如果最终股权激励计划规定的解锁条件未能</w:t>
      </w:r>
      <w:r>
        <w:rPr>
          <w:spacing w:val="-66"/>
        </w:rPr>
        <w:t> </w:t>
      </w:r>
      <w:r>
        <w:rPr>
          <w:spacing w:val="-66"/>
        </w:rPr>
      </w:r>
      <w:r>
        <w:rPr>
          <w:spacing w:val="-2"/>
        </w:rPr>
        <w:t>达到，则本公司按照事先约定的价格回购股票。本公司取得职工认购限制性股票支付的款项时，按照取得的认股款确认股本</w:t>
      </w:r>
      <w:r>
        <w:rPr>
          <w:spacing w:val="-66"/>
        </w:rPr>
        <w:t> </w:t>
      </w:r>
      <w:r>
        <w:rPr>
          <w:spacing w:val="-66"/>
        </w:rPr>
      </w:r>
      <w:r>
        <w:rPr>
          <w:spacing w:val="-2"/>
        </w:rPr>
        <w:t>和资本公积（股本溢价），同时就回购义务全额确认一项负债并确认库存股。在等待期内每个资产负债表日，本公司根据最</w:t>
      </w:r>
      <w:r>
        <w:rPr>
          <w:spacing w:val="-66"/>
        </w:rPr>
        <w:t> </w:t>
      </w:r>
      <w:r>
        <w:rPr>
          <w:spacing w:val="-66"/>
        </w:rPr>
      </w:r>
      <w:r>
        <w:rPr/>
        <w:t>新取得的</w:t>
      </w:r>
      <w:r>
        <w:rPr>
          <w:rFonts w:ascii="宋体" w:hAnsi="宋体" w:cs="宋体" w:eastAsia="宋体" w:hint="default"/>
        </w:rPr>
        <w:t>[</w:t>
      </w:r>
      <w:r>
        <w:rPr/>
        <w:t>可行权职工人数变动</w:t>
      </w:r>
      <w:r>
        <w:rPr>
          <w:rFonts w:ascii="宋体" w:hAnsi="宋体" w:cs="宋体" w:eastAsia="宋体" w:hint="default"/>
        </w:rPr>
        <w:t>] </w:t>
      </w:r>
      <w:r>
        <w:rPr>
          <w:spacing w:val="-2"/>
        </w:rPr>
        <w:t>、</w:t>
      </w:r>
      <w:r>
        <w:rPr>
          <w:rFonts w:ascii="宋体" w:hAnsi="宋体" w:cs="宋体" w:eastAsia="宋体" w:hint="default"/>
          <w:spacing w:val="-2"/>
        </w:rPr>
        <w:t>[</w:t>
      </w:r>
      <w:r>
        <w:rPr>
          <w:spacing w:val="-2"/>
        </w:rPr>
        <w:t>是否达到规定业绩条件</w:t>
      </w:r>
      <w:r>
        <w:rPr>
          <w:rFonts w:ascii="宋体" w:hAnsi="宋体" w:cs="宋体" w:eastAsia="宋体" w:hint="default"/>
          <w:spacing w:val="-2"/>
        </w:rPr>
        <w:t>]</w:t>
      </w:r>
      <w:r>
        <w:rPr>
          <w:spacing w:val="-2"/>
        </w:rPr>
        <w:t>等后续信息对可行权权益工具数量作出最佳估计，以此为基础，</w:t>
      </w:r>
      <w:r>
        <w:rPr/>
        <w:t> </w:t>
      </w:r>
      <w:r>
        <w:rPr>
          <w:spacing w:val="-2"/>
        </w:rPr>
        <w:t>按照授予日的公允价值，将当期取得的服务计入相关成本或费用，相应增加资本公积。在可行权日之后不再对已确认的相关</w:t>
      </w:r>
      <w:r>
        <w:rPr>
          <w:spacing w:val="-66"/>
        </w:rPr>
        <w:t> </w:t>
      </w:r>
      <w:r>
        <w:rPr>
          <w:spacing w:val="-66"/>
        </w:rPr>
      </w:r>
      <w:r>
        <w:rPr>
          <w:spacing w:val="-2"/>
        </w:rPr>
        <w:t>成本或费用和所有者权益总额进行调整。但授予后立即可行权的，在授予日按照公允价值计入相关成本或费用，相应增加资</w:t>
      </w:r>
      <w:r>
        <w:rPr>
          <w:spacing w:val="-66"/>
        </w:rPr>
        <w:t> </w:t>
      </w:r>
      <w:r>
        <w:rPr>
          <w:spacing w:val="-66"/>
        </w:rPr>
      </w:r>
      <w:r>
        <w:rPr/>
        <w:t>本公积。</w:t>
      </w:r>
    </w:p>
    <w:p>
      <w:pPr>
        <w:pStyle w:val="BodyText"/>
        <w:spacing w:line="477" w:lineRule="auto" w:before="54"/>
        <w:ind w:left="1134" w:right="1152" w:firstLine="420"/>
        <w:jc w:val="left"/>
      </w:pPr>
      <w:r>
        <w:rPr/>
        <w:t>对于最终未能行权的股份支付，不确认成本或费用，除非行权条件是市场条件或非可行权条件，此时无论是否满足市 场条件或非可行权条件，只要满足所有可行权条件中的非市场条件，即视为可行权。</w:t>
      </w:r>
    </w:p>
    <w:p>
      <w:pPr>
        <w:pStyle w:val="BodyText"/>
        <w:spacing w:line="477" w:lineRule="auto" w:before="54"/>
        <w:ind w:right="1153" w:firstLine="420"/>
        <w:jc w:val="left"/>
      </w:pPr>
      <w:r>
        <w:rPr/>
        <w:t>如果修改了以权益结算的股份支付的条款，至少按照未修改条款的情况确认取得的服务。此外，任何增加所授予权益 工具公允价值的修改，或在修改日对职工有利的变更，均确认取得服务的增加。</w:t>
      </w:r>
    </w:p>
    <w:p>
      <w:pPr>
        <w:pStyle w:val="BodyText"/>
        <w:spacing w:line="477" w:lineRule="auto" w:before="54"/>
        <w:ind w:right="1131" w:firstLine="420"/>
        <w:jc w:val="both"/>
      </w:pPr>
      <w:r>
        <w:rPr/>
        <w:t>如果取消了以权益结算的股份支付，则于取消日作为加速行权处理，立即确认尚未确认的金额。职工或其他方能够选 </w:t>
      </w:r>
      <w:r>
        <w:rPr>
          <w:spacing w:val="-2"/>
        </w:rPr>
        <w:t>择满足非可行权条件但在等待期内未满足的，作为取消以权益结算的股份支付处理。但是，如果授予新的权益工具，并在新</w:t>
      </w:r>
      <w:r>
        <w:rPr>
          <w:spacing w:val="-66"/>
        </w:rPr>
        <w:t> </w:t>
      </w:r>
      <w:r>
        <w:rPr>
          <w:spacing w:val="-66"/>
        </w:rPr>
      </w:r>
      <w:r>
        <w:rPr>
          <w:spacing w:val="-2"/>
        </w:rPr>
        <w:t>权益工具授予日认定所授予的新权益工具是用于替代被取消的权益工具的，则以与处理原权益工具条款和条件修改相同的方</w:t>
      </w:r>
      <w:r>
        <w:rPr>
          <w:spacing w:val="-64"/>
        </w:rPr>
        <w:t> </w:t>
      </w:r>
      <w:r>
        <w:rPr>
          <w:spacing w:val="-64"/>
        </w:rPr>
      </w:r>
      <w:r>
        <w:rPr/>
        <w:t>式，对所授予的替代权益工具进行处理。</w:t>
      </w:r>
    </w:p>
    <w:p>
      <w:pPr>
        <w:spacing w:line="240" w:lineRule="auto" w:before="3"/>
        <w:rPr>
          <w:rFonts w:ascii="宋体" w:hAnsi="宋体" w:cs="宋体" w:eastAsia="宋体" w:hint="default"/>
          <w:sz w:val="21"/>
          <w:szCs w:val="21"/>
        </w:rPr>
      </w:pPr>
    </w:p>
    <w:p>
      <w:pPr>
        <w:pStyle w:val="Heading4"/>
        <w:spacing w:line="240" w:lineRule="auto"/>
        <w:ind w:left="1133" w:right="0"/>
        <w:jc w:val="left"/>
        <w:rPr>
          <w:b w:val="0"/>
          <w:bCs w:val="0"/>
        </w:rPr>
      </w:pPr>
      <w:bookmarkStart w:name="25、优先股、永续债等其他金融工具" w:id="202"/>
      <w:bookmarkEnd w:id="202"/>
      <w:r>
        <w:rPr>
          <w:b w:val="0"/>
          <w:bCs w:val="0"/>
        </w:rPr>
      </w:r>
      <w:r>
        <w:rPr>
          <w:rFonts w:ascii="Times New Roman" w:hAnsi="Times New Roman" w:cs="Times New Roman" w:eastAsia="Times New Roman" w:hint="default"/>
        </w:rPr>
        <w:t>25</w:t>
      </w:r>
      <w:r>
        <w:rPr/>
        <w:t>、优先股、永续债等其他金融工具</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8"/>
        <w:ind w:left="1133" w:right="0"/>
        <w:jc w:val="left"/>
        <w:rPr>
          <w:b w:val="0"/>
          <w:bCs w:val="0"/>
        </w:rPr>
      </w:pPr>
      <w:bookmarkStart w:name="26、收入" w:id="203"/>
      <w:bookmarkEnd w:id="203"/>
      <w:r>
        <w:rPr>
          <w:b w:val="0"/>
          <w:bCs w:val="0"/>
        </w:rPr>
      </w:r>
      <w:r>
        <w:rPr>
          <w:rFonts w:ascii="Times New Roman" w:hAnsi="Times New Roman" w:cs="Times New Roman" w:eastAsia="Times New Roman" w:hint="default"/>
        </w:rPr>
        <w:t>26</w:t>
      </w:r>
      <w:r>
        <w:rPr/>
        <w:t>、收入</w:t>
      </w:r>
      <w:r>
        <w:rPr>
          <w:b w:val="0"/>
          <w:bCs w:val="0"/>
        </w:rPr>
      </w:r>
    </w:p>
    <w:p>
      <w:pPr>
        <w:spacing w:line="240" w:lineRule="auto" w:before="0"/>
        <w:rPr>
          <w:rFonts w:ascii="宋体" w:hAnsi="宋体" w:cs="宋体" w:eastAsia="宋体" w:hint="default"/>
          <w:b/>
          <w:bCs/>
          <w:sz w:val="18"/>
          <w:szCs w:val="18"/>
        </w:rPr>
      </w:pPr>
    </w:p>
    <w:p>
      <w:pPr>
        <w:pStyle w:val="BodyText"/>
        <w:spacing w:line="357" w:lineRule="auto" w:before="128"/>
        <w:ind w:left="1134" w:right="7692"/>
        <w:jc w:val="left"/>
      </w:pPr>
      <w:r>
        <w:rPr/>
        <w:t>公司是否需要遵守特殊行业的披露要求 否</w:t>
      </w:r>
    </w:p>
    <w:p>
      <w:pPr>
        <w:pStyle w:val="BodyText"/>
        <w:spacing w:line="240" w:lineRule="auto" w:before="28"/>
        <w:ind w:left="1640" w:right="0"/>
        <w:jc w:val="left"/>
      </w:pPr>
      <w:r>
        <w:rPr>
          <w:rFonts w:ascii="Times New Roman" w:hAnsi="Times New Roman" w:cs="Times New Roman" w:eastAsia="Times New Roman" w:hint="default"/>
        </w:rPr>
        <w:t>1</w:t>
      </w:r>
      <w:r>
        <w:rPr/>
        <w:t>、销售商品收入确认和计量原则</w:t>
      </w:r>
    </w:p>
    <w:p>
      <w:pPr>
        <w:pStyle w:val="BodyText"/>
        <w:spacing w:line="451" w:lineRule="auto" w:before="141"/>
        <w:ind w:left="1494" w:right="0"/>
        <w:jc w:val="left"/>
      </w:pPr>
      <w:r>
        <w:rPr>
          <w:rFonts w:ascii="Times New Roman" w:hAnsi="Times New Roman" w:cs="Times New Roman" w:eastAsia="Times New Roman" w:hint="default"/>
        </w:rPr>
        <w:t>( 1</w:t>
      </w:r>
      <w:r>
        <w:rPr/>
        <w:t>）销售商品收入确认和计量的总体原则：</w:t>
      </w:r>
      <w:r>
        <w:rPr>
          <w:w w:val="99"/>
        </w:rPr>
        <w:t> </w:t>
      </w:r>
      <w:r>
        <w:rPr>
          <w:spacing w:val="-2"/>
        </w:rPr>
        <w:t>公司已将商品所有权上的主要风险和报酬转移给购买方；公司既没有保留与所有权相联系的继续管理权，也没有对已售</w:t>
      </w:r>
    </w:p>
    <w:p>
      <w:pPr>
        <w:pStyle w:val="BodyText"/>
        <w:spacing w:line="477" w:lineRule="auto" w:before="74"/>
        <w:ind w:left="1134" w:right="0"/>
        <w:jc w:val="left"/>
      </w:pPr>
      <w:r>
        <w:rPr>
          <w:spacing w:val="-2"/>
        </w:rPr>
        <w:t>出的商品实施有效控制；收入的金额能够可靠地计量；相关的经济利益很可能流入企业；相关的已发生或将发生的成本能够</w:t>
      </w:r>
      <w:r>
        <w:rPr>
          <w:spacing w:val="-66"/>
        </w:rPr>
        <w:t> </w:t>
      </w:r>
      <w:r>
        <w:rPr>
          <w:spacing w:val="-66"/>
        </w:rPr>
      </w:r>
      <w:r>
        <w:rPr/>
        <w:t>可靠地计量时，确认商品销售收入实现。</w:t>
      </w:r>
    </w:p>
    <w:p>
      <w:pPr>
        <w:pStyle w:val="BodyText"/>
        <w:spacing w:line="451" w:lineRule="auto" w:before="54"/>
        <w:ind w:left="1493" w:right="0"/>
        <w:jc w:val="left"/>
      </w:pPr>
      <w:r>
        <w:rPr/>
        <w:t>（</w:t>
      </w:r>
      <w:r>
        <w:rPr>
          <w:rFonts w:ascii="Times New Roman" w:hAnsi="Times New Roman" w:cs="Times New Roman" w:eastAsia="Times New Roman" w:hint="default"/>
        </w:rPr>
        <w:t>2</w:t>
      </w:r>
      <w:r>
        <w:rPr/>
        <w:t>）本公司销售商品收入确认的确认标准及收入确认时间的具体判断标准 </w:t>
      </w:r>
      <w:r>
        <w:rPr>
          <w:spacing w:val="-2"/>
        </w:rPr>
        <w:t>本公司销售商品收入主要有工业生产型物流系统、商业配送型物流系统、自动化物流系统备品备件和托盘梗箱收入，收</w:t>
      </w:r>
    </w:p>
    <w:p>
      <w:pPr>
        <w:pStyle w:val="BodyText"/>
        <w:spacing w:line="240" w:lineRule="auto" w:before="74"/>
        <w:ind w:right="0"/>
        <w:jc w:val="left"/>
      </w:pPr>
      <w:r>
        <w:rPr/>
        <w:t>入的具体确认原则为：</w:t>
      </w:r>
    </w:p>
    <w:p>
      <w:pPr>
        <w:spacing w:line="240" w:lineRule="auto" w:before="10"/>
        <w:rPr>
          <w:rFonts w:ascii="宋体" w:hAnsi="宋体" w:cs="宋体" w:eastAsia="宋体" w:hint="default"/>
          <w:sz w:val="17"/>
          <w:szCs w:val="17"/>
        </w:rPr>
      </w:pPr>
    </w:p>
    <w:p>
      <w:pPr>
        <w:pStyle w:val="BodyText"/>
        <w:spacing w:line="240" w:lineRule="auto"/>
        <w:ind w:left="1493" w:right="0"/>
        <w:jc w:val="left"/>
      </w:pPr>
      <w:r>
        <w:rPr/>
        <w:t>①工业业生产型物流系统</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left="1239" w:right="0" w:firstLine="360"/>
        <w:jc w:val="left"/>
      </w:pPr>
      <w:r>
        <w:rPr>
          <w:spacing w:val="-1"/>
        </w:rPr>
        <w:t>系统已按合同和技术协议的要求全部安装调试到位，并取得了购货方的初验证明，该物流系统已交付购货方进入商业</w:t>
      </w:r>
      <w:r>
        <w:rPr/>
        <w:t> 运行时，予以确认收入。</w:t>
      </w:r>
    </w:p>
    <w:p>
      <w:pPr>
        <w:pStyle w:val="BodyText"/>
        <w:spacing w:line="477" w:lineRule="auto" w:before="54"/>
        <w:ind w:left="1493" w:right="0"/>
        <w:jc w:val="left"/>
      </w:pPr>
      <w:r>
        <w:rPr/>
        <w:t>②商业配送型物流系统 </w:t>
      </w:r>
      <w:r>
        <w:rPr>
          <w:spacing w:val="-2"/>
        </w:rPr>
        <w:t>系统已按合同和技术协议的要求全部安装调试到位，并取得了购货方的验收证明，该物流系统已交付购货方进入商业运</w:t>
      </w:r>
    </w:p>
    <w:p>
      <w:pPr>
        <w:pStyle w:val="BodyText"/>
        <w:spacing w:line="240" w:lineRule="auto" w:before="54"/>
        <w:ind w:right="0"/>
        <w:jc w:val="both"/>
      </w:pPr>
      <w:r>
        <w:rPr/>
        <w:t>行时，予以确认收入。</w:t>
      </w:r>
    </w:p>
    <w:p>
      <w:pPr>
        <w:spacing w:line="240" w:lineRule="auto" w:before="10"/>
        <w:rPr>
          <w:rFonts w:ascii="宋体" w:hAnsi="宋体" w:cs="宋体" w:eastAsia="宋体" w:hint="default"/>
          <w:sz w:val="17"/>
          <w:szCs w:val="17"/>
        </w:rPr>
      </w:pPr>
    </w:p>
    <w:p>
      <w:pPr>
        <w:pStyle w:val="BodyText"/>
        <w:spacing w:line="477" w:lineRule="auto"/>
        <w:ind w:left="1493" w:right="1033"/>
        <w:jc w:val="left"/>
      </w:pPr>
      <w:r>
        <w:rPr/>
        <w:t>③自动化物流系统备品备件 自动化物流系统备品、备件在产品已经发出并经购货方验收确认，收到价款或取得收取款项的证据时，予以确认收入。</w:t>
      </w:r>
    </w:p>
    <w:p>
      <w:pPr>
        <w:pStyle w:val="BodyText"/>
        <w:spacing w:line="477" w:lineRule="auto" w:before="54"/>
        <w:ind w:left="1493" w:right="1118"/>
        <w:jc w:val="left"/>
      </w:pPr>
      <w:r>
        <w:rPr/>
        <w:t>④托盘梗箱 </w:t>
      </w:r>
      <w:r>
        <w:rPr>
          <w:spacing w:val="-2"/>
        </w:rPr>
        <w:t>本公司托盘梗箱在已签订销售合同、产品已经发出并经购货方验收确认，收到价款或取得收取款项的证据时，予以确认</w:t>
      </w:r>
    </w:p>
    <w:p>
      <w:pPr>
        <w:pStyle w:val="BodyText"/>
        <w:spacing w:line="240" w:lineRule="auto" w:before="54"/>
        <w:ind w:right="0"/>
        <w:jc w:val="both"/>
      </w:pPr>
      <w:r>
        <w:rPr/>
        <w:t>收入。</w:t>
      </w:r>
    </w:p>
    <w:p>
      <w:pPr>
        <w:spacing w:line="240" w:lineRule="auto" w:before="10"/>
        <w:rPr>
          <w:rFonts w:ascii="宋体" w:hAnsi="宋体" w:cs="宋体" w:eastAsia="宋体" w:hint="default"/>
          <w:sz w:val="17"/>
          <w:szCs w:val="17"/>
        </w:rPr>
      </w:pPr>
    </w:p>
    <w:p>
      <w:pPr>
        <w:pStyle w:val="BodyText"/>
        <w:spacing w:line="451" w:lineRule="auto"/>
        <w:ind w:left="1494" w:right="0"/>
        <w:jc w:val="left"/>
      </w:pPr>
      <w:r>
        <w:rPr/>
        <w:t>（</w:t>
      </w:r>
      <w:r>
        <w:rPr>
          <w:rFonts w:ascii="Times New Roman" w:hAnsi="Times New Roman" w:cs="Times New Roman" w:eastAsia="Times New Roman" w:hint="default"/>
        </w:rPr>
        <w:t>3</w:t>
      </w:r>
      <w:r>
        <w:rPr/>
        <w:t>）关于本公司销售商品收入相应的业务特点分析和介绍 </w:t>
      </w:r>
      <w:r>
        <w:rPr>
          <w:spacing w:val="-2"/>
        </w:rPr>
        <w:t>本公司作为一家自动化物流系统综合解决方案提供商，自动化物流系统是公司的核心产品及收入的主要来源。自动化物</w:t>
      </w:r>
    </w:p>
    <w:p>
      <w:pPr>
        <w:pStyle w:val="BodyText"/>
        <w:spacing w:line="477" w:lineRule="auto" w:before="74"/>
        <w:ind w:left="1134" w:right="1133"/>
        <w:jc w:val="both"/>
      </w:pPr>
      <w:r>
        <w:rPr>
          <w:spacing w:val="-2"/>
        </w:rPr>
        <w:t>流系统系对各种物流软硬件设备进行安装调试后的非标准化产品，该系统具有定制化、个性化等特点，只有整个自动化物流</w:t>
      </w:r>
      <w:r>
        <w:rPr>
          <w:spacing w:val="-66"/>
        </w:rPr>
        <w:t> </w:t>
      </w:r>
      <w:r>
        <w:rPr>
          <w:spacing w:val="-66"/>
        </w:rPr>
      </w:r>
      <w:r>
        <w:rPr>
          <w:spacing w:val="-2"/>
        </w:rPr>
        <w:t>系统全部安装调试完毕且具备较稳定运行能力时，才能投入商业运行。该物流系统投入商业运行时，客户会组织相关部门进</w:t>
      </w:r>
      <w:r>
        <w:rPr>
          <w:spacing w:val="-66"/>
        </w:rPr>
        <w:t> </w:t>
      </w:r>
      <w:r>
        <w:rPr>
          <w:spacing w:val="-66"/>
        </w:rPr>
      </w:r>
      <w:r>
        <w:rPr>
          <w:spacing w:val="-2"/>
        </w:rPr>
        <w:t>行初验并签署相关证明文件。在系统投入商业运行至终验阶段，公司为客户提供系统维护及现场操作指导等后续服务，发生</w:t>
      </w:r>
      <w:r>
        <w:rPr>
          <w:spacing w:val="-66"/>
        </w:rPr>
        <w:t> </w:t>
      </w:r>
      <w:r>
        <w:rPr>
          <w:spacing w:val="-66"/>
        </w:rPr>
      </w:r>
      <w:r>
        <w:rPr/>
        <w:t>的支出很少。</w:t>
      </w:r>
    </w:p>
    <w:p>
      <w:pPr>
        <w:pStyle w:val="BodyText"/>
        <w:spacing w:line="451" w:lineRule="auto" w:before="54"/>
        <w:ind w:left="1493" w:right="5533"/>
        <w:jc w:val="left"/>
      </w:pPr>
      <w:r>
        <w:rPr>
          <w:rFonts w:ascii="Times New Roman" w:hAnsi="Times New Roman" w:cs="Times New Roman" w:eastAsia="Times New Roman" w:hint="default"/>
        </w:rPr>
        <w:t>2</w:t>
      </w:r>
      <w:r>
        <w:rPr/>
        <w:t>、提供技术服务收入确认和计量原则 本公司提供技术服务主要是自动化物流系统的运营维护服务。</w:t>
      </w:r>
    </w:p>
    <w:p>
      <w:pPr>
        <w:pStyle w:val="BodyText"/>
        <w:spacing w:line="477" w:lineRule="auto" w:before="74"/>
        <w:ind w:left="1134" w:right="1132" w:firstLine="360"/>
        <w:jc w:val="both"/>
      </w:pPr>
      <w:r>
        <w:rPr>
          <w:spacing w:val="-2"/>
        </w:rPr>
        <w:t>公司在已根据签订的技术服务合同内容约定提供了相应服务；收到价款或取得收取款项的证据；相关成本能够可靠地计</w:t>
      </w:r>
      <w:r>
        <w:rPr/>
        <w:t> </w:t>
      </w:r>
      <w:r>
        <w:rPr>
          <w:spacing w:val="-2"/>
        </w:rPr>
        <w:t>量时，予以确认收入。合同明确约定服务成果需提交设备维护报告书并经客户验收确认的，在取得经客户验收确认后的设备</w:t>
      </w:r>
      <w:r>
        <w:rPr>
          <w:spacing w:val="-66"/>
        </w:rPr>
        <w:t> </w:t>
      </w:r>
      <w:r>
        <w:rPr>
          <w:spacing w:val="-66"/>
        </w:rPr>
      </w:r>
      <w:r>
        <w:rPr/>
        <w:t>维护报告书时确认收入。</w:t>
      </w:r>
    </w:p>
    <w:p>
      <w:pPr>
        <w:pStyle w:val="BodyText"/>
        <w:spacing w:line="463" w:lineRule="auto" w:before="54"/>
        <w:ind w:left="1494" w:right="1032"/>
        <w:jc w:val="left"/>
      </w:pPr>
      <w:r>
        <w:rPr/>
        <w:t>合同明确约定服务期限的，在合同约定的服务期限内，按提供服务的进度或次数分期确认收入。 </w:t>
      </w:r>
      <w:r>
        <w:rPr>
          <w:rFonts w:ascii="Times New Roman" w:hAnsi="Times New Roman" w:cs="Times New Roman" w:eastAsia="Times New Roman" w:hint="default"/>
        </w:rPr>
        <w:t>3</w:t>
      </w:r>
      <w:r>
        <w:rPr/>
        <w:t>、让渡资产使用权收入确认和计量原则 与交易相关的经济利益很可能流入企业，收入的金额能够可靠地计量时。分别下列情况确定让渡资产使用权收入金额：</w:t>
      </w:r>
    </w:p>
    <w:p>
      <w:pPr>
        <w:pStyle w:val="BodyText"/>
        <w:spacing w:line="240" w:lineRule="auto" w:before="65"/>
        <w:ind w:left="1494" w:right="0"/>
        <w:jc w:val="left"/>
      </w:pPr>
      <w:r>
        <w:rPr/>
        <w:t>（</w:t>
      </w:r>
      <w:r>
        <w:rPr>
          <w:rFonts w:ascii="Times New Roman" w:hAnsi="Times New Roman" w:cs="Times New Roman" w:eastAsia="Times New Roman" w:hint="default"/>
        </w:rPr>
        <w:t>1</w:t>
      </w:r>
      <w:r>
        <w:rPr/>
        <w:t>）利息收入金额，按照他人使用本企业货币资金的时间和实际利率计算确定。</w:t>
      </w:r>
    </w:p>
    <w:p>
      <w:pPr>
        <w:spacing w:line="240" w:lineRule="auto" w:before="9"/>
        <w:rPr>
          <w:rFonts w:ascii="宋体" w:hAnsi="宋体" w:cs="宋体" w:eastAsia="宋体" w:hint="default"/>
          <w:sz w:val="16"/>
          <w:szCs w:val="16"/>
        </w:rPr>
      </w:pPr>
    </w:p>
    <w:p>
      <w:pPr>
        <w:pStyle w:val="BodyText"/>
        <w:spacing w:line="240" w:lineRule="auto"/>
        <w:ind w:left="1493" w:right="0"/>
        <w:jc w:val="left"/>
      </w:pPr>
      <w:r>
        <w:rPr/>
        <w:t>（</w:t>
      </w:r>
      <w:r>
        <w:rPr>
          <w:rFonts w:ascii="Times New Roman" w:hAnsi="Times New Roman" w:cs="Times New Roman" w:eastAsia="Times New Roman" w:hint="default"/>
        </w:rPr>
        <w:t>2</w:t>
      </w:r>
      <w:r>
        <w:rPr/>
        <w:t>）使用费收入金额，按照有关合同或协议约定的收费时间和方法计算确定。</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4"/>
        <w:spacing w:line="240" w:lineRule="auto"/>
        <w:ind w:left="1495" w:right="0"/>
        <w:jc w:val="left"/>
        <w:rPr>
          <w:b w:val="0"/>
          <w:bCs w:val="0"/>
        </w:rPr>
      </w:pPr>
      <w:bookmarkStart w:name="27、政府补助" w:id="204"/>
      <w:bookmarkEnd w:id="204"/>
      <w:r>
        <w:rPr>
          <w:b w:val="0"/>
          <w:bCs w:val="0"/>
        </w:rPr>
      </w:r>
      <w:r>
        <w:rPr>
          <w:rFonts w:ascii="Times New Roman" w:hAnsi="Times New Roman" w:cs="Times New Roman" w:eastAsia="Times New Roman" w:hint="default"/>
        </w:rPr>
        <w:t>27</w:t>
      </w:r>
      <w:r>
        <w:rPr/>
        <w:t>、政府补助</w:t>
      </w:r>
      <w:r>
        <w:rPr>
          <w:b w:val="0"/>
          <w:bCs w:val="0"/>
        </w:rPr>
      </w: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21"/>
          <w:szCs w:val="21"/>
        </w:rPr>
      </w:pPr>
    </w:p>
    <w:p>
      <w:pPr>
        <w:pStyle w:val="Heading4"/>
        <w:spacing w:line="240" w:lineRule="auto"/>
        <w:ind w:left="1495" w:right="0"/>
        <w:jc w:val="left"/>
        <w:rPr>
          <w:b w:val="0"/>
          <w:bCs w:val="0"/>
        </w:rPr>
      </w:pPr>
      <w:bookmarkStart w:name="（1）与资产相关的政府补助判断依据及会计处理方法" w:id="205"/>
      <w:bookmarkEnd w:id="205"/>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21"/>
          <w:szCs w:val="21"/>
        </w:rPr>
      </w:pPr>
    </w:p>
    <w:p>
      <w:pPr>
        <w:pStyle w:val="BodyText"/>
        <w:spacing w:line="477" w:lineRule="auto"/>
        <w:ind w:right="0" w:firstLine="360"/>
        <w:jc w:val="left"/>
      </w:pPr>
      <w:r>
        <w:rPr>
          <w:spacing w:val="-4"/>
        </w:rPr>
        <w:t>与资产相关的政府补助，是指本公司取得的、用于购建或以其他方式形成长期资产的政府补助。与收益相关的政府补助，</w:t>
      </w:r>
      <w:r>
        <w:rPr/>
        <w:t> 是指除与资产相关的政府补助之外的政府补助。</w:t>
      </w:r>
    </w:p>
    <w:p>
      <w:pPr>
        <w:pStyle w:val="BodyText"/>
        <w:spacing w:line="477" w:lineRule="auto" w:before="54"/>
        <w:ind w:left="1493" w:right="0"/>
        <w:jc w:val="left"/>
      </w:pPr>
      <w:r>
        <w:rPr/>
        <w:t>本公司将政府补助划分为与资产相关的具体标准为：企业取得的用于购建或以其他方式形成长期资产的政府补助。 </w:t>
      </w:r>
      <w:r>
        <w:rPr>
          <w:spacing w:val="-2"/>
        </w:rPr>
        <w:t>对于政府文件未明确规定补助对象的，本公司将该政府补助划分为与资产相关或与收益相关的判断依据为：是否用于购</w:t>
      </w:r>
    </w:p>
    <w:p>
      <w:pPr>
        <w:pStyle w:val="BodyText"/>
        <w:spacing w:line="477" w:lineRule="auto" w:before="54"/>
        <w:ind w:left="1493" w:right="0" w:hanging="360"/>
        <w:jc w:val="left"/>
      </w:pPr>
      <w:r>
        <w:rPr/>
        <w:t>建或以其他方式形成长期资产。 </w:t>
      </w:r>
      <w:r>
        <w:rPr>
          <w:spacing w:val="-2"/>
        </w:rPr>
        <w:t>与资产相关的政府补助，冲减相关资产账面价值或确认为递延收益。确认为递延收益的，在相关资产使用寿命内按照合</w:t>
      </w:r>
    </w:p>
    <w:p>
      <w:pPr>
        <w:pStyle w:val="BodyText"/>
        <w:spacing w:line="240" w:lineRule="auto" w:before="54"/>
        <w:ind w:right="0"/>
        <w:jc w:val="left"/>
      </w:pPr>
      <w:r>
        <w:rPr>
          <w:spacing w:val="-7"/>
        </w:rPr>
        <w:t>理、系统的方法分期计入当期损益（与本公司日常活动相关的，计入其他收益；与本公司日常活动无关的，计入营业外收入）；</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2"/>
          <w:szCs w:val="22"/>
        </w:rPr>
      </w:pPr>
    </w:p>
    <w:p>
      <w:pPr>
        <w:pStyle w:val="Heading4"/>
        <w:spacing w:line="240" w:lineRule="auto"/>
        <w:ind w:left="1495" w:right="0"/>
        <w:jc w:val="left"/>
        <w:rPr>
          <w:b w:val="0"/>
          <w:bCs w:val="0"/>
        </w:rPr>
      </w:pPr>
      <w:bookmarkStart w:name="（2）与收益相关的政府补助判断依据及会计处理方法" w:id="206"/>
      <w:bookmarkEnd w:id="206"/>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21"/>
          <w:szCs w:val="21"/>
        </w:rPr>
      </w:pPr>
    </w:p>
    <w:p>
      <w:pPr>
        <w:pStyle w:val="BodyText"/>
        <w:spacing w:line="477" w:lineRule="auto"/>
        <w:ind w:left="1493" w:right="0"/>
        <w:jc w:val="left"/>
      </w:pPr>
      <w:r>
        <w:rPr/>
        <w:t>与收益相关的政府补助，是指除与资产相关的政府补助之外的政府补助。 本公司将政府补助划分为与收益相关的具体标准为：除与资产相关的政府补助之外的政府补助。 </w:t>
      </w:r>
      <w:r>
        <w:rPr>
          <w:spacing w:val="-2"/>
        </w:rPr>
        <w:t>对于政府文件未明确规定补助对象的，本公司将该政府补助划分为与资产相关或与收益相关的判断依据为：是否用于购</w:t>
      </w:r>
    </w:p>
    <w:p>
      <w:pPr>
        <w:pStyle w:val="BodyText"/>
        <w:spacing w:line="477" w:lineRule="auto" w:before="54"/>
        <w:ind w:left="1493" w:right="0" w:hanging="360"/>
        <w:jc w:val="left"/>
      </w:pPr>
      <w:r>
        <w:rPr/>
        <w:t>建或以其他方式形成长期资产。 </w:t>
      </w:r>
      <w:r>
        <w:rPr>
          <w:spacing w:val="-2"/>
        </w:rPr>
        <w:t>与收益相关的政府补助，用于补偿本公司以后期间的相关成本费用或损失的，确认为递延收益，并在确认相关成本费用</w:t>
      </w:r>
    </w:p>
    <w:p>
      <w:pPr>
        <w:pStyle w:val="BodyText"/>
        <w:spacing w:line="477" w:lineRule="auto" w:before="54"/>
        <w:ind w:right="0"/>
        <w:jc w:val="left"/>
      </w:pPr>
      <w:r>
        <w:rPr>
          <w:spacing w:val="-2"/>
        </w:rPr>
        <w:t>或损失的期间，计入当期损益（与本公司日常活动相关的，计入其他收益；与本公司日常活动无关的，计入营业外收入）或</w:t>
      </w:r>
      <w:r>
        <w:rPr>
          <w:spacing w:val="-67"/>
        </w:rPr>
        <w:t> </w:t>
      </w:r>
      <w:r>
        <w:rPr>
          <w:spacing w:val="-67"/>
        </w:rPr>
      </w:r>
      <w:r>
        <w:rPr>
          <w:spacing w:val="-4"/>
        </w:rPr>
        <w:t>冲减相关成本费用或损失；用于补偿本公司已发生的相关成本费用或损失的，直接计入当期损益（与本公司日常活动相关的，</w:t>
      </w:r>
      <w:r>
        <w:rPr>
          <w:spacing w:val="-44"/>
        </w:rPr>
        <w:t> </w:t>
      </w:r>
      <w:r>
        <w:rPr>
          <w:spacing w:val="-44"/>
        </w:rPr>
      </w:r>
      <w:r>
        <w:rPr/>
        <w:t>计入其他收益；与本公司日常活动无关的，计入营业外收入）或冲减相关成本费用或损失。</w:t>
      </w:r>
    </w:p>
    <w:p>
      <w:pPr>
        <w:pStyle w:val="BodyText"/>
        <w:spacing w:line="240" w:lineRule="auto" w:before="54"/>
        <w:ind w:left="1493" w:right="0"/>
        <w:jc w:val="left"/>
      </w:pPr>
      <w:r>
        <w:rPr/>
        <w:t>本公司取得的政策性优惠贷款贴息，区分以下两种情况，分别进行会计处理：</w:t>
      </w:r>
    </w:p>
    <w:p>
      <w:pPr>
        <w:spacing w:line="240" w:lineRule="auto" w:before="10"/>
        <w:rPr>
          <w:rFonts w:ascii="宋体" w:hAnsi="宋体" w:cs="宋体" w:eastAsia="宋体" w:hint="default"/>
          <w:sz w:val="17"/>
          <w:szCs w:val="17"/>
        </w:rPr>
      </w:pPr>
    </w:p>
    <w:p>
      <w:pPr>
        <w:pStyle w:val="BodyText"/>
        <w:spacing w:line="451" w:lineRule="auto"/>
        <w:ind w:left="1134" w:right="1122" w:firstLine="360"/>
        <w:jc w:val="left"/>
      </w:pPr>
      <w:r>
        <w:rPr/>
        <w:t>（</w:t>
      </w:r>
      <w:r>
        <w:rPr>
          <w:rFonts w:ascii="Times New Roman" w:hAnsi="Times New Roman" w:cs="Times New Roman" w:eastAsia="Times New Roman" w:hint="default"/>
        </w:rPr>
        <w:t>1</w:t>
      </w:r>
      <w:r>
        <w:rPr/>
        <w:t>）财政将贴息资金拨付给贷款银行，由贷款银行以政策性优惠利率向本公司提供贷款的，本公司以实际收到的借款 金额作为借款的入账价值，按照借款本金和该政策性优惠利率计算相关借款费用。</w:t>
      </w:r>
    </w:p>
    <w:p>
      <w:pPr>
        <w:pStyle w:val="BodyText"/>
        <w:spacing w:line="240" w:lineRule="auto" w:before="74"/>
        <w:ind w:left="1567" w:right="0"/>
        <w:jc w:val="left"/>
      </w:pPr>
      <w:r>
        <w:rPr/>
        <w:t>（</w:t>
      </w:r>
      <w:r>
        <w:rPr>
          <w:rFonts w:ascii="Times New Roman" w:hAnsi="Times New Roman" w:cs="Times New Roman" w:eastAsia="Times New Roman" w:hint="default"/>
        </w:rPr>
        <w:t>2</w:t>
      </w:r>
      <w:r>
        <w:rPr/>
        <w:t>）财政将贴息资金直接拨付给本公司的，本公司将对应的贴息冲减相关借款费用。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Heading4"/>
        <w:spacing w:line="240" w:lineRule="auto"/>
        <w:ind w:left="1495" w:right="0"/>
        <w:jc w:val="left"/>
        <w:rPr>
          <w:b w:val="0"/>
          <w:bCs w:val="0"/>
        </w:rPr>
      </w:pPr>
      <w:bookmarkStart w:name="28、递延所得税资产/递延所得税负债" w:id="207"/>
      <w:bookmarkEnd w:id="207"/>
      <w:r>
        <w:rPr>
          <w:b w:val="0"/>
          <w:bCs w:val="0"/>
        </w:rPr>
      </w:r>
      <w:r>
        <w:rPr>
          <w:rFonts w:ascii="Times New Roman" w:hAnsi="Times New Roman" w:cs="Times New Roman" w:eastAsia="Times New Roman" w:hint="default"/>
        </w:rPr>
        <w:t>28</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21"/>
          <w:szCs w:val="21"/>
        </w:rPr>
      </w:pPr>
    </w:p>
    <w:p>
      <w:pPr>
        <w:pStyle w:val="BodyText"/>
        <w:spacing w:line="477" w:lineRule="auto"/>
        <w:ind w:right="0" w:firstLine="360"/>
        <w:jc w:val="left"/>
      </w:pPr>
      <w:r>
        <w:rPr/>
        <w:t>对于可抵扣暂时性差异确认递延所得税资产，以未来期间很可能取得的用来抵扣可抵扣暂时性差异的应纳税所得额为 </w:t>
      </w:r>
      <w:r>
        <w:rPr>
          <w:spacing w:val="-2"/>
        </w:rPr>
        <w:t>限。对于能够结转以后年度的可抵扣亏损和税款抵减，以很可能获得用来抵扣可抵扣亏损和税款抵减的未来应纳税所得额为</w:t>
      </w:r>
      <w:r>
        <w:rPr>
          <w:spacing w:val="-64"/>
        </w:rPr>
        <w:t> </w:t>
      </w:r>
      <w:r>
        <w:rPr>
          <w:spacing w:val="-64"/>
        </w:rPr>
      </w:r>
      <w:r>
        <w:rPr/>
        <w:t>限，确认相应的递延所得税资产。</w:t>
      </w:r>
    </w:p>
    <w:p>
      <w:pPr>
        <w:spacing w:after="0" w:line="477"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left="1493" w:right="0"/>
        <w:jc w:val="left"/>
      </w:pPr>
      <w:r>
        <w:rPr/>
        <w:t>对于应纳税暂时性差异，除特殊情况外，确认递延所得税负债。 </w:t>
      </w:r>
      <w:r>
        <w:rPr>
          <w:spacing w:val="-2"/>
        </w:rPr>
        <w:t>不确认递延所得税资产或递延所得税负债的特殊情况包括：商誉的初始确认；除企业合并以外的发生时既不影响会计利</w:t>
      </w:r>
    </w:p>
    <w:p>
      <w:pPr>
        <w:pStyle w:val="BodyText"/>
        <w:spacing w:line="477" w:lineRule="auto" w:before="54"/>
        <w:ind w:left="1493" w:right="0" w:hanging="360"/>
        <w:jc w:val="left"/>
      </w:pPr>
      <w:r>
        <w:rPr/>
        <w:t>润也不影响应纳税所得额（或可抵扣亏损）的其他交易或事项。 </w:t>
      </w:r>
      <w:r>
        <w:rPr>
          <w:spacing w:val="-2"/>
        </w:rPr>
        <w:t>当拥有以净额结算的法定权利，且意图以净额结算或取得资产、清偿负债同时进行时，当期所得税资产及当期所得税负</w:t>
      </w:r>
    </w:p>
    <w:p>
      <w:pPr>
        <w:pStyle w:val="BodyText"/>
        <w:spacing w:line="477" w:lineRule="auto" w:before="54"/>
        <w:ind w:left="1493" w:right="0" w:hanging="360"/>
        <w:jc w:val="left"/>
      </w:pPr>
      <w:r>
        <w:rPr/>
        <w:t>债以抵销后的净额列报。 </w:t>
      </w:r>
      <w:r>
        <w:rPr>
          <w:spacing w:val="-2"/>
        </w:rPr>
        <w:t>当拥有以净额结算当期所得税资产及当期所得税负债的法定权利，且递延所得税资产及递延所得税负债是与同一税收征</w:t>
      </w:r>
    </w:p>
    <w:p>
      <w:pPr>
        <w:pStyle w:val="BodyText"/>
        <w:spacing w:line="477" w:lineRule="auto" w:before="54"/>
        <w:ind w:right="1131"/>
        <w:jc w:val="both"/>
      </w:pPr>
      <w:r>
        <w:rPr>
          <w:spacing w:val="-2"/>
        </w:rPr>
        <w:t>管部门对同一纳税主体征收的所得税相关或者是对不同的纳税主体相关，但在未来每一具有重要性的递延所得税资产及负债</w:t>
      </w:r>
      <w:r>
        <w:rPr>
          <w:spacing w:val="-64"/>
        </w:rPr>
        <w:t> </w:t>
      </w:r>
      <w:r>
        <w:rPr>
          <w:spacing w:val="-64"/>
        </w:rPr>
      </w:r>
      <w:r>
        <w:rPr>
          <w:spacing w:val="-2"/>
        </w:rPr>
        <w:t>转回的期间内，涉及的纳税主体意图以净额结算当期所得税资产和负债或是同时取得资产、清偿负债时，递延所得税资产及</w:t>
      </w:r>
      <w:r>
        <w:rPr>
          <w:spacing w:val="-66"/>
        </w:rPr>
        <w:t> </w:t>
      </w:r>
      <w:r>
        <w:rPr>
          <w:spacing w:val="-66"/>
        </w:rPr>
      </w:r>
      <w:r>
        <w:rPr/>
        <w:t>递延所得税负债以抵销后的净额列报。</w:t>
      </w:r>
    </w:p>
    <w:p>
      <w:pPr>
        <w:spacing w:line="240" w:lineRule="auto" w:before="0"/>
        <w:rPr>
          <w:rFonts w:ascii="宋体" w:hAnsi="宋体" w:cs="宋体" w:eastAsia="宋体" w:hint="default"/>
          <w:sz w:val="18"/>
          <w:szCs w:val="18"/>
        </w:rPr>
      </w:pPr>
    </w:p>
    <w:p>
      <w:pPr>
        <w:pStyle w:val="Heading4"/>
        <w:spacing w:line="240" w:lineRule="auto" w:before="118"/>
        <w:ind w:left="1495" w:right="0"/>
        <w:jc w:val="left"/>
        <w:rPr>
          <w:b w:val="0"/>
          <w:bCs w:val="0"/>
        </w:rPr>
      </w:pPr>
      <w:bookmarkStart w:name="29、租赁" w:id="208"/>
      <w:bookmarkEnd w:id="208"/>
      <w:r>
        <w:rPr>
          <w:b w:val="0"/>
          <w:bCs w:val="0"/>
        </w:rPr>
      </w:r>
      <w:r>
        <w:rPr>
          <w:rFonts w:ascii="Times New Roman" w:hAnsi="Times New Roman" w:cs="Times New Roman" w:eastAsia="Times New Roman" w:hint="default"/>
        </w:rPr>
        <w:t>29</w:t>
      </w:r>
      <w:r>
        <w:rPr/>
        <w:t>、租赁</w:t>
      </w:r>
      <w:r>
        <w:rPr>
          <w:b w:val="0"/>
          <w:bCs w:val="0"/>
        </w:rPr>
      </w: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21"/>
          <w:szCs w:val="21"/>
        </w:rPr>
      </w:pPr>
    </w:p>
    <w:p>
      <w:pPr>
        <w:pStyle w:val="Heading4"/>
        <w:spacing w:line="240" w:lineRule="auto"/>
        <w:ind w:left="1495" w:right="0"/>
        <w:jc w:val="left"/>
        <w:rPr>
          <w:b w:val="0"/>
          <w:bCs w:val="0"/>
        </w:rPr>
      </w:pPr>
      <w:bookmarkStart w:name="（1）经营租赁的会计处理方法" w:id="209"/>
      <w:bookmarkEnd w:id="209"/>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21"/>
          <w:szCs w:val="21"/>
        </w:rPr>
      </w:pPr>
    </w:p>
    <w:p>
      <w:pPr>
        <w:pStyle w:val="Heading4"/>
        <w:spacing w:line="240" w:lineRule="auto"/>
        <w:ind w:left="1495" w:right="0"/>
        <w:jc w:val="left"/>
        <w:rPr>
          <w:b w:val="0"/>
          <w:bCs w:val="0"/>
        </w:rPr>
      </w:pPr>
      <w:bookmarkStart w:name="（2）融资租赁的会计处理方法" w:id="210"/>
      <w:bookmarkEnd w:id="210"/>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21"/>
          <w:szCs w:val="21"/>
        </w:rPr>
      </w:pPr>
    </w:p>
    <w:p>
      <w:pPr>
        <w:pStyle w:val="Heading4"/>
        <w:spacing w:line="240" w:lineRule="auto"/>
        <w:ind w:left="1495" w:right="0"/>
        <w:jc w:val="left"/>
        <w:rPr>
          <w:b w:val="0"/>
          <w:bCs w:val="0"/>
        </w:rPr>
      </w:pPr>
      <w:bookmarkStart w:name="30、其他重要的会计政策和会计估计" w:id="211"/>
      <w:bookmarkEnd w:id="211"/>
      <w:r>
        <w:rPr>
          <w:b w:val="0"/>
          <w:bCs w:val="0"/>
        </w:rPr>
      </w:r>
      <w:r>
        <w:rPr>
          <w:rFonts w:ascii="Times New Roman" w:hAnsi="Times New Roman" w:cs="Times New Roman" w:eastAsia="Times New Roman" w:hint="default"/>
        </w:rPr>
        <w:t>30</w:t>
      </w:r>
      <w:r>
        <w:rPr/>
        <w:t>、其他重要的会计政策和会计估计</w:t>
      </w:r>
      <w:r>
        <w:rPr>
          <w:b w:val="0"/>
          <w:bCs w:val="0"/>
        </w:rPr>
      </w: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21"/>
          <w:szCs w:val="21"/>
        </w:rPr>
      </w:pPr>
    </w:p>
    <w:p>
      <w:pPr>
        <w:pStyle w:val="Heading4"/>
        <w:spacing w:line="240" w:lineRule="auto"/>
        <w:ind w:left="1495" w:right="0"/>
        <w:jc w:val="left"/>
        <w:rPr>
          <w:b w:val="0"/>
          <w:bCs w:val="0"/>
        </w:rPr>
      </w:pPr>
      <w:bookmarkStart w:name="31、重要会计政策和会计估计变更" w:id="212"/>
      <w:bookmarkEnd w:id="212"/>
      <w:r>
        <w:rPr>
          <w:b w:val="0"/>
          <w:bCs w:val="0"/>
        </w:rPr>
      </w:r>
      <w:r>
        <w:rPr>
          <w:rFonts w:ascii="Times New Roman" w:hAnsi="Times New Roman" w:cs="Times New Roman" w:eastAsia="Times New Roman" w:hint="default"/>
        </w:rPr>
        <w:t>31</w:t>
      </w:r>
      <w:r>
        <w:rPr/>
        <w:t>、重要会计政策和会计估计变更</w:t>
      </w:r>
      <w:r>
        <w:rPr>
          <w:b w:val="0"/>
          <w:bCs w:val="0"/>
        </w:rPr>
      </w: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21"/>
          <w:szCs w:val="21"/>
        </w:rPr>
      </w:pPr>
    </w:p>
    <w:p>
      <w:pPr>
        <w:pStyle w:val="Heading4"/>
        <w:spacing w:line="240" w:lineRule="auto"/>
        <w:ind w:left="1495" w:right="0"/>
        <w:jc w:val="left"/>
        <w:rPr>
          <w:b w:val="0"/>
          <w:bCs w:val="0"/>
        </w:rPr>
      </w:pPr>
      <w:bookmarkStart w:name="（1）重要会计政策变更" w:id="213"/>
      <w:bookmarkEnd w:id="213"/>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0"/>
        <w:rPr>
          <w:rFonts w:ascii="宋体" w:hAnsi="宋体" w:cs="宋体" w:eastAsia="宋体" w:hint="default"/>
          <w:b/>
          <w:bCs/>
          <w:sz w:val="18"/>
          <w:szCs w:val="18"/>
        </w:rPr>
      </w:pPr>
    </w:p>
    <w:p>
      <w:pPr>
        <w:spacing w:line="240" w:lineRule="auto" w:before="10"/>
        <w:rPr>
          <w:rFonts w:ascii="宋体" w:hAnsi="宋体" w:cs="宋体" w:eastAsia="宋体" w:hint="default"/>
          <w:b/>
          <w:bCs/>
          <w:sz w:val="21"/>
          <w:szCs w:val="21"/>
        </w:rPr>
      </w:pPr>
    </w:p>
    <w:p>
      <w:pPr>
        <w:pStyle w:val="BodyText"/>
        <w:spacing w:line="240" w:lineRule="auto"/>
        <w:ind w:left="149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3544"/>
        <w:gridCol w:w="1702"/>
        <w:gridCol w:w="4324"/>
      </w:tblGrid>
      <w:tr>
        <w:trPr>
          <w:trHeight w:val="557" w:hRule="exact"/>
        </w:trPr>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866"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84"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4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59"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026"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451" w:lineRule="auto" w:before="130"/>
              <w:ind w:left="22" w:right="3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）在利润表中分别列示</w:t>
            </w:r>
            <w:r>
              <w:rPr>
                <w:rFonts w:ascii="Times New Roman" w:hAnsi="Times New Roman" w:cs="Times New Roman" w:eastAsia="Times New Roman" w:hint="default"/>
                <w:sz w:val="18"/>
                <w:szCs w:val="18"/>
              </w:rPr>
              <w:t>"</w:t>
            </w:r>
            <w:r>
              <w:rPr>
                <w:rFonts w:ascii="宋体" w:hAnsi="宋体" w:cs="宋体" w:eastAsia="宋体" w:hint="default"/>
                <w:sz w:val="18"/>
                <w:szCs w:val="18"/>
              </w:rPr>
              <w:t>持续经营净利润</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终止经营净利润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。比较数据相应调整。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8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4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列示持续经营净利润本年金额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92,835,525.94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元；列示</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终止经营净利润本年金额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149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463" w:lineRule="auto" w:before="130"/>
              <w:ind w:left="22" w:right="21"/>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）财政将贴息资金直接拨付给企业，企业</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应当将对应的贴息冲减相关借款费用。比较 数据不调整。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8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4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在建工程：减少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2,426,431.95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1027"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451" w:lineRule="auto" w:before="149"/>
              <w:ind w:left="22" w:right="21"/>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）与本公司日常活动相关的政府补助，计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入其他收益，不再计入营业外收入。比较数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8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4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本期：营业外收入减少</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6,027,404.73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元；本期：其他收</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益增加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6,027,404.73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544"/>
        <w:gridCol w:w="1702"/>
        <w:gridCol w:w="4324"/>
      </w:tblGrid>
      <w:tr>
        <w:trPr>
          <w:trHeight w:val="518"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据不调整。</w:t>
            </w:r>
          </w:p>
        </w:tc>
        <w:tc>
          <w:tcPr>
            <w:tcW w:w="1702" w:type="dxa"/>
            <w:tcBorders>
              <w:top w:val="single" w:sz="4" w:space="0" w:color="000000"/>
              <w:left w:val="single" w:sz="4" w:space="0" w:color="000000"/>
              <w:bottom w:val="single" w:sz="4" w:space="0" w:color="000000"/>
              <w:right w:val="single" w:sz="4" w:space="0" w:color="000000"/>
            </w:tcBorders>
          </w:tcPr>
          <w:p>
            <w:pPr/>
          </w:p>
        </w:tc>
        <w:tc>
          <w:tcPr>
            <w:tcW w:w="4324"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451" w:lineRule="auto" w:before="129"/>
              <w:ind w:left="22" w:right="2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）在利润表中新增</w:t>
            </w:r>
            <w:r>
              <w:rPr>
                <w:rFonts w:ascii="Times New Roman" w:hAnsi="Times New Roman" w:cs="Times New Roman" w:eastAsia="Times New Roman" w:hint="default"/>
                <w:sz w:val="18"/>
                <w:szCs w:val="18"/>
              </w:rPr>
              <w:t>"</w:t>
            </w:r>
            <w:r>
              <w:rPr>
                <w:rFonts w:ascii="宋体" w:hAnsi="宋体" w:cs="宋体" w:eastAsia="宋体" w:hint="default"/>
                <w:sz w:val="18"/>
                <w:szCs w:val="18"/>
              </w:rPr>
              <w:t>资产处置收益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项目， 将部分原列示为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营业外收入</w:t>
            </w:r>
            <w:r>
              <w:rPr>
                <w:rFonts w:ascii="Times New Roman" w:hAnsi="Times New Roman" w:cs="Times New Roman" w:eastAsia="Times New Roman" w:hint="default"/>
                <w:sz w:val="18"/>
                <w:szCs w:val="18"/>
              </w:rPr>
              <w:t>"</w:t>
            </w:r>
            <w:r>
              <w:rPr>
                <w:rFonts w:ascii="宋体" w:hAnsi="宋体" w:cs="宋体" w:eastAsia="宋体" w:hint="default"/>
                <w:sz w:val="18"/>
                <w:szCs w:val="18"/>
              </w:rPr>
              <w:t>的资产处置损 </w:t>
            </w:r>
            <w:r>
              <w:rPr>
                <w:rFonts w:ascii="宋体" w:hAnsi="宋体" w:cs="宋体" w:eastAsia="宋体" w:hint="default"/>
                <w:spacing w:val="-4"/>
                <w:w w:val="99"/>
                <w:sz w:val="18"/>
                <w:szCs w:val="18"/>
              </w:rPr>
              <w:t>益重分类至</w:t>
            </w:r>
            <w:r>
              <w:rPr>
                <w:rFonts w:ascii="Times New Roman" w:hAnsi="Times New Roman" w:cs="Times New Roman" w:eastAsia="Times New Roman" w:hint="default"/>
                <w:spacing w:val="-4"/>
                <w:w w:val="99"/>
                <w:sz w:val="18"/>
                <w:szCs w:val="18"/>
              </w:rPr>
              <w:t>"</w:t>
            </w:r>
            <w:r>
              <w:rPr>
                <w:rFonts w:ascii="宋体" w:hAnsi="宋体" w:cs="宋体" w:eastAsia="宋体" w:hint="default"/>
                <w:spacing w:val="-4"/>
                <w:w w:val="99"/>
                <w:sz w:val="18"/>
                <w:szCs w:val="18"/>
              </w:rPr>
              <w:t>资产处置收益</w:t>
            </w:r>
            <w:r>
              <w:rPr>
                <w:rFonts w:ascii="Times New Roman" w:hAnsi="Times New Roman" w:cs="Times New Roman" w:eastAsia="Times New Roman" w:hint="default"/>
                <w:spacing w:val="-4"/>
                <w:w w:val="99"/>
                <w:sz w:val="18"/>
                <w:szCs w:val="18"/>
              </w:rPr>
              <w:t>"</w:t>
            </w:r>
            <w:r>
              <w:rPr>
                <w:rFonts w:ascii="宋体" w:hAnsi="宋体" w:cs="宋体" w:eastAsia="宋体" w:hint="default"/>
                <w:spacing w:val="-4"/>
                <w:w w:val="99"/>
                <w:sz w:val="18"/>
                <w:szCs w:val="18"/>
              </w:rPr>
              <w:t>项目。比较数据相</w:t>
            </w:r>
            <w:r>
              <w:rPr>
                <w:rFonts w:ascii="宋体" w:hAnsi="宋体" w:cs="宋体" w:eastAsia="宋体" w:hint="default"/>
                <w:spacing w:val="-88"/>
                <w:w w:val="99"/>
                <w:sz w:val="18"/>
                <w:szCs w:val="18"/>
              </w:rPr>
              <w:t> </w:t>
            </w:r>
            <w:r>
              <w:rPr>
                <w:rFonts w:ascii="宋体" w:hAnsi="宋体" w:cs="宋体" w:eastAsia="宋体" w:hint="default"/>
                <w:spacing w:val="-88"/>
                <w:w w:val="99"/>
                <w:sz w:val="18"/>
                <w:szCs w:val="18"/>
              </w:rPr>
            </w:r>
            <w:r>
              <w:rPr>
                <w:rFonts w:ascii="宋体" w:hAnsi="宋体" w:cs="宋体" w:eastAsia="宋体" w:hint="default"/>
                <w:sz w:val="18"/>
                <w:szCs w:val="18"/>
              </w:rPr>
              <w:t>应调整。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8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4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本期：营业外收入减少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50,017.56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元，本期：资产处置</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收益增加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7.56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上期</w:t>
            </w:r>
            <w:r>
              <w:rPr>
                <w:rFonts w:ascii="宋体" w:hAnsi="宋体" w:cs="宋体" w:eastAsia="宋体" w:hint="default"/>
                <w:spacing w:val="-92"/>
                <w:sz w:val="18"/>
                <w:szCs w:val="18"/>
              </w:rPr>
              <w:t>：</w:t>
            </w:r>
            <w:r>
              <w:rPr>
                <w:rFonts w:ascii="宋体" w:hAnsi="宋体" w:cs="宋体" w:eastAsia="宋体" w:hint="default"/>
                <w:sz w:val="18"/>
                <w:szCs w:val="18"/>
              </w:rPr>
              <w:t>营业外收入减少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92,292.31</w:t>
            </w: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元，上期：资产处置收益增加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92,292.31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left="1134" w:right="0"/>
        <w:jc w:val="left"/>
        <w:rPr>
          <w:b w:val="0"/>
          <w:bCs w:val="0"/>
        </w:rPr>
      </w:pPr>
      <w:bookmarkStart w:name="（2）重要会计估计变更" w:id="214"/>
      <w:bookmarkEnd w:id="214"/>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spacing w:line="487" w:lineRule="auto" w:before="0"/>
        <w:ind w:left="1134" w:right="8966" w:firstLine="0"/>
        <w:jc w:val="left"/>
        <w:rPr>
          <w:rFonts w:ascii="宋体" w:hAnsi="宋体" w:cs="宋体" w:eastAsia="宋体" w:hint="default"/>
          <w:sz w:val="21"/>
          <w:szCs w:val="21"/>
        </w:rPr>
      </w:pPr>
      <w:bookmarkStart w:name="32、其他" w:id="215"/>
      <w:bookmarkEnd w:id="215"/>
      <w:r>
        <w:rPr/>
      </w: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216"/>
      <w:bookmarkEnd w:id="216"/>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217"/>
      <w:bookmarkEnd w:id="217"/>
      <w:r>
        <w:rPr>
          <w:rFonts w:ascii="宋体" w:hAnsi="宋体" w:cs="宋体" w:eastAsia="宋体" w:hint="default"/>
          <w:b/>
          <w:bCs/>
          <w:spacing w:val="1"/>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140" w:type="dxa"/>
        <w:tblLayout w:type="fixed"/>
        <w:tblCellMar>
          <w:top w:w="0" w:type="dxa"/>
          <w:left w:w="0" w:type="dxa"/>
          <w:bottom w:w="0" w:type="dxa"/>
          <w:right w:w="0" w:type="dxa"/>
        </w:tblCellMar>
        <w:tblLook w:val="01E0"/>
      </w:tblPr>
      <w:tblGrid>
        <w:gridCol w:w="3179"/>
        <w:gridCol w:w="3190"/>
        <w:gridCol w:w="3190"/>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74"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9" w:lineRule="auto" w:before="52"/>
              <w:ind w:left="16" w:right="95"/>
              <w:jc w:val="both"/>
              <w:rPr>
                <w:rFonts w:ascii="宋体" w:hAnsi="宋体" w:cs="宋体" w:eastAsia="宋体" w:hint="default"/>
                <w:sz w:val="18"/>
                <w:szCs w:val="18"/>
              </w:rPr>
            </w:pPr>
            <w:r>
              <w:rPr>
                <w:rFonts w:ascii="宋体" w:hAnsi="宋体" w:cs="宋体" w:eastAsia="宋体" w:hint="default"/>
                <w:sz w:val="18"/>
                <w:szCs w:val="18"/>
              </w:rPr>
              <w:t>按税法规定计算的销售货物和应税劳务 收入为基础计算销项税额，在扣除当期 允许抵扣的进项税额后，差额部分为应 交增值税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391"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473"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按实际缴纳的营业税、增值税计缴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按应纳税所得额计缴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按实际缴纳的营业税、增值税计缴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按实际缴纳的营业税、增值税计缴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left="1134" w:right="0"/>
        <w:jc w:val="left"/>
      </w:pPr>
      <w:r>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北京今天华迅智能技术有限公司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深圳市同创智软件技术有限公司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今天国际物流科技有限公司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上海今天华峰智能系统有限公司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深圳市今天国际智能机器人有限公司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深圳市同创智软件技术有限公司安徽分公司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深圳市同创智软件技术有限公司江苏分公司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深圳市同创智软件技术有限公司新疆分公司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深圳市今天国际物流技术股份有限公司厦门分公司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3"/>
          <w:szCs w:val="3"/>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332" w:hRule="exact"/>
        </w:trPr>
        <w:tc>
          <w:tcPr>
            <w:tcW w:w="4783" w:type="dxa"/>
            <w:tcBorders>
              <w:top w:val="nil" w:sz="6" w:space="0" w:color="auto"/>
              <w:left w:val="nil" w:sz="6" w:space="0" w:color="auto"/>
              <w:bottom w:val="single" w:sz="4" w:space="0" w:color="000000"/>
              <w:right w:val="nil" w:sz="6" w:space="0" w:color="auto"/>
            </w:tcBorders>
          </w:tcPr>
          <w:p>
            <w:pPr/>
          </w:p>
        </w:tc>
        <w:tc>
          <w:tcPr>
            <w:tcW w:w="4786" w:type="dxa"/>
            <w:tcBorders>
              <w:top w:val="nil" w:sz="6" w:space="0" w:color="auto"/>
              <w:left w:val="nil" w:sz="6" w:space="0" w:color="auto"/>
              <w:bottom w:val="single" w:sz="4" w:space="0" w:color="000000"/>
              <w:right w:val="nil" w:sz="6" w:space="0" w:color="auto"/>
            </w:tcBorders>
          </w:tcPr>
          <w:p>
            <w:pP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深圳市今天国际物流技术股份有限公司安徽办事处</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4"/>
        <w:rPr>
          <w:rFonts w:ascii="宋体" w:hAnsi="宋体" w:cs="宋体" w:eastAsia="宋体" w:hint="default"/>
          <w:sz w:val="26"/>
          <w:szCs w:val="26"/>
        </w:rPr>
      </w:pPr>
    </w:p>
    <w:p>
      <w:pPr>
        <w:pStyle w:val="Heading4"/>
        <w:spacing w:line="240" w:lineRule="auto" w:before="44"/>
        <w:ind w:right="0"/>
        <w:jc w:val="left"/>
        <w:rPr>
          <w:b w:val="0"/>
          <w:bCs w:val="0"/>
        </w:rPr>
      </w:pPr>
      <w:r>
        <w:rPr/>
        <w:pict>
          <v:group style="position:absolute;margin-left:55.200001pt;margin-top:-54.188255pt;width:485pt;height:.1pt;mso-position-horizontal-relative:page;mso-position-vertical-relative:paragraph;z-index:-880744" coordorigin="1104,-1084" coordsize="9700,2">
            <v:shape style="position:absolute;left:1104;top:-1084;width:9700;height:2" coordorigin="1104,-1084" coordsize="9700,0" path="m1104,-1084l10804,-1084e" filled="false" stroked="true" strokeweight=".72pt" strokecolor="#000000">
              <v:path arrowok="t"/>
            </v:shape>
            <w10:wrap type="none"/>
          </v:group>
        </w:pict>
      </w:r>
      <w:bookmarkStart w:name="2、税收优惠" w:id="218"/>
      <w:bookmarkEnd w:id="218"/>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21"/>
          <w:szCs w:val="21"/>
        </w:rPr>
      </w:pPr>
    </w:p>
    <w:p>
      <w:pPr>
        <w:pStyle w:val="BodyText"/>
        <w:spacing w:line="451" w:lineRule="auto"/>
        <w:ind w:right="1118" w:firstLine="420"/>
        <w:jc w:val="left"/>
      </w:pPr>
      <w:r>
        <w:rPr>
          <w:rFonts w:ascii="Times New Roman" w:hAnsi="Times New Roman" w:cs="Times New Roman" w:eastAsia="Times New Roman" w:hint="default"/>
          <w:spacing w:val="-2"/>
        </w:rPr>
        <w:t>1</w:t>
      </w:r>
      <w:r>
        <w:rPr>
          <w:spacing w:val="-2"/>
        </w:rPr>
        <w:t>、根据财政部、国家税务总局财税</w:t>
      </w:r>
      <w:r>
        <w:rPr>
          <w:rFonts w:ascii="Times New Roman" w:hAnsi="Times New Roman" w:cs="Times New Roman" w:eastAsia="Times New Roman" w:hint="default"/>
          <w:spacing w:val="-2"/>
        </w:rPr>
        <w:t>[2011]100</w:t>
      </w:r>
      <w:r>
        <w:rPr>
          <w:spacing w:val="-2"/>
        </w:rPr>
        <w:t>号《关于软件产品增值税政策的通知》规定，自</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日起，对增值</w:t>
      </w:r>
      <w:r>
        <w:rPr/>
        <w:t> 税一般纳税人销售其自行开发生产的软件产品，按</w:t>
      </w:r>
      <w:r>
        <w:rPr>
          <w:rFonts w:ascii="Times New Roman" w:hAnsi="Times New Roman" w:cs="Times New Roman" w:eastAsia="Times New Roman" w:hint="default"/>
        </w:rPr>
        <w:t>17%</w:t>
      </w:r>
      <w:r>
        <w:rPr/>
        <w:t>税率征收增值税后，对其增值税实际税负超过</w:t>
      </w:r>
      <w:r>
        <w:rPr>
          <w:rFonts w:ascii="Times New Roman" w:hAnsi="Times New Roman" w:cs="Times New Roman" w:eastAsia="Times New Roman" w:hint="default"/>
        </w:rPr>
        <w:t>3%</w:t>
      </w:r>
      <w:r>
        <w:rPr/>
        <w:t>的部分实行即征即 退政策。</w:t>
      </w:r>
    </w:p>
    <w:p>
      <w:pPr>
        <w:pStyle w:val="BodyText"/>
        <w:spacing w:line="463" w:lineRule="auto" w:before="74"/>
        <w:ind w:right="1131" w:firstLine="420"/>
        <w:jc w:val="both"/>
      </w:pPr>
      <w:r>
        <w:rPr>
          <w:rFonts w:ascii="Times New Roman" w:hAnsi="Times New Roman" w:cs="Times New Roman" w:eastAsia="Times New Roman" w:hint="default"/>
        </w:rPr>
        <w:t>2</w:t>
      </w:r>
      <w:r>
        <w:rPr/>
        <w:t>、本公司被认定为</w:t>
      </w:r>
      <w:r>
        <w:rPr>
          <w:rFonts w:ascii="Times New Roman" w:hAnsi="Times New Roman" w:cs="Times New Roman" w:eastAsia="Times New Roman" w:hint="default"/>
        </w:rPr>
        <w:t>“</w:t>
      </w:r>
      <w:r>
        <w:rPr/>
        <w:t>高新技术企业</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w:t>
      </w:r>
      <w:r>
        <w:rPr/>
        <w:t>日取得编号为</w:t>
      </w:r>
      <w:r>
        <w:rPr>
          <w:rFonts w:ascii="Times New Roman" w:hAnsi="Times New Roman" w:cs="Times New Roman" w:eastAsia="Times New Roman" w:hint="default"/>
        </w:rPr>
        <w:t>GF201544201243</w:t>
      </w:r>
      <w:r>
        <w:rPr/>
        <w:t>的高新技术企业认证，认定有效期 </w:t>
      </w:r>
      <w:r>
        <w:rPr>
          <w:spacing w:val="-2"/>
        </w:rPr>
        <w:t>为三年。根据《中华人民共和国企业所得税法》第二十八条及其实施条例第九十三条规定，深圳市罗湖地方税务局同意本公</w:t>
      </w:r>
      <w:r>
        <w:rPr>
          <w:spacing w:val="-66"/>
        </w:rPr>
        <w:t> </w:t>
      </w:r>
      <w:r>
        <w:rPr>
          <w:spacing w:val="-66"/>
        </w:rPr>
      </w:r>
      <w:r>
        <w:rPr/>
        <w:t>司实际执行高新技术企业的优惠企业所得税率</w:t>
      </w:r>
      <w:r>
        <w:rPr>
          <w:rFonts w:ascii="Times New Roman" w:hAnsi="Times New Roman" w:cs="Times New Roman" w:eastAsia="Times New Roman" w:hint="default"/>
        </w:rPr>
        <w:t>15%</w:t>
      </w:r>
      <w:r>
        <w:rPr/>
        <w:t>。</w:t>
      </w:r>
    </w:p>
    <w:p>
      <w:pPr>
        <w:pStyle w:val="BodyText"/>
        <w:spacing w:line="451" w:lineRule="auto" w:before="33"/>
        <w:ind w:right="1114" w:firstLine="420"/>
        <w:jc w:val="left"/>
      </w:pPr>
      <w:r>
        <w:rPr>
          <w:rFonts w:ascii="Times New Roman" w:hAnsi="Times New Roman" w:cs="Times New Roman" w:eastAsia="Times New Roman" w:hint="default"/>
          <w:spacing w:val="-5"/>
        </w:rPr>
        <w:t>3</w:t>
      </w:r>
      <w:r>
        <w:rPr>
          <w:spacing w:val="-5"/>
        </w:rPr>
        <w:t>、根据《国家税务总局关于软件和集成电路企业认定管理有关问题的公告》（国家税务总局公告</w:t>
      </w:r>
      <w:r>
        <w:rPr>
          <w:rFonts w:ascii="Times New Roman" w:hAnsi="Times New Roman" w:cs="Times New Roman" w:eastAsia="Times New Roman" w:hint="default"/>
          <w:spacing w:val="-5"/>
        </w:rPr>
        <w:t>2012</w:t>
      </w:r>
      <w:r>
        <w:rPr>
          <w:spacing w:val="-5"/>
        </w:rPr>
        <w:t>年第</w:t>
      </w:r>
      <w:r>
        <w:rPr>
          <w:rFonts w:ascii="Times New Roman" w:hAnsi="Times New Roman" w:cs="Times New Roman" w:eastAsia="Times New Roman" w:hint="default"/>
          <w:spacing w:val="-5"/>
        </w:rPr>
        <w:t>19</w:t>
      </w:r>
      <w:r>
        <w:rPr>
          <w:spacing w:val="-5"/>
        </w:rPr>
        <w:t>号）；《国</w:t>
      </w:r>
      <w:r>
        <w:rPr/>
        <w:t> </w:t>
      </w:r>
      <w:r>
        <w:rPr>
          <w:spacing w:val="-3"/>
        </w:rPr>
        <w:t>家税务总局关于执行软件企业所得税优惠政策有关问题的公告》（国家税务总局公告</w:t>
      </w:r>
      <w:r>
        <w:rPr>
          <w:rFonts w:ascii="Times New Roman" w:hAnsi="Times New Roman" w:cs="Times New Roman" w:eastAsia="Times New Roman" w:hint="default"/>
          <w:spacing w:val="-3"/>
        </w:rPr>
        <w:t>2013</w:t>
      </w:r>
      <w:r>
        <w:rPr>
          <w:spacing w:val="-3"/>
        </w:rPr>
        <w:t>年第</w:t>
      </w:r>
      <w:r>
        <w:rPr>
          <w:rFonts w:ascii="Times New Roman" w:hAnsi="Times New Roman" w:cs="Times New Roman" w:eastAsia="Times New Roman" w:hint="default"/>
          <w:spacing w:val="-3"/>
        </w:rPr>
        <w:t>43</w:t>
      </w:r>
      <w:r>
        <w:rPr>
          <w:spacing w:val="-3"/>
        </w:rPr>
        <w:t>号）；《工业和信息化部</w:t>
      </w:r>
      <w:r>
        <w:rPr>
          <w:spacing w:val="-7"/>
        </w:rPr>
        <w:t> </w:t>
      </w:r>
      <w:r>
        <w:rPr/>
        <w:t>国</w:t>
      </w:r>
      <w:r>
        <w:rPr/>
        <w:t> 家发展和改革委员会</w:t>
      </w:r>
      <w:r>
        <w:rPr>
          <w:spacing w:val="-51"/>
        </w:rPr>
        <w:t> </w:t>
      </w:r>
      <w:r>
        <w:rPr/>
        <w:t>财政部</w:t>
      </w:r>
      <w:r>
        <w:rPr>
          <w:spacing w:val="-53"/>
        </w:rPr>
        <w:t> </w:t>
      </w:r>
      <w:r>
        <w:rPr/>
        <w:t>国家税务总局关于印发</w:t>
      </w:r>
      <w:r>
        <w:rPr>
          <w:rFonts w:ascii="Times New Roman" w:hAnsi="Times New Roman" w:cs="Times New Roman" w:eastAsia="Times New Roman" w:hint="default"/>
        </w:rPr>
        <w:t>&lt;</w:t>
      </w:r>
      <w:r>
        <w:rPr/>
        <w:t>软件企业认定管理办法</w:t>
      </w:r>
      <w:r>
        <w:rPr>
          <w:rFonts w:ascii="Times New Roman" w:hAnsi="Times New Roman" w:cs="Times New Roman" w:eastAsia="Times New Roman" w:hint="default"/>
        </w:rPr>
        <w:t>&gt;</w:t>
      </w:r>
      <w:r>
        <w:rPr/>
        <w:t>的通知》（工信部联软〔</w:t>
      </w:r>
      <w:r>
        <w:rPr>
          <w:rFonts w:ascii="Times New Roman" w:hAnsi="Times New Roman" w:cs="Times New Roman" w:eastAsia="Times New Roman" w:hint="default"/>
        </w:rPr>
        <w:t>2013</w:t>
      </w:r>
      <w:r>
        <w:rPr/>
        <w:t>〕</w:t>
      </w:r>
      <w:r>
        <w:rPr>
          <w:rFonts w:ascii="Times New Roman" w:hAnsi="Times New Roman" w:cs="Times New Roman" w:eastAsia="Times New Roman" w:hint="default"/>
        </w:rPr>
        <w:t>64</w:t>
      </w:r>
      <w:r>
        <w:rPr/>
        <w:t>号）；《财 政部</w:t>
      </w:r>
      <w:r>
        <w:rPr>
          <w:spacing w:val="-18"/>
        </w:rPr>
        <w:t> </w:t>
      </w:r>
      <w:r>
        <w:rPr/>
        <w:t>国家税务总局关于进一步鼓励软件产业和集成电路产业发展企业所得税政策的通知》（财税〔</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27</w:t>
      </w:r>
      <w:r>
        <w:rPr/>
        <w:t>号）第三条， 深圳市国家税务局于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29</w:t>
      </w:r>
      <w:r>
        <w:rPr/>
        <w:t>日向本公司之子公司深圳市同创智软件技术有限公司出具了深国税罗减免备案</w:t>
      </w:r>
      <w:r>
        <w:rPr>
          <w:rFonts w:ascii="Times New Roman" w:hAnsi="Times New Roman" w:cs="Times New Roman" w:eastAsia="Times New Roman" w:hint="default"/>
        </w:rPr>
        <w:t>[2016]0003 </w:t>
      </w:r>
      <w:r>
        <w:rPr/>
        <w:t>号的企业所得税优惠事项备案通知书，同意深圳市同创智软件技术有限公司定期减免企业所得税，享受优惠期间自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 </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日。本公司之子公司深圳市同创智软件技术有限公司</w:t>
      </w:r>
      <w:r>
        <w:rPr>
          <w:rFonts w:ascii="Times New Roman" w:hAnsi="Times New Roman" w:cs="Times New Roman" w:eastAsia="Times New Roman" w:hint="default"/>
        </w:rPr>
        <w:t>2017</w:t>
      </w:r>
      <w:r>
        <w:rPr/>
        <w:t>年度企业所得税为</w:t>
      </w:r>
      <w:r>
        <w:rPr>
          <w:rFonts w:ascii="Times New Roman" w:hAnsi="Times New Roman" w:cs="Times New Roman" w:eastAsia="Times New Roman" w:hint="default"/>
        </w:rPr>
        <w:t>12.5%</w:t>
      </w:r>
      <w:r>
        <w:rPr/>
        <w:t>。</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6"/>
          <w:szCs w:val="26"/>
        </w:rPr>
      </w:pPr>
    </w:p>
    <w:p>
      <w:pPr>
        <w:pStyle w:val="Heading4"/>
        <w:spacing w:line="607" w:lineRule="auto"/>
        <w:ind w:left="1133" w:right="8584"/>
        <w:jc w:val="left"/>
        <w:rPr>
          <w:b w:val="0"/>
          <w:bCs w:val="0"/>
        </w:rPr>
      </w:pPr>
      <w:bookmarkStart w:name="3、其他" w:id="219"/>
      <w:bookmarkEnd w:id="219"/>
      <w:r>
        <w:rPr>
          <w:b w:val="0"/>
          <w:bCs w:val="0"/>
        </w:rPr>
      </w:r>
      <w:r>
        <w:rPr>
          <w:rFonts w:ascii="Times New Roman" w:hAnsi="Times New Roman" w:cs="Times New Roman" w:eastAsia="Times New Roman" w:hint="default"/>
        </w:rPr>
        <w:t>3</w:t>
      </w:r>
      <w:r>
        <w:rPr/>
        <w:t>、其他</w:t>
      </w:r>
      <w:r>
        <w:rPr>
          <w:spacing w:val="1"/>
          <w:w w:val="99"/>
        </w:rPr>
        <w:t> </w:t>
      </w:r>
      <w:bookmarkStart w:name="七、合并财务报表项目注释" w:id="220"/>
      <w:bookmarkEnd w:id="220"/>
      <w:r>
        <w:rPr/>
        <w:t>七</w:t>
      </w:r>
      <w:r>
        <w:rPr/>
        <w:t>、合并财务报表项目注释</w:t>
      </w:r>
      <w:r>
        <w:rPr>
          <w:w w:val="99"/>
        </w:rPr>
        <w:t> </w:t>
      </w:r>
      <w:bookmarkStart w:name="1、货币资金" w:id="221"/>
      <w:bookmarkEnd w:id="221"/>
      <w:r>
        <w:rPr>
          <w:w w:val="99"/>
        </w:rPr>
      </w:r>
      <w:r>
        <w:rPr>
          <w:rFonts w:ascii="Times New Roman" w:hAnsi="Times New Roman" w:cs="Times New Roman" w:eastAsia="Times New Roman" w:hint="default"/>
        </w:rPr>
        <w:t>1</w:t>
      </w:r>
      <w:r>
        <w:rPr/>
        <w:t>、货币资金</w:t>
      </w:r>
      <w:r>
        <w:rPr>
          <w:b w:val="0"/>
          <w:bCs w:val="0"/>
        </w:rPr>
      </w:r>
    </w:p>
    <w:p>
      <w:pPr>
        <w:pStyle w:val="BodyText"/>
        <w:spacing w:line="240" w:lineRule="auto" w:before="59"/>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153,525.33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168,804.05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289,259,913.32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248,394,040.04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14,426,634.62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14,122,197.95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303,840,073.27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262,685,042.04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6,545,314.11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6,821,071.77</w:t>
            </w:r>
          </w:p>
        </w:tc>
      </w:tr>
    </w:tbl>
    <w:p>
      <w:pPr>
        <w:pStyle w:val="BodyText"/>
        <w:spacing w:line="357" w:lineRule="auto" w:before="51"/>
        <w:ind w:right="2833"/>
        <w:jc w:val="left"/>
      </w:pPr>
      <w:r>
        <w:rPr/>
        <w:pict>
          <v:shape style="position:absolute;margin-left:86.660004pt;margin-top:35.201721pt;width:391.1pt;height:18.850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38"/>
                    <w:gridCol w:w="2238"/>
                    <w:gridCol w:w="2238"/>
                  </w:tblGrid>
                  <w:tr>
                    <w:trPr>
                      <w:trHeight w:val="355" w:hRule="exact"/>
                    </w:trPr>
                    <w:tc>
                      <w:tcPr>
                        <w:tcW w:w="33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78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23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788" w:right="0"/>
                          <w:jc w:val="left"/>
                          <w:rPr>
                            <w:rFonts w:ascii="宋体" w:hAnsi="宋体" w:cs="宋体" w:eastAsia="宋体" w:hint="default"/>
                            <w:sz w:val="18"/>
                            <w:szCs w:val="18"/>
                          </w:rPr>
                        </w:pPr>
                        <w:r>
                          <w:rPr>
                            <w:rFonts w:ascii="宋体" w:hAnsi="宋体" w:cs="宋体" w:eastAsia="宋体" w:hint="default"/>
                            <w:sz w:val="18"/>
                            <w:szCs w:val="18"/>
                          </w:rPr>
                          <w:t>年初余额</w:t>
                        </w:r>
                      </w:p>
                    </w:tc>
                  </w:tr>
                </w:tbl>
                <w:p>
                  <w:pPr/>
                </w:p>
              </w:txbxContent>
            </v:textbox>
            <w10:wrap type="none"/>
          </v:shape>
        </w:pict>
      </w:r>
      <w:r>
        <w:rPr/>
        <w:t>其他说明 其中因抵押、质押或冻结等对使用有限制，以及放在境外且资金汇回受到限制的货币资金明细如下：</w:t>
      </w:r>
    </w:p>
    <w:p>
      <w:pPr>
        <w:spacing w:after="0" w:line="357" w:lineRule="auto"/>
        <w:jc w:val="left"/>
        <w:sectPr>
          <w:pgSz w:w="11910" w:h="16840"/>
          <w:pgMar w:header="747" w:footer="979" w:top="106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733" w:type="dxa"/>
        <w:tblLayout w:type="fixed"/>
        <w:tblCellMar>
          <w:top w:w="0" w:type="dxa"/>
          <w:left w:w="0" w:type="dxa"/>
          <w:bottom w:w="0" w:type="dxa"/>
          <w:right w:w="0" w:type="dxa"/>
        </w:tblCellMar>
        <w:tblLook w:val="01E0"/>
      </w:tblPr>
      <w:tblGrid>
        <w:gridCol w:w="3338"/>
        <w:gridCol w:w="2238"/>
        <w:gridCol w:w="2238"/>
      </w:tblGrid>
      <w:tr>
        <w:trPr>
          <w:trHeight w:val="355" w:hRule="exact"/>
        </w:trPr>
        <w:tc>
          <w:tcPr>
            <w:tcW w:w="33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履约保函保证金</w:t>
            </w:r>
          </w:p>
        </w:tc>
        <w:tc>
          <w:tcPr>
            <w:tcW w:w="22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7,309,043.01</w:t>
            </w:r>
          </w:p>
        </w:tc>
        <w:tc>
          <w:tcPr>
            <w:tcW w:w="223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8,364,554.95</w:t>
            </w:r>
          </w:p>
        </w:tc>
      </w:tr>
      <w:tr>
        <w:trPr>
          <w:trHeight w:val="352" w:hRule="exact"/>
        </w:trPr>
        <w:tc>
          <w:tcPr>
            <w:tcW w:w="33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信用证保证金</w:t>
            </w:r>
          </w:p>
        </w:tc>
        <w:tc>
          <w:tcPr>
            <w:tcW w:w="22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5,883,580.00</w:t>
            </w:r>
          </w:p>
        </w:tc>
        <w:tc>
          <w:tcPr>
            <w:tcW w:w="223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5,483,380.00</w:t>
            </w:r>
          </w:p>
        </w:tc>
      </w:tr>
      <w:tr>
        <w:trPr>
          <w:trHeight w:val="353" w:hRule="exact"/>
        </w:trPr>
        <w:tc>
          <w:tcPr>
            <w:tcW w:w="33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2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1,165,674.00</w:t>
            </w:r>
          </w:p>
        </w:tc>
        <w:tc>
          <w:tcPr>
            <w:tcW w:w="223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274,263.00</w:t>
            </w:r>
          </w:p>
        </w:tc>
      </w:tr>
      <w:tr>
        <w:trPr>
          <w:trHeight w:val="352" w:hRule="exact"/>
        </w:trPr>
        <w:tc>
          <w:tcPr>
            <w:tcW w:w="33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存放在境外且资金汇回受到限制的款项</w:t>
            </w:r>
          </w:p>
        </w:tc>
        <w:tc>
          <w:tcPr>
            <w:tcW w:w="22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6,545,314.11</w:t>
            </w:r>
          </w:p>
        </w:tc>
        <w:tc>
          <w:tcPr>
            <w:tcW w:w="223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6,821,071.77</w:t>
            </w:r>
          </w:p>
        </w:tc>
      </w:tr>
      <w:tr>
        <w:trPr>
          <w:trHeight w:val="352" w:hRule="exact"/>
        </w:trPr>
        <w:tc>
          <w:tcPr>
            <w:tcW w:w="33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2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20,903,611.12</w:t>
            </w:r>
          </w:p>
        </w:tc>
        <w:tc>
          <w:tcPr>
            <w:tcW w:w="223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20,943,269.72</w:t>
            </w:r>
          </w:p>
        </w:tc>
      </w:tr>
    </w:tbl>
    <w:p>
      <w:pPr>
        <w:pStyle w:val="BodyText"/>
        <w:spacing w:line="240" w:lineRule="auto" w:before="88"/>
        <w:ind w:left="1554" w:right="0"/>
        <w:jc w:val="left"/>
      </w:pPr>
      <w:r>
        <w:rPr/>
        <w:t>（</w:t>
      </w:r>
      <w:r>
        <w:rPr>
          <w:rFonts w:ascii="Times New Roman" w:hAnsi="Times New Roman" w:cs="Times New Roman" w:eastAsia="Times New Roman" w:hint="default"/>
        </w:rPr>
        <w:t>1</w:t>
      </w: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日，本公司存放于境外且资金汇回受到限制的货币资金为港币</w:t>
      </w:r>
      <w:r>
        <w:rPr>
          <w:rFonts w:ascii="Times New Roman" w:hAnsi="Times New Roman" w:cs="Times New Roman" w:eastAsia="Times New Roman" w:hint="default"/>
        </w:rPr>
        <w:t>7,830,259.73</w:t>
      </w:r>
      <w:r>
        <w:rPr/>
        <w:t>，折人民币</w:t>
      </w:r>
    </w:p>
    <w:p>
      <w:pPr>
        <w:spacing w:line="240" w:lineRule="auto" w:before="9"/>
        <w:rPr>
          <w:rFonts w:ascii="宋体" w:hAnsi="宋体" w:cs="宋体" w:eastAsia="宋体" w:hint="default"/>
          <w:sz w:val="16"/>
          <w:szCs w:val="16"/>
        </w:rPr>
      </w:pPr>
    </w:p>
    <w:p>
      <w:pPr>
        <w:pStyle w:val="BodyText"/>
        <w:spacing w:line="240" w:lineRule="auto"/>
        <w:ind w:left="1134" w:right="0"/>
        <w:jc w:val="left"/>
      </w:pPr>
      <w:r>
        <w:rPr>
          <w:rFonts w:ascii="Times New Roman" w:hAnsi="Times New Roman" w:cs="Times New Roman" w:eastAsia="Times New Roman" w:hint="default"/>
        </w:rPr>
        <w:t>6,545,314.11</w:t>
      </w:r>
      <w:r>
        <w:rPr/>
        <w:t>元，均为本公司之香港子公司今天国际物流科技有限公司的银行存款。</w:t>
      </w:r>
    </w:p>
    <w:p>
      <w:pPr>
        <w:spacing w:line="240" w:lineRule="auto" w:before="9"/>
        <w:rPr>
          <w:rFonts w:ascii="宋体" w:hAnsi="宋体" w:cs="宋体" w:eastAsia="宋体" w:hint="default"/>
          <w:sz w:val="16"/>
          <w:szCs w:val="16"/>
        </w:rPr>
      </w:pPr>
    </w:p>
    <w:p>
      <w:pPr>
        <w:pStyle w:val="BodyText"/>
        <w:spacing w:line="451" w:lineRule="auto"/>
        <w:ind w:right="0" w:firstLine="420"/>
        <w:jc w:val="left"/>
      </w:pPr>
      <w:r>
        <w:rPr>
          <w:spacing w:val="-1"/>
        </w:rPr>
        <w:t>（</w:t>
      </w:r>
      <w:r>
        <w:rPr>
          <w:rFonts w:ascii="Times New Roman" w:hAnsi="Times New Roman" w:cs="Times New Roman" w:eastAsia="Times New Roman" w:hint="default"/>
          <w:spacing w:val="-1"/>
        </w:rPr>
        <w:t>2</w:t>
      </w:r>
      <w:r>
        <w:rPr>
          <w:spacing w:val="-1"/>
        </w:rPr>
        <w:t>）截至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日，其他货币资金人民币</w:t>
      </w:r>
      <w:r>
        <w:rPr>
          <w:rFonts w:ascii="Times New Roman" w:hAnsi="Times New Roman" w:cs="Times New Roman" w:eastAsia="Times New Roman" w:hint="default"/>
          <w:spacing w:val="-1"/>
        </w:rPr>
        <w:t>14,358,297.01</w:t>
      </w:r>
      <w:r>
        <w:rPr>
          <w:spacing w:val="-1"/>
        </w:rPr>
        <w:t>元为本公司向银行存入的保函保证金、信用证保证金以</w:t>
      </w:r>
      <w:r>
        <w:rPr/>
        <w:t> 及银行承兑汇票保证金存款。</w:t>
      </w:r>
    </w:p>
    <w:p>
      <w:pPr>
        <w:spacing w:line="240" w:lineRule="auto" w:before="9"/>
        <w:rPr>
          <w:rFonts w:ascii="宋体" w:hAnsi="宋体" w:cs="宋体" w:eastAsia="宋体" w:hint="default"/>
          <w:sz w:val="22"/>
          <w:szCs w:val="22"/>
        </w:rPr>
      </w:pPr>
    </w:p>
    <w:p>
      <w:pPr>
        <w:pStyle w:val="Heading4"/>
        <w:spacing w:line="240" w:lineRule="auto"/>
        <w:ind w:left="1133" w:right="0"/>
        <w:jc w:val="left"/>
        <w:rPr>
          <w:b w:val="0"/>
          <w:bCs w:val="0"/>
        </w:rPr>
      </w:pPr>
      <w:bookmarkStart w:name="2、应收票据" w:id="222"/>
      <w:bookmarkEnd w:id="222"/>
      <w:r>
        <w:rPr>
          <w:b w:val="0"/>
          <w:bCs w:val="0"/>
        </w:rPr>
      </w:r>
      <w:r>
        <w:rPr>
          <w:rFonts w:ascii="Times New Roman" w:hAnsi="Times New Roman" w:cs="Times New Roman" w:eastAsia="Times New Roman" w:hint="default"/>
        </w:rPr>
        <w:t>2</w:t>
      </w:r>
      <w:r>
        <w:rPr/>
        <w:t>、应收票据</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9"/>
        <w:ind w:right="0"/>
        <w:jc w:val="left"/>
        <w:rPr>
          <w:b w:val="0"/>
          <w:bCs w:val="0"/>
        </w:rPr>
      </w:pPr>
      <w:bookmarkStart w:name="（1）应收票据分类列示" w:id="223"/>
      <w:bookmarkEnd w:id="223"/>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8"/>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26,257,192.39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32,766,011.00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40,604,288.77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595,623.00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66,861,481.16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33,361,634.00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应收账款" w:id="224"/>
      <w:bookmarkEnd w:id="224"/>
      <w:r>
        <w:rPr>
          <w:b w:val="0"/>
          <w:bCs w:val="0"/>
        </w:rPr>
      </w:r>
      <w:r>
        <w:rPr>
          <w:rFonts w:ascii="Times New Roman" w:hAnsi="Times New Roman" w:cs="Times New Roman" w:eastAsia="Times New Roman" w:hint="default"/>
        </w:rPr>
        <w:t>3</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应收账款分类披露" w:id="225"/>
      <w:bookmarkEnd w:id="225"/>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983"/>
        <w:gridCol w:w="1404"/>
        <w:gridCol w:w="762"/>
        <w:gridCol w:w="810"/>
        <w:gridCol w:w="714"/>
        <w:gridCol w:w="790"/>
        <w:gridCol w:w="654"/>
        <w:gridCol w:w="762"/>
        <w:gridCol w:w="813"/>
        <w:gridCol w:w="662"/>
        <w:gridCol w:w="1202"/>
      </w:tblGrid>
      <w:tr>
        <w:trPr>
          <w:trHeight w:val="397" w:hRule="exact"/>
        </w:trPr>
        <w:tc>
          <w:tcPr>
            <w:tcW w:w="983" w:type="dxa"/>
            <w:vMerge w:val="restart"/>
            <w:tcBorders>
              <w:top w:val="single" w:sz="4" w:space="0" w:color="000000"/>
              <w:left w:val="single" w:sz="4" w:space="0" w:color="000000"/>
              <w:right w:val="single" w:sz="4" w:space="0" w:color="000000"/>
            </w:tcBorders>
            <w:shd w:val="clear" w:color="auto" w:fill="D2D2D2"/>
          </w:tcPr>
          <w:p>
            <w:pPr/>
          </w:p>
        </w:tc>
        <w:tc>
          <w:tcPr>
            <w:tcW w:w="448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983" w:type="dxa"/>
            <w:vMerge/>
            <w:tcBorders>
              <w:left w:val="single" w:sz="4" w:space="0" w:color="000000"/>
              <w:bottom w:val="nil" w:sz="6" w:space="0" w:color="auto"/>
              <w:right w:val="single" w:sz="4" w:space="0" w:color="000000"/>
            </w:tcBorders>
            <w:shd w:val="clear" w:color="auto" w:fill="D2D2D2"/>
          </w:tcPr>
          <w:p>
            <w:pPr/>
          </w:p>
        </w:tc>
        <w:tc>
          <w:tcPr>
            <w:tcW w:w="216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7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0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99"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2166"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475" w:type="dxa"/>
            <w:gridSpan w:val="2"/>
            <w:vMerge/>
            <w:tcBorders>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983" w:type="dxa"/>
            <w:vMerge/>
            <w:tcBorders>
              <w:left w:val="single" w:sz="4" w:space="0" w:color="000000"/>
              <w:bottom w:val="nil" w:sz="6" w:space="0" w:color="auto"/>
              <w:right w:val="single" w:sz="4" w:space="0" w:color="000000"/>
            </w:tcBorders>
            <w:shd w:val="clear" w:color="auto" w:fill="D2D2D2"/>
          </w:tcPr>
          <w:p>
            <w:pPr/>
          </w:p>
        </w:tc>
        <w:tc>
          <w:tcPr>
            <w:tcW w:w="140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0" w:type="dxa"/>
            <w:tcBorders>
              <w:top w:val="single" w:sz="4" w:space="0" w:color="000000"/>
              <w:left w:val="single" w:sz="4" w:space="0" w:color="000000"/>
              <w:bottom w:val="nil" w:sz="6" w:space="0" w:color="auto"/>
              <w:right w:val="single" w:sz="4" w:space="0" w:color="000000"/>
            </w:tcBorders>
            <w:shd w:val="clear" w:color="auto" w:fill="D2D2D2"/>
          </w:tcPr>
          <w:p>
            <w:pPr/>
          </w:p>
        </w:tc>
        <w:tc>
          <w:tcPr>
            <w:tcW w:w="7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61" w:right="80"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36" w:right="5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2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3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1" w:hRule="exact"/>
        </w:trPr>
        <w:tc>
          <w:tcPr>
            <w:tcW w:w="983" w:type="dxa"/>
            <w:vMerge w:val="restart"/>
            <w:tcBorders>
              <w:top w:val="nil" w:sz="6" w:space="0" w:color="auto"/>
              <w:left w:val="single" w:sz="4" w:space="0" w:color="000000"/>
              <w:right w:val="single" w:sz="4" w:space="0" w:color="000000"/>
            </w:tcBorders>
            <w:shd w:val="clear" w:color="auto" w:fill="D2D2D2"/>
          </w:tcPr>
          <w:p>
            <w:pPr/>
          </w:p>
        </w:tc>
        <w:tc>
          <w:tcPr>
            <w:tcW w:w="14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14"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62" w:type="dxa"/>
            <w:vMerge/>
            <w:tcBorders>
              <w:left w:val="single" w:sz="4" w:space="0" w:color="000000"/>
              <w:right w:val="single" w:sz="4" w:space="0" w:color="000000"/>
            </w:tcBorders>
            <w:shd w:val="clear" w:color="auto" w:fill="D2D2D2"/>
          </w:tcPr>
          <w:p>
            <w:pPr/>
          </w:p>
        </w:tc>
        <w:tc>
          <w:tcPr>
            <w:tcW w:w="120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983" w:type="dxa"/>
            <w:vMerge/>
            <w:tcBorders>
              <w:left w:val="single" w:sz="4" w:space="0" w:color="000000"/>
              <w:right w:val="single" w:sz="4" w:space="0" w:color="000000"/>
            </w:tcBorders>
            <w:shd w:val="clear" w:color="auto" w:fill="D2D2D2"/>
          </w:tcPr>
          <w:p>
            <w:pPr/>
          </w:p>
        </w:tc>
        <w:tc>
          <w:tcPr>
            <w:tcW w:w="140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0" w:type="dxa"/>
            <w:vMerge/>
            <w:tcBorders>
              <w:left w:val="single" w:sz="4" w:space="0" w:color="000000"/>
              <w:bottom w:val="nil" w:sz="6" w:space="0" w:color="auto"/>
              <w:right w:val="single" w:sz="4" w:space="0" w:color="000000"/>
            </w:tcBorders>
            <w:shd w:val="clear" w:color="auto" w:fill="D2D2D2"/>
          </w:tcPr>
          <w:p>
            <w:pPr/>
          </w:p>
        </w:tc>
        <w:tc>
          <w:tcPr>
            <w:tcW w:w="714"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120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983" w:type="dxa"/>
            <w:vMerge/>
            <w:tcBorders>
              <w:left w:val="single" w:sz="4" w:space="0" w:color="000000"/>
              <w:bottom w:val="single" w:sz="4" w:space="0" w:color="000000"/>
              <w:right w:val="single" w:sz="4" w:space="0" w:color="000000"/>
            </w:tcBorders>
            <w:shd w:val="clear" w:color="auto" w:fill="D2D2D2"/>
          </w:tcPr>
          <w:p>
            <w:pPr/>
          </w:p>
        </w:tc>
        <w:tc>
          <w:tcPr>
            <w:tcW w:w="140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0" w:type="dxa"/>
            <w:tcBorders>
              <w:top w:val="nil" w:sz="6" w:space="0" w:color="auto"/>
              <w:left w:val="single" w:sz="4" w:space="0" w:color="000000"/>
              <w:bottom w:val="single" w:sz="4" w:space="0" w:color="000000"/>
              <w:right w:val="single" w:sz="4" w:space="0" w:color="000000"/>
            </w:tcBorders>
            <w:shd w:val="clear" w:color="auto" w:fill="D2D2D2"/>
          </w:tcPr>
          <w:p>
            <w:pPr/>
          </w:p>
        </w:tc>
        <w:tc>
          <w:tcPr>
            <w:tcW w:w="714"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vMerge/>
            <w:tcBorders>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9"/>
              <w:jc w:val="both"/>
              <w:rPr>
                <w:rFonts w:ascii="宋体" w:hAnsi="宋体" w:cs="宋体" w:eastAsia="宋体" w:hint="default"/>
                <w:sz w:val="18"/>
                <w:szCs w:val="18"/>
              </w:rPr>
            </w:pPr>
            <w:r>
              <w:rPr>
                <w:rFonts w:ascii="宋体" w:hAnsi="宋体" w:cs="宋体" w:eastAsia="宋体" w:hint="default"/>
                <w:sz w:val="18"/>
                <w:szCs w:val="18"/>
              </w:rPr>
              <w:t>按信用风险 特征组合计 提坏账准备 的应收账款</w:t>
            </w:r>
          </w:p>
        </w:tc>
        <w:tc>
          <w:tcPr>
            <w:tcW w:w="1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3" w:right="0"/>
              <w:jc w:val="left"/>
              <w:rPr>
                <w:rFonts w:ascii="Times New Roman" w:hAnsi="Times New Roman" w:cs="Times New Roman" w:eastAsia="Times New Roman" w:hint="default"/>
                <w:sz w:val="18"/>
                <w:szCs w:val="18"/>
              </w:rPr>
            </w:pPr>
            <w:r>
              <w:rPr>
                <w:rFonts w:ascii="Times New Roman"/>
                <w:sz w:val="18"/>
              </w:rPr>
              <w:t>486,548,745.70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 w:right="0"/>
              <w:jc w:val="left"/>
              <w:rPr>
                <w:rFonts w:ascii="Times New Roman" w:hAnsi="Times New Roman" w:cs="Times New Roman" w:eastAsia="Times New Roman" w:hint="default"/>
                <w:sz w:val="18"/>
                <w:szCs w:val="18"/>
              </w:rPr>
            </w:pPr>
            <w:r>
              <w:rPr>
                <w:rFonts w:ascii="Times New Roman"/>
                <w:sz w:val="18"/>
              </w:rPr>
              <w:t>31,691,50</w:t>
            </w:r>
          </w:p>
          <w:p>
            <w:pPr>
              <w:pStyle w:val="TableParagraph"/>
              <w:spacing w:line="240" w:lineRule="auto" w:before="105"/>
              <w:ind w:left="461" w:right="0"/>
              <w:jc w:val="left"/>
              <w:rPr>
                <w:rFonts w:ascii="Times New Roman" w:hAnsi="Times New Roman" w:cs="Times New Roman" w:eastAsia="Times New Roman" w:hint="default"/>
                <w:sz w:val="18"/>
                <w:szCs w:val="18"/>
              </w:rPr>
            </w:pPr>
            <w:r>
              <w:rPr>
                <w:rFonts w:ascii="Times New Roman"/>
                <w:sz w:val="18"/>
              </w:rPr>
              <w:t>6.36</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17" w:right="0"/>
              <w:jc w:val="left"/>
              <w:rPr>
                <w:rFonts w:ascii="Times New Roman" w:hAnsi="Times New Roman" w:cs="Times New Roman" w:eastAsia="Times New Roman" w:hint="default"/>
                <w:sz w:val="18"/>
                <w:szCs w:val="18"/>
              </w:rPr>
            </w:pPr>
            <w:r>
              <w:rPr>
                <w:rFonts w:ascii="Times New Roman"/>
                <w:sz w:val="18"/>
              </w:rPr>
              <w:t>6.51%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454,857,2</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39.34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417,306</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,480.08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29,126,32</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8.51</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6.98%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388,180,151.57</w:t>
            </w:r>
          </w:p>
        </w:tc>
      </w:tr>
      <w:tr>
        <w:trPr>
          <w:trHeight w:val="161" w:hRule="exact"/>
        </w:trPr>
        <w:tc>
          <w:tcPr>
            <w:tcW w:w="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40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486,548,745.70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0" w:type="dxa"/>
            <w:vMerge w:val="restart"/>
            <w:tcBorders>
              <w:top w:val="single" w:sz="4" w:space="0" w:color="000000"/>
              <w:left w:val="single" w:sz="4" w:space="0" w:color="000000"/>
              <w:right w:val="single" w:sz="4" w:space="0" w:color="000000"/>
            </w:tcBorders>
          </w:tcPr>
          <w:p>
            <w:pPr>
              <w:pStyle w:val="TableParagraph"/>
              <w:spacing w:line="240" w:lineRule="auto" w:before="91"/>
              <w:ind w:left="56" w:right="0"/>
              <w:jc w:val="left"/>
              <w:rPr>
                <w:rFonts w:ascii="Times New Roman" w:hAnsi="Times New Roman" w:cs="Times New Roman" w:eastAsia="Times New Roman" w:hint="default"/>
                <w:sz w:val="18"/>
                <w:szCs w:val="18"/>
              </w:rPr>
            </w:pPr>
            <w:r>
              <w:rPr>
                <w:rFonts w:ascii="Times New Roman"/>
                <w:sz w:val="18"/>
              </w:rPr>
              <w:t>31,691,50</w:t>
            </w:r>
          </w:p>
          <w:p>
            <w:pPr>
              <w:pStyle w:val="TableParagraph"/>
              <w:spacing w:line="240" w:lineRule="auto" w:before="105"/>
              <w:ind w:left="461" w:right="0"/>
              <w:jc w:val="left"/>
              <w:rPr>
                <w:rFonts w:ascii="Times New Roman" w:hAnsi="Times New Roman" w:cs="Times New Roman" w:eastAsia="Times New Roman" w:hint="default"/>
                <w:sz w:val="18"/>
                <w:szCs w:val="18"/>
              </w:rPr>
            </w:pPr>
            <w:r>
              <w:rPr>
                <w:rFonts w:ascii="Times New Roman"/>
                <w:sz w:val="18"/>
              </w:rPr>
              <w:t>6.36</w:t>
            </w:r>
          </w:p>
        </w:tc>
        <w:tc>
          <w:tcPr>
            <w:tcW w:w="7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7" w:right="0"/>
              <w:jc w:val="left"/>
              <w:rPr>
                <w:rFonts w:ascii="Times New Roman" w:hAnsi="Times New Roman" w:cs="Times New Roman" w:eastAsia="Times New Roman" w:hint="default"/>
                <w:sz w:val="18"/>
                <w:szCs w:val="18"/>
              </w:rPr>
            </w:pPr>
            <w:r>
              <w:rPr>
                <w:rFonts w:ascii="Times New Roman"/>
                <w:sz w:val="18"/>
              </w:rPr>
              <w:t>6.51%</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454,857,2</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39.34</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417,306</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,480.08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29,126,32</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8.51</w:t>
            </w: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6.98%</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388,180,151.57</w:t>
            </w:r>
          </w:p>
        </w:tc>
      </w:tr>
      <w:tr>
        <w:trPr>
          <w:trHeight w:val="392" w:hRule="exact"/>
        </w:trPr>
        <w:tc>
          <w:tcPr>
            <w:tcW w:w="9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04"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810" w:type="dxa"/>
            <w:vMerge/>
            <w:tcBorders>
              <w:left w:val="single" w:sz="4" w:space="0" w:color="000000"/>
              <w:right w:val="single" w:sz="4" w:space="0" w:color="000000"/>
            </w:tcBorders>
          </w:tcPr>
          <w:p>
            <w:pPr/>
          </w:p>
        </w:tc>
        <w:tc>
          <w:tcPr>
            <w:tcW w:w="714"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r>
      <w:tr>
        <w:trPr>
          <w:trHeight w:val="161" w:hRule="exact"/>
        </w:trPr>
        <w:tc>
          <w:tcPr>
            <w:tcW w:w="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404"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0" w:type="dxa"/>
            <w:vMerge/>
            <w:tcBorders>
              <w:left w:val="single" w:sz="4" w:space="0" w:color="000000"/>
              <w:bottom w:val="single" w:sz="4" w:space="0" w:color="000000"/>
              <w:right w:val="single" w:sz="4" w:space="0" w:color="000000"/>
            </w:tcBorders>
          </w:tcPr>
          <w:p>
            <w:pPr/>
          </w:p>
        </w:tc>
        <w:tc>
          <w:tcPr>
            <w:tcW w:w="714"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期末单项金额重大并单项计提坏账准备的应收账款：</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spacing w:after="0" w:line="338"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75"/>
        <w:gridCol w:w="2398"/>
        <w:gridCol w:w="2392"/>
        <w:gridCol w:w="2392"/>
      </w:tblGrid>
      <w:tr>
        <w:trPr>
          <w:trHeight w:val="205" w:hRule="exact"/>
        </w:trPr>
        <w:tc>
          <w:tcPr>
            <w:tcW w:w="23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账龄</w:t>
            </w:r>
          </w:p>
        </w:tc>
        <w:tc>
          <w:tcPr>
            <w:tcW w:w="71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75" w:type="dxa"/>
            <w:vMerge/>
            <w:tcBorders>
              <w:left w:val="single" w:sz="4" w:space="0" w:color="000000"/>
              <w:bottom w:val="nil" w:sz="6" w:space="0" w:color="auto"/>
              <w:right w:val="single" w:sz="4" w:space="0" w:color="000000"/>
            </w:tcBorders>
            <w:shd w:val="clear" w:color="auto" w:fill="D2D2D2"/>
          </w:tcPr>
          <w:p>
            <w:pPr/>
          </w:p>
        </w:tc>
        <w:tc>
          <w:tcPr>
            <w:tcW w:w="2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2" w:hRule="exact"/>
        </w:trPr>
        <w:tc>
          <w:tcPr>
            <w:tcW w:w="237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8"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452,258,073.26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22,612,903.67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8,535,349.90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853,534.99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24,566,821.98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7,370,046.59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348,256.15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174,128.08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796,756.90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637,405.52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43,487.51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43,487.51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486,548,745.70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31,691,506.36</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134" w:right="6432"/>
        <w:jc w:val="left"/>
      </w:pPr>
      <w:r>
        <w:rPr/>
        <w:t>确定该组合依据的说明： 组合中，采用余额百分比法计提坏账准备的应收账款：</w:t>
      </w:r>
    </w:p>
    <w:p>
      <w:pPr>
        <w:pStyle w:val="BodyText"/>
        <w:spacing w:line="338" w:lineRule="auto" w:before="2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本期计提、收回或转回的坏账准备情况" w:id="226"/>
      <w:bookmarkEnd w:id="226"/>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40" w:lineRule="auto" w:before="44"/>
        <w:ind w:right="-12"/>
        <w:jc w:val="left"/>
      </w:pPr>
      <w:r>
        <w:rPr/>
        <w:t>本期计提坏账准备金额</w:t>
      </w:r>
      <w:r>
        <w:rPr>
          <w:spacing w:val="-47"/>
        </w:rPr>
        <w:t> </w:t>
      </w:r>
      <w:r>
        <w:rPr>
          <w:rFonts w:ascii="Times New Roman" w:hAnsi="Times New Roman" w:cs="Times New Roman" w:eastAsia="Times New Roman" w:hint="default"/>
        </w:rPr>
        <w:t>2,565,177.85</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7434" w:space="1395"/>
            <w:col w:w="3081"/>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6"/>
        <w:rPr>
          <w:rFonts w:ascii="宋体" w:hAnsi="宋体" w:cs="宋体" w:eastAsia="宋体" w:hint="default"/>
          <w:sz w:val="20"/>
          <w:szCs w:val="20"/>
        </w:rPr>
      </w:pPr>
    </w:p>
    <w:p>
      <w:pPr>
        <w:pStyle w:val="Heading4"/>
        <w:spacing w:line="240" w:lineRule="auto" w:before="44"/>
        <w:ind w:right="0"/>
        <w:jc w:val="left"/>
        <w:rPr>
          <w:b w:val="0"/>
          <w:bCs w:val="0"/>
        </w:rPr>
      </w:pPr>
      <w:bookmarkStart w:name="（3）按欠款方归集的期末余额前五名的应收账款情况" w:id="227"/>
      <w:bookmarkEnd w:id="227"/>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0"/>
        <w:rPr>
          <w:rFonts w:ascii="宋体" w:hAnsi="宋体" w:cs="宋体" w:eastAsia="宋体" w:hint="default"/>
          <w:b/>
          <w:bCs/>
          <w:sz w:val="18"/>
          <w:szCs w:val="18"/>
        </w:rPr>
      </w:pPr>
    </w:p>
    <w:p>
      <w:pPr>
        <w:pStyle w:val="BodyText"/>
        <w:spacing w:line="357" w:lineRule="auto" w:before="128"/>
        <w:ind w:right="7693"/>
        <w:jc w:val="left"/>
      </w:pPr>
      <w:r>
        <w:rPr/>
        <w:t>公司是否需要遵守特殊行业的披露要求 否</w:t>
      </w:r>
    </w:p>
    <w:p>
      <w:pPr>
        <w:pStyle w:val="BodyText"/>
        <w:spacing w:line="451" w:lineRule="auto" w:before="104"/>
        <w:ind w:right="0" w:firstLine="420"/>
        <w:jc w:val="left"/>
      </w:pPr>
      <w:r>
        <w:rPr>
          <w:spacing w:val="-1"/>
        </w:rPr>
        <w:t>按欠款方归集的期末余额前五名应收账款汇总金额</w:t>
      </w:r>
      <w:r>
        <w:rPr>
          <w:rFonts w:ascii="Times New Roman" w:hAnsi="Times New Roman" w:cs="Times New Roman" w:eastAsia="Times New Roman" w:hint="default"/>
          <w:spacing w:val="-1"/>
        </w:rPr>
        <w:t>252,575,253.00</w:t>
      </w:r>
      <w:r>
        <w:rPr>
          <w:spacing w:val="-1"/>
        </w:rPr>
        <w:t>元，占应收账款年末余额合计数的比例</w:t>
      </w:r>
      <w:r>
        <w:rPr>
          <w:rFonts w:ascii="Times New Roman" w:hAnsi="Times New Roman" w:cs="Times New Roman" w:eastAsia="Times New Roman" w:hint="default"/>
          <w:spacing w:val="-1"/>
        </w:rPr>
        <w:t>51.91%</w:t>
      </w:r>
      <w:r>
        <w:rPr>
          <w:spacing w:val="-1"/>
        </w:rPr>
        <w:t>，相应</w:t>
      </w:r>
      <w:r>
        <w:rPr/>
        <w:t> 计提的坏账准备期末余额汇总金额</w:t>
      </w:r>
      <w:r>
        <w:rPr>
          <w:rFonts w:ascii="Times New Roman" w:hAnsi="Times New Roman" w:cs="Times New Roman" w:eastAsia="Times New Roman" w:hint="default"/>
        </w:rPr>
        <w:t>17,936,010.65</w:t>
      </w:r>
      <w:r>
        <w:rPr/>
        <w:t>元。</w:t>
      </w:r>
    </w:p>
    <w:p>
      <w:pPr>
        <w:spacing w:line="240" w:lineRule="auto" w:before="0"/>
        <w:rPr>
          <w:rFonts w:ascii="宋体" w:hAnsi="宋体" w:cs="宋体" w:eastAsia="宋体" w:hint="default"/>
          <w:sz w:val="21"/>
          <w:szCs w:val="21"/>
        </w:rPr>
      </w:pPr>
    </w:p>
    <w:p>
      <w:pPr>
        <w:pStyle w:val="Heading4"/>
        <w:spacing w:line="240" w:lineRule="auto"/>
        <w:ind w:left="1133" w:right="0"/>
        <w:jc w:val="left"/>
        <w:rPr>
          <w:b w:val="0"/>
          <w:bCs w:val="0"/>
        </w:rPr>
      </w:pPr>
      <w:bookmarkStart w:name="4、预付款项" w:id="228"/>
      <w:bookmarkEnd w:id="228"/>
      <w:r>
        <w:rPr>
          <w:b w:val="0"/>
          <w:bCs w:val="0"/>
        </w:rPr>
      </w:r>
      <w:r>
        <w:rPr>
          <w:rFonts w:ascii="Times New Roman" w:hAnsi="Times New Roman" w:cs="Times New Roman" w:eastAsia="Times New Roman" w:hint="default"/>
          <w:sz w:val="21"/>
          <w:szCs w:val="21"/>
        </w:rPr>
        <w:t>4</w:t>
      </w:r>
      <w:r>
        <w:rPr/>
        <w:t>、预付款项</w:t>
      </w:r>
      <w:r>
        <w:rPr>
          <w:b w:val="0"/>
          <w:bCs w:val="0"/>
        </w:rPr>
      </w:r>
    </w:p>
    <w:p>
      <w:pPr>
        <w:spacing w:line="240" w:lineRule="auto" w:before="10"/>
        <w:rPr>
          <w:rFonts w:ascii="宋体" w:hAnsi="宋体" w:cs="宋体" w:eastAsia="宋体" w:hint="default"/>
          <w:b/>
          <w:bCs/>
          <w:sz w:val="26"/>
          <w:szCs w:val="26"/>
        </w:rPr>
      </w:pPr>
    </w:p>
    <w:p>
      <w:pPr>
        <w:pStyle w:val="Heading4"/>
        <w:spacing w:line="240" w:lineRule="auto"/>
        <w:ind w:left="1133" w:right="0"/>
        <w:jc w:val="left"/>
        <w:rPr>
          <w:b w:val="0"/>
          <w:bCs w:val="0"/>
        </w:rPr>
      </w:pPr>
      <w:bookmarkStart w:name="（1）预付款项按账龄列示" w:id="229"/>
      <w:bookmarkEnd w:id="229"/>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9"/>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6"/>
        <w:gridCol w:w="1914"/>
        <w:gridCol w:w="1914"/>
        <w:gridCol w:w="190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比例</w:t>
            </w:r>
          </w:p>
        </w:tc>
      </w:tr>
    </w:tbl>
    <w:p>
      <w:pPr>
        <w:spacing w:after="0" w:line="240" w:lineRule="auto"/>
        <w:jc w:val="center"/>
        <w:rPr>
          <w:rFonts w:ascii="宋体" w:hAnsi="宋体" w:cs="宋体" w:eastAsia="宋体"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18,936,903.45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22,249,831.71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86.23%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122,401.80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1,190,090.91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297,564.78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647,713.22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2,363,220.00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1,715,507.07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21,720,090.03</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25,803,142.91</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638" w:lineRule="auto" w:before="51"/>
        <w:ind w:left="1134" w:right="5894"/>
        <w:jc w:val="left"/>
      </w:pPr>
      <w:r>
        <w:rPr/>
        <w:pict>
          <v:shape style="position:absolute;margin-left:87.199997pt;margin-top:54.587372pt;width:417.65pt;height:47.55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96"/>
                    <w:gridCol w:w="1786"/>
                    <w:gridCol w:w="1617"/>
                    <w:gridCol w:w="2654"/>
                  </w:tblGrid>
                  <w:tr>
                    <w:trPr>
                      <w:trHeight w:val="272" w:hRule="exact"/>
                    </w:trPr>
                    <w:tc>
                      <w:tcPr>
                        <w:tcW w:w="2296" w:type="dxa"/>
                        <w:tcBorders>
                          <w:top w:val="nil" w:sz="6" w:space="0" w:color="auto"/>
                          <w:left w:val="nil" w:sz="6" w:space="0" w:color="auto"/>
                          <w:bottom w:val="single" w:sz="12" w:space="0" w:color="000000"/>
                          <w:right w:val="nil" w:sz="6" w:space="0" w:color="auto"/>
                        </w:tcBorders>
                      </w:tcPr>
                      <w:p>
                        <w:pPr>
                          <w:pStyle w:val="TableParagraph"/>
                          <w:spacing w:line="180" w:lineRule="exact"/>
                          <w:ind w:left="706" w:right="0"/>
                          <w:jc w:val="left"/>
                          <w:rPr>
                            <w:rFonts w:ascii="宋体" w:hAnsi="宋体" w:cs="宋体" w:eastAsia="宋体" w:hint="default"/>
                            <w:sz w:val="18"/>
                            <w:szCs w:val="18"/>
                          </w:rPr>
                        </w:pPr>
                        <w:r>
                          <w:rPr>
                            <w:rFonts w:ascii="宋体" w:hAnsi="宋体" w:cs="宋体" w:eastAsia="宋体" w:hint="default"/>
                            <w:sz w:val="18"/>
                            <w:szCs w:val="18"/>
                          </w:rPr>
                          <w:t>预付对象</w:t>
                        </w:r>
                      </w:p>
                    </w:tc>
                    <w:tc>
                      <w:tcPr>
                        <w:tcW w:w="1786" w:type="dxa"/>
                        <w:tcBorders>
                          <w:top w:val="nil" w:sz="6" w:space="0" w:color="auto"/>
                          <w:left w:val="nil" w:sz="6" w:space="0" w:color="auto"/>
                          <w:bottom w:val="single" w:sz="12" w:space="0" w:color="000000"/>
                          <w:right w:val="nil" w:sz="6" w:space="0" w:color="auto"/>
                        </w:tcBorders>
                      </w:tcPr>
                      <w:p>
                        <w:pPr>
                          <w:pStyle w:val="TableParagraph"/>
                          <w:spacing w:line="180" w:lineRule="exact"/>
                          <w:ind w:left="30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17" w:type="dxa"/>
                        <w:tcBorders>
                          <w:top w:val="nil" w:sz="6" w:space="0" w:color="auto"/>
                          <w:left w:val="nil" w:sz="6" w:space="0" w:color="auto"/>
                          <w:bottom w:val="single" w:sz="12" w:space="0" w:color="000000"/>
                          <w:right w:val="nil" w:sz="6" w:space="0" w:color="auto"/>
                        </w:tcBorders>
                      </w:tcPr>
                      <w:p>
                        <w:pPr>
                          <w:pStyle w:val="TableParagraph"/>
                          <w:spacing w:line="180" w:lineRule="exact"/>
                          <w:ind w:left="301"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2654" w:type="dxa"/>
                        <w:tcBorders>
                          <w:top w:val="nil" w:sz="6" w:space="0" w:color="auto"/>
                          <w:left w:val="nil" w:sz="6" w:space="0" w:color="auto"/>
                          <w:bottom w:val="single" w:sz="12" w:space="0" w:color="000000"/>
                          <w:right w:val="nil" w:sz="6" w:space="0" w:color="auto"/>
                        </w:tcBorders>
                      </w:tcPr>
                      <w:p>
                        <w:pPr>
                          <w:pStyle w:val="TableParagraph"/>
                          <w:spacing w:line="180" w:lineRule="exact"/>
                          <w:ind w:left="606" w:right="0"/>
                          <w:jc w:val="left"/>
                          <w:rPr>
                            <w:rFonts w:ascii="宋体" w:hAnsi="宋体" w:cs="宋体" w:eastAsia="宋体" w:hint="default"/>
                            <w:sz w:val="18"/>
                            <w:szCs w:val="18"/>
                          </w:rPr>
                        </w:pPr>
                        <w:r>
                          <w:rPr>
                            <w:rFonts w:ascii="宋体" w:hAnsi="宋体" w:cs="宋体" w:eastAsia="宋体" w:hint="default"/>
                            <w:sz w:val="18"/>
                            <w:szCs w:val="18"/>
                          </w:rPr>
                          <w:t>未及时结算的原因</w:t>
                        </w:r>
                      </w:p>
                    </w:tc>
                  </w:tr>
                  <w:tr>
                    <w:trPr>
                      <w:trHeight w:val="664" w:hRule="exact"/>
                    </w:trPr>
                    <w:tc>
                      <w:tcPr>
                        <w:tcW w:w="2296" w:type="dxa"/>
                        <w:tcBorders>
                          <w:top w:val="single" w:sz="12" w:space="0" w:color="000000"/>
                          <w:left w:val="nil" w:sz="6" w:space="0" w:color="auto"/>
                          <w:bottom w:val="single" w:sz="12" w:space="0" w:color="000000"/>
                          <w:right w:val="nil" w:sz="6" w:space="0" w:color="auto"/>
                        </w:tcBorders>
                      </w:tcPr>
                      <w:p>
                        <w:pPr>
                          <w:pStyle w:val="TableParagraph"/>
                          <w:spacing w:line="316" w:lineRule="auto" w:before="10"/>
                          <w:ind w:left="10" w:right="303"/>
                          <w:jc w:val="left"/>
                          <w:rPr>
                            <w:rFonts w:ascii="宋体" w:hAnsi="宋体" w:cs="宋体" w:eastAsia="宋体" w:hint="default"/>
                            <w:sz w:val="18"/>
                            <w:szCs w:val="18"/>
                          </w:rPr>
                        </w:pPr>
                        <w:r>
                          <w:rPr>
                            <w:rFonts w:ascii="宋体" w:hAnsi="宋体" w:cs="宋体" w:eastAsia="宋体" w:hint="default"/>
                            <w:sz w:val="18"/>
                            <w:szCs w:val="18"/>
                          </w:rPr>
                          <w:t>深圳市伟创自动化设备有 限公司</w:t>
                        </w:r>
                      </w:p>
                    </w:tc>
                    <w:tc>
                      <w:tcPr>
                        <w:tcW w:w="1786"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539" w:right="0"/>
                          <w:jc w:val="left"/>
                          <w:rPr>
                            <w:rFonts w:ascii="Times New Roman" w:hAnsi="Times New Roman" w:cs="Times New Roman" w:eastAsia="Times New Roman" w:hint="default"/>
                            <w:sz w:val="18"/>
                            <w:szCs w:val="18"/>
                          </w:rPr>
                        </w:pPr>
                        <w:r>
                          <w:rPr>
                            <w:rFonts w:ascii="Times New Roman"/>
                            <w:sz w:val="18"/>
                          </w:rPr>
                          <w:t>2,287,940.10</w:t>
                        </w:r>
                      </w:p>
                    </w:tc>
                    <w:tc>
                      <w:tcPr>
                        <w:tcW w:w="1617"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661" w:right="0"/>
                          <w:jc w:val="left"/>
                          <w:rPr>
                            <w:rFonts w:ascii="Times New Roman" w:hAnsi="Times New Roman" w:cs="Times New Roman" w:eastAsia="Times New Roman" w:hint="default"/>
                            <w:sz w:val="18"/>
                            <w:szCs w:val="18"/>
                          </w:rPr>
                        </w:pPr>
                        <w:r>
                          <w:rPr>
                            <w:rFonts w:ascii="Times New Roman"/>
                            <w:sz w:val="18"/>
                          </w:rPr>
                          <w:t>2,287,940.10</w:t>
                        </w:r>
                      </w:p>
                    </w:tc>
                    <w:tc>
                      <w:tcPr>
                        <w:tcW w:w="2654" w:type="dxa"/>
                        <w:tcBorders>
                          <w:top w:val="single" w:sz="12" w:space="0" w:color="000000"/>
                          <w:left w:val="nil" w:sz="6" w:space="0" w:color="auto"/>
                          <w:bottom w:val="single" w:sz="12" w:space="0" w:color="000000"/>
                          <w:right w:val="nil" w:sz="6" w:space="0" w:color="auto"/>
                        </w:tcBorders>
                      </w:tcPr>
                      <w:p>
                        <w:pPr>
                          <w:pStyle w:val="TableParagraph"/>
                          <w:spacing w:line="316" w:lineRule="auto" w:before="10"/>
                          <w:ind w:left="9" w:right="8"/>
                          <w:jc w:val="left"/>
                          <w:rPr>
                            <w:rFonts w:ascii="宋体" w:hAnsi="宋体" w:cs="宋体" w:eastAsia="宋体" w:hint="default"/>
                            <w:sz w:val="18"/>
                            <w:szCs w:val="18"/>
                          </w:rPr>
                        </w:pPr>
                        <w:r>
                          <w:rPr>
                            <w:rFonts w:ascii="宋体" w:hAnsi="宋体" w:cs="宋体" w:eastAsia="宋体" w:hint="default"/>
                            <w:spacing w:val="-5"/>
                            <w:sz w:val="18"/>
                            <w:szCs w:val="18"/>
                          </w:rPr>
                          <w:t>预付中山百灵达项目采购款，因项</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目延迟开工，设备尚未到货</w:t>
                        </w:r>
                      </w:p>
                    </w:tc>
                  </w:tr>
                </w:tbl>
                <w:p>
                  <w:pPr/>
                </w:p>
              </w:txbxContent>
            </v:textbox>
            <w10:wrap type="none"/>
          </v:shape>
        </w:pict>
      </w: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 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4"/>
        <w:spacing w:line="240" w:lineRule="auto" w:before="44"/>
        <w:ind w:right="0"/>
        <w:jc w:val="left"/>
        <w:rPr>
          <w:b w:val="0"/>
          <w:bCs w:val="0"/>
        </w:rPr>
      </w:pPr>
      <w:bookmarkStart w:name="（2）按预付对象归集的期末余额前五名的预付款情况" w:id="230"/>
      <w:bookmarkEnd w:id="230"/>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7"/>
        <w:ind w:left="1553" w:right="0"/>
        <w:jc w:val="left"/>
      </w:pPr>
      <w:r>
        <w:rPr/>
        <w:t>按预付对象集中度归集的期末余额前五名预付款项汇总金额</w:t>
      </w:r>
      <w:r>
        <w:rPr>
          <w:rFonts w:ascii="Times New Roman" w:hAnsi="Times New Roman" w:cs="Times New Roman" w:eastAsia="Times New Roman" w:hint="default"/>
        </w:rPr>
        <w:t>13,662,123.42</w:t>
      </w:r>
      <w:r>
        <w:rPr/>
        <w:t>元，占预付款项期末余额合计数的比例</w:t>
      </w:r>
    </w:p>
    <w:p>
      <w:pPr>
        <w:pStyle w:val="BodyText"/>
        <w:spacing w:line="240" w:lineRule="auto" w:before="63"/>
        <w:ind w:left="1134" w:right="0"/>
        <w:jc w:val="left"/>
      </w:pPr>
      <w:r>
        <w:rPr>
          <w:rFonts w:ascii="Times New Roman" w:hAnsi="Times New Roman" w:cs="Times New Roman" w:eastAsia="Times New Roman" w:hint="default"/>
        </w:rPr>
        <w:t>62.90%</w:t>
      </w:r>
      <w:r>
        <w:rPr/>
        <w:t>。</w:t>
      </w:r>
    </w:p>
    <w:p>
      <w:pPr>
        <w:pStyle w:val="BodyText"/>
        <w:spacing w:line="240" w:lineRule="auto" w:before="103"/>
        <w:ind w:left="1134"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41"/>
        <w:ind w:right="0"/>
        <w:jc w:val="left"/>
        <w:rPr>
          <w:b w:val="0"/>
          <w:bCs w:val="0"/>
        </w:rPr>
      </w:pPr>
      <w:bookmarkStart w:name="5、其他应收款" w:id="231"/>
      <w:bookmarkEnd w:id="231"/>
      <w:r>
        <w:rPr>
          <w:b w:val="0"/>
          <w:bCs w:val="0"/>
        </w:rPr>
      </w:r>
      <w:r>
        <w:rPr>
          <w:rFonts w:ascii="Times New Roman" w:hAnsi="Times New Roman" w:cs="Times New Roman" w:eastAsia="Times New Roman" w:hint="default"/>
        </w:rPr>
        <w:t>5</w:t>
      </w:r>
      <w:r>
        <w:rPr/>
        <w:t>、其他应收款</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9"/>
        <w:ind w:right="0"/>
        <w:jc w:val="left"/>
        <w:rPr>
          <w:b w:val="0"/>
          <w:bCs w:val="0"/>
        </w:rPr>
      </w:pPr>
      <w:bookmarkStart w:name="（1）其他应收款分类披露" w:id="232"/>
      <w:bookmarkEnd w:id="232"/>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9"/>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21,589,0</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80.68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98.16%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979,046.</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61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20,610,03</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4.07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34,682,</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053.48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98.85%</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703,704.6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33,978,348.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84</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403,789.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403,789.</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403,789</w:t>
            </w:r>
          </w:p>
          <w:p>
            <w:pPr>
              <w:pStyle w:val="TableParagraph"/>
              <w:spacing w:line="240" w:lineRule="auto" w:before="106"/>
              <w:ind w:left="395" w:right="0"/>
              <w:jc w:val="lef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1.15%</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403,789.0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21,992,8</w:t>
            </w:r>
          </w:p>
          <w:p>
            <w:pPr>
              <w:pStyle w:val="TableParagraph"/>
              <w:spacing w:line="240" w:lineRule="auto" w:before="106"/>
              <w:ind w:left="330" w:right="0"/>
              <w:jc w:val="left"/>
              <w:rPr>
                <w:rFonts w:ascii="Times New Roman" w:hAnsi="Times New Roman" w:cs="Times New Roman" w:eastAsia="Times New Roman" w:hint="default"/>
                <w:sz w:val="18"/>
                <w:szCs w:val="18"/>
              </w:rPr>
            </w:pPr>
            <w:r>
              <w:rPr>
                <w:rFonts w:ascii="Times New Roman"/>
                <w:sz w:val="18"/>
              </w:rPr>
              <w:t>69.68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1,382,83</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5.61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6.29%</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20,610,03</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4.07</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35,085,</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842.48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1,107,493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3.16%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33,978,348.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84</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期末单项金额重大并单项计提坏账准备的其他应收款：</w:t>
      </w:r>
    </w:p>
    <w:p>
      <w:pPr>
        <w:pStyle w:val="BodyText"/>
        <w:spacing w:line="676" w:lineRule="auto" w:before="117"/>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spacing w:after="0" w:line="676"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374"/>
        <w:gridCol w:w="2399"/>
        <w:gridCol w:w="2392"/>
        <w:gridCol w:w="2392"/>
      </w:tblGrid>
      <w:tr>
        <w:trPr>
          <w:trHeight w:val="206" w:hRule="exact"/>
        </w:trPr>
        <w:tc>
          <w:tcPr>
            <w:tcW w:w="23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7183"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74" w:type="dxa"/>
            <w:vMerge/>
            <w:tcBorders>
              <w:left w:val="single" w:sz="4" w:space="0" w:color="000000"/>
              <w:bottom w:val="nil" w:sz="6" w:space="0" w:color="auto"/>
              <w:right w:val="single" w:sz="4" w:space="0" w:color="000000"/>
            </w:tcBorders>
            <w:shd w:val="clear" w:color="auto" w:fill="D2D2D2"/>
          </w:tcPr>
          <w:p>
            <w:pPr/>
          </w:p>
        </w:tc>
        <w:tc>
          <w:tcPr>
            <w:tcW w:w="2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4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4"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9"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1,694,899.07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84,744.96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178,879.27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17,887.93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138,767.32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41,630.20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110,782.67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55,391.34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566,718.97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453,375.18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326,017.00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326,017.00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3,016,064.30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979,046.61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32.46%</w:t>
            </w:r>
          </w:p>
        </w:tc>
      </w:tr>
    </w:tbl>
    <w:p>
      <w:pPr>
        <w:pStyle w:val="BodyText"/>
        <w:spacing w:line="357" w:lineRule="auto" w:before="51"/>
        <w:ind w:left="1134" w:right="8772"/>
        <w:jc w:val="left"/>
      </w:pPr>
      <w:r>
        <w:rPr/>
        <w:t>确定该组合依据的说明： 无</w:t>
      </w:r>
    </w:p>
    <w:p>
      <w:pPr>
        <w:pStyle w:val="BodyText"/>
        <w:spacing w:line="240" w:lineRule="auto" w:before="29"/>
        <w:ind w:left="1134" w:right="0"/>
        <w:jc w:val="left"/>
      </w:pPr>
      <w:r>
        <w:rPr/>
        <w:t>组合中，采用余额百分比法计提坏账准备的其他应收款：</w:t>
      </w:r>
    </w:p>
    <w:p>
      <w:pPr>
        <w:pStyle w:val="BodyText"/>
        <w:spacing w:line="338" w:lineRule="auto" w:before="117"/>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left="1133" w:right="0"/>
        <w:jc w:val="left"/>
        <w:rPr>
          <w:b w:val="0"/>
          <w:bCs w:val="0"/>
        </w:rPr>
      </w:pPr>
      <w:bookmarkStart w:name="（2）本期计提、收回或转回的坏账准备情况" w:id="233"/>
      <w:bookmarkEnd w:id="233"/>
      <w:r>
        <w:rPr>
          <w:b w:val="0"/>
          <w:bCs w:val="0"/>
        </w:rPr>
      </w:r>
      <w:r>
        <w:rPr>
          <w:sz w:val="21"/>
          <w:szCs w:val="21"/>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40" w:lineRule="auto" w:before="44"/>
        <w:ind w:right="-17"/>
        <w:jc w:val="left"/>
      </w:pPr>
      <w:r>
        <w:rPr/>
        <w:t>本期计提坏账准备金额</w:t>
      </w:r>
      <w:r>
        <w:rPr>
          <w:spacing w:val="-46"/>
        </w:rPr>
        <w:t> </w:t>
      </w:r>
      <w:r>
        <w:rPr>
          <w:rFonts w:ascii="Times New Roman" w:hAnsi="Times New Roman" w:cs="Times New Roman" w:eastAsia="Times New Roman" w:hint="default"/>
        </w:rPr>
        <w:t>275,341.97</w:t>
      </w:r>
      <w:r>
        <w:rPr>
          <w:rFonts w:ascii="Times New Roman" w:hAnsi="Times New Roman" w:cs="Times New Roman" w:eastAsia="Times New Roman" w:hint="default"/>
          <w:spacing w:val="-1"/>
        </w:rPr>
        <w:t> </w:t>
      </w:r>
      <w:r>
        <w:rPr/>
        <w:t>元；本期收回或转回坏账准备金额元。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6895" w:space="1935"/>
            <w:col w:w="3080"/>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6"/>
        <w:rPr>
          <w:rFonts w:ascii="宋体" w:hAnsi="宋体" w:cs="宋体" w:eastAsia="宋体" w:hint="default"/>
          <w:sz w:val="20"/>
          <w:szCs w:val="20"/>
        </w:rPr>
      </w:pPr>
    </w:p>
    <w:p>
      <w:pPr>
        <w:pStyle w:val="Heading4"/>
        <w:spacing w:line="240" w:lineRule="auto" w:before="44"/>
        <w:ind w:right="0"/>
        <w:jc w:val="left"/>
        <w:rPr>
          <w:b w:val="0"/>
          <w:bCs w:val="0"/>
        </w:rPr>
      </w:pPr>
      <w:bookmarkStart w:name="（3）其他应收款按款项性质分类情况" w:id="234"/>
      <w:bookmarkEnd w:id="234"/>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17,516,070.73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31,637,798.86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员工备用金及代扣代缴款项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1,056,945.65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874,208.34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其他往来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3,419,853.30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2,573,835.28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21,992,869.68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35,085,842.48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13"/>
        <w:rPr>
          <w:rFonts w:ascii="宋体" w:hAnsi="宋体" w:cs="宋体" w:eastAsia="宋体" w:hint="default"/>
          <w:sz w:val="25"/>
          <w:szCs w:val="25"/>
        </w:rPr>
      </w:pPr>
    </w:p>
    <w:p>
      <w:pPr>
        <w:pStyle w:val="Heading4"/>
        <w:spacing w:line="240" w:lineRule="auto" w:before="44"/>
        <w:ind w:left="1133" w:right="0"/>
        <w:jc w:val="left"/>
        <w:rPr>
          <w:b w:val="0"/>
          <w:bCs w:val="0"/>
        </w:rPr>
      </w:pPr>
      <w:bookmarkStart w:name="（4）按欠款方归集的期末余额前五名的其他应收款情况" w:id="235"/>
      <w:bookmarkEnd w:id="235"/>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四川中烟工业有限 责任公司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项目保证金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6,660,000.00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30.28%</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陕西中烟工业有限 责任公司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项目保证金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2,140,496.10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9.73%</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泉州福海粮油工业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项目保证金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1,889,560.00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8.59%</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中天储能科技有限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项目保证金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4.55%</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贵州中烟工业有限 责任公司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项目保证金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925,932.08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4.21%</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pacing w:val="-1"/>
                <w:sz w:val="18"/>
              </w:rPr>
              <w:t>12,615,988.18</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57.36%</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19"/>
          <w:szCs w:val="19"/>
        </w:rPr>
      </w:pPr>
    </w:p>
    <w:p>
      <w:pPr>
        <w:spacing w:before="58"/>
        <w:ind w:left="1134" w:right="0" w:firstLine="0"/>
        <w:jc w:val="left"/>
        <w:rPr>
          <w:rFonts w:ascii="宋体" w:hAnsi="宋体" w:cs="宋体" w:eastAsia="宋体" w:hint="default"/>
          <w:sz w:val="18"/>
          <w:szCs w:val="18"/>
        </w:rPr>
      </w:pPr>
      <w:bookmarkStart w:name="6、存货" w:id="236"/>
      <w:bookmarkEnd w:id="236"/>
      <w:r>
        <w:rPr/>
      </w:r>
      <w:r>
        <w:rPr>
          <w:rFonts w:ascii="Times New Roman" w:hAnsi="Times New Roman" w:cs="Times New Roman" w:eastAsia="Times New Roman" w:hint="default"/>
          <w:b/>
          <w:bCs/>
          <w:sz w:val="21"/>
          <w:szCs w:val="21"/>
        </w:rPr>
        <w:t>6</w:t>
      </w:r>
      <w:r>
        <w:rPr>
          <w:rFonts w:ascii="宋体" w:hAnsi="宋体" w:cs="宋体" w:eastAsia="宋体" w:hint="default"/>
          <w:b/>
          <w:bCs/>
          <w:sz w:val="18"/>
          <w:szCs w:val="18"/>
        </w:rPr>
        <w:t>、存货</w:t>
      </w:r>
      <w:r>
        <w:rPr>
          <w:rFonts w:ascii="宋体" w:hAnsi="宋体" w:cs="宋体" w:eastAsia="宋体" w:hint="default"/>
          <w:sz w:val="18"/>
          <w:szCs w:val="18"/>
        </w:rPr>
      </w:r>
    </w:p>
    <w:p>
      <w:pPr>
        <w:spacing w:line="240" w:lineRule="auto" w:before="9"/>
        <w:rPr>
          <w:rFonts w:ascii="宋体" w:hAnsi="宋体" w:cs="宋体" w:eastAsia="宋体" w:hint="default"/>
          <w:b/>
          <w:bCs/>
          <w:sz w:val="26"/>
          <w:szCs w:val="26"/>
        </w:rPr>
      </w:pPr>
    </w:p>
    <w:p>
      <w:pPr>
        <w:pStyle w:val="BodyText"/>
        <w:spacing w:line="357" w:lineRule="auto"/>
        <w:ind w:left="1134" w:right="7512"/>
        <w:jc w:val="left"/>
      </w:pPr>
      <w:r>
        <w:rPr/>
        <w:t>公司是否需要遵守房地产行业的披露要求 否</w:t>
      </w:r>
    </w:p>
    <w:p>
      <w:pPr>
        <w:spacing w:line="240" w:lineRule="auto" w:before="12"/>
        <w:rPr>
          <w:rFonts w:ascii="宋体" w:hAnsi="宋体" w:cs="宋体" w:eastAsia="宋体" w:hint="default"/>
          <w:sz w:val="21"/>
          <w:szCs w:val="21"/>
        </w:rPr>
      </w:pPr>
    </w:p>
    <w:p>
      <w:pPr>
        <w:pStyle w:val="Heading4"/>
        <w:spacing w:line="240" w:lineRule="auto"/>
        <w:ind w:right="0"/>
        <w:jc w:val="left"/>
        <w:rPr>
          <w:b w:val="0"/>
          <w:bCs w:val="0"/>
        </w:rPr>
      </w:pPr>
      <w:bookmarkStart w:name="（1）存货分类" w:id="237"/>
      <w:bookmarkEnd w:id="237"/>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5"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201,172.07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201,172.07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1,705,261.42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1,705,261.42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6,632.48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6,632.48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3,957,634.83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3,957,634.83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99,469,115.98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99,469,115.98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36,738,450.22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36,738,450.22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C6ECC8"/>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备品备件</w:t>
            </w:r>
          </w:p>
        </w:tc>
        <w:tc>
          <w:tcPr>
            <w:tcW w:w="1368" w:type="dxa"/>
            <w:tcBorders>
              <w:top w:val="single" w:sz="4" w:space="0" w:color="000000"/>
              <w:left w:val="single" w:sz="13" w:space="0" w:color="C6ECC8"/>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4,686,741.37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4,686,741.37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4,572,877.78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4,572,877.78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C6ECC8"/>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运营维护成本</w:t>
            </w:r>
          </w:p>
        </w:tc>
        <w:tc>
          <w:tcPr>
            <w:tcW w:w="1368" w:type="dxa"/>
            <w:tcBorders>
              <w:top w:val="single" w:sz="4" w:space="0" w:color="000000"/>
              <w:left w:val="single" w:sz="13" w:space="0" w:color="C6ECC8"/>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12,831,473.16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12,831,473.16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4,507,623.11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4,507,623.11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117,195,135.06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117,195,135.06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51,481,847.36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51,481,847.36</w:t>
            </w:r>
          </w:p>
        </w:tc>
      </w:tr>
    </w:tbl>
    <w:p>
      <w:pPr>
        <w:pStyle w:val="BodyText"/>
        <w:spacing w:line="340" w:lineRule="auto" w:before="51"/>
        <w:ind w:left="1134" w:right="247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38" w:lineRule="auto" w:before="41"/>
        <w:ind w:right="1574"/>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3"/>
        <w:ind w:right="1755"/>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spacing w:after="0" w:line="338"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Heading4"/>
        <w:spacing w:line="240" w:lineRule="auto" w:before="44"/>
        <w:ind w:left="1133" w:right="0"/>
        <w:jc w:val="left"/>
        <w:rPr>
          <w:b w:val="0"/>
          <w:bCs w:val="0"/>
        </w:rPr>
      </w:pPr>
      <w:bookmarkStart w:name="（2）存货跌价准备" w:id="238"/>
      <w:bookmarkEnd w:id="238"/>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6"/>
        <w:rPr>
          <w:rFonts w:ascii="宋体" w:hAnsi="宋体" w:cs="宋体" w:eastAsia="宋体" w:hint="default"/>
          <w:sz w:val="20"/>
          <w:szCs w:val="20"/>
        </w:rPr>
      </w:pPr>
    </w:p>
    <w:p>
      <w:pPr>
        <w:pStyle w:val="Heading4"/>
        <w:spacing w:line="240" w:lineRule="auto" w:before="44"/>
        <w:ind w:right="0"/>
        <w:jc w:val="left"/>
        <w:rPr>
          <w:b w:val="0"/>
          <w:bCs w:val="0"/>
        </w:rPr>
      </w:pPr>
      <w:bookmarkStart w:name="（3）存货期末余额含有借款费用资本化金额的说明" w:id="239"/>
      <w:bookmarkEnd w:id="239"/>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8"/>
        <w:ind w:left="1133" w:right="0"/>
        <w:jc w:val="left"/>
        <w:rPr>
          <w:b w:val="0"/>
          <w:bCs w:val="0"/>
        </w:rPr>
      </w:pPr>
      <w:bookmarkStart w:name="（4）期末建造合同形成的已完工未结算资产情况" w:id="240"/>
      <w:bookmarkEnd w:id="240"/>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2"/>
        <w:ind w:left="1134"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39"/>
        <w:ind w:left="1133" w:right="0"/>
        <w:jc w:val="left"/>
        <w:rPr>
          <w:b w:val="0"/>
          <w:bCs w:val="0"/>
        </w:rPr>
      </w:pPr>
      <w:bookmarkStart w:name="7、其他流动资产" w:id="241"/>
      <w:bookmarkEnd w:id="241"/>
      <w:r>
        <w:rPr>
          <w:b w:val="0"/>
          <w:bCs w:val="0"/>
        </w:rPr>
      </w:r>
      <w:r>
        <w:rPr>
          <w:rFonts w:ascii="Times New Roman" w:hAnsi="Times New Roman" w:cs="Times New Roman" w:eastAsia="Times New Roman" w:hint="default"/>
        </w:rPr>
        <w:t>7</w:t>
      </w:r>
      <w:r>
        <w:rPr/>
        <w:t>、其他流动资产</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增值税借方余额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6,039,828.44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205,694.02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18,600.00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66,058,428.44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200,205,694.02</w:t>
            </w:r>
          </w:p>
        </w:tc>
      </w:tr>
    </w:tbl>
    <w:p>
      <w:pPr>
        <w:pStyle w:val="BodyText"/>
        <w:spacing w:line="240" w:lineRule="auto" w:before="51"/>
        <w:ind w:left="1134"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39"/>
        <w:ind w:left="1133" w:right="0"/>
        <w:jc w:val="left"/>
        <w:rPr>
          <w:b w:val="0"/>
          <w:bCs w:val="0"/>
        </w:rPr>
      </w:pPr>
      <w:bookmarkStart w:name="8、长期股权投资" w:id="242"/>
      <w:bookmarkEnd w:id="242"/>
      <w:r>
        <w:rPr>
          <w:b w:val="0"/>
          <w:bCs w:val="0"/>
        </w:rPr>
      </w:r>
      <w:r>
        <w:rPr>
          <w:rFonts w:ascii="Times New Roman" w:hAnsi="Times New Roman" w:cs="Times New Roman" w:eastAsia="Times New Roman" w:hint="default"/>
        </w:rPr>
        <w:t>8</w:t>
      </w:r>
      <w:r>
        <w:rPr/>
        <w:t>、长期股权投资</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1"/>
              <w:jc w:val="righ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深圳市旭 龙昇电子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34,731,49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9.62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3,077,313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-19,927.6</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37,788,88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5.39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34,731,49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9.62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3,077,313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-19,927.6</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37,788,88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5.39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18"/>
                <w:szCs w:val="18"/>
              </w:rPr>
            </w:pPr>
            <w:r>
              <w:rPr>
                <w:rFonts w:ascii="Times New Roman"/>
                <w:sz w:val="18"/>
              </w:rPr>
              <w:t>34,731,49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3,077,313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4" w:right="0"/>
              <w:jc w:val="left"/>
              <w:rPr>
                <w:rFonts w:ascii="Times New Roman" w:hAnsi="Times New Roman" w:cs="Times New Roman" w:eastAsia="Times New Roman" w:hint="default"/>
                <w:sz w:val="18"/>
                <w:szCs w:val="18"/>
              </w:rPr>
            </w:pPr>
            <w:r>
              <w:rPr>
                <w:rFonts w:ascii="Times New Roman"/>
                <w:sz w:val="18"/>
              </w:rPr>
              <w:t>-19,927.6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37,788,88</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362"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0" w:right="0"/>
              <w:jc w:val="left"/>
              <w:rPr>
                <w:rFonts w:ascii="Times New Roman" w:hAnsi="Times New Roman" w:cs="Times New Roman" w:eastAsia="Times New Roman" w:hint="default"/>
                <w:sz w:val="18"/>
                <w:szCs w:val="18"/>
              </w:rPr>
            </w:pPr>
            <w:r>
              <w:rPr>
                <w:rFonts w:ascii="Times New Roman"/>
                <w:sz w:val="18"/>
              </w:rPr>
              <w:t>9.62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.42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0" w:right="0"/>
              <w:jc w:val="left"/>
              <w:rPr>
                <w:rFonts w:ascii="Times New Roman" w:hAnsi="Times New Roman" w:cs="Times New Roman" w:eastAsia="Times New Roman" w:hint="default"/>
                <w:sz w:val="18"/>
                <w:szCs w:val="18"/>
              </w:rPr>
            </w:pPr>
            <w:r>
              <w:rPr>
                <w:rFonts w:ascii="Times New Roman"/>
                <w:sz w:val="18"/>
              </w:rPr>
              <w:t>5.39</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其他说明</w:t>
      </w:r>
    </w:p>
    <w:p>
      <w:pPr>
        <w:pStyle w:val="BodyText"/>
        <w:spacing w:line="240" w:lineRule="auto" w:before="116"/>
        <w:ind w:left="1848" w:right="0"/>
        <w:jc w:val="left"/>
      </w:pPr>
      <w:r>
        <w:rPr/>
        <w:t>本公司持有深圳市旭龙昇电子有限公司</w:t>
      </w:r>
      <w:r>
        <w:rPr>
          <w:rFonts w:ascii="Times New Roman" w:hAnsi="Times New Roman" w:cs="Times New Roman" w:eastAsia="Times New Roman" w:hint="default"/>
        </w:rPr>
        <w:t>33%</w:t>
      </w:r>
      <w:r>
        <w:rPr/>
        <w:t>股权，投资成本</w:t>
      </w:r>
      <w:r>
        <w:rPr>
          <w:rFonts w:ascii="Times New Roman" w:hAnsi="Times New Roman" w:cs="Times New Roman" w:eastAsia="Times New Roman" w:hint="default"/>
        </w:rPr>
        <w:t>34,731,499.62</w:t>
      </w:r>
      <w:r>
        <w:rPr/>
        <w:t>元，本公司按权益法核算。</w:t>
      </w:r>
    </w:p>
    <w:p>
      <w:pPr>
        <w:spacing w:line="240" w:lineRule="auto" w:before="0"/>
        <w:rPr>
          <w:rFonts w:ascii="宋体" w:hAnsi="宋体" w:cs="宋体" w:eastAsia="宋体" w:hint="default"/>
          <w:sz w:val="18"/>
          <w:szCs w:val="18"/>
        </w:rPr>
      </w:pPr>
    </w:p>
    <w:p>
      <w:pPr>
        <w:pStyle w:val="Heading4"/>
        <w:spacing w:line="240" w:lineRule="auto" w:before="129"/>
        <w:ind w:left="1133" w:right="0"/>
        <w:jc w:val="left"/>
        <w:rPr>
          <w:b w:val="0"/>
          <w:bCs w:val="0"/>
        </w:rPr>
      </w:pPr>
      <w:bookmarkStart w:name="9、投资性房地产" w:id="243"/>
      <w:bookmarkEnd w:id="243"/>
      <w:r>
        <w:rPr>
          <w:b w:val="0"/>
          <w:bCs w:val="0"/>
        </w:rPr>
      </w:r>
      <w:r>
        <w:rPr>
          <w:rFonts w:ascii="Times New Roman" w:hAnsi="Times New Roman" w:cs="Times New Roman" w:eastAsia="Times New Roman" w:hint="default"/>
        </w:rPr>
        <w:t>9</w:t>
      </w:r>
      <w:r>
        <w:rPr/>
        <w:t>、投资性房地产</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8"/>
        <w:ind w:right="0"/>
        <w:jc w:val="left"/>
        <w:rPr>
          <w:b w:val="0"/>
          <w:bCs w:val="0"/>
        </w:rPr>
      </w:pPr>
      <w:bookmarkStart w:name="（1）采用成本计量模式的投资性房地产" w:id="244"/>
      <w:bookmarkEnd w:id="244"/>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20,308,155.68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20,308,155.68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20,308,155.68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20,308,155.68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0"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20,308,155.68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20,308,155.68</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3,160,306.33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3,160,306.33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643,091.64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643,091.64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643,091.64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643,091.64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3,803,397.97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3,803,397.97</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16,504,757.71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16,504,757.71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17,147,849.35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17,147,849.35</w:t>
            </w:r>
          </w:p>
        </w:tc>
      </w:tr>
    </w:tbl>
    <w:p>
      <w:pPr>
        <w:spacing w:line="240" w:lineRule="auto" w:before="6"/>
        <w:rPr>
          <w:rFonts w:ascii="宋体" w:hAnsi="宋体" w:cs="宋体" w:eastAsia="宋体" w:hint="default"/>
          <w:sz w:val="20"/>
          <w:szCs w:val="20"/>
        </w:rPr>
      </w:pPr>
    </w:p>
    <w:p>
      <w:pPr>
        <w:pStyle w:val="Heading4"/>
        <w:spacing w:line="240" w:lineRule="auto" w:before="44"/>
        <w:ind w:right="0"/>
        <w:jc w:val="left"/>
        <w:rPr>
          <w:b w:val="0"/>
          <w:bCs w:val="0"/>
        </w:rPr>
      </w:pPr>
      <w:bookmarkStart w:name="10、固定资产" w:id="245"/>
      <w:bookmarkEnd w:id="245"/>
      <w:r>
        <w:rPr>
          <w:b w:val="0"/>
          <w:bCs w:val="0"/>
        </w:rPr>
      </w:r>
      <w:r>
        <w:rPr>
          <w:rFonts w:ascii="Times New Roman" w:hAnsi="Times New Roman" w:cs="Times New Roman" w:eastAsia="Times New Roman" w:hint="default"/>
        </w:rPr>
        <w:t>10</w:t>
      </w:r>
      <w:r>
        <w:rPr/>
        <w:t>、固定资产</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8"/>
        <w:ind w:right="0"/>
        <w:jc w:val="left"/>
        <w:rPr>
          <w:b w:val="0"/>
          <w:bCs w:val="0"/>
        </w:rPr>
      </w:pPr>
      <w:bookmarkStart w:name="（1）固定资产情况" w:id="246"/>
      <w:bookmarkEnd w:id="246"/>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9" w:space="0" w:color="D2D2D2"/>
              <w:bottom w:val="single" w:sz="4" w:space="0" w:color="000000"/>
              <w:right w:val="single" w:sz="4" w:space="0" w:color="000000"/>
            </w:tcBorders>
            <w:shd w:val="clear" w:color="auto" w:fill="E0FFFF"/>
          </w:tcPr>
          <w:p>
            <w:pPr>
              <w:pStyle w:val="TableParagraph"/>
              <w:spacing w:line="240" w:lineRule="auto" w:before="51"/>
              <w:ind w:left="25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76"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76"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11,700,583.53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4,130,161.73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8,922,426.32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8,321,468.13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33,074,639.71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58,113,880.24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598,290.60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2,105,839.67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60,818,010.51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47,174,949.49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598,290.60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2,105,839.67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50,136,348.11</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10,938,930.75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10,681,662.40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r>
              <w:rPr>
                <w:rFonts w:ascii="宋体" w:hAnsi="宋体" w:cs="宋体" w:eastAsia="宋体" w:hint="default"/>
                <w:sz w:val="18"/>
                <w:szCs w:val="18"/>
              </w:rPr>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4,694,404.53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1,335,480.21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286,943.00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174,728.60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6,491,556.34</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274,406.00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69,576.92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343,982.92</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1"/>
              <w:ind w:left="22" w:right="9" w:firstLine="630"/>
              <w:jc w:val="left"/>
              <w:rPr>
                <w:rFonts w:ascii="宋体" w:hAnsi="宋体" w:cs="宋体" w:eastAsia="宋体" w:hint="default"/>
                <w:sz w:val="18"/>
                <w:szCs w:val="18"/>
              </w:rPr>
            </w:pPr>
            <w:r>
              <w:rPr>
                <w:rFonts w:ascii="宋体" w:hAnsi="宋体" w:cs="宋体" w:eastAsia="宋体" w:hint="default"/>
                <w:spacing w:val="-14"/>
                <w:sz w:val="18"/>
                <w:szCs w:val="18"/>
              </w:rPr>
              <w:t>（</w:t>
            </w:r>
            <w:r>
              <w:rPr>
                <w:rFonts w:ascii="Times New Roman" w:hAnsi="Times New Roman" w:cs="Times New Roman" w:eastAsia="Times New Roman" w:hint="default"/>
                <w:spacing w:val="-14"/>
                <w:sz w:val="18"/>
                <w:szCs w:val="18"/>
              </w:rPr>
              <w:t>2</w:t>
            </w:r>
            <w:r>
              <w:rPr>
                <w:rFonts w:ascii="宋体" w:hAnsi="宋体" w:cs="宋体" w:eastAsia="宋体" w:hint="default"/>
                <w:spacing w:val="-14"/>
                <w:sz w:val="18"/>
                <w:szCs w:val="18"/>
              </w:rPr>
              <w:t>）处置子</w:t>
            </w:r>
            <w:r>
              <w:rPr>
                <w:rFonts w:ascii="宋体" w:hAnsi="宋体" w:cs="宋体" w:eastAsia="宋体" w:hint="default"/>
                <w:sz w:val="18"/>
                <w:szCs w:val="18"/>
              </w:rPr>
              <w:t> 公司减少</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4,694,404.53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1,335,480.21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12,537.00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105,151.68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6,147,573.42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65,120,059.24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3,392,972.12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8,635,483.32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10,252,579.20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87,401,093.88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1,324,612.71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1,029,560.98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6,844,706.14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6,418,042.48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15,616,922.31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473,688.03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293,913.66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732,052.58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972,611.86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2,472,266.13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473,688.03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293,913.66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732,052.58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972,611.86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2,472,266.13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867,751.61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907,543.07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269,919.55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148,612.80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2,193,827.03</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260,685.70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60,508.06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321,193.76</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2" w:lineRule="auto" w:before="51"/>
              <w:ind w:left="22" w:right="9" w:firstLine="630"/>
              <w:jc w:val="left"/>
              <w:rPr>
                <w:rFonts w:ascii="宋体" w:hAnsi="宋体" w:cs="宋体" w:eastAsia="宋体" w:hint="default"/>
                <w:sz w:val="18"/>
                <w:szCs w:val="18"/>
              </w:rPr>
            </w:pPr>
            <w:r>
              <w:rPr>
                <w:rFonts w:ascii="宋体" w:hAnsi="宋体" w:cs="宋体" w:eastAsia="宋体" w:hint="default"/>
                <w:spacing w:val="-14"/>
                <w:sz w:val="18"/>
                <w:szCs w:val="18"/>
              </w:rPr>
              <w:t>（</w:t>
            </w:r>
            <w:r>
              <w:rPr>
                <w:rFonts w:ascii="Times New Roman" w:hAnsi="Times New Roman" w:cs="Times New Roman" w:eastAsia="Times New Roman" w:hint="default"/>
                <w:spacing w:val="-14"/>
                <w:sz w:val="18"/>
                <w:szCs w:val="18"/>
              </w:rPr>
              <w:t>2</w:t>
            </w:r>
            <w:r>
              <w:rPr>
                <w:rFonts w:ascii="宋体" w:hAnsi="宋体" w:cs="宋体" w:eastAsia="宋体" w:hint="default"/>
                <w:spacing w:val="-14"/>
                <w:sz w:val="18"/>
                <w:szCs w:val="18"/>
              </w:rPr>
              <w:t>）处置子</w:t>
            </w:r>
            <w:r>
              <w:rPr>
                <w:rFonts w:ascii="宋体" w:hAnsi="宋体" w:cs="宋体" w:eastAsia="宋体" w:hint="default"/>
                <w:sz w:val="18"/>
                <w:szCs w:val="18"/>
              </w:rPr>
              <w:t> 公司减少</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867,751.61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907,543.07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9,233.85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88,104.74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1,872,633.27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930,549.13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415,931.57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7,306,839.17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7,242,041.54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15,895,361.41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64,189,510.11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2,977,040.55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1,328,644.15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3,010,537.66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71,505,732.47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10,375,970.82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3,100,600.75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2,077,720.18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1,903,425.65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17,457,717.40</w:t>
            </w:r>
          </w:p>
        </w:tc>
      </w:tr>
    </w:tbl>
    <w:p>
      <w:pPr>
        <w:spacing w:line="240" w:lineRule="auto" w:before="1"/>
        <w:rPr>
          <w:rFonts w:ascii="宋体" w:hAnsi="宋体" w:cs="宋体" w:eastAsia="宋体" w:hint="default"/>
          <w:sz w:val="25"/>
          <w:szCs w:val="25"/>
        </w:rPr>
      </w:pPr>
    </w:p>
    <w:p>
      <w:pPr>
        <w:pStyle w:val="Heading4"/>
        <w:spacing w:line="240" w:lineRule="auto" w:before="35"/>
        <w:ind w:right="0"/>
        <w:jc w:val="left"/>
        <w:rPr>
          <w:b w:val="0"/>
          <w:bCs w:val="0"/>
        </w:rPr>
      </w:pPr>
      <w:bookmarkStart w:name="（2）未办妥产权证书的固定资产情况" w:id="247"/>
      <w:bookmarkEnd w:id="247"/>
      <w:r>
        <w:rPr>
          <w:b w:val="0"/>
          <w:bCs w:val="0"/>
        </w:rPr>
      </w:r>
      <w:r>
        <w:rPr>
          <w:sz w:val="21"/>
          <w:szCs w:val="21"/>
        </w:rPr>
        <w:t>（</w:t>
      </w:r>
      <w:r>
        <w:rPr>
          <w:rFonts w:ascii="Times New Roman" w:hAnsi="Times New Roman" w:cs="Times New Roman" w:eastAsia="Times New Roman" w:hint="default"/>
          <w:sz w:val="21"/>
          <w:szCs w:val="21"/>
        </w:rPr>
        <w:t>2</w:t>
      </w:r>
      <w:r>
        <w:rPr>
          <w:sz w:val="21"/>
          <w:szCs w:val="21"/>
        </w:rPr>
        <w:t>）</w:t>
      </w:r>
      <w:r>
        <w:rPr/>
        <w:t>未办妥产权证书的固定资产情况</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pStyle w:val="BodyText"/>
        <w:spacing w:line="240" w:lineRule="auto" w:before="44"/>
        <w:ind w:left="0" w:right="1850"/>
        <w:jc w:val="right"/>
      </w:pPr>
      <w:r>
        <w:rPr/>
        <w:t>单位： 元</w:t>
      </w:r>
    </w:p>
    <w:p>
      <w:pPr>
        <w:spacing w:line="240" w:lineRule="auto" w:before="0"/>
        <w:rPr>
          <w:rFonts w:ascii="宋体" w:hAnsi="宋体" w:cs="宋体" w:eastAsia="宋体" w:hint="default"/>
          <w:sz w:val="14"/>
          <w:szCs w:val="14"/>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55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r>
              <w:rPr>
                <w:rFonts w:ascii="Times New Roman" w:hAnsi="Times New Roman" w:cs="Times New Roman" w:eastAsia="Times New Roman" w:hint="default"/>
                <w:sz w:val="18"/>
                <w:szCs w:val="18"/>
              </w:rPr>
              <w:t>-</w:t>
            </w:r>
            <w:r>
              <w:rPr>
                <w:rFonts w:ascii="宋体" w:hAnsi="宋体" w:cs="宋体" w:eastAsia="宋体" w:hint="default"/>
                <w:sz w:val="18"/>
                <w:szCs w:val="18"/>
              </w:rPr>
              <w:t>商业房</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8,587,831.64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r>
              <w:rPr>
                <w:rFonts w:ascii="Times New Roman" w:hAnsi="Times New Roman" w:cs="Times New Roman" w:eastAsia="Times New Roman" w:hint="default"/>
                <w:sz w:val="18"/>
                <w:szCs w:val="18"/>
              </w:rPr>
              <w:t>-</w:t>
            </w:r>
            <w:r>
              <w:rPr>
                <w:rFonts w:ascii="宋体" w:hAnsi="宋体" w:cs="宋体" w:eastAsia="宋体" w:hint="default"/>
                <w:sz w:val="18"/>
                <w:szCs w:val="18"/>
              </w:rPr>
              <w:t>多层厂房</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10,681,662.40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r>
              <w:rPr>
                <w:rFonts w:ascii="Times New Roman" w:hAnsi="Times New Roman" w:cs="Times New Roman" w:eastAsia="Times New Roman" w:hint="default"/>
                <w:sz w:val="18"/>
                <w:szCs w:val="18"/>
              </w:rPr>
              <w:t>-</w:t>
            </w:r>
            <w:r>
              <w:rPr>
                <w:rFonts w:ascii="宋体" w:hAnsi="宋体" w:cs="宋体" w:eastAsia="宋体" w:hint="default"/>
                <w:sz w:val="18"/>
                <w:szCs w:val="18"/>
              </w:rPr>
              <w:t>人才住房</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4,871,897.28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人才住房，有限产权</w:t>
            </w:r>
          </w:p>
        </w:tc>
      </w:tr>
    </w:tbl>
    <w:p>
      <w:pPr>
        <w:spacing w:line="240" w:lineRule="auto" w:before="6"/>
        <w:rPr>
          <w:rFonts w:ascii="宋体" w:hAnsi="宋体" w:cs="宋体" w:eastAsia="宋体" w:hint="default"/>
          <w:sz w:val="6"/>
          <w:szCs w:val="6"/>
        </w:rPr>
      </w:pPr>
    </w:p>
    <w:p>
      <w:pPr>
        <w:pStyle w:val="BodyText"/>
        <w:spacing w:line="240" w:lineRule="auto" w:before="44"/>
        <w:ind w:left="1134" w:right="0"/>
        <w:jc w:val="left"/>
      </w:pPr>
      <w:r>
        <w:rPr/>
        <w:t>其他说明</w:t>
      </w:r>
    </w:p>
    <w:p>
      <w:pPr>
        <w:spacing w:line="240" w:lineRule="auto" w:before="11"/>
        <w:rPr>
          <w:rFonts w:ascii="宋体" w:hAnsi="宋体" w:cs="宋体" w:eastAsia="宋体" w:hint="default"/>
          <w:sz w:val="20"/>
          <w:szCs w:val="20"/>
        </w:rPr>
      </w:pPr>
    </w:p>
    <w:p>
      <w:pPr>
        <w:pStyle w:val="BodyText"/>
        <w:spacing w:line="451" w:lineRule="auto"/>
        <w:ind w:right="1050" w:firstLine="300"/>
        <w:jc w:val="both"/>
      </w:pPr>
      <w:r>
        <w:rPr/>
        <w:t>（</w:t>
      </w:r>
      <w:r>
        <w:rPr>
          <w:rFonts w:ascii="Times New Roman" w:hAnsi="Times New Roman" w:cs="Times New Roman" w:eastAsia="Times New Roman" w:hint="default"/>
        </w:rPr>
        <w:t>1</w:t>
      </w:r>
      <w:r>
        <w:rPr/>
        <w:t>）房屋及建筑物</w:t>
      </w:r>
      <w:r>
        <w:rPr>
          <w:rFonts w:ascii="Times New Roman" w:hAnsi="Times New Roman" w:cs="Times New Roman" w:eastAsia="Times New Roman" w:hint="default"/>
        </w:rPr>
        <w:t>-</w:t>
      </w:r>
      <w:r>
        <w:rPr/>
        <w:t>人才住房为本公司购置的位于深圳市罗湖区连馨家园（住宅小区）</w:t>
      </w:r>
      <w:r>
        <w:rPr>
          <w:rFonts w:ascii="Times New Roman" w:hAnsi="Times New Roman" w:cs="Times New Roman" w:eastAsia="Times New Roman" w:hint="default"/>
        </w:rPr>
        <w:t>7</w:t>
      </w:r>
      <w:r>
        <w:rPr/>
        <w:t>栋</w:t>
      </w:r>
      <w:r>
        <w:rPr>
          <w:rFonts w:ascii="Times New Roman" w:hAnsi="Times New Roman" w:cs="Times New Roman" w:eastAsia="Times New Roman" w:hint="default"/>
        </w:rPr>
        <w:t>28E</w:t>
      </w:r>
      <w:r>
        <w:rPr/>
        <w:t>、</w:t>
      </w:r>
      <w:r>
        <w:rPr>
          <w:rFonts w:ascii="Times New Roman" w:hAnsi="Times New Roman" w:cs="Times New Roman" w:eastAsia="Times New Roman" w:hint="default"/>
        </w:rPr>
        <w:t>28F</w:t>
      </w:r>
      <w:r>
        <w:rPr/>
        <w:t>、</w:t>
      </w:r>
      <w:r>
        <w:rPr>
          <w:rFonts w:ascii="Times New Roman" w:hAnsi="Times New Roman" w:cs="Times New Roman" w:eastAsia="Times New Roman" w:hint="default"/>
        </w:rPr>
        <w:t>28G</w:t>
      </w:r>
      <w:r>
        <w:rPr/>
        <w:t>、</w:t>
      </w:r>
      <w:r>
        <w:rPr>
          <w:rFonts w:ascii="Times New Roman" w:hAnsi="Times New Roman" w:cs="Times New Roman" w:eastAsia="Times New Roman" w:hint="default"/>
        </w:rPr>
        <w:t>2</w:t>
      </w:r>
      <w:r>
        <w:rPr/>
        <w:t>栋</w:t>
      </w:r>
      <w:r>
        <w:rPr>
          <w:rFonts w:ascii="Times New Roman" w:hAnsi="Times New Roman" w:cs="Times New Roman" w:eastAsia="Times New Roman" w:hint="default"/>
        </w:rPr>
        <w:t>22E</w:t>
      </w:r>
      <w:r>
        <w:rPr/>
        <w:t>、</w:t>
      </w:r>
      <w:r>
        <w:rPr>
          <w:rFonts w:ascii="Times New Roman" w:hAnsi="Times New Roman" w:cs="Times New Roman" w:eastAsia="Times New Roman" w:hint="default"/>
        </w:rPr>
        <w:t>3 </w:t>
      </w:r>
      <w:r>
        <w:rPr>
          <w:spacing w:val="-2"/>
        </w:rPr>
        <w:t>栋</w:t>
      </w:r>
      <w:r>
        <w:rPr>
          <w:rFonts w:ascii="Times New Roman" w:hAnsi="Times New Roman" w:cs="Times New Roman" w:eastAsia="Times New Roman" w:hint="default"/>
          <w:spacing w:val="-2"/>
        </w:rPr>
        <w:t>16D</w:t>
      </w:r>
      <w:r>
        <w:rPr>
          <w:spacing w:val="-2"/>
        </w:rPr>
        <w:t>，深圳市罗湖区宝翠苑</w:t>
      </w:r>
      <w:r>
        <w:rPr>
          <w:rFonts w:ascii="Times New Roman" w:hAnsi="Times New Roman" w:cs="Times New Roman" w:eastAsia="Times New Roman" w:hint="default"/>
          <w:spacing w:val="-2"/>
        </w:rPr>
        <w:t>B</w:t>
      </w:r>
      <w:r>
        <w:rPr>
          <w:spacing w:val="-2"/>
        </w:rPr>
        <w:t>栋</w:t>
      </w:r>
      <w:r>
        <w:rPr>
          <w:rFonts w:ascii="Times New Roman" w:hAnsi="Times New Roman" w:cs="Times New Roman" w:eastAsia="Times New Roman" w:hint="default"/>
          <w:spacing w:val="-2"/>
        </w:rPr>
        <w:t>203</w:t>
      </w:r>
      <w:r>
        <w:rPr>
          <w:spacing w:val="-2"/>
        </w:rPr>
        <w:t>以及位于深圳市南山区深云村（住宅小区）</w:t>
      </w:r>
      <w:r>
        <w:rPr>
          <w:rFonts w:ascii="Times New Roman" w:hAnsi="Times New Roman" w:cs="Times New Roman" w:eastAsia="Times New Roman" w:hint="default"/>
          <w:spacing w:val="-2"/>
        </w:rPr>
        <w:t>10</w:t>
      </w:r>
      <w:r>
        <w:rPr>
          <w:spacing w:val="-2"/>
        </w:rPr>
        <w:t>栋</w:t>
      </w:r>
      <w:r>
        <w:rPr>
          <w:rFonts w:ascii="Times New Roman" w:hAnsi="Times New Roman" w:cs="Times New Roman" w:eastAsia="Times New Roman" w:hint="default"/>
          <w:spacing w:val="-2"/>
        </w:rPr>
        <w:t>7</w:t>
      </w:r>
      <w:r>
        <w:rPr>
          <w:spacing w:val="-2"/>
        </w:rPr>
        <w:t>楼</w:t>
      </w:r>
      <w:r>
        <w:rPr>
          <w:rFonts w:ascii="Times New Roman" w:hAnsi="Times New Roman" w:cs="Times New Roman" w:eastAsia="Times New Roman" w:hint="default"/>
          <w:spacing w:val="-2"/>
        </w:rPr>
        <w:t>E</w:t>
      </w:r>
      <w:r>
        <w:rPr>
          <w:spacing w:val="-2"/>
        </w:rPr>
        <w:t>房。该住房为有限产权，无法办理</w:t>
      </w:r>
      <w:r>
        <w:rPr>
          <w:spacing w:val="-56"/>
        </w:rPr>
        <w:t> </w:t>
      </w:r>
      <w:r>
        <w:rPr>
          <w:spacing w:val="-56"/>
        </w:rPr>
      </w:r>
      <w:r>
        <w:rPr/>
        <w:t>产权证。根据购房合同，本公司不能向政府以外的任何单位或个人进行任何形式的产权交易，不能上市交易、过户、抵押，</w:t>
      </w:r>
    </w:p>
    <w:p>
      <w:pPr>
        <w:spacing w:after="0" w:line="451"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0"/>
        <w:jc w:val="left"/>
      </w:pPr>
      <w:r>
        <w:rPr/>
        <w:t>本公司因特殊原因确需转让该房的，按照合同回购条款由政府回购。</w:t>
      </w:r>
    </w:p>
    <w:p>
      <w:pPr>
        <w:spacing w:line="240" w:lineRule="auto" w:before="10"/>
        <w:rPr>
          <w:rFonts w:ascii="宋体" w:hAnsi="宋体" w:cs="宋体" w:eastAsia="宋体" w:hint="default"/>
          <w:sz w:val="17"/>
          <w:szCs w:val="17"/>
        </w:rPr>
      </w:pPr>
    </w:p>
    <w:p>
      <w:pPr>
        <w:pStyle w:val="BodyText"/>
        <w:spacing w:line="451" w:lineRule="auto"/>
        <w:ind w:left="1134" w:right="1122" w:firstLine="300"/>
        <w:jc w:val="left"/>
      </w:pPr>
      <w:r>
        <w:rPr/>
        <w:t>（</w:t>
      </w:r>
      <w:r>
        <w:rPr>
          <w:rFonts w:ascii="Times New Roman" w:hAnsi="Times New Roman" w:cs="Times New Roman" w:eastAsia="Times New Roman" w:hint="default"/>
        </w:rPr>
        <w:t>2</w:t>
      </w:r>
      <w:r>
        <w:rPr/>
        <w:t>）房屋及建筑物</w:t>
      </w:r>
      <w:r>
        <w:rPr>
          <w:rFonts w:ascii="Times New Roman" w:hAnsi="Times New Roman" w:cs="Times New Roman" w:eastAsia="Times New Roman" w:hint="default"/>
        </w:rPr>
        <w:t>-</w:t>
      </w:r>
      <w:r>
        <w:rPr/>
        <w:t>商业房为本公司购置的位于昆明市万达广场的商业房，自交付后已向有关部门提交相关申请材料。 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日，有关部门正在审核材料中。</w:t>
      </w:r>
    </w:p>
    <w:p>
      <w:pPr>
        <w:pStyle w:val="BodyText"/>
        <w:spacing w:line="451" w:lineRule="auto" w:before="44"/>
        <w:ind w:left="1134" w:right="0" w:firstLine="315"/>
        <w:jc w:val="left"/>
      </w:pPr>
      <w:r>
        <w:rPr>
          <w:spacing w:val="-1"/>
        </w:rPr>
        <w:t>（</w:t>
      </w:r>
      <w:r>
        <w:rPr>
          <w:rFonts w:ascii="Times New Roman" w:hAnsi="Times New Roman" w:cs="Times New Roman" w:eastAsia="Times New Roman" w:hint="default"/>
          <w:spacing w:val="-1"/>
        </w:rPr>
        <w:t>3</w:t>
      </w:r>
      <w:r>
        <w:rPr>
          <w:spacing w:val="-1"/>
        </w:rPr>
        <w:t>）房屋及建筑物</w:t>
      </w:r>
      <w:r>
        <w:rPr>
          <w:rFonts w:ascii="Times New Roman" w:hAnsi="Times New Roman" w:cs="Times New Roman" w:eastAsia="Times New Roman" w:hint="default"/>
          <w:spacing w:val="-1"/>
        </w:rPr>
        <w:t>-</w:t>
      </w:r>
      <w:r>
        <w:rPr>
          <w:spacing w:val="-1"/>
        </w:rPr>
        <w:t>多层厂房为本公司建设的位于深圳市龙岗区龙岗街道的多层厂房，自竣工后已向有关部门提交相关</w:t>
      </w:r>
      <w:r>
        <w:rPr/>
        <w:t> 申请材料。截至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日，有关部门正在审核材料中。</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8"/>
          <w:szCs w:val="18"/>
        </w:rPr>
      </w:pPr>
    </w:p>
    <w:p>
      <w:pPr>
        <w:pStyle w:val="Heading3"/>
        <w:spacing w:line="240" w:lineRule="auto"/>
        <w:ind w:left="1134" w:right="0"/>
        <w:jc w:val="left"/>
        <w:rPr>
          <w:b w:val="0"/>
          <w:bCs w:val="0"/>
        </w:rPr>
      </w:pPr>
      <w:bookmarkStart w:name="11、在建工程" w:id="248"/>
      <w:bookmarkEnd w:id="248"/>
      <w:r>
        <w:rPr>
          <w:b w:val="0"/>
          <w:bCs w:val="0"/>
        </w:rPr>
      </w:r>
      <w:r>
        <w:rPr>
          <w:rFonts w:ascii="Times New Roman" w:hAnsi="Times New Roman" w:cs="Times New Roman" w:eastAsia="Times New Roman" w:hint="default"/>
        </w:rPr>
        <w:t>11</w:t>
      </w:r>
      <w:r>
        <w:rPr/>
        <w:t>、在建工程</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在建工程情况" w:id="249"/>
      <w:bookmarkEnd w:id="249"/>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今天国际科技园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95,562,603.83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95,562,603.83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1" w:right="0"/>
              <w:jc w:val="left"/>
              <w:rPr>
                <w:rFonts w:ascii="Times New Roman" w:hAnsi="Times New Roman" w:cs="Times New Roman" w:eastAsia="Times New Roman" w:hint="default"/>
                <w:sz w:val="18"/>
                <w:szCs w:val="18"/>
              </w:rPr>
            </w:pPr>
            <w:r>
              <w:rPr>
                <w:rFonts w:ascii="Times New Roman"/>
                <w:sz w:val="18"/>
              </w:rPr>
              <w:t>96,068,002.78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96,068,002.78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88" w:right="0"/>
              <w:jc w:val="left"/>
              <w:rPr>
                <w:rFonts w:ascii="Times New Roman" w:hAnsi="Times New Roman" w:cs="Times New Roman" w:eastAsia="Times New Roman" w:hint="default"/>
                <w:sz w:val="18"/>
                <w:szCs w:val="18"/>
              </w:rPr>
            </w:pPr>
            <w:r>
              <w:rPr>
                <w:rFonts w:ascii="Times New Roman"/>
                <w:sz w:val="18"/>
              </w:rPr>
              <w:t>95,562,603.83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95,562,603.83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1" w:right="0"/>
              <w:jc w:val="left"/>
              <w:rPr>
                <w:rFonts w:ascii="Times New Roman" w:hAnsi="Times New Roman" w:cs="Times New Roman" w:eastAsia="Times New Roman" w:hint="default"/>
                <w:sz w:val="18"/>
                <w:szCs w:val="18"/>
              </w:rPr>
            </w:pPr>
            <w:r>
              <w:rPr>
                <w:rFonts w:ascii="Times New Roman"/>
                <w:sz w:val="18"/>
              </w:rPr>
              <w:t>96,068,002.78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96,068,002.78</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重要在建工程项目本期变动情况" w:id="250"/>
      <w:bookmarkEnd w:id="250"/>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9"/>
              <w:jc w:val="both"/>
              <w:rPr>
                <w:rFonts w:ascii="宋体" w:hAnsi="宋体" w:cs="宋体" w:eastAsia="宋体" w:hint="default"/>
                <w:sz w:val="18"/>
                <w:szCs w:val="18"/>
              </w:rPr>
            </w:pPr>
            <w:r>
              <w:rPr>
                <w:rFonts w:ascii="宋体" w:hAnsi="宋体" w:cs="宋体" w:eastAsia="宋体" w:hint="default"/>
                <w:sz w:val="18"/>
                <w:szCs w:val="18"/>
              </w:rPr>
              <w:t>今天国 际科技 园</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120,000,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96,068,0</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02.78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10,062,1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84.40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10,681,6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62.40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95,448,5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24.78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88.44%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21"/>
              <w:jc w:val="center"/>
              <w:rPr>
                <w:rFonts w:ascii="Times New Roman" w:hAnsi="Times New Roman" w:cs="Times New Roman" w:eastAsia="Times New Roman" w:hint="default"/>
                <w:sz w:val="18"/>
                <w:szCs w:val="18"/>
              </w:rPr>
            </w:pPr>
            <w:r>
              <w:rPr>
                <w:rFonts w:ascii="Times New Roman"/>
                <w:sz w:val="18"/>
              </w:rPr>
              <w:t>88.44%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3,021,79</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1.66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金融机 构贷款</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120,000,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96,068,0</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02.78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10,062,1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84.40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10,681,6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62.40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95,448,5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24.78</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3,021,79</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1.66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12、无形资产" w:id="251"/>
      <w:bookmarkEnd w:id="251"/>
      <w:r>
        <w:rPr>
          <w:b w:val="0"/>
          <w:bCs w:val="0"/>
        </w:rPr>
      </w:r>
      <w:r>
        <w:rPr>
          <w:rFonts w:ascii="Times New Roman" w:hAnsi="Times New Roman" w:cs="Times New Roman" w:eastAsia="Times New Roman" w:hint="default"/>
        </w:rPr>
        <w:t>12</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无形资产情况" w:id="252"/>
      <w:bookmarkEnd w:id="252"/>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5"/>
        <w:gridCol w:w="1594"/>
        <w:gridCol w:w="1594"/>
        <w:gridCol w:w="1594"/>
        <w:gridCol w:w="1605"/>
        <w:gridCol w:w="1571"/>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60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71"/>
              <w:ind w:left="117" w:right="0"/>
              <w:jc w:val="left"/>
              <w:rPr>
                <w:rFonts w:ascii="宋体" w:hAnsi="宋体" w:cs="宋体" w:eastAsia="宋体" w:hint="default"/>
                <w:sz w:val="18"/>
                <w:szCs w:val="18"/>
              </w:rPr>
            </w:pPr>
            <w:r>
              <w:rPr>
                <w:rFonts w:ascii="宋体" w:hAnsi="宋体" w:cs="宋体" w:eastAsia="宋体" w:hint="default"/>
                <w:sz w:val="18"/>
                <w:szCs w:val="18"/>
              </w:rPr>
              <w:t>软件开发工具及办</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36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523" w:right="0"/>
              <w:jc w:val="left"/>
              <w:rPr>
                <w:rFonts w:ascii="宋体" w:hAnsi="宋体" w:cs="宋体" w:eastAsia="宋体" w:hint="default"/>
                <w:sz w:val="18"/>
                <w:szCs w:val="18"/>
              </w:rPr>
            </w:pPr>
            <w:r>
              <w:rPr>
                <w:rFonts w:ascii="宋体" w:hAnsi="宋体" w:cs="宋体" w:eastAsia="宋体" w:hint="default"/>
                <w:sz w:val="18"/>
                <w:szCs w:val="18"/>
              </w:rPr>
              <w:t>公软件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16,558,400.00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10,424,349.86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26,982,749.86</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2,201,981.06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2,201,981.06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2,201,981.06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2,201,981.06</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3,181,378.00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3,181,378.00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3,181,378.00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1"/>
              <w:ind w:left="22" w:right="17" w:firstLine="90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）处 置子公司减少</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3,181,378.00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3,181,378.00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13,377,022.00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12,626,330.92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26,003,352.92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2,350,669.66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8,084,049.65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10,434,719.31</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452,181.03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1,697,975.93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2,150,156.96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452,181.03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1,697,975.93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2,150,156.96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467,679.56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467,679.56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1"/>
              <w:ind w:left="22" w:right="17" w:firstLine="90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）处 置子公司减少</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467,679.56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467,679.56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2,335,171.13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9,782,025.58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12,117,196.71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7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32"/>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11,041,850.87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2,844,305.34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13,886,156.21</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14,207,730.34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2,340,300.21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16,548,030.55</w:t>
            </w:r>
          </w:p>
        </w:tc>
      </w:tr>
    </w:tbl>
    <w:p>
      <w:pPr>
        <w:pStyle w:val="BodyText"/>
        <w:spacing w:line="240" w:lineRule="auto" w:before="51"/>
        <w:ind w:left="1134" w:right="0"/>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0.00%</w:t>
      </w:r>
      <w:r>
        <w:rPr/>
        <w:t>。</w:t>
      </w:r>
    </w:p>
    <w:p>
      <w:pPr>
        <w:spacing w:line="240" w:lineRule="auto" w:before="0"/>
        <w:rPr>
          <w:rFonts w:ascii="宋体" w:hAnsi="宋体" w:cs="宋体" w:eastAsia="宋体" w:hint="default"/>
          <w:sz w:val="18"/>
          <w:szCs w:val="18"/>
        </w:rPr>
      </w:pPr>
    </w:p>
    <w:p>
      <w:pPr>
        <w:spacing w:before="135"/>
        <w:ind w:left="1133" w:right="0" w:firstLine="0"/>
        <w:jc w:val="left"/>
        <w:rPr>
          <w:rFonts w:ascii="宋体" w:hAnsi="宋体" w:cs="宋体" w:eastAsia="宋体" w:hint="default"/>
          <w:sz w:val="18"/>
          <w:szCs w:val="18"/>
        </w:rPr>
      </w:pPr>
      <w:bookmarkStart w:name="13、长期待摊费用" w:id="253"/>
      <w:bookmarkEnd w:id="253"/>
      <w:r>
        <w:rPr/>
      </w:r>
      <w:r>
        <w:rPr>
          <w:rFonts w:ascii="Times New Roman" w:hAnsi="Times New Roman" w:cs="Times New Roman" w:eastAsia="Times New Roman" w:hint="default"/>
          <w:b/>
          <w:bCs/>
          <w:sz w:val="21"/>
          <w:szCs w:val="21"/>
        </w:rPr>
        <w:t>13</w:t>
      </w:r>
      <w:r>
        <w:rPr>
          <w:rFonts w:ascii="宋体" w:hAnsi="宋体" w:cs="宋体" w:eastAsia="宋体" w:hint="default"/>
          <w:b/>
          <w:bCs/>
          <w:sz w:val="18"/>
          <w:szCs w:val="18"/>
        </w:rPr>
        <w:t>、长期待摊费用</w:t>
      </w:r>
      <w:r>
        <w:rPr>
          <w:rFonts w:ascii="宋体" w:hAnsi="宋体" w:cs="宋体" w:eastAsia="宋体" w:hint="default"/>
          <w:sz w:val="18"/>
          <w:szCs w:val="18"/>
        </w:rPr>
      </w:r>
    </w:p>
    <w:p>
      <w:pPr>
        <w:spacing w:line="240" w:lineRule="auto" w:before="5"/>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预付技术支持款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150,281.90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72,135.36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78,146.54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150,281.90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72,135.36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78,146.54</w:t>
            </w:r>
          </w:p>
        </w:tc>
      </w:tr>
    </w:tbl>
    <w:p>
      <w:pPr>
        <w:pStyle w:val="BodyText"/>
        <w:spacing w:line="240" w:lineRule="auto" w:before="51"/>
        <w:ind w:left="1134"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41"/>
        <w:ind w:left="1133" w:right="0"/>
        <w:jc w:val="left"/>
        <w:rPr>
          <w:b w:val="0"/>
          <w:bCs w:val="0"/>
        </w:rPr>
      </w:pPr>
      <w:bookmarkStart w:name="14、递延所得税资产/递延所得税负债" w:id="254"/>
      <w:bookmarkEnd w:id="254"/>
      <w:r>
        <w:rPr>
          <w:b w:val="0"/>
          <w:bCs w:val="0"/>
        </w:rPr>
      </w:r>
      <w:r>
        <w:rPr>
          <w:rFonts w:ascii="Times New Roman" w:hAnsi="Times New Roman" w:cs="Times New Roman" w:eastAsia="Times New Roman" w:hint="default"/>
        </w:rPr>
        <w:t>14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30"/>
        <w:ind w:left="1133" w:right="0"/>
        <w:jc w:val="left"/>
        <w:rPr>
          <w:b w:val="0"/>
          <w:bCs w:val="0"/>
        </w:rPr>
      </w:pPr>
      <w:bookmarkStart w:name="（1）未经抵销的递延所得税资产" w:id="255"/>
      <w:bookmarkEnd w:id="255"/>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35,211,071.97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5,281,772.78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30,233,822.15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4,543,021.74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4,552,659.13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682,898.87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99,700.80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14,955.12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2,989,113.11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747,278.28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确认为递延收益的政府 补助</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13,835,799.25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2,075,369.89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17,303,716.61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2,595,557.49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预提物流项目质保费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15,218,201.83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2,261,607.33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14,657,774.73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2,229,152.63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暂估费用</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13,288,194.44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1,918,891.21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股权激励计划</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9,450,864.00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1,417,629.60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预缴税项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127,817.21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19,172.58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91,178,951.22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14,404,620.54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62,295,014.29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9,382,686.98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Heading4"/>
        <w:spacing w:line="240" w:lineRule="auto" w:before="44"/>
        <w:ind w:left="1133" w:right="0"/>
        <w:jc w:val="left"/>
        <w:rPr>
          <w:b w:val="0"/>
          <w:bCs w:val="0"/>
        </w:rPr>
      </w:pPr>
      <w:bookmarkStart w:name="（2）未经抵销的递延所得税负债" w:id="256"/>
      <w:bookmarkEnd w:id="256"/>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固定资产加速折旧</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268,245.92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33,530.74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190,979.16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47,744.79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递延税项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288,665.68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72,166.42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556,911.60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105,697.16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190,979.16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47,744.79</w:t>
            </w:r>
          </w:p>
        </w:tc>
      </w:tr>
    </w:tbl>
    <w:p>
      <w:pPr>
        <w:spacing w:line="240" w:lineRule="auto" w:before="6"/>
        <w:rPr>
          <w:rFonts w:ascii="宋体" w:hAnsi="宋体" w:cs="宋体" w:eastAsia="宋体" w:hint="default"/>
          <w:sz w:val="20"/>
          <w:szCs w:val="20"/>
        </w:rPr>
      </w:pPr>
    </w:p>
    <w:p>
      <w:pPr>
        <w:pStyle w:val="Heading4"/>
        <w:spacing w:line="240" w:lineRule="auto" w:before="44"/>
        <w:ind w:right="0"/>
        <w:jc w:val="left"/>
        <w:rPr>
          <w:b w:val="0"/>
          <w:bCs w:val="0"/>
        </w:rPr>
      </w:pPr>
      <w:bookmarkStart w:name="（3）以抵销后净额列示的递延所得税资产或负债" w:id="257"/>
      <w:bookmarkEnd w:id="257"/>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161"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1"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14,404,620.54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9,382,686.98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105,697.16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47,744.79</w:t>
            </w:r>
          </w:p>
        </w:tc>
      </w:tr>
    </w:tbl>
    <w:p>
      <w:pPr>
        <w:spacing w:line="240" w:lineRule="auto" w:before="6"/>
        <w:rPr>
          <w:rFonts w:ascii="宋体" w:hAnsi="宋体" w:cs="宋体" w:eastAsia="宋体" w:hint="default"/>
          <w:sz w:val="20"/>
          <w:szCs w:val="20"/>
        </w:rPr>
      </w:pPr>
    </w:p>
    <w:p>
      <w:pPr>
        <w:pStyle w:val="Heading4"/>
        <w:spacing w:line="240" w:lineRule="auto" w:before="44"/>
        <w:ind w:right="0"/>
        <w:jc w:val="left"/>
        <w:rPr>
          <w:b w:val="0"/>
          <w:bCs w:val="0"/>
        </w:rPr>
      </w:pPr>
      <w:bookmarkStart w:name="（4）未确认递延所得税资产明细" w:id="258"/>
      <w:bookmarkEnd w:id="258"/>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337.82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244,408.38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276,999.02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244,746.20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276,999.02</w:t>
            </w:r>
          </w:p>
        </w:tc>
      </w:tr>
    </w:tbl>
    <w:p>
      <w:pPr>
        <w:spacing w:line="240" w:lineRule="auto" w:before="6"/>
        <w:rPr>
          <w:rFonts w:ascii="宋体" w:hAnsi="宋体" w:cs="宋体" w:eastAsia="宋体" w:hint="default"/>
          <w:sz w:val="20"/>
          <w:szCs w:val="20"/>
        </w:rPr>
      </w:pPr>
    </w:p>
    <w:p>
      <w:pPr>
        <w:pStyle w:val="Heading4"/>
        <w:spacing w:line="240" w:lineRule="auto" w:before="44"/>
        <w:ind w:right="0"/>
        <w:jc w:val="left"/>
        <w:rPr>
          <w:b w:val="0"/>
          <w:bCs w:val="0"/>
        </w:rPr>
      </w:pPr>
      <w:bookmarkStart w:name="（5）未确认递延所得税资产的可抵扣亏损将于以下年度到期" w:id="259"/>
      <w:bookmarkEnd w:id="259"/>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2019</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2020</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2021</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276,999.02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2022</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244,408.38</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244,408.38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276,999.02</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pStyle w:val="BodyText"/>
        <w:spacing w:line="316" w:lineRule="auto" w:before="116"/>
        <w:ind w:left="1134" w:right="0" w:firstLine="290"/>
        <w:jc w:val="left"/>
      </w:pPr>
      <w:r>
        <w:rPr>
          <w:spacing w:val="-1"/>
        </w:rPr>
        <w:t>由于北京今天华迅智能技术有限公司系本期末新成立公司，其业务发展尚具有不确定性，未来能否获得足够的应纳税所</w:t>
      </w:r>
      <w:r>
        <w:rPr/>
        <w:t> 得额具有不确定性，因此没有确认为递延所得税资产的可抵扣暂时性差异和可抵扣亏损。</w:t>
      </w:r>
    </w:p>
    <w:p>
      <w:pPr>
        <w:spacing w:after="0" w:line="316"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Heading4"/>
        <w:spacing w:line="240" w:lineRule="auto" w:before="44"/>
        <w:ind w:left="1133" w:right="0"/>
        <w:jc w:val="left"/>
        <w:rPr>
          <w:b w:val="0"/>
          <w:bCs w:val="0"/>
        </w:rPr>
      </w:pPr>
      <w:bookmarkStart w:name="15、其他非流动资产" w:id="260"/>
      <w:bookmarkEnd w:id="260"/>
      <w:r>
        <w:rPr>
          <w:b w:val="0"/>
          <w:bCs w:val="0"/>
        </w:rPr>
      </w:r>
      <w:r>
        <w:rPr>
          <w:rFonts w:ascii="Times New Roman" w:hAnsi="Times New Roman" w:cs="Times New Roman" w:eastAsia="Times New Roman" w:hint="default"/>
        </w:rPr>
        <w:t>15</w:t>
      </w:r>
      <w:r>
        <w:rPr/>
        <w:t>、其他非流动资产</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预付购房款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8,330,563.29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8,330,563.29</w:t>
            </w:r>
          </w:p>
        </w:tc>
      </w:tr>
    </w:tbl>
    <w:p>
      <w:pPr>
        <w:pStyle w:val="BodyText"/>
        <w:spacing w:line="240" w:lineRule="auto" w:before="51"/>
        <w:ind w:left="1134"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39"/>
        <w:ind w:left="1133" w:right="0"/>
        <w:jc w:val="left"/>
        <w:rPr>
          <w:b w:val="0"/>
          <w:bCs w:val="0"/>
        </w:rPr>
      </w:pPr>
      <w:bookmarkStart w:name="16、应付票据" w:id="261"/>
      <w:bookmarkEnd w:id="261"/>
      <w:r>
        <w:rPr>
          <w:b w:val="0"/>
          <w:bCs w:val="0"/>
        </w:rPr>
      </w:r>
      <w:r>
        <w:rPr>
          <w:rFonts w:ascii="Times New Roman" w:hAnsi="Times New Roman" w:cs="Times New Roman" w:eastAsia="Times New Roman" w:hint="default"/>
        </w:rPr>
        <w:t>16</w:t>
      </w:r>
      <w:r>
        <w:rPr/>
        <w:t>、应付票据</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11,656,740.00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1,952,400.00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11,656,740.00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1,952,400.00</w:t>
            </w:r>
          </w:p>
        </w:tc>
      </w:tr>
    </w:tbl>
    <w:p>
      <w:pPr>
        <w:pStyle w:val="BodyText"/>
        <w:spacing w:line="240" w:lineRule="auto" w:before="51"/>
        <w:ind w:left="1134" w:right="0"/>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0"/>
        <w:rPr>
          <w:rFonts w:ascii="宋体" w:hAnsi="宋体" w:cs="宋体" w:eastAsia="宋体" w:hint="default"/>
          <w:sz w:val="18"/>
          <w:szCs w:val="18"/>
        </w:rPr>
      </w:pPr>
    </w:p>
    <w:p>
      <w:pPr>
        <w:pStyle w:val="Heading4"/>
        <w:spacing w:line="240" w:lineRule="auto" w:before="126"/>
        <w:ind w:right="0"/>
        <w:jc w:val="left"/>
        <w:rPr>
          <w:b w:val="0"/>
          <w:bCs w:val="0"/>
        </w:rPr>
      </w:pPr>
      <w:bookmarkStart w:name="17、应付账款" w:id="262"/>
      <w:bookmarkEnd w:id="262"/>
      <w:r>
        <w:rPr>
          <w:b w:val="0"/>
          <w:bCs w:val="0"/>
        </w:rPr>
      </w:r>
      <w:r>
        <w:rPr>
          <w:rFonts w:ascii="Times New Roman" w:hAnsi="Times New Roman" w:cs="Times New Roman" w:eastAsia="Times New Roman" w:hint="default"/>
        </w:rPr>
        <w:t>17</w:t>
      </w:r>
      <w:r>
        <w:rPr/>
        <w:t>、应付账款</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9"/>
        <w:ind w:right="0"/>
        <w:jc w:val="left"/>
        <w:rPr>
          <w:b w:val="0"/>
          <w:bCs w:val="0"/>
        </w:rPr>
      </w:pPr>
      <w:bookmarkStart w:name="（1）应付账款列示" w:id="263"/>
      <w:bookmarkEnd w:id="263"/>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191,984,600.14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124,288,586.87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191,984,600.14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124,288,586.87</w:t>
            </w:r>
          </w:p>
        </w:tc>
      </w:tr>
    </w:tbl>
    <w:p>
      <w:pPr>
        <w:spacing w:line="240" w:lineRule="auto" w:before="6"/>
        <w:rPr>
          <w:rFonts w:ascii="宋体" w:hAnsi="宋体" w:cs="宋体" w:eastAsia="宋体" w:hint="default"/>
          <w:sz w:val="20"/>
          <w:szCs w:val="20"/>
        </w:rPr>
      </w:pPr>
    </w:p>
    <w:p>
      <w:pPr>
        <w:pStyle w:val="Heading4"/>
        <w:spacing w:line="240" w:lineRule="auto" w:before="44"/>
        <w:ind w:right="0"/>
        <w:jc w:val="left"/>
        <w:rPr>
          <w:b w:val="0"/>
          <w:bCs w:val="0"/>
        </w:rPr>
      </w:pPr>
      <w:bookmarkStart w:name="（2）账龄超过1年的重要应付账款" w:id="264"/>
      <w:bookmarkEnd w:id="264"/>
      <w:r>
        <w:rPr>
          <w:b w:val="0"/>
          <w:bCs w:val="0"/>
        </w:rPr>
      </w:r>
      <w:r>
        <w:rPr/>
        <w:t>（</w:t>
      </w:r>
      <w:r>
        <w:rPr>
          <w:rFonts w:ascii="Times New Roman" w:hAnsi="Times New Roman" w:cs="Times New Roman" w:eastAsia="Times New Roman" w:hint="default"/>
        </w:rPr>
        <w:t>2</w:t>
      </w:r>
      <w:r>
        <w:rPr/>
        <w:t>）账龄超过</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旭龙昇（香港）光电科技有限公司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7,946,850.95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7,946,850.95</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39"/>
        <w:ind w:left="1133" w:right="0"/>
        <w:jc w:val="left"/>
        <w:rPr>
          <w:b w:val="0"/>
          <w:bCs w:val="0"/>
        </w:rPr>
      </w:pPr>
      <w:bookmarkStart w:name="18、预收款项" w:id="265"/>
      <w:bookmarkEnd w:id="265"/>
      <w:r>
        <w:rPr>
          <w:b w:val="0"/>
          <w:bCs w:val="0"/>
        </w:rPr>
      </w:r>
      <w:r>
        <w:rPr>
          <w:rFonts w:ascii="Times New Roman" w:hAnsi="Times New Roman" w:cs="Times New Roman" w:eastAsia="Times New Roman" w:hint="default"/>
        </w:rPr>
        <w:t>18</w:t>
      </w:r>
      <w:r>
        <w:rPr/>
        <w:t>、预收款项</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9"/>
        <w:ind w:right="0"/>
        <w:jc w:val="left"/>
        <w:rPr>
          <w:b w:val="0"/>
          <w:bCs w:val="0"/>
        </w:rPr>
      </w:pPr>
      <w:bookmarkStart w:name="（1）预收款项列示" w:id="266"/>
      <w:bookmarkEnd w:id="266"/>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预收项目款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110,753,457.95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151,525,033.89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110,753,457.95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151,525,033.89</w:t>
            </w:r>
          </w:p>
        </w:tc>
      </w:tr>
    </w:tbl>
    <w:p>
      <w:pPr>
        <w:spacing w:line="240" w:lineRule="auto" w:before="6"/>
        <w:rPr>
          <w:rFonts w:ascii="宋体" w:hAnsi="宋体" w:cs="宋体" w:eastAsia="宋体" w:hint="default"/>
          <w:sz w:val="20"/>
          <w:szCs w:val="20"/>
        </w:rPr>
      </w:pPr>
    </w:p>
    <w:p>
      <w:pPr>
        <w:pStyle w:val="Heading4"/>
        <w:spacing w:line="240" w:lineRule="auto" w:before="44"/>
        <w:ind w:right="0"/>
        <w:jc w:val="left"/>
        <w:rPr>
          <w:b w:val="0"/>
          <w:bCs w:val="0"/>
        </w:rPr>
      </w:pPr>
      <w:bookmarkStart w:name="（2）账龄超过1年的重要预收款项" w:id="267"/>
      <w:bookmarkEnd w:id="267"/>
      <w:r>
        <w:rPr>
          <w:b w:val="0"/>
          <w:bCs w:val="0"/>
        </w:rPr>
      </w:r>
      <w:r>
        <w:rPr/>
        <w:t>（</w:t>
      </w:r>
      <w:r>
        <w:rPr>
          <w:rFonts w:ascii="Times New Roman" w:hAnsi="Times New Roman" w:cs="Times New Roman" w:eastAsia="Times New Roman" w:hint="default"/>
        </w:rPr>
        <w:t>2</w:t>
      </w:r>
      <w:r>
        <w:rPr/>
        <w:t>）账龄超过</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安徽中烟工业有限责任公司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66,031,346.52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项目未完成</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深圳市伟创自动化设备有限公司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项目未完成</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75,331,346.52</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宋体" w:hAnsi="宋体" w:cs="宋体" w:eastAsia="宋体" w:hint="default"/>
          <w:sz w:val="20"/>
          <w:szCs w:val="20"/>
        </w:rPr>
      </w:pPr>
    </w:p>
    <w:p>
      <w:pPr>
        <w:pStyle w:val="Heading4"/>
        <w:spacing w:line="240" w:lineRule="auto" w:before="44"/>
        <w:ind w:right="0"/>
        <w:jc w:val="left"/>
        <w:rPr>
          <w:b w:val="0"/>
          <w:bCs w:val="0"/>
        </w:rPr>
      </w:pPr>
      <w:bookmarkStart w:name="19、应付职工薪酬" w:id="268"/>
      <w:bookmarkEnd w:id="268"/>
      <w:r>
        <w:rPr>
          <w:b w:val="0"/>
          <w:bCs w:val="0"/>
        </w:rPr>
      </w:r>
      <w:r>
        <w:rPr>
          <w:rFonts w:ascii="Times New Roman" w:hAnsi="Times New Roman" w:cs="Times New Roman" w:eastAsia="Times New Roman" w:hint="default"/>
        </w:rPr>
        <w:t>19</w:t>
      </w:r>
      <w:r>
        <w:rPr/>
        <w:t>、应付职工薪酬</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8"/>
        <w:ind w:right="0"/>
        <w:jc w:val="left"/>
        <w:rPr>
          <w:b w:val="0"/>
          <w:bCs w:val="0"/>
        </w:rPr>
      </w:pPr>
      <w:bookmarkStart w:name="（1）应付职工薪酬列示" w:id="269"/>
      <w:bookmarkEnd w:id="269"/>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8,228,204.67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60,699,536.49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58,023,536.05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10,904,205.11</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4,809,259.99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4,772,439.85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36,820.14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194,633.61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194,633.61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7"/>
              <w:ind w:right="21"/>
              <w:jc w:val="right"/>
              <w:rPr>
                <w:rFonts w:ascii="Times New Roman" w:hAnsi="Times New Roman" w:cs="Times New Roman" w:eastAsia="Times New Roman" w:hint="default"/>
                <w:sz w:val="12"/>
                <w:szCs w:val="12"/>
              </w:rPr>
            </w:pPr>
            <w:r>
              <w:rPr>
                <w:rFonts w:ascii="Times New Roman"/>
                <w:spacing w:val="-1"/>
                <w:sz w:val="18"/>
              </w:rPr>
              <w:t>8,228,204.67</w:t>
            </w:r>
            <w:r>
              <w:rPr>
                <w:rFonts w:ascii="Times New Roman"/>
                <w:color w:val="FF0000"/>
                <w:spacing w:val="-1"/>
                <w:position w:val="8"/>
                <w:sz w:val="12"/>
              </w:rPr>
              <w:t>03</w:t>
            </w:r>
            <w:r>
              <w:rPr>
                <w:rFonts w:ascii="Times New Roman"/>
                <w:spacing w:val="-1"/>
                <w:sz w:val="12"/>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65,703,430.09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Times New Roman" w:hAnsi="Times New Roman" w:cs="Times New Roman" w:eastAsia="Times New Roman" w:hint="default"/>
                <w:sz w:val="12"/>
                <w:szCs w:val="12"/>
              </w:rPr>
            </w:pPr>
            <w:r>
              <w:rPr>
                <w:rFonts w:ascii="Times New Roman"/>
                <w:spacing w:val="-1"/>
                <w:sz w:val="18"/>
              </w:rPr>
              <w:t>62,990,609.51</w:t>
            </w:r>
            <w:r>
              <w:rPr>
                <w:rFonts w:ascii="Times New Roman"/>
                <w:color w:val="FF0000"/>
                <w:spacing w:val="-1"/>
                <w:position w:val="8"/>
                <w:sz w:val="12"/>
              </w:rPr>
              <w:t>04</w:t>
            </w:r>
            <w:r>
              <w:rPr>
                <w:rFonts w:ascii="Times New Roman"/>
                <w:spacing w:val="-1"/>
                <w:sz w:val="12"/>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10,941,025.25</w:t>
            </w:r>
          </w:p>
        </w:tc>
      </w:tr>
    </w:tbl>
    <w:p>
      <w:pPr>
        <w:pStyle w:val="BodyText"/>
        <w:spacing w:line="240" w:lineRule="auto" w:before="51"/>
        <w:ind w:left="1134" w:right="0"/>
        <w:jc w:val="left"/>
      </w:pPr>
      <w:r>
        <w:rPr/>
        <w:t>注：</w:t>
      </w:r>
      <w:r>
        <w:rPr>
          <w:rFonts w:ascii="Times New Roman" w:hAnsi="Times New Roman" w:cs="Times New Roman" w:eastAsia="Times New Roman" w:hint="default"/>
        </w:rPr>
        <w:t>03  </w:t>
      </w:r>
      <w:r>
        <w:rPr/>
        <w:t>期初余额，包含报告期内已转让的子公司新阳物流的应付职工薪酬期初余额</w:t>
      </w:r>
      <w:r>
        <w:rPr>
          <w:spacing w:val="-46"/>
        </w:rPr>
        <w:t> </w:t>
      </w:r>
      <w:r>
        <w:rPr>
          <w:rFonts w:ascii="Times New Roman" w:hAnsi="Times New Roman" w:cs="Times New Roman" w:eastAsia="Times New Roman" w:hint="default"/>
        </w:rPr>
        <w:t>17253.91 </w:t>
      </w:r>
      <w:r>
        <w:rPr/>
        <w:t>元。</w:t>
      </w:r>
    </w:p>
    <w:p>
      <w:pPr>
        <w:pStyle w:val="BodyText"/>
        <w:spacing w:line="240" w:lineRule="auto" w:before="103"/>
        <w:ind w:left="1134" w:right="0"/>
        <w:jc w:val="left"/>
      </w:pPr>
      <w:r>
        <w:rPr>
          <w:rFonts w:ascii="Times New Roman" w:hAnsi="Times New Roman" w:cs="Times New Roman" w:eastAsia="Times New Roman" w:hint="default"/>
        </w:rPr>
        <w:t>04  </w:t>
      </w:r>
      <w:r>
        <w:rPr/>
        <w:t>本期减少，包含报告期内因已转让子公司新阳物流导致的应付职工薪酬的减少额</w:t>
      </w:r>
      <w:r>
        <w:rPr>
          <w:spacing w:val="-45"/>
        </w:rPr>
        <w:t> </w:t>
      </w:r>
      <w:r>
        <w:rPr>
          <w:rFonts w:ascii="Times New Roman" w:hAnsi="Times New Roman" w:cs="Times New Roman" w:eastAsia="Times New Roman" w:hint="default"/>
        </w:rPr>
        <w:t>17253.91 </w:t>
      </w:r>
      <w:r>
        <w:rPr/>
        <w:t>元。</w:t>
      </w:r>
    </w:p>
    <w:p>
      <w:pPr>
        <w:spacing w:line="240" w:lineRule="auto" w:before="0"/>
        <w:rPr>
          <w:rFonts w:ascii="宋体" w:hAnsi="宋体" w:cs="宋体" w:eastAsia="宋体" w:hint="default"/>
          <w:sz w:val="18"/>
          <w:szCs w:val="18"/>
        </w:rPr>
      </w:pPr>
    </w:p>
    <w:p>
      <w:pPr>
        <w:pStyle w:val="Heading4"/>
        <w:spacing w:line="240" w:lineRule="auto" w:before="126"/>
        <w:ind w:right="0"/>
        <w:jc w:val="left"/>
        <w:rPr>
          <w:b w:val="0"/>
          <w:bCs w:val="0"/>
        </w:rPr>
      </w:pPr>
      <w:bookmarkStart w:name="（2）短期薪酬列示" w:id="270"/>
      <w:bookmarkEnd w:id="270"/>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8,228,204.67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56,778,996.87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54,162,661.08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10,844,540.46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284,117.65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284,117.65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1,697,564.37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1,676,969.72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20,594.65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1,433,449.48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1,413,427.40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20,022.08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100,974.29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100,401.72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572.57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163,140.60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163,140.60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1,938,857.60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1,899,787.60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39,070.00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8,228,204.67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60,699,536.49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58,023,536.05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10,904,205.11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Heading4"/>
        <w:spacing w:line="240" w:lineRule="auto" w:before="44"/>
        <w:ind w:left="1133" w:right="0"/>
        <w:jc w:val="left"/>
        <w:rPr>
          <w:b w:val="0"/>
          <w:bCs w:val="0"/>
        </w:rPr>
      </w:pPr>
      <w:bookmarkStart w:name="（3）设定提存计划列示" w:id="271"/>
      <w:bookmarkEnd w:id="271"/>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4,698,369.35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4,662,772.98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35,596.37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110,890.64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109,666.87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1,223.77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4,809,259.99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4,772,439.85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36,820.14</w:t>
            </w:r>
          </w:p>
        </w:tc>
      </w:tr>
    </w:tbl>
    <w:p>
      <w:pPr>
        <w:pStyle w:val="BodyText"/>
        <w:spacing w:line="240" w:lineRule="auto" w:before="51"/>
        <w:ind w:left="1134"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39"/>
        <w:ind w:left="1133" w:right="0"/>
        <w:jc w:val="left"/>
        <w:rPr>
          <w:b w:val="0"/>
          <w:bCs w:val="0"/>
        </w:rPr>
      </w:pPr>
      <w:bookmarkStart w:name="20、应交税费" w:id="272"/>
      <w:bookmarkEnd w:id="272"/>
      <w:r>
        <w:rPr>
          <w:b w:val="0"/>
          <w:bCs w:val="0"/>
        </w:rPr>
      </w:r>
      <w:r>
        <w:rPr>
          <w:rFonts w:ascii="Times New Roman" w:hAnsi="Times New Roman" w:cs="Times New Roman" w:eastAsia="Times New Roman" w:hint="default"/>
        </w:rPr>
        <w:t>20</w:t>
      </w:r>
      <w:r>
        <w:rPr/>
        <w:t>、应交税费</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6,731,358.33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5,563,511.67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3,606,467.90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2,318,412.98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396,444.89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295,332.90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2,918,729.65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2,928,780.05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2,084,806.89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2,091,985.76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68,507.63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59,375.62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27,498.91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27,920.74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281,918.62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304,819.82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16,115,732.82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13,590,139.54</w:t>
            </w:r>
          </w:p>
        </w:tc>
      </w:tr>
    </w:tbl>
    <w:p>
      <w:pPr>
        <w:pStyle w:val="BodyText"/>
        <w:spacing w:line="240" w:lineRule="auto" w:before="51"/>
        <w:ind w:left="1134"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39"/>
        <w:ind w:left="1133" w:right="0"/>
        <w:jc w:val="left"/>
        <w:rPr>
          <w:b w:val="0"/>
          <w:bCs w:val="0"/>
        </w:rPr>
      </w:pPr>
      <w:bookmarkStart w:name="21、应付利息" w:id="273"/>
      <w:bookmarkEnd w:id="273"/>
      <w:r>
        <w:rPr>
          <w:b w:val="0"/>
          <w:bCs w:val="0"/>
        </w:rPr>
      </w:r>
      <w:r>
        <w:rPr>
          <w:rFonts w:ascii="Times New Roman" w:hAnsi="Times New Roman" w:cs="Times New Roman" w:eastAsia="Times New Roman" w:hint="default"/>
        </w:rPr>
        <w:t>21</w:t>
      </w:r>
      <w:r>
        <w:rPr/>
        <w:t>、应付利息</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130,334.72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123,368.05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130,334.72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123,368.05</w:t>
            </w:r>
          </w:p>
        </w:tc>
      </w:tr>
    </w:tbl>
    <w:p>
      <w:pPr>
        <w:pStyle w:val="BodyText"/>
        <w:spacing w:line="240" w:lineRule="auto" w:before="51"/>
        <w:ind w:left="1134" w:right="0"/>
        <w:jc w:val="left"/>
      </w:pPr>
      <w:r>
        <w:rPr/>
        <w:t>重要的已逾期未支付的利息情况：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9853"/>
        <w:jc w:val="left"/>
      </w:pPr>
      <w:r>
        <w:rPr/>
        <w:t>其他说明： 不适用</w:t>
      </w:r>
    </w:p>
    <w:p>
      <w:pPr>
        <w:spacing w:after="0" w:line="357"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Heading4"/>
        <w:spacing w:line="240" w:lineRule="auto" w:before="44"/>
        <w:ind w:left="1133" w:right="0"/>
        <w:jc w:val="left"/>
        <w:rPr>
          <w:b w:val="0"/>
          <w:bCs w:val="0"/>
        </w:rPr>
      </w:pPr>
      <w:bookmarkStart w:name="22、其他应付款" w:id="274"/>
      <w:bookmarkEnd w:id="274"/>
      <w:r>
        <w:rPr>
          <w:b w:val="0"/>
          <w:bCs w:val="0"/>
        </w:rPr>
      </w:r>
      <w:r>
        <w:rPr>
          <w:rFonts w:ascii="Times New Roman" w:hAnsi="Times New Roman" w:cs="Times New Roman" w:eastAsia="Times New Roman" w:hint="default"/>
        </w:rPr>
        <w:t>22</w:t>
      </w:r>
      <w:r>
        <w:rPr/>
        <w:t>、其他应付款</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8"/>
        <w:ind w:right="0"/>
        <w:jc w:val="left"/>
        <w:rPr>
          <w:b w:val="0"/>
          <w:bCs w:val="0"/>
        </w:rPr>
      </w:pPr>
      <w:bookmarkStart w:name="（1）按款项性质列示其他应付款" w:id="275"/>
      <w:bookmarkEnd w:id="275"/>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暂估实施费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13,287,810.44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9,252,310.91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1,125,911.75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931,399.96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股份支付回购义务款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49,800,960.00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64,214,682.19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10,183,710.87</w:t>
            </w:r>
          </w:p>
        </w:tc>
      </w:tr>
    </w:tbl>
    <w:p>
      <w:pPr>
        <w:spacing w:line="240" w:lineRule="auto" w:before="6"/>
        <w:rPr>
          <w:rFonts w:ascii="宋体" w:hAnsi="宋体" w:cs="宋体" w:eastAsia="宋体" w:hint="default"/>
          <w:sz w:val="20"/>
          <w:szCs w:val="20"/>
        </w:rPr>
      </w:pPr>
    </w:p>
    <w:p>
      <w:pPr>
        <w:pStyle w:val="Heading4"/>
        <w:spacing w:line="240" w:lineRule="auto" w:before="44"/>
        <w:ind w:right="0"/>
        <w:jc w:val="left"/>
        <w:rPr>
          <w:b w:val="0"/>
          <w:bCs w:val="0"/>
        </w:rPr>
      </w:pPr>
      <w:bookmarkStart w:name="23、一年内到期的非流动负债" w:id="276"/>
      <w:bookmarkEnd w:id="276"/>
      <w:r>
        <w:rPr>
          <w:b w:val="0"/>
          <w:bCs w:val="0"/>
        </w:rPr>
      </w:r>
      <w:r>
        <w:rPr>
          <w:rFonts w:ascii="Times New Roman" w:hAnsi="Times New Roman" w:cs="Times New Roman" w:eastAsia="Times New Roman" w:hint="default"/>
        </w:rPr>
        <w:t>23</w:t>
      </w:r>
      <w:r>
        <w:rPr/>
        <w:t>、一年内到期的非流动负债</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10,000,000.00</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14"/>
          <w:szCs w:val="14"/>
        </w:rPr>
      </w:pPr>
    </w:p>
    <w:p>
      <w:pPr>
        <w:pStyle w:val="BodyText"/>
        <w:spacing w:line="451" w:lineRule="auto"/>
        <w:ind w:right="1211" w:firstLine="362"/>
        <w:jc w:val="left"/>
      </w:pPr>
      <w:r>
        <w:rPr/>
        <w:t>今天国际</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23</w:t>
      </w:r>
      <w:r>
        <w:rPr/>
        <w:t>日为建设今天国际工业厂区一期向银行借入长期借款</w:t>
      </w:r>
      <w:r>
        <w:rPr>
          <w:rFonts w:ascii="Times New Roman" w:hAnsi="Times New Roman" w:cs="Times New Roman" w:eastAsia="Times New Roman" w:hint="default"/>
        </w:rPr>
        <w:t>5,000.00</w:t>
      </w:r>
      <w:r>
        <w:rPr/>
        <w:t>万元，借款期限为</w:t>
      </w:r>
      <w:r>
        <w:rPr>
          <w:rFonts w:ascii="Times New Roman" w:hAnsi="Times New Roman" w:cs="Times New Roman" w:eastAsia="Times New Roman" w:hint="default"/>
        </w:rPr>
        <w:t>36</w:t>
      </w:r>
      <w:r>
        <w:rPr/>
        <w:t>个月的长期借 款。根据合同的还款计划约定，今天国际应于</w:t>
      </w:r>
      <w:r>
        <w:rPr>
          <w:rFonts w:ascii="Times New Roman" w:hAnsi="Times New Roman" w:cs="Times New Roman" w:eastAsia="Times New Roman" w:hint="default"/>
        </w:rPr>
        <w:t>2018</w:t>
      </w:r>
      <w:r>
        <w:rPr/>
        <w:t>年上半年还款</w:t>
      </w:r>
      <w:r>
        <w:rPr>
          <w:rFonts w:ascii="Times New Roman" w:hAnsi="Times New Roman" w:cs="Times New Roman" w:eastAsia="Times New Roman" w:hint="default"/>
        </w:rPr>
        <w:t>1,500.00</w:t>
      </w:r>
      <w:r>
        <w:rPr/>
        <w:t>万元，于</w:t>
      </w:r>
      <w:r>
        <w:rPr>
          <w:rFonts w:ascii="Times New Roman" w:hAnsi="Times New Roman" w:cs="Times New Roman" w:eastAsia="Times New Roman" w:hint="default"/>
        </w:rPr>
        <w:t>2018</w:t>
      </w:r>
      <w:r>
        <w:rPr/>
        <w:t>年下半年还款</w:t>
      </w:r>
      <w:r>
        <w:rPr>
          <w:rFonts w:ascii="Times New Roman" w:hAnsi="Times New Roman" w:cs="Times New Roman" w:eastAsia="Times New Roman" w:hint="default"/>
        </w:rPr>
        <w:t>2,500.00</w:t>
      </w:r>
      <w:r>
        <w:rPr/>
        <w:t>万元。</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6"/>
          <w:szCs w:val="26"/>
        </w:rPr>
      </w:pPr>
    </w:p>
    <w:p>
      <w:pPr>
        <w:pStyle w:val="Heading4"/>
        <w:spacing w:line="240" w:lineRule="auto"/>
        <w:ind w:left="1133" w:right="0"/>
        <w:jc w:val="left"/>
        <w:rPr>
          <w:b w:val="0"/>
          <w:bCs w:val="0"/>
        </w:rPr>
      </w:pPr>
      <w:bookmarkStart w:name="24、其他流动负债" w:id="277"/>
      <w:bookmarkEnd w:id="277"/>
      <w:r>
        <w:rPr>
          <w:b w:val="0"/>
          <w:bCs w:val="0"/>
        </w:rPr>
      </w:r>
      <w:r>
        <w:rPr>
          <w:rFonts w:ascii="Times New Roman" w:hAnsi="Times New Roman" w:cs="Times New Roman" w:eastAsia="Times New Roman" w:hint="default"/>
        </w:rPr>
        <w:t>24</w:t>
      </w:r>
      <w:r>
        <w:rPr/>
        <w:t>、其他流动负债</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528,897.87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1,041,485.46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待转销项税额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41,061,057.63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36,570,853.88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41,589,955.50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37,612,339.34</w:t>
            </w:r>
          </w:p>
        </w:tc>
      </w:tr>
    </w:tbl>
    <w:p>
      <w:pPr>
        <w:pStyle w:val="BodyText"/>
        <w:spacing w:line="240" w:lineRule="auto" w:before="51"/>
        <w:ind w:left="1134" w:right="0"/>
        <w:jc w:val="left"/>
      </w:pPr>
      <w:r>
        <w:rPr/>
        <w:t>短期应付债券的增减变动：</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14"/>
          <w:szCs w:val="14"/>
        </w:rPr>
      </w:pPr>
    </w:p>
    <w:p>
      <w:pPr>
        <w:pStyle w:val="BodyText"/>
        <w:spacing w:line="451" w:lineRule="auto"/>
        <w:ind w:left="1134" w:right="1222" w:firstLine="290"/>
        <w:jc w:val="left"/>
      </w:pPr>
      <w:r>
        <w:rPr/>
        <w:t>其他流动负债</w:t>
      </w:r>
      <w:r>
        <w:rPr>
          <w:rFonts w:ascii="Times New Roman" w:hAnsi="Times New Roman" w:cs="Times New Roman" w:eastAsia="Times New Roman" w:hint="default"/>
        </w:rPr>
        <w:t>-</w:t>
      </w:r>
      <w:r>
        <w:rPr/>
        <w:t>政府补助余额余额系今天国际物流系统集成平台产业化项目补助资金及深圳市仓储智能化工程技术研究 开发中心项目将在一年内转入营业外收入的金额，该项目补助资金详见附注五、（二十七）。</w:t>
      </w:r>
    </w:p>
    <w:p>
      <w:pPr>
        <w:spacing w:after="0" w:line="451"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Heading4"/>
        <w:spacing w:line="240" w:lineRule="auto" w:before="44"/>
        <w:ind w:left="1133" w:right="0"/>
        <w:jc w:val="left"/>
        <w:rPr>
          <w:b w:val="0"/>
          <w:bCs w:val="0"/>
        </w:rPr>
      </w:pPr>
      <w:bookmarkStart w:name="25、长期借款" w:id="278"/>
      <w:bookmarkEnd w:id="278"/>
      <w:r>
        <w:rPr>
          <w:b w:val="0"/>
          <w:bCs w:val="0"/>
        </w:rPr>
      </w:r>
      <w:r>
        <w:rPr>
          <w:rFonts w:ascii="Times New Roman" w:hAnsi="Times New Roman" w:cs="Times New Roman" w:eastAsia="Times New Roman" w:hint="default"/>
        </w:rPr>
        <w:t>25</w:t>
      </w:r>
      <w:r>
        <w:rPr/>
        <w:t>、长期借款</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8"/>
        <w:ind w:right="0"/>
        <w:jc w:val="left"/>
        <w:rPr>
          <w:b w:val="0"/>
          <w:bCs w:val="0"/>
        </w:rPr>
      </w:pPr>
      <w:bookmarkStart w:name="（1）长期借款分类" w:id="279"/>
      <w:bookmarkEnd w:id="279"/>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40,000,000.00</w:t>
            </w:r>
          </w:p>
        </w:tc>
      </w:tr>
    </w:tbl>
    <w:p>
      <w:pPr>
        <w:pStyle w:val="BodyText"/>
        <w:spacing w:line="436" w:lineRule="auto" w:before="51"/>
        <w:ind w:left="1554" w:right="1128" w:hanging="420"/>
        <w:jc w:val="left"/>
      </w:pPr>
      <w:r>
        <w:rPr/>
        <w:t>长期借款分类的说明： </w:t>
      </w:r>
      <w:r>
        <w:rPr>
          <w:spacing w:val="-3"/>
        </w:rPr>
        <w:t>本公司以持有的土地使用权向银行抵押以及邵健伟、马琳的担保取得长期借款，抵押标的的账面金额详见附注五、（四</w:t>
      </w:r>
    </w:p>
    <w:p>
      <w:pPr>
        <w:pStyle w:val="BodyText"/>
        <w:spacing w:line="240" w:lineRule="auto" w:before="85"/>
        <w:ind w:left="1134" w:right="0"/>
        <w:jc w:val="left"/>
      </w:pPr>
      <w:r>
        <w:rPr/>
        <w:t>十四）所有权或使用权受到限制的资产；关联担保情况详见附注九、（四）关联交易情况。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BodyText"/>
        <w:spacing w:line="436" w:lineRule="auto"/>
        <w:ind w:left="1553" w:right="1025" w:hanging="420"/>
        <w:jc w:val="left"/>
      </w:pPr>
      <w:r>
        <w:rPr/>
        <w:t>其他说明，包括利率区间： </w:t>
      </w:r>
      <w:r>
        <w:rPr>
          <w:spacing w:val="-1"/>
        </w:rPr>
        <w:t>合同约定借款利率以基准利率加浮动利率确定，其中基准利率为合同生效日相对应档次的中国人民银行基准贷款利率，</w:t>
      </w:r>
    </w:p>
    <w:p>
      <w:pPr>
        <w:pStyle w:val="BodyText"/>
        <w:spacing w:line="477" w:lineRule="auto" w:before="85"/>
        <w:ind w:left="1134" w:right="1122"/>
        <w:jc w:val="left"/>
      </w:pPr>
      <w:r>
        <w:rPr/>
        <w:t>浮动幅度为上浮</w:t>
      </w:r>
      <w:r>
        <w:rPr>
          <w:rFonts w:ascii="宋体" w:hAnsi="宋体" w:cs="宋体" w:eastAsia="宋体" w:hint="default"/>
        </w:rPr>
        <w:t>10%</w:t>
      </w:r>
      <w:r>
        <w:rPr/>
        <w:t>。借款利率六个月为一期，一期一调整，提款人分笔提款的，一期内不论分几次提款，都按该期利率确 定日所确定的当期借款利率执行，并在下一期同时调整。</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bookmarkStart w:name="26、预计负债" w:id="280"/>
      <w:bookmarkEnd w:id="280"/>
      <w:r>
        <w:rPr>
          <w:b w:val="0"/>
          <w:bCs w:val="0"/>
        </w:rPr>
      </w:r>
      <w:r>
        <w:rPr>
          <w:rFonts w:ascii="Times New Roman" w:hAnsi="Times New Roman" w:cs="Times New Roman" w:eastAsia="Times New Roman" w:hint="default"/>
        </w:rPr>
        <w:t>26</w:t>
      </w:r>
      <w:r>
        <w:rPr/>
        <w:t>、预计负债</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66"/>
        <w:gridCol w:w="2408"/>
        <w:gridCol w:w="2392"/>
        <w:gridCol w:w="2392"/>
      </w:tblGrid>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15,218,201.83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14,657,774.73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预提完工项目质保费</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15,218,201.83</w:t>
            </w:r>
          </w:p>
        </w:tc>
        <w:tc>
          <w:tcPr>
            <w:tcW w:w="23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14,657,774.73</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436" w:lineRule="auto" w:before="51"/>
        <w:ind w:left="1554" w:right="1152" w:hanging="420"/>
        <w:jc w:val="left"/>
      </w:pPr>
      <w:r>
        <w:rPr/>
        <w:t>其他说明，包括重要预计负债的相关重要假设、估计说明： 自动化物流系统质保费是根据当期所交付的工业生产型物流系统项目收入总额的</w:t>
      </w:r>
      <w:r>
        <w:rPr>
          <w:rFonts w:ascii="宋体" w:hAnsi="宋体" w:cs="宋体" w:eastAsia="宋体" w:hint="default"/>
        </w:rPr>
        <w:t>1%</w:t>
      </w:r>
      <w:r>
        <w:rPr/>
        <w:t>以及商业配送物流系统集成项目收</w:t>
      </w:r>
    </w:p>
    <w:p>
      <w:pPr>
        <w:pStyle w:val="BodyText"/>
        <w:spacing w:line="240" w:lineRule="auto" w:before="85"/>
        <w:ind w:right="0"/>
        <w:jc w:val="left"/>
      </w:pPr>
      <w:r>
        <w:rPr/>
        <w:t>入的</w:t>
      </w:r>
      <w:r>
        <w:rPr>
          <w:rFonts w:ascii="宋体" w:hAnsi="宋体" w:cs="宋体" w:eastAsia="宋体" w:hint="default"/>
        </w:rPr>
        <w:t>1.5%</w:t>
      </w:r>
      <w:r>
        <w:rPr/>
        <w:t>予以计提，用于列支该项目在质保期内实际发生的质保费用。</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6"/>
          <w:szCs w:val="16"/>
        </w:rPr>
      </w:pPr>
    </w:p>
    <w:p>
      <w:pPr>
        <w:pStyle w:val="Heading4"/>
        <w:spacing w:line="240" w:lineRule="auto"/>
        <w:ind w:left="1133" w:right="0"/>
        <w:jc w:val="left"/>
        <w:rPr>
          <w:b w:val="0"/>
          <w:bCs w:val="0"/>
        </w:rPr>
      </w:pPr>
      <w:bookmarkStart w:name="27、递延收益" w:id="281"/>
      <w:bookmarkEnd w:id="281"/>
      <w:r>
        <w:rPr>
          <w:b w:val="0"/>
          <w:bCs w:val="0"/>
        </w:rPr>
      </w:r>
      <w:r>
        <w:rPr>
          <w:rFonts w:ascii="Times New Roman" w:hAnsi="Times New Roman" w:cs="Times New Roman" w:eastAsia="Times New Roman" w:hint="default"/>
        </w:rPr>
        <w:t>27</w:t>
      </w:r>
      <w:r>
        <w:rPr/>
        <w:t>、递延收益</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8"/>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583"/>
        <w:gridCol w:w="1596"/>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161" w:hRule="exact"/>
        </w:trPr>
        <w:tc>
          <w:tcPr>
            <w:tcW w:w="15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2" w:right="0"/>
              <w:jc w:val="left"/>
              <w:rPr>
                <w:rFonts w:ascii="Times New Roman" w:hAnsi="Times New Roman" w:cs="Times New Roman" w:eastAsia="Times New Roman" w:hint="default"/>
                <w:sz w:val="18"/>
                <w:szCs w:val="18"/>
              </w:rPr>
            </w:pPr>
            <w:r>
              <w:rPr>
                <w:rFonts w:ascii="Times New Roman"/>
                <w:sz w:val="18"/>
              </w:rPr>
              <w:t>16,262,231.20</w:t>
            </w:r>
          </w:p>
        </w:tc>
        <w:tc>
          <w:tcPr>
            <w:tcW w:w="1595"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2,955,329.82</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6" w:right="0"/>
              <w:jc w:val="left"/>
              <w:rPr>
                <w:rFonts w:ascii="Times New Roman" w:hAnsi="Times New Roman" w:cs="Times New Roman" w:eastAsia="Times New Roman" w:hint="default"/>
                <w:sz w:val="18"/>
                <w:szCs w:val="18"/>
              </w:rPr>
            </w:pPr>
            <w:r>
              <w:rPr>
                <w:rFonts w:ascii="Times New Roman"/>
                <w:sz w:val="18"/>
              </w:rPr>
              <w:t>13,306,901.38</w:t>
            </w:r>
          </w:p>
        </w:tc>
        <w:tc>
          <w:tcPr>
            <w:tcW w:w="1595"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与资产相关的政府 补助</w:t>
            </w:r>
          </w:p>
        </w:tc>
      </w:tr>
      <w:tr>
        <w:trPr>
          <w:trHeight w:val="393" w:hRule="exact"/>
        </w:trPr>
        <w:tc>
          <w:tcPr>
            <w:tcW w:w="15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522" w:right="0"/>
              <w:jc w:val="left"/>
              <w:rPr>
                <w:rFonts w:ascii="Times New Roman" w:hAnsi="Times New Roman" w:cs="Times New Roman" w:eastAsia="Times New Roman" w:hint="default"/>
                <w:sz w:val="18"/>
                <w:szCs w:val="18"/>
              </w:rPr>
            </w:pPr>
            <w:r>
              <w:rPr>
                <w:rFonts w:ascii="Times New Roman"/>
                <w:sz w:val="18"/>
              </w:rPr>
              <w:t>16,262,231.20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2,955,329.82</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526" w:right="0"/>
              <w:jc w:val="left"/>
              <w:rPr>
                <w:rFonts w:ascii="Times New Roman" w:hAnsi="Times New Roman" w:cs="Times New Roman" w:eastAsia="Times New Roman" w:hint="default"/>
                <w:sz w:val="18"/>
                <w:szCs w:val="18"/>
              </w:rPr>
            </w:pPr>
            <w:r>
              <w:rPr>
                <w:rFonts w:ascii="Times New Roman"/>
                <w:sz w:val="18"/>
              </w:rPr>
              <w:t>13,306,901.38</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涉及政府补助的项目：</w:t>
      </w:r>
    </w:p>
    <w:p>
      <w:pPr>
        <w:pStyle w:val="BodyText"/>
        <w:spacing w:line="240" w:lineRule="auto" w:before="117"/>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今天国际物 流系统集成 平台产业化 项目补助资 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22,231.21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301,485.46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279,254.25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深圳市仓储 智能化工程 技术研究开 发中心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989,999.99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233,333.34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483,333.33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自动搬运机 器人产业化 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智能物流装 备及软件产 业化项目专 项贷款财政 贴息</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7,250,000.00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-2,426,431.95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4,823,568.05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技术研发中 心及产品试 验基地建设 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现代物流高 频率移动拣 选系统研发 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16,262,231.2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1,041,485.46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-1,913,844.36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13,306,901.3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41"/>
        <w:ind w:left="1133" w:right="0"/>
        <w:jc w:val="left"/>
        <w:rPr>
          <w:b w:val="0"/>
          <w:bCs w:val="0"/>
        </w:rPr>
      </w:pPr>
      <w:bookmarkStart w:name="28、股本" w:id="282"/>
      <w:bookmarkEnd w:id="282"/>
      <w:r>
        <w:rPr>
          <w:b w:val="0"/>
          <w:bCs w:val="0"/>
        </w:rPr>
      </w:r>
      <w:r>
        <w:rPr>
          <w:rFonts w:ascii="Times New Roman" w:hAnsi="Times New Roman" w:cs="Times New Roman" w:eastAsia="Times New Roman" w:hint="default"/>
        </w:rPr>
        <w:t>28</w:t>
      </w:r>
      <w:r>
        <w:rPr/>
        <w:t>、股本</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0"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22" w:right="0"/>
              <w:jc w:val="left"/>
              <w:rPr>
                <w:rFonts w:ascii="Times New Roman" w:hAnsi="Times New Roman" w:cs="Times New Roman" w:eastAsia="Times New Roman" w:hint="default"/>
                <w:sz w:val="18"/>
                <w:szCs w:val="18"/>
              </w:rPr>
            </w:pPr>
            <w:r>
              <w:rPr>
                <w:rFonts w:ascii="Times New Roman"/>
                <w:sz w:val="18"/>
              </w:rPr>
              <w:t>84,000,000.00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67,200,000.00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9" w:right="0"/>
              <w:jc w:val="left"/>
              <w:rPr>
                <w:rFonts w:ascii="Times New Roman" w:hAnsi="Times New Roman" w:cs="Times New Roman" w:eastAsia="Times New Roman" w:hint="default"/>
                <w:sz w:val="18"/>
                <w:szCs w:val="18"/>
              </w:rPr>
            </w:pPr>
            <w:r>
              <w:rPr>
                <w:rFonts w:ascii="Times New Roman"/>
                <w:sz w:val="18"/>
              </w:rPr>
              <w:t>2,829,600.00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70,029,600.00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154,029,600.00</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14"/>
          <w:szCs w:val="14"/>
        </w:rPr>
      </w:pPr>
    </w:p>
    <w:p>
      <w:pPr>
        <w:pStyle w:val="BodyText"/>
        <w:spacing w:line="240" w:lineRule="auto"/>
        <w:ind w:left="1554" w:right="0"/>
        <w:jc w:val="left"/>
      </w:pPr>
      <w:r>
        <w:rPr/>
        <w:t>（</w:t>
      </w:r>
      <w:r>
        <w:rPr>
          <w:rFonts w:ascii="宋体" w:hAnsi="宋体" w:cs="宋体" w:eastAsia="宋体" w:hint="default"/>
        </w:rPr>
        <w:t>1</w:t>
      </w:r>
      <w:r>
        <w:rPr/>
        <w:t>）根据立信会计师事务所（特殊普通合伙）出具的信会师报字</w:t>
      </w:r>
      <w:r>
        <w:rPr>
          <w:rFonts w:ascii="宋体" w:hAnsi="宋体" w:cs="宋体" w:eastAsia="宋体" w:hint="default"/>
        </w:rPr>
        <w:t>[2017]</w:t>
      </w:r>
      <w:r>
        <w:rPr/>
        <w:t>第</w:t>
      </w:r>
      <w:r>
        <w:rPr>
          <w:rFonts w:ascii="宋体" w:hAnsi="宋体" w:cs="宋体" w:eastAsia="宋体" w:hint="default"/>
        </w:rPr>
        <w:t>ZI10602</w:t>
      </w:r>
      <w:r>
        <w:rPr/>
        <w:t>号验资报告，本公司本期按每</w:t>
      </w:r>
      <w:r>
        <w:rPr>
          <w:rFonts w:ascii="宋体" w:hAnsi="宋体" w:cs="宋体" w:eastAsia="宋体" w:hint="default"/>
        </w:rPr>
        <w:t>10</w:t>
      </w:r>
      <w:r>
        <w:rPr/>
        <w:t>股</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0"/>
        <w:jc w:val="left"/>
      </w:pPr>
      <w:r>
        <w:rPr/>
        <w:t>转增</w:t>
      </w:r>
      <w:r>
        <w:rPr>
          <w:rFonts w:ascii="宋体" w:hAnsi="宋体" w:cs="宋体" w:eastAsia="宋体" w:hint="default"/>
        </w:rPr>
        <w:t>8</w:t>
      </w:r>
      <w:r>
        <w:rPr/>
        <w:t>股的比例，以资本公积向全体股东转增股份总额</w:t>
      </w:r>
      <w:r>
        <w:rPr>
          <w:rFonts w:ascii="宋体" w:hAnsi="宋体" w:cs="宋体" w:eastAsia="宋体" w:hint="default"/>
        </w:rPr>
        <w:t>6,720</w:t>
      </w:r>
      <w:r>
        <w:rPr/>
        <w:t>万股</w:t>
      </w:r>
      <w:r>
        <w:rPr>
          <w:rFonts w:ascii="宋体" w:hAnsi="宋体" w:cs="宋体" w:eastAsia="宋体" w:hint="default"/>
        </w:rPr>
        <w:t>, </w:t>
      </w:r>
      <w:r>
        <w:rPr/>
        <w:t>每股面值</w:t>
      </w:r>
      <w:r>
        <w:rPr>
          <w:rFonts w:ascii="宋体" w:hAnsi="宋体" w:cs="宋体" w:eastAsia="宋体" w:hint="default"/>
        </w:rPr>
        <w:t>1.00</w:t>
      </w:r>
      <w:r>
        <w:rPr/>
        <w:t>元，增加股本</w:t>
      </w:r>
      <w:r>
        <w:rPr>
          <w:rFonts w:ascii="宋体" w:hAnsi="宋体" w:cs="宋体" w:eastAsia="宋体" w:hint="default"/>
        </w:rPr>
        <w:t>6,720</w:t>
      </w:r>
      <w:r>
        <w:rPr/>
        <w:t>万元。</w:t>
      </w:r>
    </w:p>
    <w:p>
      <w:pPr>
        <w:spacing w:line="240" w:lineRule="auto" w:before="10"/>
        <w:rPr>
          <w:rFonts w:ascii="宋体" w:hAnsi="宋体" w:cs="宋体" w:eastAsia="宋体" w:hint="default"/>
          <w:sz w:val="17"/>
          <w:szCs w:val="17"/>
        </w:rPr>
      </w:pPr>
    </w:p>
    <w:p>
      <w:pPr>
        <w:pStyle w:val="BodyText"/>
        <w:spacing w:line="477" w:lineRule="auto"/>
        <w:ind w:right="1169" w:firstLine="420"/>
        <w:jc w:val="both"/>
      </w:pPr>
      <w:r>
        <w:rPr/>
        <w:t>（</w:t>
      </w:r>
      <w:r>
        <w:rPr>
          <w:rFonts w:ascii="宋体" w:hAnsi="宋体" w:cs="宋体" w:eastAsia="宋体" w:hint="default"/>
        </w:rPr>
        <w:t>2</w:t>
      </w:r>
      <w:r>
        <w:rPr/>
        <w:t>）根据立信会计师事务所（特殊普通合伙）出具的信会师报字</w:t>
      </w:r>
      <w:r>
        <w:rPr>
          <w:rFonts w:ascii="宋体" w:hAnsi="宋体" w:cs="宋体" w:eastAsia="宋体" w:hint="default"/>
        </w:rPr>
        <w:t>[2017]</w:t>
      </w:r>
      <w:r>
        <w:rPr/>
        <w:t>第</w:t>
      </w:r>
      <w:r>
        <w:rPr>
          <w:rFonts w:ascii="宋体" w:hAnsi="宋体" w:cs="宋体" w:eastAsia="宋体" w:hint="default"/>
        </w:rPr>
        <w:t>ZI10603</w:t>
      </w:r>
      <w:r>
        <w:rPr/>
        <w:t>号验资报告，本公司向激励对象首 次授予限制性股票</w:t>
      </w:r>
      <w:r>
        <w:rPr>
          <w:rFonts w:ascii="宋体" w:hAnsi="宋体" w:cs="宋体" w:eastAsia="宋体" w:hint="default"/>
        </w:rPr>
        <w:t>282.96</w:t>
      </w:r>
      <w:r>
        <w:rPr/>
        <w:t>万股，每股面值</w:t>
      </w:r>
      <w:r>
        <w:rPr>
          <w:rFonts w:ascii="宋体" w:hAnsi="宋体" w:cs="宋体" w:eastAsia="宋体" w:hint="default"/>
        </w:rPr>
        <w:t>1.00</w:t>
      </w:r>
      <w:r>
        <w:rPr/>
        <w:t>元，增加股本</w:t>
      </w:r>
      <w:r>
        <w:rPr>
          <w:rFonts w:ascii="宋体" w:hAnsi="宋体" w:cs="宋体" w:eastAsia="宋体" w:hint="default"/>
        </w:rPr>
        <w:t>282.96</w:t>
      </w:r>
      <w:r>
        <w:rPr/>
        <w:t>万元。</w:t>
      </w:r>
    </w:p>
    <w:p>
      <w:pPr>
        <w:pStyle w:val="BodyText"/>
        <w:spacing w:line="477" w:lineRule="auto" w:before="54"/>
        <w:ind w:right="1139" w:firstLine="420"/>
        <w:jc w:val="both"/>
      </w:pPr>
      <w:r>
        <w:rPr/>
        <w:t>本公司本期增资前的注册资本为人民币</w:t>
      </w:r>
      <w:r>
        <w:rPr>
          <w:rFonts w:ascii="宋体" w:hAnsi="宋体" w:cs="宋体" w:eastAsia="宋体" w:hint="default"/>
        </w:rPr>
        <w:t>8,400.00</w:t>
      </w:r>
      <w:r>
        <w:rPr/>
        <w:t>万元，股本人民币</w:t>
      </w:r>
      <w:r>
        <w:rPr>
          <w:rFonts w:ascii="宋体" w:hAnsi="宋体" w:cs="宋体" w:eastAsia="宋体" w:hint="default"/>
        </w:rPr>
        <w:t>8,400.00</w:t>
      </w:r>
      <w:r>
        <w:rPr/>
        <w:t>万元，已经立信会计师事务所（特殊普通 合伙）信会师报字</w:t>
      </w:r>
      <w:r>
        <w:rPr>
          <w:rFonts w:ascii="宋体" w:hAnsi="宋体" w:cs="宋体" w:eastAsia="宋体" w:hint="default"/>
        </w:rPr>
        <w:t>[2016]</w:t>
      </w:r>
      <w:r>
        <w:rPr/>
        <w:t>第</w:t>
      </w:r>
      <w:r>
        <w:rPr>
          <w:rFonts w:ascii="宋体" w:hAnsi="宋体" w:cs="宋体" w:eastAsia="宋体" w:hint="default"/>
        </w:rPr>
        <w:t>310713</w:t>
      </w:r>
      <w:r>
        <w:rPr/>
        <w:t>号验资报告验证。截至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日止，变更后的累计注册资本为人民币</w:t>
      </w:r>
      <w:r>
        <w:rPr>
          <w:rFonts w:ascii="宋体" w:hAnsi="宋体" w:cs="宋体" w:eastAsia="宋体" w:hint="default"/>
        </w:rPr>
        <w:t>15,402.96</w:t>
      </w:r>
      <w:r>
        <w:rPr/>
        <w:t>万 元，累计股本为人民币</w:t>
      </w:r>
      <w:r>
        <w:rPr>
          <w:rFonts w:ascii="宋体" w:hAnsi="宋体" w:cs="宋体" w:eastAsia="宋体" w:hint="default"/>
        </w:rPr>
        <w:t>15,402.96</w:t>
      </w:r>
      <w:r>
        <w:rPr/>
        <w:t>万元。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18"/>
        <w:ind w:left="1133" w:right="0"/>
        <w:jc w:val="left"/>
        <w:rPr>
          <w:b w:val="0"/>
          <w:bCs w:val="0"/>
        </w:rPr>
      </w:pPr>
      <w:bookmarkStart w:name="29、资本公积" w:id="283"/>
      <w:bookmarkEnd w:id="283"/>
      <w:r>
        <w:rPr>
          <w:b w:val="0"/>
          <w:bCs w:val="0"/>
        </w:rPr>
      </w:r>
      <w:r>
        <w:rPr>
          <w:rFonts w:ascii="Times New Roman" w:hAnsi="Times New Roman" w:cs="Times New Roman" w:eastAsia="Times New Roman" w:hint="default"/>
        </w:rPr>
        <w:t>29</w:t>
      </w:r>
      <w:r>
        <w:rPr/>
        <w:t>、资本公积</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8"/>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358,537,000.35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46,971,360.00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67,200,000.00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338,308,360.35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9,450,864.00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9,450,864.00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358,537,000.35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56,422,224.00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67,200,000.00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347,759,224.35</w:t>
            </w:r>
          </w:p>
        </w:tc>
      </w:tr>
    </w:tbl>
    <w:p>
      <w:pPr>
        <w:pStyle w:val="BodyText"/>
        <w:spacing w:line="436" w:lineRule="auto" w:before="51"/>
        <w:ind w:left="1554" w:right="6612" w:hanging="420"/>
        <w:jc w:val="left"/>
      </w:pPr>
      <w:r>
        <w:rPr/>
        <w:t>其他说明，包括本期增减变动情况、变动原因说明： </w:t>
      </w:r>
      <w:r>
        <w:rPr>
          <w:rFonts w:ascii="宋体" w:hAnsi="宋体" w:cs="宋体" w:eastAsia="宋体" w:hint="default"/>
        </w:rPr>
        <w:t>1</w:t>
      </w:r>
      <w:r>
        <w:rPr/>
        <w:t>、本期资本公积增加情况说明</w:t>
      </w:r>
    </w:p>
    <w:p>
      <w:pPr>
        <w:pStyle w:val="BodyText"/>
        <w:spacing w:line="477" w:lineRule="auto" w:before="85"/>
        <w:ind w:right="1139" w:firstLine="420"/>
        <w:jc w:val="both"/>
      </w:pPr>
      <w:r>
        <w:rPr/>
        <w:t>（</w:t>
      </w:r>
      <w:r>
        <w:rPr>
          <w:rFonts w:ascii="宋体" w:hAnsi="宋体" w:cs="宋体" w:eastAsia="宋体" w:hint="default"/>
        </w:rPr>
        <w:t>1</w:t>
      </w:r>
      <w:r>
        <w:rPr/>
        <w:t>）根据立信会计师事务所（特殊普通合伙）出具的信会师报字</w:t>
      </w:r>
      <w:r>
        <w:rPr>
          <w:rFonts w:ascii="宋体" w:hAnsi="宋体" w:cs="宋体" w:eastAsia="宋体" w:hint="default"/>
        </w:rPr>
        <w:t>[2017]</w:t>
      </w:r>
      <w:r>
        <w:rPr/>
        <w:t>第</w:t>
      </w:r>
      <w:r>
        <w:rPr>
          <w:rFonts w:ascii="宋体" w:hAnsi="宋体" w:cs="宋体" w:eastAsia="宋体" w:hint="default"/>
        </w:rPr>
        <w:t>ZI10603</w:t>
      </w:r>
      <w:r>
        <w:rPr/>
        <w:t>号验资报告，本公司向激励对象首 次授予限制性股票共计募集资金人民币</w:t>
      </w:r>
      <w:r>
        <w:rPr>
          <w:rFonts w:ascii="宋体" w:hAnsi="宋体" w:cs="宋体" w:eastAsia="宋体" w:hint="default"/>
        </w:rPr>
        <w:t>49,800,960.00</w:t>
      </w:r>
      <w:r>
        <w:rPr/>
        <w:t>元。其中，计入公司“股本”人民币</w:t>
      </w:r>
      <w:r>
        <w:rPr>
          <w:rFonts w:ascii="宋体" w:hAnsi="宋体" w:cs="宋体" w:eastAsia="宋体" w:hint="default"/>
        </w:rPr>
        <w:t>2,829,600.00</w:t>
      </w:r>
      <w:r>
        <w:rPr/>
        <w:t>元，计入“资本公 积－股本溢价”人民币</w:t>
      </w:r>
      <w:r>
        <w:rPr>
          <w:rFonts w:ascii="宋体" w:hAnsi="宋体" w:cs="宋体" w:eastAsia="宋体" w:hint="default"/>
        </w:rPr>
        <w:t>46,971,360.00</w:t>
      </w:r>
      <w:r>
        <w:rPr/>
        <w:t>元。</w:t>
      </w:r>
    </w:p>
    <w:p>
      <w:pPr>
        <w:pStyle w:val="BodyText"/>
        <w:spacing w:line="477" w:lineRule="auto" w:before="54"/>
        <w:ind w:left="1553" w:right="4303"/>
        <w:jc w:val="left"/>
      </w:pPr>
      <w:r>
        <w:rPr/>
        <w:t>（</w:t>
      </w:r>
      <w:r>
        <w:rPr>
          <w:rFonts w:ascii="宋体" w:hAnsi="宋体" w:cs="宋体" w:eastAsia="宋体" w:hint="default"/>
        </w:rPr>
        <w:t>2</w:t>
      </w:r>
      <w:r>
        <w:rPr/>
        <w:t>）本期以权益结算的股份支付计入资本公积的累计金额</w:t>
      </w:r>
      <w:r>
        <w:rPr>
          <w:rFonts w:ascii="宋体" w:hAnsi="宋体" w:cs="宋体" w:eastAsia="宋体" w:hint="default"/>
        </w:rPr>
        <w:t>9,450,864.00</w:t>
      </w:r>
      <w:r>
        <w:rPr/>
        <w:t>元。 </w:t>
      </w:r>
      <w:r>
        <w:rPr>
          <w:rFonts w:ascii="宋体" w:hAnsi="宋体" w:cs="宋体" w:eastAsia="宋体" w:hint="default"/>
        </w:rPr>
        <w:t>2</w:t>
      </w:r>
      <w:r>
        <w:rPr/>
        <w:t>、本期资本公积减少情况说明</w:t>
      </w:r>
    </w:p>
    <w:p>
      <w:pPr>
        <w:pStyle w:val="BodyText"/>
        <w:spacing w:line="477" w:lineRule="auto" w:before="54"/>
        <w:ind w:right="1139" w:firstLine="420"/>
        <w:jc w:val="both"/>
      </w:pPr>
      <w:r>
        <w:rPr/>
        <w:t>根据立信会计师事务所（特殊普通合伙）出具的信会师报字</w:t>
      </w:r>
      <w:r>
        <w:rPr>
          <w:rFonts w:ascii="宋体" w:hAnsi="宋体" w:cs="宋体" w:eastAsia="宋体" w:hint="default"/>
        </w:rPr>
        <w:t>[2017]</w:t>
      </w:r>
      <w:r>
        <w:rPr/>
        <w:t>第</w:t>
      </w:r>
      <w:r>
        <w:rPr>
          <w:rFonts w:ascii="宋体" w:hAnsi="宋体" w:cs="宋体" w:eastAsia="宋体" w:hint="default"/>
        </w:rPr>
        <w:t>ZI10602</w:t>
      </w:r>
      <w:r>
        <w:rPr/>
        <w:t>号验资报告，本公司本期按每</w:t>
      </w:r>
      <w:r>
        <w:rPr>
          <w:rFonts w:ascii="宋体" w:hAnsi="宋体" w:cs="宋体" w:eastAsia="宋体" w:hint="default"/>
        </w:rPr>
        <w:t>10</w:t>
      </w:r>
      <w:r>
        <w:rPr/>
        <w:t>股转增</w:t>
      </w:r>
      <w:r>
        <w:rPr>
          <w:rFonts w:ascii="宋体" w:hAnsi="宋体" w:cs="宋体" w:eastAsia="宋体" w:hint="default"/>
        </w:rPr>
        <w:t>8 </w:t>
      </w:r>
      <w:r>
        <w:rPr/>
        <w:t>股的比例，以资本公积向全体股东转增股份总额</w:t>
      </w:r>
      <w:r>
        <w:rPr>
          <w:rFonts w:ascii="宋体" w:hAnsi="宋体" w:cs="宋体" w:eastAsia="宋体" w:hint="default"/>
        </w:rPr>
        <w:t>6,720</w:t>
      </w:r>
      <w:r>
        <w:rPr/>
        <w:t>万股</w:t>
      </w:r>
      <w:r>
        <w:rPr>
          <w:rFonts w:ascii="宋体" w:hAnsi="宋体" w:cs="宋体" w:eastAsia="宋体" w:hint="default"/>
        </w:rPr>
        <w:t>, </w:t>
      </w:r>
      <w:r>
        <w:rPr/>
        <w:t>每股面值</w:t>
      </w:r>
      <w:r>
        <w:rPr>
          <w:rFonts w:ascii="宋体" w:hAnsi="宋体" w:cs="宋体" w:eastAsia="宋体" w:hint="default"/>
        </w:rPr>
        <w:t>1.00</w:t>
      </w:r>
      <w:r>
        <w:rPr/>
        <w:t>元，增加股本</w:t>
      </w:r>
      <w:r>
        <w:rPr>
          <w:rFonts w:ascii="宋体" w:hAnsi="宋体" w:cs="宋体" w:eastAsia="宋体" w:hint="default"/>
        </w:rPr>
        <w:t>6,720</w:t>
      </w:r>
      <w:r>
        <w:rPr/>
        <w:t>万元，减少资本公积</w:t>
      </w:r>
      <w:r>
        <w:rPr>
          <w:rFonts w:ascii="宋体" w:hAnsi="宋体" w:cs="宋体" w:eastAsia="宋体" w:hint="default"/>
        </w:rPr>
        <w:t>6,720</w:t>
      </w:r>
      <w:r>
        <w:rPr/>
        <w:t>万 元。</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bookmarkStart w:name="30、库存股" w:id="284"/>
      <w:bookmarkEnd w:id="284"/>
      <w:r>
        <w:rPr>
          <w:b w:val="0"/>
          <w:bCs w:val="0"/>
        </w:rPr>
      </w:r>
      <w:r>
        <w:rPr>
          <w:rFonts w:ascii="Times New Roman" w:hAnsi="Times New Roman" w:cs="Times New Roman" w:eastAsia="Times New Roman" w:hint="default"/>
        </w:rPr>
        <w:t>30</w:t>
      </w:r>
      <w:r>
        <w:rPr/>
        <w:t>、库存股</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限制性股票</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49,800,960.00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49,800,960.00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49,800,960.00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49,800,960.00</w:t>
            </w:r>
          </w:p>
        </w:tc>
      </w:tr>
    </w:tbl>
    <w:p>
      <w:pPr>
        <w:pStyle w:val="BodyText"/>
        <w:spacing w:line="240" w:lineRule="auto" w:before="51"/>
        <w:ind w:left="1134" w:right="0"/>
        <w:jc w:val="left"/>
      </w:pPr>
      <w:r>
        <w:rPr/>
        <w:t>其他说明，包括本期增减变动情况、变动原因说明：</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left="0" w:right="1131"/>
        <w:jc w:val="right"/>
      </w:pPr>
      <w:bookmarkStart w:name="若限制性股票在解锁期未满足解锁条件，本公司则按约定回购价格人民币17.60元/股" w:id="285"/>
      <w:bookmarkEnd w:id="285"/>
      <w:r>
        <w:rPr/>
      </w:r>
      <w:r>
        <w:rPr/>
        <w:t>若限制性股票在解锁期未满足解锁条件，本公司则按约定回购价格人民币</w:t>
      </w:r>
      <w:r>
        <w:rPr>
          <w:spacing w:val="-40"/>
        </w:rPr>
        <w:t> </w:t>
      </w:r>
      <w:r>
        <w:rPr>
          <w:rFonts w:ascii="宋体" w:hAnsi="宋体" w:cs="宋体" w:eastAsia="宋体" w:hint="default"/>
        </w:rPr>
        <w:t>17.60</w:t>
      </w:r>
      <w:r>
        <w:rPr>
          <w:rFonts w:ascii="宋体" w:hAnsi="宋体" w:cs="宋体" w:eastAsia="宋体" w:hint="default"/>
          <w:spacing w:val="-41"/>
        </w:rPr>
        <w:t> </w:t>
      </w:r>
      <w:r>
        <w:rPr/>
        <w:t>元</w:t>
      </w:r>
      <w:r>
        <w:rPr>
          <w:rFonts w:ascii="宋体" w:hAnsi="宋体" w:cs="宋体" w:eastAsia="宋体" w:hint="default"/>
        </w:rPr>
        <w:t>/</w:t>
      </w:r>
      <w:r>
        <w:rPr/>
        <w:t>股回购并注销。在授予日，就本公</w:t>
      </w:r>
    </w:p>
    <w:p>
      <w:pPr>
        <w:pStyle w:val="BodyText"/>
        <w:spacing w:line="240" w:lineRule="auto" w:before="79"/>
        <w:ind w:left="1134" w:right="0"/>
        <w:jc w:val="left"/>
      </w:pPr>
      <w:r>
        <w:rPr/>
        <w:t>司对限制性股票的回购义务按约定回购价格人民币</w:t>
      </w:r>
      <w:r>
        <w:rPr>
          <w:spacing w:val="-66"/>
        </w:rPr>
        <w:t> </w:t>
      </w:r>
      <w:r>
        <w:rPr>
          <w:rFonts w:ascii="宋体" w:hAnsi="宋体" w:cs="宋体" w:eastAsia="宋体" w:hint="default"/>
        </w:rPr>
        <w:t>17.60</w:t>
      </w:r>
      <w:r>
        <w:rPr>
          <w:rFonts w:ascii="宋体" w:hAnsi="宋体" w:cs="宋体" w:eastAsia="宋体" w:hint="default"/>
          <w:spacing w:val="-65"/>
        </w:rPr>
        <w:t> </w:t>
      </w:r>
      <w:r>
        <w:rPr/>
        <w:t>元</w:t>
      </w:r>
      <w:r>
        <w:rPr>
          <w:rFonts w:ascii="宋体" w:hAnsi="宋体" w:cs="宋体" w:eastAsia="宋体" w:hint="default"/>
        </w:rPr>
        <w:t>/</w:t>
      </w:r>
      <w:r>
        <w:rPr/>
        <w:t>股以及发行的限制性股票数量</w:t>
      </w:r>
      <w:r>
        <w:rPr>
          <w:spacing w:val="-66"/>
        </w:rPr>
        <w:t> </w:t>
      </w:r>
      <w:r>
        <w:rPr>
          <w:rFonts w:ascii="宋体" w:hAnsi="宋体" w:cs="宋体" w:eastAsia="宋体" w:hint="default"/>
        </w:rPr>
        <w:t>2,829,600.00</w:t>
      </w:r>
      <w:r>
        <w:rPr>
          <w:rFonts w:ascii="宋体" w:hAnsi="宋体" w:cs="宋体" w:eastAsia="宋体" w:hint="default"/>
          <w:spacing w:val="-66"/>
        </w:rPr>
        <w:t> </w:t>
      </w:r>
      <w:r>
        <w:rPr/>
        <w:t>股分别确认库存股</w:t>
      </w:r>
    </w:p>
    <w:p>
      <w:pPr>
        <w:pStyle w:val="BodyText"/>
        <w:spacing w:line="240" w:lineRule="auto" w:before="77"/>
        <w:ind w:right="0"/>
        <w:jc w:val="left"/>
      </w:pPr>
      <w:r>
        <w:rPr/>
        <w:t>人民币</w:t>
      </w:r>
      <w:r>
        <w:rPr>
          <w:spacing w:val="-46"/>
        </w:rPr>
        <w:t> </w:t>
      </w:r>
      <w:r>
        <w:rPr>
          <w:rFonts w:ascii="宋体" w:hAnsi="宋体" w:cs="宋体" w:eastAsia="宋体" w:hint="default"/>
        </w:rPr>
        <w:t>49,800,960.00</w:t>
      </w:r>
      <w:r>
        <w:rPr>
          <w:rFonts w:ascii="宋体" w:hAnsi="宋体" w:cs="宋体" w:eastAsia="宋体" w:hint="default"/>
          <w:spacing w:val="-46"/>
        </w:rPr>
        <w:t> </w:t>
      </w:r>
      <w:r>
        <w:rPr/>
        <w:t>元以及其他应付款人民币</w:t>
      </w:r>
      <w:r>
        <w:rPr>
          <w:spacing w:val="-46"/>
        </w:rPr>
        <w:t> </w:t>
      </w:r>
      <w:r>
        <w:rPr>
          <w:rFonts w:ascii="宋体" w:hAnsi="宋体" w:cs="宋体" w:eastAsia="宋体" w:hint="default"/>
        </w:rPr>
        <w:t>49,800,960.00</w:t>
      </w:r>
      <w:r>
        <w:rPr>
          <w:rFonts w:ascii="宋体" w:hAnsi="宋体" w:cs="宋体" w:eastAsia="宋体" w:hint="default"/>
          <w:spacing w:val="-46"/>
        </w:rPr>
        <w:t> </w:t>
      </w:r>
      <w:r>
        <w:rPr/>
        <w:t>元。</w:t>
      </w:r>
    </w:p>
    <w:p>
      <w:pPr>
        <w:spacing w:line="240" w:lineRule="auto" w:before="0"/>
        <w:rPr>
          <w:rFonts w:ascii="宋体" w:hAnsi="宋体" w:cs="宋体" w:eastAsia="宋体" w:hint="default"/>
          <w:sz w:val="18"/>
          <w:szCs w:val="18"/>
        </w:rPr>
      </w:pPr>
    </w:p>
    <w:p>
      <w:pPr>
        <w:pStyle w:val="Heading4"/>
        <w:spacing w:line="240" w:lineRule="auto" w:before="142"/>
        <w:ind w:left="1133" w:right="0"/>
        <w:jc w:val="left"/>
        <w:rPr>
          <w:b w:val="0"/>
          <w:bCs w:val="0"/>
        </w:rPr>
      </w:pPr>
      <w:bookmarkStart w:name="31、其他综合收益" w:id="286"/>
      <w:bookmarkEnd w:id="286"/>
      <w:r>
        <w:rPr>
          <w:b w:val="0"/>
          <w:bCs w:val="0"/>
        </w:rPr>
      </w:r>
      <w:r>
        <w:rPr>
          <w:rFonts w:ascii="Times New Roman" w:hAnsi="Times New Roman" w:cs="Times New Roman" w:eastAsia="Times New Roman" w:hint="default"/>
        </w:rPr>
        <w:t>31</w:t>
      </w:r>
      <w:r>
        <w:rPr/>
        <w:t>、其他综合收益</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799"/>
        <w:gridCol w:w="1070"/>
        <w:gridCol w:w="935"/>
        <w:gridCol w:w="1152"/>
        <w:gridCol w:w="935"/>
        <w:gridCol w:w="936"/>
        <w:gridCol w:w="935"/>
        <w:gridCol w:w="796"/>
      </w:tblGrid>
      <w:tr>
        <w:trPr>
          <w:trHeight w:val="397"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
        </w:tc>
      </w:tr>
      <w:tr>
        <w:trPr>
          <w:trHeight w:val="120"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9"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bottom w:val="nil" w:sz="6" w:space="0" w:color="auto"/>
              <w:right w:val="single" w:sz="4" w:space="0" w:color="000000"/>
            </w:tcBorders>
            <w:shd w:val="clear" w:color="auto" w:fill="D2D2D2"/>
          </w:tcPr>
          <w:p>
            <w:pPr/>
          </w:p>
        </w:tc>
      </w:tr>
      <w:tr>
        <w:trPr>
          <w:trHeight w:val="370"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76"/>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3" w:right="0"/>
              <w:jc w:val="left"/>
              <w:rPr>
                <w:rFonts w:ascii="Times New Roman" w:hAnsi="Times New Roman" w:cs="Times New Roman" w:eastAsia="Times New Roman" w:hint="default"/>
                <w:sz w:val="18"/>
                <w:szCs w:val="18"/>
              </w:rPr>
            </w:pPr>
            <w:r>
              <w:rPr>
                <w:rFonts w:ascii="Times New Roman"/>
                <w:sz w:val="18"/>
              </w:rPr>
              <w:t>-36,774.64</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-471,793.86</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-471,793.86</w:t>
            </w:r>
            <w:r>
              <w:rPr>
                <w:rFonts w:ascii="Times New Roman"/>
                <w:sz w:val="18"/>
              </w:rPr>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-508,568.</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50</w:t>
            </w:r>
          </w:p>
        </w:tc>
      </w:tr>
      <w:tr>
        <w:trPr>
          <w:trHeight w:val="1026"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76"/>
              <w:jc w:val="both"/>
              <w:rPr>
                <w:rFonts w:ascii="宋体" w:hAnsi="宋体" w:cs="宋体" w:eastAsia="宋体" w:hint="default"/>
                <w:sz w:val="18"/>
                <w:szCs w:val="18"/>
              </w:rPr>
            </w:pPr>
            <w:r>
              <w:rPr>
                <w:rFonts w:ascii="宋体" w:hAnsi="宋体" w:cs="宋体" w:eastAsia="宋体" w:hint="default"/>
                <w:sz w:val="18"/>
                <w:szCs w:val="18"/>
              </w:rPr>
              <w:t>其中：权益法下在被投资单位以后 将重分类进损益的其他综合收益中 享有的份额</w:t>
            </w:r>
          </w:p>
        </w:tc>
        <w:tc>
          <w:tcPr>
            <w:tcW w:w="1070" w:type="dxa"/>
            <w:tcBorders>
              <w:top w:val="single" w:sz="4" w:space="0" w:color="000000"/>
              <w:left w:val="single" w:sz="13" w:space="0" w:color="D2D2D2"/>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7" w:right="0"/>
              <w:jc w:val="center"/>
              <w:rPr>
                <w:rFonts w:ascii="Times New Roman" w:hAnsi="Times New Roman" w:cs="Times New Roman" w:eastAsia="Times New Roman" w:hint="default"/>
                <w:sz w:val="18"/>
                <w:szCs w:val="18"/>
              </w:rPr>
            </w:pPr>
            <w:r>
              <w:rPr>
                <w:rFonts w:ascii="Times New Roman"/>
                <w:sz w:val="18"/>
              </w:rPr>
              <w:t>-19,927.65</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-19,927.65</w:t>
            </w:r>
            <w:r>
              <w:rPr>
                <w:rFonts w:ascii="Times New Roman"/>
                <w:sz w:val="18"/>
              </w:rPr>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-19,927.6</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8" w:right="0"/>
              <w:jc w:val="left"/>
              <w:rPr>
                <w:rFonts w:ascii="Times New Roman" w:hAnsi="Times New Roman" w:cs="Times New Roman" w:eastAsia="Times New Roman" w:hint="default"/>
                <w:sz w:val="18"/>
                <w:szCs w:val="18"/>
              </w:rPr>
            </w:pPr>
            <w:r>
              <w:rPr>
                <w:rFonts w:ascii="Times New Roman"/>
                <w:sz w:val="18"/>
              </w:rPr>
              <w:t>-36,774.64</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-451,866.21</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-451,866.21</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-488,640.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85</w:t>
            </w:r>
          </w:p>
        </w:tc>
      </w:tr>
      <w:tr>
        <w:trPr>
          <w:trHeight w:val="392"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8" w:right="0"/>
              <w:jc w:val="left"/>
              <w:rPr>
                <w:rFonts w:ascii="Times New Roman" w:hAnsi="Times New Roman" w:cs="Times New Roman" w:eastAsia="Times New Roman" w:hint="default"/>
                <w:sz w:val="18"/>
                <w:szCs w:val="18"/>
              </w:rPr>
            </w:pPr>
            <w:r>
              <w:rPr>
                <w:rFonts w:ascii="Times New Roman"/>
                <w:sz w:val="18"/>
              </w:rPr>
              <w:t>-36,774.64</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-471,793.86</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-471,793.86</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-508,568.</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50</w:t>
            </w:r>
          </w:p>
        </w:tc>
      </w:tr>
      <w:tr>
        <w:trPr>
          <w:trHeight w:val="392"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bl>
    <w:p>
      <w:pPr>
        <w:pStyle w:val="BodyText"/>
        <w:spacing w:line="357" w:lineRule="auto" w:before="51"/>
        <w:ind w:right="4093"/>
        <w:jc w:val="left"/>
      </w:pPr>
      <w:r>
        <w:rPr/>
        <w:t>其他说明，包括对现金流量套期损益的有效部分转为被套期项目初始确认金额调整： 无</w:t>
      </w:r>
    </w:p>
    <w:p>
      <w:pPr>
        <w:spacing w:line="240" w:lineRule="auto" w:before="2"/>
        <w:rPr>
          <w:rFonts w:ascii="宋体" w:hAnsi="宋体" w:cs="宋体" w:eastAsia="宋体" w:hint="default"/>
          <w:sz w:val="22"/>
          <w:szCs w:val="22"/>
        </w:rPr>
      </w:pPr>
    </w:p>
    <w:p>
      <w:pPr>
        <w:pStyle w:val="Heading4"/>
        <w:spacing w:line="240" w:lineRule="auto"/>
        <w:ind w:right="0"/>
        <w:jc w:val="left"/>
        <w:rPr>
          <w:b w:val="0"/>
          <w:bCs w:val="0"/>
        </w:rPr>
      </w:pPr>
      <w:bookmarkStart w:name="32、盈余公积" w:id="287"/>
      <w:bookmarkEnd w:id="287"/>
      <w:r>
        <w:rPr>
          <w:b w:val="0"/>
          <w:bCs w:val="0"/>
        </w:rPr>
      </w:r>
      <w:r>
        <w:rPr>
          <w:rFonts w:ascii="Times New Roman" w:hAnsi="Times New Roman" w:cs="Times New Roman" w:eastAsia="Times New Roman" w:hint="default"/>
        </w:rPr>
        <w:t>32</w:t>
      </w:r>
      <w:r>
        <w:rPr/>
        <w:t>、盈余公积</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34,945,063.28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8,229,865.84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43,174,929.12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34,945,063.28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8,229,865.84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43,174,929.12</w:t>
            </w:r>
          </w:p>
        </w:tc>
      </w:tr>
    </w:tbl>
    <w:p>
      <w:pPr>
        <w:pStyle w:val="BodyText"/>
        <w:spacing w:line="436" w:lineRule="auto" w:before="51"/>
        <w:ind w:left="1554" w:right="6102" w:hanging="420"/>
        <w:jc w:val="left"/>
      </w:pPr>
      <w:r>
        <w:rPr/>
        <w:t>盈余公积说明，包括本期增减变动情况、变动原因说明： 本公司根据当年实现净利润的</w:t>
      </w:r>
      <w:r>
        <w:rPr>
          <w:rFonts w:ascii="宋体" w:hAnsi="宋体" w:cs="宋体" w:eastAsia="宋体" w:hint="default"/>
        </w:rPr>
        <w:t>10%</w:t>
      </w:r>
      <w:r>
        <w:rPr/>
        <w:t>提取法定盈余公积。</w:t>
      </w:r>
    </w:p>
    <w:p>
      <w:pPr>
        <w:spacing w:line="240" w:lineRule="auto" w:before="7"/>
        <w:rPr>
          <w:rFonts w:ascii="宋体" w:hAnsi="宋体" w:cs="宋体" w:eastAsia="宋体" w:hint="default"/>
          <w:sz w:val="23"/>
          <w:szCs w:val="23"/>
        </w:rPr>
      </w:pPr>
    </w:p>
    <w:p>
      <w:pPr>
        <w:pStyle w:val="Heading4"/>
        <w:spacing w:line="240" w:lineRule="auto"/>
        <w:ind w:right="0"/>
        <w:jc w:val="left"/>
        <w:rPr>
          <w:b w:val="0"/>
          <w:bCs w:val="0"/>
        </w:rPr>
      </w:pPr>
      <w:bookmarkStart w:name="33、未分配利润" w:id="288"/>
      <w:bookmarkEnd w:id="288"/>
      <w:r>
        <w:rPr>
          <w:b w:val="0"/>
          <w:bCs w:val="0"/>
        </w:rPr>
      </w:r>
      <w:r>
        <w:rPr>
          <w:rFonts w:ascii="Times New Roman" w:hAnsi="Times New Roman" w:cs="Times New Roman" w:eastAsia="Times New Roman" w:hint="default"/>
        </w:rPr>
        <w:t>33</w:t>
      </w:r>
      <w:r>
        <w:rPr/>
        <w:t>、未分配利润</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254,864,170.05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204,680,039.60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254,864,170.05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204,680,039.60</w:t>
            </w: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93,204,793.30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54,640,292.85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8,229,865.84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4,456,162.40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50,400,000.00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289,439,097.51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254,864,170.05</w:t>
            </w:r>
          </w:p>
        </w:tc>
      </w:tr>
    </w:tbl>
    <w:p>
      <w:pPr>
        <w:pStyle w:val="BodyText"/>
        <w:spacing w:line="240" w:lineRule="auto" w:before="51"/>
        <w:ind w:left="1134" w:right="0"/>
        <w:jc w:val="left"/>
      </w:pPr>
      <w:r>
        <w:rPr/>
        <w:t>调整期初未分配利润明细：</w:t>
      </w:r>
    </w:p>
    <w:p>
      <w:pPr>
        <w:pStyle w:val="BodyText"/>
        <w:spacing w:line="240" w:lineRule="auto" w:before="117"/>
        <w:ind w:left="1134"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4)</w:t>
      </w:r>
      <w:r>
        <w:rPr/>
        <w:t>、由于同一控制导致的合并范围变更，影响期初未分配利润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0"/>
        <w:rPr>
          <w:rFonts w:ascii="宋体" w:hAnsi="宋体" w:cs="宋体" w:eastAsia="宋体" w:hint="default"/>
          <w:sz w:val="18"/>
          <w:szCs w:val="18"/>
        </w:rPr>
      </w:pPr>
    </w:p>
    <w:p>
      <w:pPr>
        <w:pStyle w:val="Heading4"/>
        <w:spacing w:line="240" w:lineRule="auto" w:before="127"/>
        <w:ind w:right="0"/>
        <w:jc w:val="left"/>
        <w:rPr>
          <w:b w:val="0"/>
          <w:bCs w:val="0"/>
        </w:rPr>
      </w:pPr>
      <w:bookmarkStart w:name="34、营业收入和营业成本" w:id="289"/>
      <w:bookmarkEnd w:id="289"/>
      <w:r>
        <w:rPr>
          <w:b w:val="0"/>
          <w:bCs w:val="0"/>
        </w:rPr>
      </w:r>
      <w:r>
        <w:rPr>
          <w:rFonts w:ascii="Times New Roman" w:hAnsi="Times New Roman" w:cs="Times New Roman" w:eastAsia="Times New Roman" w:hint="default"/>
        </w:rPr>
        <w:t>34</w:t>
      </w:r>
      <w:r>
        <w:rPr/>
        <w:t>、营业收入和营业成本</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568,291,999.88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359,515,045.75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397,481,807.22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250,926,044.14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1,325,745.13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649,382.21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1,155,724.72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643,091.64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569,617,745.01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360,164,427.96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398,637,531.94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251,569,135.78</w:t>
            </w:r>
          </w:p>
        </w:tc>
      </w:tr>
    </w:tbl>
    <w:p>
      <w:pPr>
        <w:spacing w:line="240" w:lineRule="auto" w:before="6"/>
        <w:rPr>
          <w:rFonts w:ascii="宋体" w:hAnsi="宋体" w:cs="宋体" w:eastAsia="宋体" w:hint="default"/>
          <w:sz w:val="20"/>
          <w:szCs w:val="20"/>
        </w:rPr>
      </w:pPr>
    </w:p>
    <w:p>
      <w:pPr>
        <w:pStyle w:val="Heading4"/>
        <w:spacing w:line="240" w:lineRule="auto" w:before="44"/>
        <w:ind w:right="0"/>
        <w:jc w:val="left"/>
        <w:rPr>
          <w:b w:val="0"/>
          <w:bCs w:val="0"/>
        </w:rPr>
      </w:pPr>
      <w:bookmarkStart w:name="35、税金及附加" w:id="290"/>
      <w:bookmarkEnd w:id="290"/>
      <w:r>
        <w:rPr>
          <w:b w:val="0"/>
          <w:bCs w:val="0"/>
        </w:rPr>
      </w:r>
      <w:r>
        <w:rPr>
          <w:rFonts w:ascii="Times New Roman" w:hAnsi="Times New Roman" w:cs="Times New Roman" w:eastAsia="Times New Roman" w:hint="default"/>
        </w:rPr>
        <w:t>35</w:t>
      </w:r>
      <w:r>
        <w:rPr/>
        <w:t>、税金及附加</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2,713,831.87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1,758,980.72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1,938,451.33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1,256,276.12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287,350.05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201,561.22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55,835.07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55,841.48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21,909.00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375,162.62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316,826.74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102,381.21</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5,391,630.94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3,713,776.49</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2"/>
          <w:szCs w:val="22"/>
        </w:rPr>
      </w:pPr>
    </w:p>
    <w:p>
      <w:pPr>
        <w:pStyle w:val="Heading4"/>
        <w:spacing w:line="240" w:lineRule="auto"/>
        <w:ind w:right="0"/>
        <w:jc w:val="left"/>
        <w:rPr>
          <w:b w:val="0"/>
          <w:bCs w:val="0"/>
        </w:rPr>
      </w:pPr>
      <w:bookmarkStart w:name="36、销售费用" w:id="291"/>
      <w:bookmarkEnd w:id="291"/>
      <w:r>
        <w:rPr>
          <w:b w:val="0"/>
          <w:bCs w:val="0"/>
        </w:rPr>
      </w:r>
      <w:r>
        <w:rPr>
          <w:rFonts w:ascii="Times New Roman" w:hAnsi="Times New Roman" w:cs="Times New Roman" w:eastAsia="Times New Roman" w:hint="default"/>
        </w:rPr>
        <w:t>36</w:t>
      </w:r>
      <w:r>
        <w:rPr/>
        <w:t>、销售费用</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11,784,742.46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8,816,777.54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94,214.42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45,106.78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6,610,436.79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4,654,892.72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341,514.57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278,584.67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6,101,556.68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3,955,625.50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2,713,642.61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2,632,172.33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742,478.12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3,111,740.21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11,629.15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50,480.78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制作费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635,944.54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1,121,903.51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咨询顾问费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1,341,313.28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323,675.52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861,457.66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1,175,392.88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31,238,930.28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26,166,352.44</w:t>
            </w:r>
          </w:p>
        </w:tc>
      </w:tr>
    </w:tbl>
    <w:p>
      <w:pPr>
        <w:pStyle w:val="BodyText"/>
        <w:spacing w:line="357" w:lineRule="auto" w:before="51"/>
        <w:ind w:right="2278"/>
        <w:jc w:val="left"/>
      </w:pPr>
      <w:r>
        <w:rPr/>
        <w:t>其他说明： 销售费用同比增长</w:t>
      </w:r>
      <w:r>
        <w:rPr>
          <w:rFonts w:ascii="Times New Roman" w:hAnsi="Times New Roman" w:cs="Times New Roman" w:eastAsia="Times New Roman" w:hint="default"/>
        </w:rPr>
        <w:t>19.39%</w:t>
      </w:r>
      <w:r>
        <w:rPr/>
        <w:t>，主要系报告期内项目金额较大，相应的人工费用、差旅费等销售费用增加所致。</w:t>
      </w:r>
    </w:p>
    <w:p>
      <w:pPr>
        <w:spacing w:line="240" w:lineRule="auto" w:before="5"/>
        <w:rPr>
          <w:rFonts w:ascii="宋体" w:hAnsi="宋体" w:cs="宋体" w:eastAsia="宋体" w:hint="default"/>
          <w:sz w:val="20"/>
          <w:szCs w:val="20"/>
        </w:rPr>
      </w:pPr>
    </w:p>
    <w:p>
      <w:pPr>
        <w:pStyle w:val="Heading4"/>
        <w:spacing w:line="240" w:lineRule="auto"/>
        <w:ind w:right="0"/>
        <w:jc w:val="left"/>
        <w:rPr>
          <w:b w:val="0"/>
          <w:bCs w:val="0"/>
        </w:rPr>
      </w:pPr>
      <w:bookmarkStart w:name="37、管理费用" w:id="292"/>
      <w:bookmarkEnd w:id="292"/>
      <w:r>
        <w:rPr>
          <w:b w:val="0"/>
          <w:bCs w:val="0"/>
        </w:rPr>
      </w:r>
      <w:r>
        <w:rPr>
          <w:rFonts w:ascii="Times New Roman" w:hAnsi="Times New Roman" w:cs="Times New Roman" w:eastAsia="Times New Roman" w:hint="default"/>
        </w:rPr>
        <w:t>37</w:t>
      </w:r>
      <w:r>
        <w:rPr/>
        <w:t>、管理费用</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工资薪酬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23,268,935.54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20,405,182.36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30,669,901.75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17,741,977.40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3,167,694.06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2,377,928.22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2,076,123.54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2,278,453.30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折旧费及摊销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4,118,369.80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4,043,116.33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车辆费用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977,715.85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945,192.96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办公及电话费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2,611,666.54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2,316,222.75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租金物管费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2,713,817.34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2,662,930.77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1,042,642.85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916,286.77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1,743,693.06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1,053,314.17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2,607,585.79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186,568.19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1,193,812.13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590,198.80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限制性股票成本摊销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9,450,864.00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85,642,822.25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55,517,372.02</w:t>
            </w:r>
          </w:p>
        </w:tc>
      </w:tr>
    </w:tbl>
    <w:p>
      <w:pPr>
        <w:pStyle w:val="BodyText"/>
        <w:spacing w:line="357" w:lineRule="auto" w:before="51"/>
        <w:ind w:right="2278"/>
        <w:jc w:val="left"/>
      </w:pPr>
      <w:r>
        <w:rPr/>
        <w:t>其他说明： 管理费用同比增长</w:t>
      </w:r>
      <w:r>
        <w:rPr>
          <w:rFonts w:ascii="Times New Roman" w:hAnsi="Times New Roman" w:cs="Times New Roman" w:eastAsia="Times New Roman" w:hint="default"/>
        </w:rPr>
        <w:t>54.26%</w:t>
      </w:r>
      <w:r>
        <w:rPr/>
        <w:t>，主要系报告期内公司因业务发展需要，员工人数增加、人工费用总体增长所致。</w:t>
      </w:r>
    </w:p>
    <w:p>
      <w:pPr>
        <w:spacing w:after="0" w:line="357"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Heading4"/>
        <w:spacing w:line="240" w:lineRule="auto" w:before="44"/>
        <w:ind w:left="1133" w:right="0"/>
        <w:jc w:val="left"/>
        <w:rPr>
          <w:b w:val="0"/>
          <w:bCs w:val="0"/>
        </w:rPr>
      </w:pPr>
      <w:bookmarkStart w:name="38、财务费用" w:id="293"/>
      <w:bookmarkEnd w:id="293"/>
      <w:r>
        <w:rPr>
          <w:b w:val="0"/>
          <w:bCs w:val="0"/>
        </w:rPr>
      </w:r>
      <w:r>
        <w:rPr>
          <w:rFonts w:ascii="Times New Roman" w:hAnsi="Times New Roman" w:cs="Times New Roman" w:eastAsia="Times New Roman" w:hint="default"/>
        </w:rPr>
        <w:t>38</w:t>
      </w:r>
      <w:r>
        <w:rPr/>
        <w:t>、财务费用</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1,871,104.57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1,328,335.37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62,392.19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541,324.99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216,887.80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-58,929.84</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319,945.86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188,152.94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-1,705,654.32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-539,927.60</w:t>
            </w:r>
            <w:r>
              <w:rPr>
                <w:rFonts w:ascii="Times New Roman"/>
                <w:sz w:val="18"/>
              </w:rPr>
            </w:r>
          </w:p>
        </w:tc>
      </w:tr>
    </w:tbl>
    <w:p>
      <w:pPr>
        <w:pStyle w:val="BodyText"/>
        <w:spacing w:line="240" w:lineRule="auto" w:before="51"/>
        <w:ind w:left="1134" w:right="0"/>
        <w:jc w:val="left"/>
      </w:pPr>
      <w:r>
        <w:rPr/>
        <w:t>其他说明：</w:t>
      </w:r>
    </w:p>
    <w:p>
      <w:pPr>
        <w:pStyle w:val="BodyText"/>
        <w:spacing w:line="300" w:lineRule="auto" w:before="115"/>
        <w:ind w:left="1134" w:right="1197"/>
        <w:jc w:val="left"/>
      </w:pPr>
      <w:r>
        <w:rPr/>
        <w:t>财务费用同比减少</w:t>
      </w:r>
      <w:r>
        <w:rPr>
          <w:rFonts w:ascii="Times New Roman" w:hAnsi="Times New Roman" w:cs="Times New Roman" w:eastAsia="Times New Roman" w:hint="default"/>
        </w:rPr>
        <w:t>215.9%</w:t>
      </w:r>
      <w:r>
        <w:rPr/>
        <w:t>，主要系报告期内募集资金导致本期利息收入增加、及香港子公司主要货币为欧元（欧元兑港币 的汇率上升）导致汇兑损益增加所致。</w:t>
      </w:r>
    </w:p>
    <w:p>
      <w:pPr>
        <w:spacing w:line="240" w:lineRule="auto" w:before="6"/>
        <w:rPr>
          <w:rFonts w:ascii="宋体" w:hAnsi="宋体" w:cs="宋体" w:eastAsia="宋体" w:hint="default"/>
          <w:sz w:val="25"/>
          <w:szCs w:val="25"/>
        </w:rPr>
      </w:pPr>
    </w:p>
    <w:p>
      <w:pPr>
        <w:pStyle w:val="Heading4"/>
        <w:spacing w:line="240" w:lineRule="auto"/>
        <w:ind w:right="0"/>
        <w:jc w:val="left"/>
        <w:rPr>
          <w:b w:val="0"/>
          <w:bCs w:val="0"/>
        </w:rPr>
      </w:pPr>
      <w:bookmarkStart w:name="39、资产减值损失" w:id="294"/>
      <w:bookmarkEnd w:id="294"/>
      <w:r>
        <w:rPr>
          <w:b w:val="0"/>
          <w:bCs w:val="0"/>
        </w:rPr>
      </w:r>
      <w:r>
        <w:rPr>
          <w:rFonts w:ascii="Times New Roman" w:hAnsi="Times New Roman" w:cs="Times New Roman" w:eastAsia="Times New Roman" w:hint="default"/>
        </w:rPr>
        <w:t>39</w:t>
      </w:r>
      <w:r>
        <w:rPr/>
        <w:t>、资产减值损失</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5,051,336.15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7,286,094.01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5,051,336.15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7,286,094.01</w:t>
            </w:r>
          </w:p>
        </w:tc>
      </w:tr>
    </w:tbl>
    <w:p>
      <w:pPr>
        <w:pStyle w:val="BodyText"/>
        <w:spacing w:line="357" w:lineRule="auto" w:before="51"/>
        <w:ind w:right="4258"/>
        <w:jc w:val="left"/>
      </w:pPr>
      <w:r>
        <w:rPr/>
        <w:t>其他说明： 资产减值损失同比减少</w:t>
      </w:r>
      <w:r>
        <w:rPr>
          <w:rFonts w:ascii="Times New Roman" w:hAnsi="Times New Roman" w:cs="Times New Roman" w:eastAsia="Times New Roman" w:hint="default"/>
        </w:rPr>
        <w:t>30.67%</w:t>
      </w:r>
      <w:r>
        <w:rPr/>
        <w:t>，主要系报告期内应收账款部分逾期款项收回所致。</w:t>
      </w:r>
    </w:p>
    <w:p>
      <w:pPr>
        <w:spacing w:line="240" w:lineRule="auto" w:before="5"/>
        <w:rPr>
          <w:rFonts w:ascii="宋体" w:hAnsi="宋体" w:cs="宋体" w:eastAsia="宋体" w:hint="default"/>
          <w:sz w:val="20"/>
          <w:szCs w:val="20"/>
        </w:rPr>
      </w:pPr>
    </w:p>
    <w:p>
      <w:pPr>
        <w:pStyle w:val="Heading4"/>
        <w:spacing w:line="240" w:lineRule="auto"/>
        <w:ind w:right="0"/>
        <w:jc w:val="left"/>
        <w:rPr>
          <w:b w:val="0"/>
          <w:bCs w:val="0"/>
        </w:rPr>
      </w:pPr>
      <w:bookmarkStart w:name="40、投资收益" w:id="295"/>
      <w:bookmarkEnd w:id="295"/>
      <w:r>
        <w:rPr>
          <w:b w:val="0"/>
          <w:bCs w:val="0"/>
        </w:rPr>
      </w:r>
      <w:r>
        <w:rPr>
          <w:rFonts w:ascii="Times New Roman" w:hAnsi="Times New Roman" w:cs="Times New Roman" w:eastAsia="Times New Roman" w:hint="default"/>
        </w:rPr>
        <w:t>40</w:t>
      </w:r>
      <w:r>
        <w:rPr/>
        <w:t>、投资收益</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3,077,313.42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3,725,550.47</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购买短期理财产品收益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5,288,905.04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1,236,712.33</w:t>
            </w:r>
          </w:p>
        </w:tc>
      </w:tr>
      <w:tr>
        <w:trPr>
          <w:trHeight w:val="403"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12,091,768.93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1,236,712.33</w:t>
            </w:r>
          </w:p>
        </w:tc>
      </w:tr>
    </w:tbl>
    <w:p>
      <w:pPr>
        <w:pStyle w:val="BodyText"/>
        <w:spacing w:line="357" w:lineRule="auto" w:before="51"/>
        <w:ind w:right="2728"/>
        <w:jc w:val="left"/>
      </w:pPr>
      <w:r>
        <w:rPr/>
        <w:t>其他说明： 投资收益同比增加</w:t>
      </w:r>
      <w:r>
        <w:rPr>
          <w:rFonts w:ascii="Times New Roman" w:hAnsi="Times New Roman" w:cs="Times New Roman" w:eastAsia="Times New Roman" w:hint="default"/>
        </w:rPr>
        <w:t>877.73%</w:t>
      </w:r>
      <w:r>
        <w:rPr/>
        <w:t>，主要系报告期内转让子公司新阳物流损益及银行理财产品收益增加所致。</w:t>
      </w:r>
    </w:p>
    <w:p>
      <w:pPr>
        <w:spacing w:line="240" w:lineRule="auto" w:before="5"/>
        <w:rPr>
          <w:rFonts w:ascii="宋体" w:hAnsi="宋体" w:cs="宋体" w:eastAsia="宋体" w:hint="default"/>
          <w:sz w:val="20"/>
          <w:szCs w:val="20"/>
        </w:rPr>
      </w:pPr>
    </w:p>
    <w:p>
      <w:pPr>
        <w:pStyle w:val="Heading4"/>
        <w:spacing w:line="240" w:lineRule="auto"/>
        <w:ind w:right="0"/>
        <w:jc w:val="left"/>
        <w:rPr>
          <w:b w:val="0"/>
          <w:bCs w:val="0"/>
        </w:rPr>
      </w:pPr>
      <w:bookmarkStart w:name="41、资产处置收益" w:id="296"/>
      <w:bookmarkEnd w:id="296"/>
      <w:r>
        <w:rPr>
          <w:b w:val="0"/>
          <w:bCs w:val="0"/>
        </w:rPr>
      </w:r>
      <w:r>
        <w:rPr>
          <w:rFonts w:ascii="Times New Roman" w:hAnsi="Times New Roman" w:cs="Times New Roman" w:eastAsia="Times New Roman" w:hint="default"/>
        </w:rPr>
        <w:t>41</w:t>
      </w:r>
      <w:r>
        <w:rPr/>
        <w:t>、资产处置收益</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非流动资产处置收益合计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50,017.56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92,292.31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50,017.56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92,292.31</w:t>
            </w:r>
          </w:p>
        </w:tc>
      </w:tr>
    </w:tbl>
    <w:p>
      <w:pPr>
        <w:spacing w:line="240" w:lineRule="auto" w:before="6"/>
        <w:rPr>
          <w:rFonts w:ascii="宋体" w:hAnsi="宋体" w:cs="宋体" w:eastAsia="宋体" w:hint="default"/>
          <w:sz w:val="20"/>
          <w:szCs w:val="20"/>
        </w:rPr>
      </w:pPr>
    </w:p>
    <w:p>
      <w:pPr>
        <w:pStyle w:val="Heading4"/>
        <w:spacing w:line="240" w:lineRule="auto" w:before="44"/>
        <w:ind w:right="0"/>
        <w:jc w:val="left"/>
        <w:rPr>
          <w:b w:val="0"/>
          <w:bCs w:val="0"/>
        </w:rPr>
      </w:pPr>
      <w:bookmarkStart w:name="42、其他收益" w:id="297"/>
      <w:bookmarkEnd w:id="297"/>
      <w:r>
        <w:rPr>
          <w:b w:val="0"/>
          <w:bCs w:val="0"/>
        </w:rPr>
      </w:r>
      <w:r>
        <w:rPr>
          <w:rFonts w:ascii="Times New Roman" w:hAnsi="Times New Roman" w:cs="Times New Roman" w:eastAsia="Times New Roman" w:hint="default"/>
        </w:rPr>
        <w:t>42</w:t>
      </w:r>
      <w:r>
        <w:rPr/>
        <w:t>、其他收益</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5,953,119.17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深圳市交通运输委员会</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年物博会参 展商展补贴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56,323.00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深圳市交通运输委员会</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年物博会参 展商展补贴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17,962.56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6,027,404.73</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20"/>
          <w:szCs w:val="20"/>
        </w:rPr>
      </w:pPr>
    </w:p>
    <w:p>
      <w:pPr>
        <w:pStyle w:val="Heading4"/>
        <w:spacing w:line="240" w:lineRule="auto" w:before="44"/>
        <w:ind w:right="0"/>
        <w:jc w:val="left"/>
        <w:rPr>
          <w:b w:val="0"/>
          <w:bCs w:val="0"/>
        </w:rPr>
      </w:pPr>
      <w:bookmarkStart w:name="43、营业外收入" w:id="298"/>
      <w:bookmarkEnd w:id="298"/>
      <w:r>
        <w:rPr>
          <w:b w:val="0"/>
          <w:bCs w:val="0"/>
        </w:rPr>
      </w:r>
      <w:r>
        <w:rPr>
          <w:rFonts w:ascii="Times New Roman" w:hAnsi="Times New Roman" w:cs="Times New Roman" w:eastAsia="Times New Roman" w:hint="default"/>
        </w:rPr>
        <w:t>43</w:t>
      </w:r>
      <w:r>
        <w:rPr/>
        <w:t>、营业外收入</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6,891,485.46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7,174,354.26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6,891,485.46</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53" w:right="0"/>
              <w:jc w:val="left"/>
              <w:rPr>
                <w:rFonts w:ascii="宋体" w:hAnsi="宋体" w:cs="宋体" w:eastAsia="宋体" w:hint="default"/>
                <w:sz w:val="18"/>
                <w:szCs w:val="18"/>
              </w:rPr>
            </w:pPr>
            <w:r>
              <w:rPr>
                <w:rFonts w:ascii="宋体" w:hAnsi="宋体" w:cs="宋体" w:eastAsia="宋体" w:hint="default"/>
                <w:sz w:val="18"/>
                <w:szCs w:val="18"/>
              </w:rPr>
              <w:t>其中：增值税返还</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2,196,790.71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55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6,891,485.46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4,977,563.55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6,891,485.46</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19,247.52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15,572.09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19,247.52</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6,910,732.98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7,189,926.35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6,891,485.46</w:t>
            </w:r>
          </w:p>
        </w:tc>
      </w:tr>
    </w:tbl>
    <w:p>
      <w:pPr>
        <w:pStyle w:val="BodyText"/>
        <w:spacing w:line="240" w:lineRule="auto" w:before="51"/>
        <w:ind w:left="1134" w:right="0"/>
        <w:jc w:val="left"/>
      </w:pPr>
      <w:r>
        <w:rPr/>
        <w:t>计入当期损益的政府补助：</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深圳市罗湖 区财政局高 新技术企业 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27"/>
              <w:jc w:val="left"/>
              <w:rPr>
                <w:rFonts w:ascii="宋体" w:hAnsi="宋体" w:cs="宋体" w:eastAsia="宋体" w:hint="default"/>
                <w:sz w:val="18"/>
                <w:szCs w:val="18"/>
              </w:rPr>
            </w:pPr>
            <w:r>
              <w:rPr>
                <w:rFonts w:ascii="宋体" w:hAnsi="宋体" w:cs="宋体" w:eastAsia="宋体" w:hint="default"/>
                <w:sz w:val="18"/>
                <w:szCs w:val="18"/>
              </w:rPr>
              <w:t>深圳市罗湖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29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今天国际物 流系统集成 平台产业化 项目补助资</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深圳市财政 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301,485.46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683,306.38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9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深圳市仓储 智能化工程 技术研究开 发中心</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深圳市财政 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5pt;mso-position-horizontal-relative:char;mso-position-vertical-relative:line" coordorigin="0,0" coordsize="1054,469">
                  <v:group style="position:absolute;left:0;top:0;width:1054;height:469" coordorigin="0,0" coordsize="1054,469">
                    <v:shape style="position:absolute;left:0;top:0;width:1054;height:469" coordorigin="0,0" coordsize="1054,469"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740,000.00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590,000.00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1"/>
              <w:jc w:val="both"/>
              <w:rPr>
                <w:rFonts w:ascii="宋体" w:hAnsi="宋体" w:cs="宋体" w:eastAsia="宋体" w:hint="default"/>
                <w:sz w:val="18"/>
                <w:szCs w:val="18"/>
              </w:rPr>
            </w:pPr>
            <w:r>
              <w:rPr>
                <w:rFonts w:ascii="宋体" w:hAnsi="宋体" w:cs="宋体" w:eastAsia="宋体" w:hint="default"/>
                <w:sz w:val="18"/>
                <w:szCs w:val="18"/>
              </w:rPr>
              <w:t>深圳市罗湖 区产业转型 升级专项资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深圳市罗湖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5,550,000.00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1"/>
              <w:jc w:val="both"/>
              <w:rPr>
                <w:rFonts w:ascii="宋体" w:hAnsi="宋体" w:cs="宋体" w:eastAsia="宋体" w:hint="default"/>
                <w:sz w:val="18"/>
                <w:szCs w:val="18"/>
              </w:rPr>
            </w:pPr>
            <w:r>
              <w:rPr>
                <w:rFonts w:ascii="宋体" w:hAnsi="宋体" w:cs="宋体" w:eastAsia="宋体" w:hint="default"/>
                <w:sz w:val="18"/>
                <w:szCs w:val="18"/>
              </w:rPr>
              <w:t>深圳市罗湖 区产业转型 升级配套扶 持资金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深圳市罗湖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深圳市罗湖 区财政局重 点纳税企业 管理团队款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127"/>
              <w:jc w:val="left"/>
              <w:rPr>
                <w:rFonts w:ascii="宋体" w:hAnsi="宋体" w:cs="宋体" w:eastAsia="宋体" w:hint="default"/>
                <w:sz w:val="18"/>
                <w:szCs w:val="18"/>
              </w:rPr>
            </w:pPr>
            <w:r>
              <w:rPr>
                <w:rFonts w:ascii="宋体" w:hAnsi="宋体" w:cs="宋体" w:eastAsia="宋体" w:hint="default"/>
                <w:sz w:val="18"/>
                <w:szCs w:val="18"/>
              </w:rPr>
              <w:t>深圳市罗湖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both"/>
              <w:rPr>
                <w:rFonts w:ascii="宋体" w:hAnsi="宋体" w:cs="宋体" w:eastAsia="宋体" w:hint="default"/>
                <w:sz w:val="18"/>
                <w:szCs w:val="18"/>
              </w:rPr>
            </w:pPr>
            <w:r>
              <w:rPr>
                <w:rFonts w:ascii="宋体" w:hAnsi="宋体" w:cs="宋体" w:eastAsia="宋体" w:hint="default"/>
                <w:sz w:val="18"/>
                <w:szCs w:val="18"/>
              </w:rPr>
              <w:t>深圳市罗湖 区财政局深 圳市重点物 流企业扶持 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深圳市罗湖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深圳市罗湖 区财政局信 息化应用扶 持款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深圳市罗湖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1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深圳市战略 性新兴产业 和未来产业 发展专项资 金企业品牌</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127"/>
              <w:jc w:val="both"/>
              <w:rPr>
                <w:rFonts w:ascii="宋体" w:hAnsi="宋体" w:cs="宋体" w:eastAsia="宋体" w:hint="default"/>
                <w:sz w:val="18"/>
                <w:szCs w:val="18"/>
              </w:rPr>
            </w:pPr>
            <w:r>
              <w:rPr>
                <w:rFonts w:ascii="宋体" w:hAnsi="宋体" w:cs="宋体" w:eastAsia="宋体" w:hint="default"/>
                <w:sz w:val="18"/>
                <w:szCs w:val="18"/>
              </w:rPr>
              <w:t>深圳市经济 贸易和信息 化委员会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31"/>
              <w:jc w:val="left"/>
              <w:rPr>
                <w:rFonts w:ascii="宋体" w:hAnsi="宋体" w:cs="宋体" w:eastAsia="宋体" w:hint="default"/>
                <w:sz w:val="18"/>
                <w:szCs w:val="18"/>
              </w:rPr>
            </w:pPr>
            <w:r>
              <w:rPr>
                <w:rFonts w:ascii="宋体" w:hAnsi="宋体" w:cs="宋体" w:eastAsia="宋体" w:hint="default"/>
                <w:sz w:val="18"/>
                <w:szCs w:val="18"/>
              </w:rPr>
              <w:t>培育资助项 目款项</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left"/>
              <w:rPr>
                <w:rFonts w:ascii="宋体" w:hAnsi="宋体" w:cs="宋体" w:eastAsia="宋体" w:hint="default"/>
                <w:sz w:val="18"/>
                <w:szCs w:val="18"/>
              </w:rPr>
            </w:pP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年企业 研究开发资 助计划第一 批资助企业 款项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127"/>
              <w:jc w:val="left"/>
              <w:rPr>
                <w:rFonts w:ascii="宋体" w:hAnsi="宋体" w:cs="宋体" w:eastAsia="宋体" w:hint="default"/>
                <w:sz w:val="18"/>
                <w:szCs w:val="18"/>
              </w:rPr>
            </w:pPr>
            <w:r>
              <w:rPr>
                <w:rFonts w:ascii="宋体" w:hAnsi="宋体" w:cs="宋体" w:eastAsia="宋体" w:hint="default"/>
                <w:sz w:val="18"/>
                <w:szCs w:val="18"/>
              </w:rPr>
              <w:t>深圳市科技 创新委员会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52.7pt;height:31.2pt;mso-position-horizontal-relative:char;mso-position-vertical-relative:line" coordorigin="0,0" coordsize="1054,624">
                  <v:group style="position:absolute;left:0;top:0;width:1054;height:624" coordorigin="0,0" coordsize="1054,624">
                    <v:shape style="position:absolute;left:0;top:0;width:1054;height:624" coordorigin="0,0" coordsize="1054,624" path="m0,624l1054,624,1054,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1,584,000.00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深圳市现代 物流业资助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深圳市交通 运输委员会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143,000.00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2" w:right="87"/>
              <w:jc w:val="both"/>
              <w:rPr>
                <w:rFonts w:ascii="宋体" w:hAnsi="宋体" w:cs="宋体" w:eastAsia="宋体" w:hint="default"/>
                <w:sz w:val="18"/>
                <w:szCs w:val="18"/>
              </w:rPr>
            </w:pPr>
            <w:r>
              <w:rPr>
                <w:rFonts w:ascii="宋体" w:hAnsi="宋体" w:cs="宋体" w:eastAsia="宋体" w:hint="default"/>
                <w:sz w:val="18"/>
                <w:szCs w:val="18"/>
              </w:rPr>
              <w:t>深圳市交通 运输委员会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年物博 会参展商展 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深圳市交通 运输委员会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35,925.12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131"/>
              <w:jc w:val="both"/>
              <w:rPr>
                <w:rFonts w:ascii="宋体" w:hAnsi="宋体" w:cs="宋体" w:eastAsia="宋体" w:hint="default"/>
                <w:sz w:val="18"/>
                <w:szCs w:val="18"/>
              </w:rPr>
            </w:pPr>
            <w:r>
              <w:rPr>
                <w:rFonts w:ascii="宋体" w:hAnsi="宋体" w:cs="宋体" w:eastAsia="宋体" w:hint="default"/>
                <w:sz w:val="18"/>
                <w:szCs w:val="18"/>
              </w:rPr>
              <w:t>深圳市罗湖 区经济促进 局物博会展 位扶持款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深圳市罗湖 区经济促进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76,600.00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114,732.05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6,891,485.46</w:t>
            </w:r>
          </w:p>
        </w:tc>
        <w:tc>
          <w:tcPr>
            <w:tcW w:w="10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4,977,563.55</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2"/>
          <w:szCs w:val="22"/>
        </w:rPr>
      </w:pPr>
    </w:p>
    <w:p>
      <w:pPr>
        <w:pStyle w:val="Heading4"/>
        <w:spacing w:line="240" w:lineRule="auto"/>
        <w:ind w:right="0"/>
        <w:jc w:val="left"/>
        <w:rPr>
          <w:b w:val="0"/>
          <w:bCs w:val="0"/>
        </w:rPr>
      </w:pPr>
      <w:bookmarkStart w:name="44、营业外支出" w:id="299"/>
      <w:bookmarkEnd w:id="299"/>
      <w:r>
        <w:rPr>
          <w:b w:val="0"/>
          <w:bCs w:val="0"/>
        </w:rPr>
      </w:r>
      <w:r>
        <w:rPr>
          <w:rFonts w:ascii="Times New Roman" w:hAnsi="Times New Roman" w:cs="Times New Roman" w:eastAsia="Times New Roman" w:hint="default"/>
        </w:rPr>
        <w:t>44</w:t>
      </w:r>
      <w:r>
        <w:rPr/>
        <w:t>、营业外支出</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5,811.02</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5,811.02</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其中：固定资产处置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5,811.02</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5,811.02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1,782,724.42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11,133.89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1,782,724.42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1,828,535.44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76,133.89</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41"/>
        <w:ind w:left="1133" w:right="0"/>
        <w:jc w:val="left"/>
        <w:rPr>
          <w:b w:val="0"/>
          <w:bCs w:val="0"/>
        </w:rPr>
      </w:pPr>
      <w:bookmarkStart w:name="45、所得税费用" w:id="300"/>
      <w:bookmarkEnd w:id="300"/>
      <w:r>
        <w:rPr>
          <w:b w:val="0"/>
          <w:bCs w:val="0"/>
        </w:rPr>
      </w:r>
      <w:r>
        <w:rPr>
          <w:rFonts w:ascii="Times New Roman" w:hAnsi="Times New Roman" w:cs="Times New Roman" w:eastAsia="Times New Roman" w:hint="default"/>
        </w:rPr>
        <w:t>45</w:t>
      </w:r>
      <w:r>
        <w:rPr/>
        <w:t>、所得税费用</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9"/>
        <w:ind w:right="0"/>
        <w:jc w:val="left"/>
        <w:rPr>
          <w:b w:val="0"/>
          <w:bCs w:val="0"/>
        </w:rPr>
      </w:pPr>
      <w:bookmarkStart w:name="（1）所得税费用表" w:id="301"/>
      <w:bookmarkEnd w:id="301"/>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19,232,532.88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10,391,633.63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-4,982,418.31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-1,664,400.58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14,250,114.57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8,727,233.05</w:t>
            </w:r>
          </w:p>
        </w:tc>
      </w:tr>
    </w:tbl>
    <w:p>
      <w:pPr>
        <w:spacing w:line="240" w:lineRule="auto" w:before="6"/>
        <w:rPr>
          <w:rFonts w:ascii="宋体" w:hAnsi="宋体" w:cs="宋体" w:eastAsia="宋体" w:hint="default"/>
          <w:sz w:val="20"/>
          <w:szCs w:val="20"/>
        </w:rPr>
      </w:pPr>
    </w:p>
    <w:p>
      <w:pPr>
        <w:pStyle w:val="Heading4"/>
        <w:spacing w:line="240" w:lineRule="auto" w:before="44"/>
        <w:ind w:right="0"/>
        <w:jc w:val="left"/>
        <w:rPr>
          <w:b w:val="0"/>
          <w:bCs w:val="0"/>
        </w:rPr>
      </w:pPr>
      <w:bookmarkStart w:name="（2）会计利润与所得税费用调整过程" w:id="302"/>
      <w:bookmarkEnd w:id="302"/>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107,085,640.51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16,062,846.08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-720,339.86</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-461,597.01</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1,410,709.78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-69,249.75</w:t>
            </w:r>
            <w:r>
              <w:rPr>
                <w:rFonts w:ascii="Times New Roman"/>
                <w:sz w:val="18"/>
              </w:rPr>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244,492.84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税法规定的额外可扣除费用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-2,551,124.51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334,377.00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14,250,114.57</w:t>
            </w:r>
          </w:p>
        </w:tc>
      </w:tr>
    </w:tbl>
    <w:p>
      <w:pPr>
        <w:pStyle w:val="BodyText"/>
        <w:spacing w:line="357" w:lineRule="auto" w:before="51"/>
        <w:ind w:right="10033"/>
        <w:jc w:val="left"/>
      </w:pPr>
      <w:r>
        <w:rPr/>
        <w:t>其他说明 无</w:t>
      </w:r>
    </w:p>
    <w:p>
      <w:pPr>
        <w:spacing w:after="0" w:line="357"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Heading4"/>
        <w:spacing w:line="240" w:lineRule="auto" w:before="44"/>
        <w:ind w:left="1133" w:right="0"/>
        <w:jc w:val="left"/>
        <w:rPr>
          <w:b w:val="0"/>
          <w:bCs w:val="0"/>
        </w:rPr>
      </w:pPr>
      <w:bookmarkStart w:name="46、其他综合收益" w:id="303"/>
      <w:bookmarkEnd w:id="303"/>
      <w:r>
        <w:rPr>
          <w:b w:val="0"/>
          <w:bCs w:val="0"/>
        </w:rPr>
      </w:r>
      <w:r>
        <w:rPr>
          <w:rFonts w:ascii="Times New Roman" w:hAnsi="Times New Roman" w:cs="Times New Roman" w:eastAsia="Times New Roman" w:hint="default"/>
        </w:rPr>
        <w:t>46</w:t>
      </w:r>
      <w:r>
        <w:rPr/>
        <w:t>、其他综合收益</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8"/>
        <w:ind w:left="1134" w:right="0"/>
        <w:jc w:val="left"/>
      </w:pPr>
      <w:r>
        <w:rPr/>
        <w:t>详见附注</w:t>
      </w:r>
      <w:r>
        <w:rPr>
          <w:spacing w:val="-46"/>
        </w:rPr>
        <w:t> </w:t>
      </w:r>
      <w:r>
        <w:rPr>
          <w:rFonts w:ascii="Times New Roman" w:hAnsi="Times New Roman" w:cs="Times New Roman" w:eastAsia="Times New Roman" w:hint="default"/>
        </w:rPr>
        <w:t>31</w:t>
      </w:r>
      <w:r>
        <w:rPr/>
        <w:t>、其他综合收益。</w:t>
      </w:r>
    </w:p>
    <w:p>
      <w:pPr>
        <w:spacing w:line="240" w:lineRule="auto" w:before="0"/>
        <w:rPr>
          <w:rFonts w:ascii="宋体" w:hAnsi="宋体" w:cs="宋体" w:eastAsia="宋体" w:hint="default"/>
          <w:sz w:val="18"/>
          <w:szCs w:val="18"/>
        </w:rPr>
      </w:pPr>
    </w:p>
    <w:p>
      <w:pPr>
        <w:pStyle w:val="Heading4"/>
        <w:spacing w:line="240" w:lineRule="auto" w:before="126"/>
        <w:ind w:right="0"/>
        <w:jc w:val="left"/>
        <w:rPr>
          <w:b w:val="0"/>
          <w:bCs w:val="0"/>
        </w:rPr>
      </w:pPr>
      <w:bookmarkStart w:name="47、现金流量表项目" w:id="304"/>
      <w:bookmarkEnd w:id="304"/>
      <w:r>
        <w:rPr>
          <w:b w:val="0"/>
          <w:bCs w:val="0"/>
        </w:rPr>
      </w:r>
      <w:r>
        <w:rPr>
          <w:rFonts w:ascii="Times New Roman" w:hAnsi="Times New Roman" w:cs="Times New Roman" w:eastAsia="Times New Roman" w:hint="default"/>
        </w:rPr>
        <w:t>47</w:t>
      </w:r>
      <w:r>
        <w:rPr/>
        <w:t>、现金流量表项目</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9"/>
        <w:ind w:left="1133" w:right="0"/>
        <w:jc w:val="left"/>
        <w:rPr>
          <w:b w:val="0"/>
          <w:bCs w:val="0"/>
        </w:rPr>
      </w:pPr>
      <w:bookmarkStart w:name="（1）收到的其他与经营活动有关的现金" w:id="305"/>
      <w:bookmarkEnd w:id="305"/>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45,136,629.41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35,038,316.03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收回往来款项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3,814.51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724,833.07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收到利息收入及政府补贴等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7,814,637.65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9,005,573.54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52,955,081.57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44,768,722.64</w:t>
            </w:r>
          </w:p>
        </w:tc>
      </w:tr>
    </w:tbl>
    <w:p>
      <w:pPr>
        <w:pStyle w:val="BodyText"/>
        <w:spacing w:line="357" w:lineRule="auto" w:before="51"/>
        <w:ind w:left="1134" w:right="7512"/>
        <w:jc w:val="left"/>
      </w:pPr>
      <w:r>
        <w:rPr/>
        <w:t>收到的其他与经营活动有关的现金说明： 无</w:t>
      </w:r>
    </w:p>
    <w:p>
      <w:pPr>
        <w:spacing w:line="240" w:lineRule="auto" w:before="2"/>
        <w:rPr>
          <w:rFonts w:ascii="宋体" w:hAnsi="宋体" w:cs="宋体" w:eastAsia="宋体" w:hint="default"/>
          <w:sz w:val="22"/>
          <w:szCs w:val="22"/>
        </w:rPr>
      </w:pPr>
    </w:p>
    <w:p>
      <w:pPr>
        <w:pStyle w:val="Heading4"/>
        <w:spacing w:line="240" w:lineRule="auto"/>
        <w:ind w:right="0"/>
        <w:jc w:val="left"/>
        <w:rPr>
          <w:b w:val="0"/>
          <w:bCs w:val="0"/>
        </w:rPr>
      </w:pPr>
      <w:bookmarkStart w:name="（2）支付的其他与经营活动有关的现金" w:id="306"/>
      <w:bookmarkEnd w:id="306"/>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29,870,821.41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39,175,533.93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支付往来款项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1,054,822.20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732,505.82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支付的期间费用及营业外支出等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42,529,434.51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32,798,679.55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73,455,078.12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72,706,719.30</w:t>
            </w:r>
          </w:p>
        </w:tc>
      </w:tr>
    </w:tbl>
    <w:p>
      <w:pPr>
        <w:pStyle w:val="BodyText"/>
        <w:spacing w:line="357" w:lineRule="auto" w:before="51"/>
        <w:ind w:left="1134" w:right="7512"/>
        <w:jc w:val="left"/>
      </w:pPr>
      <w:r>
        <w:rPr/>
        <w:t>支付的其他与经营活动有关的现金说明： 无</w:t>
      </w:r>
    </w:p>
    <w:p>
      <w:pPr>
        <w:spacing w:line="240" w:lineRule="auto" w:before="2"/>
        <w:rPr>
          <w:rFonts w:ascii="宋体" w:hAnsi="宋体" w:cs="宋体" w:eastAsia="宋体" w:hint="default"/>
          <w:sz w:val="22"/>
          <w:szCs w:val="22"/>
        </w:rPr>
      </w:pPr>
    </w:p>
    <w:p>
      <w:pPr>
        <w:pStyle w:val="Heading4"/>
        <w:spacing w:line="240" w:lineRule="auto"/>
        <w:ind w:right="0"/>
        <w:jc w:val="left"/>
        <w:rPr>
          <w:b w:val="0"/>
          <w:bCs w:val="0"/>
        </w:rPr>
      </w:pPr>
      <w:bookmarkStart w:name="（3）收到的其他与投资活动有关的现金" w:id="307"/>
      <w:bookmarkEnd w:id="307"/>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134" w:right="7512"/>
        <w:jc w:val="left"/>
      </w:pPr>
      <w:r>
        <w:rPr/>
        <w:t>收到的其他与投资活动有关的现金说明： 无</w:t>
      </w:r>
    </w:p>
    <w:p>
      <w:pPr>
        <w:spacing w:line="240" w:lineRule="auto" w:before="2"/>
        <w:rPr>
          <w:rFonts w:ascii="宋体" w:hAnsi="宋体" w:cs="宋体" w:eastAsia="宋体" w:hint="default"/>
          <w:sz w:val="22"/>
          <w:szCs w:val="22"/>
        </w:rPr>
      </w:pPr>
    </w:p>
    <w:p>
      <w:pPr>
        <w:pStyle w:val="Heading4"/>
        <w:spacing w:line="240" w:lineRule="auto"/>
        <w:ind w:right="0"/>
        <w:jc w:val="left"/>
        <w:rPr>
          <w:b w:val="0"/>
          <w:bCs w:val="0"/>
        </w:rPr>
      </w:pPr>
      <w:bookmarkStart w:name="（4）支付的其他与投资活动有关的现金" w:id="308"/>
      <w:bookmarkEnd w:id="308"/>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r>
        <w:rPr/>
        <w:pict>
          <v:group style="position:absolute;margin-left:223.339996pt;margin-top:736.769958pt;width:151.25pt;height:20.7pt;mso-position-horizontal-relative:page;mso-position-vertical-relative:page;z-index:-880576" coordorigin="4467,14735" coordsize="3025,414">
            <v:group style="position:absolute;left:4478;top:14747;width:2;height:392" coordorigin="4478,14747" coordsize="2,392">
              <v:shape style="position:absolute;left:4478;top:14747;width:2;height:392" coordorigin="4478,14747" coordsize="0,392" path="m4478,14747l4478,15138e" filled="false" stroked="true" strokeweight="1.140pt" strokecolor="#ffffff">
                <v:path arrowok="t"/>
              </v:shape>
            </v:group>
            <v:group style="position:absolute;left:4490;top:14747;width:3002;height:392" coordorigin="4490,14747" coordsize="3002,392">
              <v:shape style="position:absolute;left:4490;top:14747;width:3002;height:392" coordorigin="4490,14747" coordsize="3002,392" path="m4490,15138l7491,15138,7491,14747,4490,14747,4490,15138xe" filled="true" fillcolor="#ffffff" stroked="false">
                <v:path arrowok="t"/>
                <v:fill type="solid"/>
              </v:shape>
            </v:group>
            <w10:wrap type="none"/>
          </v:group>
        </w:pict>
      </w: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处置子公司支付的现金净额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919,617.58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919,617.58</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134" w:right="7512"/>
        <w:jc w:val="left"/>
      </w:pPr>
      <w:r>
        <w:rPr/>
        <w:t>支付的其他与投资活动有关的现金说明： 无</w:t>
      </w:r>
    </w:p>
    <w:p>
      <w:pPr>
        <w:spacing w:line="240" w:lineRule="auto" w:before="2"/>
        <w:rPr>
          <w:rFonts w:ascii="宋体" w:hAnsi="宋体" w:cs="宋体" w:eastAsia="宋体" w:hint="default"/>
          <w:sz w:val="22"/>
          <w:szCs w:val="22"/>
        </w:rPr>
      </w:pPr>
    </w:p>
    <w:p>
      <w:pPr>
        <w:pStyle w:val="Heading4"/>
        <w:spacing w:line="240" w:lineRule="auto"/>
        <w:ind w:right="0"/>
        <w:jc w:val="left"/>
        <w:rPr>
          <w:b w:val="0"/>
          <w:bCs w:val="0"/>
        </w:rPr>
      </w:pPr>
      <w:bookmarkStart w:name="（5）收到的其他与筹资活动有关的现金" w:id="309"/>
      <w:bookmarkEnd w:id="309"/>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52"/>
        <w:ind w:left="1134" w:right="7512"/>
        <w:jc w:val="left"/>
      </w:pPr>
      <w:r>
        <w:rPr/>
        <w:t>收到的其他与筹资活动有关的现金说明： 无</w:t>
      </w:r>
    </w:p>
    <w:p>
      <w:pPr>
        <w:spacing w:line="240" w:lineRule="auto" w:before="2"/>
        <w:rPr>
          <w:rFonts w:ascii="宋体" w:hAnsi="宋体" w:cs="宋体" w:eastAsia="宋体" w:hint="default"/>
          <w:sz w:val="22"/>
          <w:szCs w:val="22"/>
        </w:rPr>
      </w:pPr>
    </w:p>
    <w:p>
      <w:pPr>
        <w:pStyle w:val="Heading4"/>
        <w:spacing w:line="240" w:lineRule="auto"/>
        <w:ind w:right="0"/>
        <w:jc w:val="left"/>
        <w:rPr>
          <w:b w:val="0"/>
          <w:bCs w:val="0"/>
        </w:rPr>
      </w:pPr>
      <w:bookmarkStart w:name="（6）支付的其他与筹资活动有关的现金" w:id="310"/>
      <w:bookmarkEnd w:id="310"/>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支付发行费用</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8,421,766.04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8,421,766.04</w:t>
            </w:r>
          </w:p>
        </w:tc>
      </w:tr>
    </w:tbl>
    <w:p>
      <w:pPr>
        <w:pStyle w:val="BodyText"/>
        <w:spacing w:line="357" w:lineRule="auto" w:before="51"/>
        <w:ind w:left="1134" w:right="7512"/>
        <w:jc w:val="left"/>
      </w:pPr>
      <w:r>
        <w:rPr/>
        <w:t>支付的其他与筹资活动有关的现金说明： 无</w:t>
      </w:r>
    </w:p>
    <w:p>
      <w:pPr>
        <w:spacing w:line="240" w:lineRule="auto" w:before="2"/>
        <w:rPr>
          <w:rFonts w:ascii="宋体" w:hAnsi="宋体" w:cs="宋体" w:eastAsia="宋体" w:hint="default"/>
          <w:sz w:val="22"/>
          <w:szCs w:val="22"/>
        </w:rPr>
      </w:pPr>
    </w:p>
    <w:p>
      <w:pPr>
        <w:pStyle w:val="Heading4"/>
        <w:spacing w:line="240" w:lineRule="auto"/>
        <w:ind w:right="0"/>
        <w:jc w:val="left"/>
        <w:rPr>
          <w:b w:val="0"/>
          <w:bCs w:val="0"/>
        </w:rPr>
      </w:pPr>
      <w:bookmarkStart w:name="48、现金流量表补充资料" w:id="311"/>
      <w:bookmarkEnd w:id="311"/>
      <w:r>
        <w:rPr>
          <w:b w:val="0"/>
          <w:bCs w:val="0"/>
        </w:rPr>
      </w:r>
      <w:r>
        <w:rPr>
          <w:rFonts w:ascii="Times New Roman" w:hAnsi="Times New Roman" w:cs="Times New Roman" w:eastAsia="Times New Roman" w:hint="default"/>
        </w:rPr>
        <w:t>48</w:t>
      </w:r>
      <w:r>
        <w:rPr/>
        <w:t>、现金流量表补充资料</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8"/>
        <w:ind w:left="1133" w:right="0"/>
        <w:jc w:val="left"/>
        <w:rPr>
          <w:b w:val="0"/>
          <w:bCs w:val="0"/>
        </w:rPr>
      </w:pPr>
      <w:bookmarkStart w:name="（1）现金流量表补充资料" w:id="312"/>
      <w:bookmarkEnd w:id="312"/>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5"/>
        <w:gridCol w:w="1055"/>
        <w:gridCol w:w="2014"/>
        <w:gridCol w:w="3184"/>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92,835,525.94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54,640,292.85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5,051,336.15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7,286,094.01</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3,115,357.77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3,300,179.08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2,150,156.96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2,223,491.93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92,292.31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230,406.23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-381,095.09</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019" w:right="0"/>
              <w:jc w:val="left"/>
              <w:rPr>
                <w:rFonts w:ascii="Times New Roman" w:hAnsi="Times New Roman" w:cs="Times New Roman" w:eastAsia="Times New Roman" w:hint="default"/>
                <w:sz w:val="18"/>
                <w:szCs w:val="18"/>
              </w:rPr>
            </w:pPr>
            <w:r>
              <w:rPr>
                <w:rFonts w:ascii="Times New Roman"/>
                <w:sz w:val="18"/>
              </w:rPr>
              <w:t>-6,802,863.89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-1,236,712.33</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981" w:right="0"/>
              <w:jc w:val="left"/>
              <w:rPr>
                <w:rFonts w:ascii="Times New Roman" w:hAnsi="Times New Roman" w:cs="Times New Roman" w:eastAsia="Times New Roman" w:hint="default"/>
                <w:sz w:val="18"/>
                <w:szCs w:val="18"/>
              </w:rPr>
            </w:pPr>
            <w:r>
              <w:rPr>
                <w:rFonts w:ascii="Times New Roman"/>
                <w:sz w:val="18"/>
              </w:rPr>
              <w:t>-5,021,933.56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-1,712,145.37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r>
        <w:rPr/>
        <w:pict>
          <v:group style="position:absolute;margin-left:223.339996pt;margin-top:71.909981pt;width:151.25pt;height:20.8pt;mso-position-horizontal-relative:page;mso-position-vertical-relative:page;z-index:-880552" coordorigin="4467,1438" coordsize="3025,416">
            <v:group style="position:absolute;left:4478;top:1450;width:2;height:393" coordorigin="4478,1450" coordsize="2,393">
              <v:shape style="position:absolute;left:4478;top:1450;width:2;height:393" coordorigin="4478,1450" coordsize="0,393" path="m4478,1450l4478,1842e" filled="false" stroked="true" strokeweight="1.140pt" strokecolor="#ffffff">
                <v:path arrowok="t"/>
              </v:shape>
            </v:group>
            <v:group style="position:absolute;left:4490;top:1450;width:3002;height:393" coordorigin="4490,1450" coordsize="3002,393">
              <v:shape style="position:absolute;left:4490;top:1450;width:3002;height:393" coordorigin="4490,1450" coordsize="3002,393" path="m4490,1842l7491,1842,7491,1450,4490,1450,4490,1842xe" filled="true" fillcolor="#ffffff" stroked="false">
                <v:path arrowok="t"/>
                <v:fill type="solid"/>
              </v:shape>
            </v:group>
            <w10:wrap type="none"/>
          </v:group>
        </w:pict>
      </w:r>
    </w:p>
    <w:tbl>
      <w:tblPr>
        <w:tblW w:w="0" w:type="auto"/>
        <w:jc w:val="left"/>
        <w:tblInd w:w="1140" w:type="dxa"/>
        <w:tblLayout w:type="fixed"/>
        <w:tblCellMar>
          <w:top w:w="0" w:type="dxa"/>
          <w:left w:w="0" w:type="dxa"/>
          <w:bottom w:w="0" w:type="dxa"/>
          <w:right w:w="0" w:type="dxa"/>
        </w:tblCellMar>
        <w:tblLook w:val="01E0"/>
      </w:tblPr>
      <w:tblGrid>
        <w:gridCol w:w="3305"/>
        <w:gridCol w:w="1197"/>
        <w:gridCol w:w="1872"/>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197"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123" w:right="0"/>
              <w:jc w:val="left"/>
              <w:rPr>
                <w:rFonts w:ascii="Times New Roman" w:hAnsi="Times New Roman" w:cs="Times New Roman" w:eastAsia="Times New Roman" w:hint="default"/>
                <w:sz w:val="18"/>
                <w:szCs w:val="18"/>
              </w:rPr>
            </w:pPr>
            <w:r>
              <w:rPr>
                <w:rFonts w:ascii="Times New Roman"/>
                <w:sz w:val="18"/>
              </w:rPr>
              <w:t>57,952.37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47,744.79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-65,713,287.70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36,016,885.05</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29" w:right="0"/>
              <w:jc w:val="left"/>
              <w:rPr>
                <w:rFonts w:ascii="Times New Roman" w:hAnsi="Times New Roman" w:cs="Times New Roman" w:eastAsia="Times New Roman" w:hint="default"/>
                <w:sz w:val="18"/>
                <w:szCs w:val="18"/>
              </w:rPr>
            </w:pPr>
            <w:r>
              <w:rPr>
                <w:rFonts w:ascii="Times New Roman"/>
                <w:sz w:val="18"/>
              </w:rPr>
              <w:t>-87,703,154.93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-94,064,066.61</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62,033,413.41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-9,123,864.67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-304,436.67</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1,361,874.72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-71,527.92</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-1,549,029.33</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289,481,776.26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248,562,844.09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248,562,844.09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174,179,288.72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40,918,932.17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74,383,555.37</w:t>
            </w:r>
          </w:p>
        </w:tc>
      </w:tr>
    </w:tbl>
    <w:p>
      <w:pPr>
        <w:spacing w:line="240" w:lineRule="auto" w:before="6"/>
        <w:rPr>
          <w:rFonts w:ascii="宋体" w:hAnsi="宋体" w:cs="宋体" w:eastAsia="宋体" w:hint="default"/>
          <w:sz w:val="20"/>
          <w:szCs w:val="20"/>
        </w:rPr>
      </w:pPr>
    </w:p>
    <w:p>
      <w:pPr>
        <w:pStyle w:val="Heading4"/>
        <w:spacing w:line="240" w:lineRule="auto" w:before="44"/>
        <w:ind w:right="0"/>
        <w:jc w:val="left"/>
        <w:rPr>
          <w:b w:val="0"/>
          <w:bCs w:val="0"/>
        </w:rPr>
      </w:pPr>
      <w:bookmarkStart w:name="（2）现金和现金等价物的构成" w:id="313"/>
      <w:bookmarkEnd w:id="313"/>
      <w:r>
        <w:rPr>
          <w:b w:val="0"/>
          <w:bCs w:val="0"/>
        </w:rPr>
      </w: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289,481,776.26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248,562,844.09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153,525.33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168,804.05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289,259,913.32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248,394,040.04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68,337.61</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289,481,776.26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248,562,844.09</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2"/>
          <w:szCs w:val="22"/>
        </w:rPr>
      </w:pPr>
    </w:p>
    <w:p>
      <w:pPr>
        <w:pStyle w:val="Heading4"/>
        <w:spacing w:line="240" w:lineRule="auto"/>
        <w:ind w:right="0"/>
        <w:jc w:val="left"/>
        <w:rPr>
          <w:b w:val="0"/>
          <w:bCs w:val="0"/>
        </w:rPr>
      </w:pPr>
      <w:bookmarkStart w:name="49、所有权或使用权受到限制的资产" w:id="314"/>
      <w:bookmarkEnd w:id="314"/>
      <w:r>
        <w:rPr>
          <w:b w:val="0"/>
          <w:bCs w:val="0"/>
        </w:rPr>
      </w:r>
      <w:r>
        <w:rPr>
          <w:rFonts w:ascii="Times New Roman" w:hAnsi="Times New Roman" w:cs="Times New Roman" w:eastAsia="Times New Roman" w:hint="default"/>
        </w:rPr>
        <w:t>49</w:t>
      </w:r>
      <w:r>
        <w:rPr/>
        <w:t>、所有权或使用权受到限制的资产</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14,358,297.01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保函、信用证、承兑汇票保证金</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4,871,897.28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本公司购置的人才住房，为有限产权</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11,041,850.87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贷款抵押</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30,272,045.16</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4"/>
        <w:spacing w:line="240" w:lineRule="auto"/>
        <w:ind w:left="1133" w:right="0"/>
        <w:jc w:val="left"/>
        <w:rPr>
          <w:b w:val="0"/>
          <w:bCs w:val="0"/>
        </w:rPr>
      </w:pPr>
      <w:bookmarkStart w:name="50、外币货币性项目" w:id="315"/>
      <w:bookmarkEnd w:id="315"/>
      <w:r>
        <w:rPr>
          <w:b w:val="0"/>
          <w:bCs w:val="0"/>
        </w:rPr>
      </w:r>
      <w:r>
        <w:rPr>
          <w:rFonts w:ascii="Times New Roman" w:hAnsi="Times New Roman" w:cs="Times New Roman" w:eastAsia="Times New Roman" w:hint="default"/>
        </w:rPr>
        <w:t>50</w:t>
      </w:r>
      <w:r>
        <w:rPr/>
        <w:t>、外币货币性项目</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9"/>
        <w:ind w:left="1133" w:right="0"/>
        <w:jc w:val="left"/>
        <w:rPr>
          <w:b w:val="0"/>
          <w:bCs w:val="0"/>
        </w:rPr>
      </w:pPr>
      <w:bookmarkStart w:name="（1）外币货币性项目" w:id="316"/>
      <w:bookmarkEnd w:id="316"/>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5"/>
        <w:gridCol w:w="2294"/>
        <w:gridCol w:w="2391"/>
        <w:gridCol w:w="2389"/>
      </w:tblGrid>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67.89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6.53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443.61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8,252.78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7.80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64,390.67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7,830,259.73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0.84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6,545,314.11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1,225,394.72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7.80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9,560,897.21</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0" w:right="0"/>
              <w:jc w:val="center"/>
              <w:rPr>
                <w:rFonts w:ascii="宋体" w:hAnsi="宋体" w:cs="宋体" w:eastAsia="宋体" w:hint="default"/>
                <w:sz w:val="18"/>
                <w:szCs w:val="18"/>
              </w:rPr>
            </w:pPr>
            <w:r>
              <w:rPr>
                <w:rFonts w:ascii="宋体" w:hAnsi="宋体" w:cs="宋体" w:eastAsia="宋体" w:hint="default"/>
                <w:sz w:val="18"/>
                <w:szCs w:val="18"/>
              </w:rPr>
              <w:t>瑞典克朗</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64,400.00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0.79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51,011.24</w:t>
            </w:r>
          </w:p>
        </w:tc>
      </w:tr>
    </w:tbl>
    <w:p>
      <w:pPr>
        <w:pStyle w:val="BodyText"/>
        <w:spacing w:line="240" w:lineRule="auto" w:before="51"/>
        <w:ind w:left="1134" w:right="0"/>
        <w:jc w:val="left"/>
      </w:pPr>
      <w:r>
        <w:rPr/>
        <w:t>其他说明：</w:t>
      </w:r>
    </w:p>
    <w:p>
      <w:pPr>
        <w:spacing w:line="240" w:lineRule="auto" w:before="0"/>
        <w:rPr>
          <w:rFonts w:ascii="宋体" w:hAnsi="宋体" w:cs="宋体" w:eastAsia="宋体" w:hint="default"/>
          <w:sz w:val="18"/>
          <w:szCs w:val="18"/>
        </w:rPr>
      </w:pPr>
    </w:p>
    <w:p>
      <w:pPr>
        <w:pStyle w:val="Heading4"/>
        <w:spacing w:line="302" w:lineRule="auto" w:before="139"/>
        <w:ind w:right="0"/>
        <w:jc w:val="left"/>
        <w:rPr>
          <w:b w:val="0"/>
          <w:bCs w:val="0"/>
        </w:rPr>
      </w:pPr>
      <w:bookmarkStart w:name="（2）境外经营实体说明，包括对于重要的境外经营实体，应披露其境外主要经营地、记账" w:id="317"/>
      <w:bookmarkEnd w:id="317"/>
      <w:r>
        <w:rPr>
          <w:b w:val="0"/>
          <w:bCs w:val="0"/>
        </w:rPr>
      </w:r>
      <w:r>
        <w:rPr>
          <w:w w:val="95"/>
        </w:rPr>
        <w:t>（</w:t>
      </w:r>
      <w:r>
        <w:rPr>
          <w:rFonts w:ascii="Times New Roman" w:hAnsi="Times New Roman" w:cs="Times New Roman" w:eastAsia="Times New Roman" w:hint="default"/>
          <w:w w:val="95"/>
        </w:rPr>
        <w:t>2</w:t>
      </w:r>
      <w:r>
        <w:rPr>
          <w:w w:val="95"/>
        </w:rPr>
        <w:t>）境外经营实体说明，包括对于重要的境外经营实体，应披露其境外主要经营地、记账本位币及选择依据，记账本位币</w:t>
      </w:r>
      <w:r>
        <w:rPr>
          <w:spacing w:val="17"/>
          <w:w w:val="95"/>
        </w:rPr>
        <w:t> </w:t>
      </w:r>
      <w:r>
        <w:rPr>
          <w:spacing w:val="17"/>
          <w:w w:val="95"/>
        </w:rPr>
      </w:r>
      <w:r>
        <w:rPr/>
        <w:t>发生变化的还应披露原因。</w:t>
      </w:r>
      <w:r>
        <w:rPr>
          <w:b w:val="0"/>
          <w:bCs w:val="0"/>
        </w:rPr>
      </w:r>
    </w:p>
    <w:p>
      <w:pPr>
        <w:spacing w:line="240" w:lineRule="auto" w:before="4"/>
        <w:rPr>
          <w:rFonts w:ascii="宋体" w:hAnsi="宋体" w:cs="宋体" w:eastAsia="宋体" w:hint="default"/>
          <w:b/>
          <w:bCs/>
          <w:sz w:val="25"/>
          <w:szCs w:val="25"/>
        </w:rPr>
      </w:pPr>
    </w:p>
    <w:p>
      <w:pPr>
        <w:spacing w:line="607" w:lineRule="auto" w:before="0"/>
        <w:ind w:left="1133" w:right="91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bookmarkStart w:name="八、合并范围的变更" w:id="318"/>
      <w:bookmarkEnd w:id="318"/>
      <w:r>
        <w:rPr>
          <w:rFonts w:ascii="宋体" w:hAnsi="宋体" w:cs="宋体" w:eastAsia="宋体" w:hint="default"/>
          <w:sz w:val="18"/>
          <w:szCs w:val="18"/>
        </w:rPr>
      </w:r>
      <w:r>
        <w:rPr>
          <w:rFonts w:ascii="宋体" w:hAnsi="宋体" w:cs="宋体" w:eastAsia="宋体" w:hint="default"/>
          <w:b/>
          <w:bCs/>
          <w:sz w:val="18"/>
          <w:szCs w:val="18"/>
        </w:rPr>
        <w:t>八、合并范围的变更</w:t>
      </w:r>
      <w:r>
        <w:rPr>
          <w:rFonts w:ascii="宋体" w:hAnsi="宋体" w:cs="宋体" w:eastAsia="宋体" w:hint="default"/>
          <w:b/>
          <w:bCs/>
          <w:w w:val="99"/>
          <w:sz w:val="18"/>
          <w:szCs w:val="18"/>
        </w:rPr>
        <w:t> </w:t>
      </w:r>
      <w:bookmarkStart w:name="1、处置子公司" w:id="319"/>
      <w:bookmarkEnd w:id="319"/>
      <w:r>
        <w:rPr>
          <w:rFonts w:ascii="宋体" w:hAnsi="宋体" w:cs="宋体" w:eastAsia="宋体" w:hint="default"/>
          <w:b/>
          <w:bCs/>
          <w:w w:val="99"/>
          <w:sz w:val="18"/>
          <w:szCs w:val="18"/>
        </w:rPr>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、处置子公司</w:t>
      </w:r>
      <w:r>
        <w:rPr>
          <w:rFonts w:ascii="宋体" w:hAnsi="宋体" w:cs="宋体" w:eastAsia="宋体" w:hint="default"/>
          <w:sz w:val="18"/>
          <w:szCs w:val="18"/>
        </w:rPr>
      </w:r>
    </w:p>
    <w:p>
      <w:pPr>
        <w:spacing w:after="0" w:line="607" w:lineRule="auto"/>
        <w:jc w:val="left"/>
        <w:rPr>
          <w:rFonts w:ascii="宋体" w:hAnsi="宋体" w:cs="宋体" w:eastAsia="宋体" w:hint="default"/>
          <w:sz w:val="18"/>
          <w:szCs w:val="18"/>
        </w:rPr>
        <w:sectPr>
          <w:pgSz w:w="11910" w:h="16840"/>
          <w:pgMar w:header="747" w:footer="979" w:top="1060" w:bottom="1160" w:left="0" w:right="0"/>
        </w:sectPr>
      </w:pPr>
    </w:p>
    <w:p>
      <w:pPr>
        <w:pStyle w:val="BodyText"/>
        <w:spacing w:line="240" w:lineRule="auto" w:before="59"/>
        <w:ind w:left="1134" w:right="-20"/>
        <w:jc w:val="left"/>
      </w:pPr>
      <w:r>
        <w:rPr/>
        <w:t>是否存在单次处置对子公司投资即丧失控制权的情形</w:t>
      </w:r>
    </w:p>
    <w:p>
      <w:pPr>
        <w:pStyle w:val="BodyText"/>
        <w:spacing w:line="240" w:lineRule="auto" w:before="117"/>
        <w:ind w:left="1134"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2"/>
          <w:szCs w:val="22"/>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275" w:space="3555"/>
            <w:col w:w="3080"/>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36"/>
      </w:tblGrid>
      <w:tr>
        <w:trPr>
          <w:trHeight w:val="3834"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93" w:right="91"/>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92" w:right="90"/>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92" w:right="91"/>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0"/>
              <w:jc w:val="center"/>
              <w:rPr>
                <w:rFonts w:ascii="宋体" w:hAnsi="宋体" w:cs="宋体" w:eastAsia="宋体" w:hint="default"/>
                <w:sz w:val="18"/>
                <w:szCs w:val="18"/>
              </w:rPr>
            </w:pPr>
            <w:r>
              <w:rPr>
                <w:rFonts w:ascii="宋体" w:hAnsi="宋体" w:cs="宋体" w:eastAsia="宋体" w:hint="default"/>
                <w:sz w:val="18"/>
                <w:szCs w:val="18"/>
              </w:rPr>
              <w:t>处置价 款与处 置投资 对应的 合并财 务报表 层面享 有该子 公司净 资产份 额的差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92" w:right="93"/>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2" w:right="91"/>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r>
        <w:trPr>
          <w:trHeight w:val="403"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广东新</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4" w:right="0"/>
              <w:jc w:val="left"/>
              <w:rPr>
                <w:rFonts w:ascii="Times New Roman" w:hAnsi="Times New Roman" w:cs="Times New Roman" w:eastAsia="Times New Roman" w:hint="default"/>
                <w:sz w:val="18"/>
                <w:szCs w:val="18"/>
              </w:rPr>
            </w:pPr>
            <w:r>
              <w:rPr>
                <w:rFonts w:ascii="Times New Roman"/>
                <w:sz w:val="18"/>
              </w:rPr>
              <w:t>28,000,0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8" w:right="0"/>
              <w:jc w:val="left"/>
              <w:rPr>
                <w:rFonts w:ascii="Times New Roman" w:hAnsi="Times New Roman" w:cs="Times New Roman" w:eastAsia="Times New Roman" w:hint="default"/>
                <w:sz w:val="18"/>
                <w:szCs w:val="18"/>
              </w:rPr>
            </w:pPr>
            <w:r>
              <w:rPr>
                <w:rFonts w:ascii="Times New Roman"/>
                <w:sz w:val="18"/>
              </w:rPr>
              <w:t>1.00%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整体股</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股权交</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1" w:right="0"/>
              <w:jc w:val="left"/>
              <w:rPr>
                <w:rFonts w:ascii="Times New Roman" w:hAnsi="Times New Roman" w:cs="Times New Roman" w:eastAsia="Times New Roman" w:hint="default"/>
                <w:sz w:val="18"/>
                <w:szCs w:val="18"/>
              </w:rPr>
            </w:pPr>
            <w:r>
              <w:rPr>
                <w:rFonts w:ascii="Times New Roman"/>
                <w:sz w:val="18"/>
              </w:rPr>
              <w:t>3,725,55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738"/>
        <w:gridCol w:w="737"/>
        <w:gridCol w:w="736"/>
        <w:gridCol w:w="736"/>
        <w:gridCol w:w="734"/>
        <w:gridCol w:w="736"/>
        <w:gridCol w:w="734"/>
        <w:gridCol w:w="736"/>
        <w:gridCol w:w="737"/>
        <w:gridCol w:w="736"/>
        <w:gridCol w:w="736"/>
        <w:gridCol w:w="737"/>
        <w:gridCol w:w="736"/>
      </w:tblGrid>
      <w:tr>
        <w:trPr>
          <w:trHeight w:val="986" w:hRule="exact"/>
        </w:trPr>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5"/>
              <w:jc w:val="both"/>
              <w:rPr>
                <w:rFonts w:ascii="宋体" w:hAnsi="宋体" w:cs="宋体" w:eastAsia="宋体" w:hint="default"/>
                <w:sz w:val="18"/>
                <w:szCs w:val="18"/>
              </w:rPr>
            </w:pPr>
            <w:r>
              <w:rPr>
                <w:rFonts w:ascii="宋体" w:hAnsi="宋体" w:cs="宋体" w:eastAsia="宋体" w:hint="default"/>
                <w:sz w:val="18"/>
                <w:szCs w:val="18"/>
              </w:rPr>
              <w:t>阳物流 设备有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9"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权转让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割</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7" w:right="0"/>
              <w:jc w:val="left"/>
              <w:rPr>
                <w:rFonts w:ascii="Times New Roman" w:hAnsi="Times New Roman" w:cs="Times New Roman" w:eastAsia="Times New Roman" w:hint="default"/>
                <w:sz w:val="18"/>
                <w:szCs w:val="18"/>
              </w:rPr>
            </w:pPr>
            <w:r>
              <w:rPr>
                <w:rFonts w:ascii="Times New Roman"/>
                <w:sz w:val="18"/>
              </w:rPr>
              <w:t>0.47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both"/>
      </w:pPr>
      <w:r>
        <w:rPr/>
        <w:t>其他说明：</w:t>
      </w:r>
    </w:p>
    <w:p>
      <w:pPr>
        <w:spacing w:line="240" w:lineRule="auto" w:before="11"/>
        <w:rPr>
          <w:rFonts w:ascii="宋体" w:hAnsi="宋体" w:cs="宋体" w:eastAsia="宋体" w:hint="default"/>
          <w:sz w:val="14"/>
          <w:szCs w:val="14"/>
        </w:rPr>
      </w:pPr>
    </w:p>
    <w:p>
      <w:pPr>
        <w:pStyle w:val="BodyText"/>
        <w:spacing w:line="432" w:lineRule="auto"/>
        <w:ind w:right="1153" w:firstLine="36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16</w:t>
      </w:r>
      <w:r>
        <w:rPr/>
        <w:t>日第三届董事会第二次会议决议，将原控股全资子公司广东新阳物流设备有限公司</w:t>
      </w:r>
      <w:r>
        <w:rPr>
          <w:rFonts w:ascii="Times New Roman" w:hAnsi="Times New Roman" w:cs="Times New Roman" w:eastAsia="Times New Roman" w:hint="default"/>
        </w:rPr>
        <w:t>100%</w:t>
      </w:r>
      <w:r>
        <w:rPr/>
        <w:t>股权转让给自然 人黄小江，转让股权价格为人民币</w:t>
      </w:r>
      <w:r>
        <w:rPr>
          <w:rFonts w:ascii="Times New Roman" w:hAnsi="Times New Roman" w:cs="Times New Roman" w:eastAsia="Times New Roman" w:hint="default"/>
        </w:rPr>
        <w:t>2,800.00</w:t>
      </w:r>
      <w:r>
        <w:rPr/>
        <w:t>万元。 是否存在通过多次交易分步处置对子公司投资且在本期丧失控制权的情形</w:t>
      </w:r>
    </w:p>
    <w:p>
      <w:pPr>
        <w:pStyle w:val="BodyText"/>
        <w:spacing w:line="221" w:lineRule="exact"/>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18"/>
          <w:szCs w:val="18"/>
        </w:rPr>
      </w:pPr>
    </w:p>
    <w:p>
      <w:pPr>
        <w:pStyle w:val="Heading4"/>
        <w:spacing w:line="240" w:lineRule="auto" w:before="127"/>
        <w:ind w:left="1133" w:right="0"/>
        <w:jc w:val="both"/>
        <w:rPr>
          <w:b w:val="0"/>
          <w:bCs w:val="0"/>
        </w:rPr>
      </w:pPr>
      <w:bookmarkStart w:name="2、其他原因的合并范围变动" w:id="320"/>
      <w:bookmarkEnd w:id="320"/>
      <w:r>
        <w:rPr>
          <w:b w:val="0"/>
          <w:bCs w:val="0"/>
        </w:rPr>
      </w:r>
      <w:r>
        <w:rPr>
          <w:rFonts w:ascii="Times New Roman" w:hAnsi="Times New Roman" w:cs="Times New Roman" w:eastAsia="Times New Roman" w:hint="default"/>
        </w:rPr>
        <w:t>2</w:t>
      </w:r>
      <w:r>
        <w:rPr/>
        <w:t>、其他原因的合并范围变动</w:t>
      </w:r>
      <w:r>
        <w:rPr>
          <w:b w:val="0"/>
          <w:bCs w:val="0"/>
        </w:rPr>
      </w:r>
    </w:p>
    <w:p>
      <w:pPr>
        <w:spacing w:line="240" w:lineRule="auto" w:before="0"/>
        <w:rPr>
          <w:rFonts w:ascii="宋体" w:hAnsi="宋体" w:cs="宋体" w:eastAsia="宋体" w:hint="default"/>
          <w:b/>
          <w:bCs/>
          <w:sz w:val="18"/>
          <w:szCs w:val="18"/>
        </w:rPr>
      </w:pPr>
    </w:p>
    <w:p>
      <w:pPr>
        <w:spacing w:line="357" w:lineRule="auto" w:before="128"/>
        <w:ind w:left="1133" w:right="3913"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 </w:t>
      </w:r>
      <w:r>
        <w:rPr>
          <w:rFonts w:ascii="宋体" w:hAnsi="宋体" w:cs="宋体" w:eastAsia="宋体" w:hint="default"/>
          <w:b/>
          <w:bCs/>
          <w:sz w:val="18"/>
          <w:szCs w:val="18"/>
        </w:rPr>
        <w:t>1</w:t>
      </w:r>
      <w:r>
        <w:rPr>
          <w:rFonts w:ascii="宋体" w:hAnsi="宋体" w:cs="宋体" w:eastAsia="宋体" w:hint="default"/>
          <w:b/>
          <w:bCs/>
          <w:sz w:val="18"/>
          <w:szCs w:val="18"/>
        </w:rPr>
        <w:t>、投资设立子公司北京今天华迅智能技术有限公司</w:t>
      </w:r>
      <w:r>
        <w:rPr>
          <w:rFonts w:ascii="宋体" w:hAnsi="宋体" w:cs="宋体" w:eastAsia="宋体" w:hint="default"/>
          <w:sz w:val="18"/>
          <w:szCs w:val="18"/>
        </w:rPr>
      </w:r>
    </w:p>
    <w:p>
      <w:pPr>
        <w:pStyle w:val="BodyText"/>
        <w:spacing w:line="224" w:lineRule="exact"/>
        <w:ind w:left="1134" w:right="0" w:firstLine="360"/>
        <w:jc w:val="left"/>
      </w:pPr>
      <w:r>
        <w:rPr>
          <w:rFonts w:ascii="宋体" w:hAnsi="宋体" w:cs="宋体" w:eastAsia="宋体" w:hint="default"/>
        </w:rPr>
        <w:t>2017</w:t>
      </w:r>
      <w:r>
        <w:rPr/>
        <w:t>年</w:t>
      </w:r>
      <w:r>
        <w:rPr>
          <w:rFonts w:ascii="宋体" w:hAnsi="宋体" w:cs="宋体" w:eastAsia="宋体" w:hint="default"/>
        </w:rPr>
        <w:t>7</w:t>
      </w:r>
      <w:r>
        <w:rPr/>
        <w:t>月</w:t>
      </w:r>
      <w:r>
        <w:rPr>
          <w:rFonts w:ascii="宋体" w:hAnsi="宋体" w:cs="宋体" w:eastAsia="宋体" w:hint="default"/>
        </w:rPr>
        <w:t>31</w:t>
      </w:r>
      <w:r>
        <w:rPr/>
        <w:t>日，本公司召开第三届董事会第八次会议决议，通过了《关于对外投资设立子公司的议案》，公司拟对外</w:t>
      </w:r>
    </w:p>
    <w:p>
      <w:pPr>
        <w:pStyle w:val="BodyText"/>
        <w:spacing w:line="316" w:lineRule="auto" w:before="76"/>
        <w:ind w:right="1131"/>
        <w:jc w:val="both"/>
      </w:pPr>
      <w:r>
        <w:rPr>
          <w:spacing w:val="-2"/>
        </w:rPr>
        <w:t>投资，与北京皖江科技合伙企业、北京卓天城科技合伙企业合资设立一家控股子公司，北京今天华迅智能技术有限公司。北</w:t>
      </w:r>
      <w:r>
        <w:rPr>
          <w:spacing w:val="-66"/>
        </w:rPr>
        <w:t> </w:t>
      </w:r>
      <w:r>
        <w:rPr>
          <w:spacing w:val="-66"/>
        </w:rPr>
      </w:r>
      <w:r>
        <w:rPr/>
        <w:t>京今天华迅智能技术有限公司注册资本</w:t>
      </w:r>
      <w:r>
        <w:rPr>
          <w:rFonts w:ascii="宋体" w:hAnsi="宋体" w:cs="宋体" w:eastAsia="宋体" w:hint="default"/>
        </w:rPr>
        <w:t>5,000.00</w:t>
      </w:r>
      <w:r>
        <w:rPr/>
        <w:t>万元人民币，其中公司认缴注册资本</w:t>
      </w:r>
      <w:r>
        <w:rPr>
          <w:rFonts w:ascii="宋体" w:hAnsi="宋体" w:cs="宋体" w:eastAsia="宋体" w:hint="default"/>
        </w:rPr>
        <w:t>3,110.00</w:t>
      </w:r>
      <w:r>
        <w:rPr/>
        <w:t>万元人民币，持有</w:t>
      </w:r>
      <w:r>
        <w:rPr>
          <w:rFonts w:ascii="宋体" w:hAnsi="宋体" w:cs="宋体" w:eastAsia="宋体" w:hint="default"/>
        </w:rPr>
        <w:t>62.2%</w:t>
      </w:r>
      <w:r>
        <w:rPr/>
        <w:t>的股 权；北京皖江科技合伙企业认缴注册资本</w:t>
      </w:r>
      <w:r>
        <w:rPr>
          <w:rFonts w:ascii="宋体" w:hAnsi="宋体" w:cs="宋体" w:eastAsia="宋体" w:hint="default"/>
        </w:rPr>
        <w:t>1,160.00</w:t>
      </w:r>
      <w:r>
        <w:rPr/>
        <w:t>万元人民币，持有</w:t>
      </w:r>
      <w:r>
        <w:rPr>
          <w:rFonts w:ascii="宋体" w:hAnsi="宋体" w:cs="宋体" w:eastAsia="宋体" w:hint="default"/>
        </w:rPr>
        <w:t>23.2%</w:t>
      </w:r>
      <w:r>
        <w:rPr/>
        <w:t>的股权；北京卓天城科技合伙企业认缴注册资本 </w:t>
      </w:r>
      <w:r>
        <w:rPr>
          <w:rFonts w:ascii="宋体" w:hAnsi="宋体" w:cs="宋体" w:eastAsia="宋体" w:hint="default"/>
        </w:rPr>
        <w:t>730.00</w:t>
      </w:r>
      <w:r>
        <w:rPr/>
        <w:t>万元人民币，持有</w:t>
      </w:r>
      <w:r>
        <w:rPr>
          <w:rFonts w:ascii="宋体" w:hAnsi="宋体" w:cs="宋体" w:eastAsia="宋体" w:hint="default"/>
        </w:rPr>
        <w:t>14.6%</w:t>
      </w:r>
      <w:r>
        <w:rPr/>
        <w:t>的股权。截止</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日，本公司实际出资</w:t>
      </w:r>
      <w:r>
        <w:rPr>
          <w:rFonts w:ascii="宋体" w:hAnsi="宋体" w:cs="宋体" w:eastAsia="宋体" w:hint="default"/>
        </w:rPr>
        <w:t>186.60</w:t>
      </w:r>
      <w:r>
        <w:rPr/>
        <w:t>万元人民币。</w:t>
      </w:r>
    </w:p>
    <w:p>
      <w:pPr>
        <w:spacing w:line="240" w:lineRule="auto" w:before="4"/>
        <w:rPr>
          <w:rFonts w:ascii="宋体" w:hAnsi="宋体" w:cs="宋体" w:eastAsia="宋体" w:hint="default"/>
          <w:sz w:val="25"/>
          <w:szCs w:val="25"/>
        </w:rPr>
      </w:pPr>
    </w:p>
    <w:p>
      <w:pPr>
        <w:pStyle w:val="Heading4"/>
        <w:spacing w:line="240" w:lineRule="auto"/>
        <w:ind w:left="1133" w:right="0"/>
        <w:jc w:val="both"/>
        <w:rPr>
          <w:b w:val="0"/>
          <w:bCs w:val="0"/>
        </w:rPr>
      </w:pPr>
      <w:r>
        <w:rPr>
          <w:rFonts w:ascii="宋体" w:hAnsi="宋体" w:cs="宋体" w:eastAsia="宋体" w:hint="default"/>
        </w:rPr>
        <w:t>2</w:t>
      </w:r>
      <w:r>
        <w:rPr/>
        <w:t>、投资设立全资子公司上海今天华峰智能系统有限公司</w:t>
      </w:r>
      <w:r>
        <w:rPr>
          <w:b w:val="0"/>
          <w:bCs w:val="0"/>
        </w:rPr>
      </w:r>
    </w:p>
    <w:p>
      <w:pPr>
        <w:pStyle w:val="BodyText"/>
        <w:spacing w:line="316" w:lineRule="auto" w:before="77"/>
        <w:ind w:right="1130" w:firstLine="360"/>
        <w:jc w:val="both"/>
      </w:pPr>
      <w:r>
        <w:rPr>
          <w:rFonts w:ascii="宋体" w:hAnsi="宋体" w:cs="宋体" w:eastAsia="宋体" w:hint="default"/>
          <w:spacing w:val="-3"/>
        </w:rPr>
        <w:t>2017</w:t>
      </w:r>
      <w:r>
        <w:rPr>
          <w:spacing w:val="-3"/>
        </w:rPr>
        <w:t>年</w:t>
      </w:r>
      <w:r>
        <w:rPr>
          <w:rFonts w:ascii="宋体" w:hAnsi="宋体" w:cs="宋体" w:eastAsia="宋体" w:hint="default"/>
          <w:spacing w:val="-3"/>
        </w:rPr>
        <w:t>9</w:t>
      </w:r>
      <w:r>
        <w:rPr>
          <w:spacing w:val="-3"/>
        </w:rPr>
        <w:t>月</w:t>
      </w:r>
      <w:r>
        <w:rPr>
          <w:rFonts w:ascii="宋体" w:hAnsi="宋体" w:cs="宋体" w:eastAsia="宋体" w:hint="default"/>
          <w:spacing w:val="-3"/>
        </w:rPr>
        <w:t>11</w:t>
      </w:r>
      <w:r>
        <w:rPr>
          <w:spacing w:val="-3"/>
        </w:rPr>
        <w:t>日，本公司召开第三届董事会第九次会议决议，通过了《关于投资设立上海子公司的议案》，同意使用</w:t>
      </w:r>
      <w:r>
        <w:rPr>
          <w:rFonts w:ascii="宋体" w:hAnsi="宋体" w:cs="宋体" w:eastAsia="宋体" w:hint="default"/>
          <w:spacing w:val="-3"/>
        </w:rPr>
        <w:t>5000</w:t>
      </w:r>
      <w:r>
        <w:rPr>
          <w:rFonts w:ascii="宋体" w:hAnsi="宋体" w:cs="宋体" w:eastAsia="宋体" w:hint="default"/>
        </w:rPr>
        <w:t> </w:t>
      </w:r>
      <w:r>
        <w:rPr/>
        <w:t>万元设立全资子公司上海今天华峰智能系统有限公司。该公司在</w:t>
      </w:r>
      <w:r>
        <w:rPr>
          <w:rFonts w:ascii="宋体" w:hAnsi="宋体" w:cs="宋体" w:eastAsia="宋体" w:hint="default"/>
        </w:rPr>
        <w:t>2017</w:t>
      </w:r>
      <w:r>
        <w:rPr/>
        <w:t>年</w:t>
      </w:r>
      <w:r>
        <w:rPr>
          <w:rFonts w:ascii="宋体" w:hAnsi="宋体" w:cs="宋体" w:eastAsia="宋体" w:hint="default"/>
        </w:rPr>
        <w:t>11</w:t>
      </w:r>
      <w:r>
        <w:rPr/>
        <w:t>月</w:t>
      </w:r>
      <w:r>
        <w:rPr>
          <w:rFonts w:ascii="宋体" w:hAnsi="宋体" w:cs="宋体" w:eastAsia="宋体" w:hint="default"/>
        </w:rPr>
        <w:t>7</w:t>
      </w:r>
      <w:r>
        <w:rPr/>
        <w:t>日成立，截止</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日，本公司尚未实 际出资。</w:t>
      </w:r>
    </w:p>
    <w:p>
      <w:pPr>
        <w:spacing w:line="240" w:lineRule="auto" w:before="6"/>
        <w:rPr>
          <w:rFonts w:ascii="宋体" w:hAnsi="宋体" w:cs="宋体" w:eastAsia="宋体" w:hint="default"/>
          <w:sz w:val="24"/>
          <w:szCs w:val="24"/>
        </w:rPr>
      </w:pPr>
    </w:p>
    <w:p>
      <w:pPr>
        <w:pStyle w:val="Heading4"/>
        <w:spacing w:line="240" w:lineRule="auto"/>
        <w:ind w:left="1133" w:right="0"/>
        <w:jc w:val="both"/>
        <w:rPr>
          <w:b w:val="0"/>
          <w:bCs w:val="0"/>
        </w:rPr>
      </w:pPr>
      <w:bookmarkStart w:name="九、在其他主体中的权益" w:id="321"/>
      <w:bookmarkEnd w:id="321"/>
      <w:r>
        <w:rPr>
          <w:b w:val="0"/>
          <w:bCs w:val="0"/>
        </w:rPr>
      </w:r>
      <w:r>
        <w:rPr/>
        <w:t>九、在其他主体中的权益</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42"/>
        <w:ind w:left="1133" w:right="0"/>
        <w:jc w:val="both"/>
        <w:rPr>
          <w:b w:val="0"/>
          <w:bCs w:val="0"/>
        </w:rPr>
      </w:pPr>
      <w:bookmarkStart w:name="1、在子公司中的权益" w:id="322"/>
      <w:bookmarkEnd w:id="322"/>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8"/>
        <w:ind w:left="1133" w:right="0"/>
        <w:jc w:val="both"/>
        <w:rPr>
          <w:b w:val="0"/>
          <w:bCs w:val="0"/>
        </w:rPr>
      </w:pPr>
      <w:bookmarkStart w:name="（1）企业集团的构成" w:id="323"/>
      <w:bookmarkEnd w:id="323"/>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2"/>
        <w:rPr>
          <w:rFonts w:ascii="宋体" w:hAnsi="宋体" w:cs="宋体" w:eastAsia="宋体" w:hint="default"/>
          <w:b/>
          <w:bCs/>
          <w:sz w:val="26"/>
          <w:szCs w:val="26"/>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深圳市同创智软 件技术有限公司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软件研发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设立或投资等方 式取得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今天国际物流科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COPR</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合并取得</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深圳市今天国际 智能机器人有限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机器人研发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设立或投资等方 式取得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北京今天华迅智 能技术有限公司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智能系统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设立或投资等方 式取得</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上海今天华峰智 能系统有限公司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智能系统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设立或投资等方 式取得</w:t>
            </w:r>
          </w:p>
        </w:tc>
      </w:tr>
    </w:tbl>
    <w:p>
      <w:pPr>
        <w:pStyle w:val="BodyText"/>
        <w:spacing w:line="357" w:lineRule="auto" w:before="51"/>
        <w:ind w:left="1134" w:right="6972"/>
        <w:jc w:val="left"/>
      </w:pPr>
      <w:r>
        <w:rPr/>
        <w:t>在子公司的持股比例不同于表决权比例的说明： 不适用</w:t>
      </w:r>
    </w:p>
    <w:p>
      <w:pPr>
        <w:pStyle w:val="BodyText"/>
        <w:spacing w:line="357" w:lineRule="auto" w:before="29"/>
        <w:ind w:right="2833"/>
        <w:jc w:val="left"/>
      </w:pPr>
      <w:r>
        <w:rPr/>
        <w:t>持有半数或以下表决权但仍控制被投资单位、以及持有半数以上表决权但不控制被投资单位的依据： 不适用</w:t>
      </w:r>
    </w:p>
    <w:p>
      <w:pPr>
        <w:pStyle w:val="BodyText"/>
        <w:spacing w:line="357" w:lineRule="auto" w:before="29"/>
        <w:ind w:left="1134" w:right="6432"/>
        <w:jc w:val="left"/>
      </w:pPr>
      <w:r>
        <w:rPr/>
        <w:t>对于纳入合并范围的重要的结构化主体，控制的依据： 不适用</w:t>
      </w:r>
    </w:p>
    <w:p>
      <w:pPr>
        <w:pStyle w:val="BodyText"/>
        <w:spacing w:line="357" w:lineRule="auto" w:before="29"/>
        <w:ind w:left="1134" w:right="7692"/>
        <w:jc w:val="left"/>
      </w:pPr>
      <w:r>
        <w:rPr/>
        <w:t>确定公司是代理人还是委托人的依据： 不适用</w:t>
      </w:r>
    </w:p>
    <w:p>
      <w:pPr>
        <w:pStyle w:val="BodyText"/>
        <w:spacing w:line="357" w:lineRule="auto" w:before="29"/>
        <w:ind w:left="1134" w:right="9852"/>
        <w:jc w:val="left"/>
      </w:pPr>
      <w:r>
        <w:rPr/>
        <w:t>其他说明： 不适用</w:t>
      </w:r>
    </w:p>
    <w:p>
      <w:pPr>
        <w:spacing w:line="240" w:lineRule="auto" w:before="2"/>
        <w:rPr>
          <w:rFonts w:ascii="宋体" w:hAnsi="宋体" w:cs="宋体" w:eastAsia="宋体" w:hint="default"/>
          <w:sz w:val="22"/>
          <w:szCs w:val="22"/>
        </w:rPr>
      </w:pPr>
    </w:p>
    <w:p>
      <w:pPr>
        <w:pStyle w:val="Heading4"/>
        <w:spacing w:line="240" w:lineRule="auto"/>
        <w:ind w:right="0"/>
        <w:jc w:val="left"/>
        <w:rPr>
          <w:b w:val="0"/>
          <w:bCs w:val="0"/>
        </w:rPr>
      </w:pPr>
      <w:bookmarkStart w:name="2、在合营安排或联营企业中的权益" w:id="324"/>
      <w:bookmarkEnd w:id="324"/>
      <w:r>
        <w:rPr>
          <w:b w:val="0"/>
          <w:bCs w:val="0"/>
        </w:rPr>
      </w:r>
      <w:r>
        <w:rPr>
          <w:rFonts w:ascii="Times New Roman" w:hAnsi="Times New Roman" w:cs="Times New Roman" w:eastAsia="Times New Roman" w:hint="default"/>
        </w:rPr>
        <w:t>2</w:t>
      </w:r>
      <w:r>
        <w:rPr/>
        <w:t>、在合营安排或联营企业中的权益</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8"/>
        <w:ind w:left="1133" w:right="0"/>
        <w:jc w:val="left"/>
        <w:rPr>
          <w:b w:val="0"/>
          <w:bCs w:val="0"/>
        </w:rPr>
      </w:pPr>
      <w:bookmarkStart w:name="（1）不重要的合营企业和联营企业的汇总财务信息" w:id="325"/>
      <w:bookmarkEnd w:id="325"/>
      <w:r>
        <w:rPr>
          <w:b w:val="0"/>
          <w:bCs w:val="0"/>
        </w:rPr>
      </w:r>
      <w:r>
        <w:rPr/>
        <w:t>（</w:t>
      </w:r>
      <w:r>
        <w:rPr>
          <w:rFonts w:ascii="Times New Roman" w:hAnsi="Times New Roman" w:cs="Times New Roman" w:eastAsia="Times New Roman" w:hint="default"/>
        </w:rPr>
        <w:t>1</w:t>
      </w:r>
      <w:r>
        <w:rPr/>
        <w:t>）不重要的合营企业和联营企业的汇总财务信息</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37,788,885.39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3,077,313.42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-19,927.65</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3,057,385.77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其他说明</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十、与金融工具相关的风险" w:id="326"/>
      <w:bookmarkEnd w:id="326"/>
      <w:r>
        <w:rPr>
          <w:b w:val="0"/>
          <w:bCs w:val="0"/>
        </w:rPr>
      </w:r>
      <w:r>
        <w:rPr/>
        <w:t>十、与金融工具相关的风险</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right="1132" w:firstLine="360"/>
        <w:jc w:val="both"/>
      </w:pPr>
      <w:r>
        <w:rPr>
          <w:spacing w:val="-2"/>
        </w:rPr>
        <w:t>本公司在经营过程中面临各种金融风险：信用风险、市场风险和流动性风险。公司董事会全面负责风险管理目标和政策</w:t>
      </w:r>
      <w:r>
        <w:rPr/>
        <w:t> </w:t>
      </w:r>
      <w:r>
        <w:rPr>
          <w:spacing w:val="-2"/>
        </w:rPr>
        <w:t>的确定，并对风险管理目标和政策承担最终责任，但是董事会已授权本公司内部审计部门设计和实施能确保风险管理目标和</w:t>
      </w:r>
      <w:r>
        <w:rPr>
          <w:spacing w:val="-64"/>
        </w:rPr>
        <w:t> </w:t>
      </w:r>
      <w:r>
        <w:rPr>
          <w:spacing w:val="-64"/>
        </w:rPr>
      </w:r>
      <w:r>
        <w:rPr/>
        <w:t>政策得以有效执行的程序。</w:t>
      </w:r>
    </w:p>
    <w:p>
      <w:pPr>
        <w:pStyle w:val="BodyText"/>
        <w:spacing w:line="463" w:lineRule="auto" w:before="54"/>
        <w:ind w:left="1494" w:right="1118" w:firstLine="54"/>
        <w:jc w:val="left"/>
      </w:pPr>
      <w:r>
        <w:rPr/>
        <w:t>本公司风险管理的总体目标是在不过度影响公司竞争力和应变力的情况下，制定尽可能降低风险的风险管理政策。 </w:t>
      </w:r>
      <w:r>
        <w:rPr>
          <w:rFonts w:ascii="Times New Roman" w:hAnsi="Times New Roman" w:cs="Times New Roman" w:eastAsia="Times New Roman" w:hint="default"/>
          <w:b/>
          <w:bCs/>
        </w:rPr>
        <w:t>(</w:t>
      </w:r>
      <w:r>
        <w:rPr>
          <w:rFonts w:ascii="宋体" w:hAnsi="宋体" w:cs="宋体" w:eastAsia="宋体" w:hint="default"/>
          <w:b/>
          <w:bCs/>
        </w:rPr>
        <w:t>一</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34"/>
        </w:rPr>
        <w:t> </w:t>
      </w:r>
      <w:r>
        <w:rPr>
          <w:rFonts w:ascii="宋体" w:hAnsi="宋体" w:cs="宋体" w:eastAsia="宋体" w:hint="default"/>
          <w:b/>
          <w:bCs/>
        </w:rPr>
        <w:t>信用风险</w:t>
      </w:r>
      <w:r>
        <w:rPr>
          <w:rFonts w:ascii="宋体" w:hAnsi="宋体" w:cs="宋体" w:eastAsia="宋体" w:hint="default"/>
          <w:b/>
          <w:bCs/>
          <w:w w:val="99"/>
        </w:rPr>
        <w:t> </w:t>
      </w:r>
      <w:r>
        <w:rPr>
          <w:spacing w:val="-2"/>
        </w:rPr>
        <w:t>信用风险是指金融工具的一方不履行义务，造成另一方发生财务损失的风险。本公司主要面临客户不按合同条款履行及</w:t>
      </w:r>
    </w:p>
    <w:p>
      <w:pPr>
        <w:spacing w:after="0" w:line="463"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0"/>
        <w:jc w:val="left"/>
      </w:pPr>
      <w:r>
        <w:rPr>
          <w:spacing w:val="-2"/>
        </w:rPr>
        <w:t>时付款的客户信用风险。本公司目前签订的大项目销售合同客户对象基本上是综合实力强、资金实力雄厚、资信水平较高的</w:t>
      </w:r>
      <w:r>
        <w:rPr>
          <w:spacing w:val="-66"/>
        </w:rPr>
        <w:t> </w:t>
      </w:r>
      <w:r>
        <w:rPr>
          <w:spacing w:val="-66"/>
        </w:rPr>
      </w:r>
      <w:r>
        <w:rPr>
          <w:spacing w:val="-4"/>
        </w:rPr>
        <w:t>大型知名企业，因此在合同履行方面的信用风险相对较低，同时本公司在签订合同时会严格约定相应的付款条款以降低风险。</w:t>
      </w:r>
    </w:p>
    <w:p>
      <w:pPr>
        <w:pStyle w:val="BodyText"/>
        <w:spacing w:line="477" w:lineRule="auto" w:before="54"/>
        <w:ind w:right="1033" w:firstLine="360"/>
        <w:jc w:val="left"/>
      </w:pPr>
      <w:r>
        <w:rPr/>
        <w:t>另外公司会定期编制项目收款控制表，对客户的回款进行跟踪及催收，并由相关责任人负责落实，同时纳入考评机制， 保证应收款的及时收回，使公司的整体信用风险在可控范围内。</w:t>
      </w:r>
    </w:p>
    <w:p>
      <w:pPr>
        <w:pStyle w:val="BodyText"/>
        <w:spacing w:line="477" w:lineRule="auto" w:before="54"/>
        <w:ind w:left="1494" w:right="1118" w:firstLine="1"/>
        <w:jc w:val="left"/>
      </w:pPr>
      <w:r>
        <w:rPr>
          <w:rFonts w:ascii="宋体" w:hAnsi="宋体" w:cs="宋体" w:eastAsia="宋体" w:hint="default"/>
          <w:b/>
          <w:bCs/>
        </w:rPr>
        <w:t>(</w:t>
      </w:r>
      <w:r>
        <w:rPr>
          <w:rFonts w:ascii="宋体" w:hAnsi="宋体" w:cs="宋体" w:eastAsia="宋体" w:hint="default"/>
          <w:b/>
          <w:bCs/>
        </w:rPr>
        <w:t>二</w:t>
      </w:r>
      <w:r>
        <w:rPr>
          <w:rFonts w:ascii="宋体" w:hAnsi="宋体" w:cs="宋体" w:eastAsia="宋体" w:hint="default"/>
          <w:b/>
          <w:bCs/>
        </w:rPr>
        <w:t>)</w:t>
      </w:r>
      <w:r>
        <w:rPr>
          <w:rFonts w:ascii="宋体" w:hAnsi="宋体" w:cs="宋体" w:eastAsia="宋体" w:hint="default"/>
          <w:b/>
          <w:bCs/>
        </w:rPr>
        <w:t>市场风险</w:t>
      </w:r>
      <w:r>
        <w:rPr>
          <w:rFonts w:ascii="宋体" w:hAnsi="宋体" w:cs="宋体" w:eastAsia="宋体" w:hint="default"/>
          <w:b/>
          <w:bCs/>
          <w:w w:val="99"/>
        </w:rPr>
        <w:t> </w:t>
      </w:r>
      <w:r>
        <w:rPr>
          <w:spacing w:val="-2"/>
        </w:rPr>
        <w:t>金融工具的市场风险，是指金融工具的公允价值或未来现金流量因市场价格变动而发生波动的风险，包括汇率风险、利</w:t>
      </w:r>
    </w:p>
    <w:p>
      <w:pPr>
        <w:pStyle w:val="BodyText"/>
        <w:spacing w:line="240" w:lineRule="auto" w:before="54"/>
        <w:ind w:left="1134" w:right="0"/>
        <w:jc w:val="left"/>
      </w:pPr>
      <w:r>
        <w:rPr/>
        <w:t>率风险和其他价格风险。</w:t>
      </w:r>
    </w:p>
    <w:p>
      <w:pPr>
        <w:spacing w:line="240" w:lineRule="auto" w:before="10"/>
        <w:rPr>
          <w:rFonts w:ascii="宋体" w:hAnsi="宋体" w:cs="宋体" w:eastAsia="宋体" w:hint="default"/>
          <w:sz w:val="17"/>
          <w:szCs w:val="17"/>
        </w:rPr>
      </w:pPr>
    </w:p>
    <w:p>
      <w:pPr>
        <w:pStyle w:val="BodyText"/>
        <w:spacing w:line="477" w:lineRule="auto"/>
        <w:ind w:left="1493" w:right="1118"/>
        <w:jc w:val="left"/>
      </w:pPr>
      <w:r>
        <w:rPr/>
        <w:t>（</w:t>
      </w:r>
      <w:r>
        <w:rPr>
          <w:rFonts w:ascii="宋体" w:hAnsi="宋体" w:cs="宋体" w:eastAsia="宋体" w:hint="default"/>
        </w:rPr>
        <w:t>1</w:t>
      </w:r>
      <w:r>
        <w:rPr/>
        <w:t>）利率风险 </w:t>
      </w:r>
      <w:r>
        <w:rPr>
          <w:spacing w:val="-2"/>
        </w:rPr>
        <w:t>利率风险，是指金融工具的公允价值或未来现金流量因市场利率变动而发生波动的风险。本公司面临的利率风险主要来</w:t>
      </w:r>
    </w:p>
    <w:p>
      <w:pPr>
        <w:pStyle w:val="BodyText"/>
        <w:spacing w:line="240" w:lineRule="auto" w:before="54"/>
        <w:ind w:right="0"/>
        <w:jc w:val="left"/>
      </w:pPr>
      <w:r>
        <w:rPr/>
        <w:t>源于银行长期借款以及应付债券。截止报告期公司目前尚未涉及银行借贷业务以及应付债券业务。</w:t>
      </w:r>
    </w:p>
    <w:p>
      <w:pPr>
        <w:spacing w:line="240" w:lineRule="auto" w:before="10"/>
        <w:rPr>
          <w:rFonts w:ascii="宋体" w:hAnsi="宋体" w:cs="宋体" w:eastAsia="宋体" w:hint="default"/>
          <w:sz w:val="17"/>
          <w:szCs w:val="17"/>
        </w:rPr>
      </w:pPr>
    </w:p>
    <w:p>
      <w:pPr>
        <w:pStyle w:val="BodyText"/>
        <w:spacing w:line="477" w:lineRule="auto"/>
        <w:ind w:left="1493" w:right="1118"/>
        <w:jc w:val="left"/>
      </w:pPr>
      <w:r>
        <w:rPr/>
        <w:t>（</w:t>
      </w:r>
      <w:r>
        <w:rPr>
          <w:rFonts w:ascii="宋体" w:hAnsi="宋体" w:cs="宋体" w:eastAsia="宋体" w:hint="default"/>
        </w:rPr>
        <w:t>2</w:t>
      </w:r>
      <w:r>
        <w:rPr/>
        <w:t>）外汇风险 </w:t>
      </w:r>
      <w:r>
        <w:rPr>
          <w:spacing w:val="-2"/>
        </w:rPr>
        <w:t>外汇风险，是指金融工具的公允价值或未来现金流量因外汇汇率变动而发生波动的风险。本公司尽可能将外币收入与外</w:t>
      </w:r>
    </w:p>
    <w:p>
      <w:pPr>
        <w:pStyle w:val="BodyText"/>
        <w:spacing w:line="477" w:lineRule="auto" w:before="54"/>
        <w:ind w:left="1493" w:right="0" w:hanging="360"/>
        <w:jc w:val="left"/>
      </w:pPr>
      <w:r>
        <w:rPr/>
        <w:t>币支出相匹配以降低外汇风险。 </w:t>
      </w:r>
      <w:r>
        <w:rPr>
          <w:spacing w:val="-2"/>
        </w:rPr>
        <w:t>本公司面临的汇率风险主要来源于以美元计价的金融资产和金融负债，外币金融资产和外币金融负债折算成人民币的金</w:t>
      </w:r>
    </w:p>
    <w:p>
      <w:pPr>
        <w:pStyle w:val="BodyText"/>
        <w:spacing w:line="240" w:lineRule="auto" w:before="54"/>
        <w:ind w:right="0"/>
        <w:jc w:val="left"/>
      </w:pPr>
      <w:r>
        <w:rPr/>
        <w:t>额列示如下：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tbl>
      <w:tblPr>
        <w:tblW w:w="0" w:type="auto"/>
        <w:jc w:val="left"/>
        <w:tblInd w:w="1736" w:type="dxa"/>
        <w:tblLayout w:type="fixed"/>
        <w:tblCellMar>
          <w:top w:w="0" w:type="dxa"/>
          <w:left w:w="0" w:type="dxa"/>
          <w:bottom w:w="0" w:type="dxa"/>
          <w:right w:w="0" w:type="dxa"/>
        </w:tblCellMar>
        <w:tblLook w:val="01E0"/>
      </w:tblPr>
      <w:tblGrid>
        <w:gridCol w:w="1220"/>
        <w:gridCol w:w="1267"/>
        <w:gridCol w:w="1023"/>
        <w:gridCol w:w="1366"/>
        <w:gridCol w:w="1267"/>
        <w:gridCol w:w="1022"/>
        <w:gridCol w:w="1366"/>
      </w:tblGrid>
      <w:tr>
        <w:trPr>
          <w:trHeight w:val="511" w:hRule="exact"/>
        </w:trPr>
        <w:tc>
          <w:tcPr>
            <w:tcW w:w="1220" w:type="dxa"/>
            <w:vMerge w:val="restart"/>
            <w:tcBorders>
              <w:top w:val="single" w:sz="6" w:space="0" w:color="000000"/>
              <w:left w:val="single" w:sz="6" w:space="0" w:color="000000"/>
              <w:right w:val="single" w:sz="6" w:space="0" w:color="000000"/>
            </w:tcBorders>
          </w:tcPr>
          <w:p>
            <w:pPr>
              <w:pStyle w:val="TableParagraph"/>
              <w:spacing w:line="240" w:lineRule="auto" w:before="9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56" w:type="dxa"/>
            <w:gridSpan w:val="3"/>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54"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99"/>
              <w:ind w:right="6"/>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508" w:hRule="exact"/>
        </w:trPr>
        <w:tc>
          <w:tcPr>
            <w:tcW w:w="1220" w:type="dxa"/>
            <w:vMerge/>
            <w:tcBorders>
              <w:left w:val="single" w:sz="6" w:space="0" w:color="000000"/>
              <w:bottom w:val="single" w:sz="12" w:space="0" w:color="000000"/>
              <w:right w:val="single" w:sz="6" w:space="0" w:color="000000"/>
            </w:tcBorders>
          </w:tcPr>
          <w:p>
            <w:pPr/>
          </w:p>
        </w:tc>
        <w:tc>
          <w:tcPr>
            <w:tcW w:w="12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65" w:right="0"/>
              <w:jc w:val="left"/>
              <w:rPr>
                <w:rFonts w:ascii="宋体" w:hAnsi="宋体" w:cs="宋体" w:eastAsia="宋体" w:hint="default"/>
                <w:sz w:val="18"/>
                <w:szCs w:val="18"/>
              </w:rPr>
            </w:pPr>
            <w:r>
              <w:rPr>
                <w:rFonts w:ascii="宋体" w:hAnsi="宋体" w:cs="宋体" w:eastAsia="宋体" w:hint="default"/>
                <w:sz w:val="18"/>
                <w:szCs w:val="18"/>
              </w:rPr>
              <w:t>外币余额</w:t>
            </w:r>
          </w:p>
        </w:tc>
        <w:tc>
          <w:tcPr>
            <w:tcW w:w="10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142" w:right="0"/>
              <w:jc w:val="left"/>
              <w:rPr>
                <w:rFonts w:ascii="宋体" w:hAnsi="宋体" w:cs="宋体" w:eastAsia="宋体" w:hint="default"/>
                <w:sz w:val="18"/>
                <w:szCs w:val="18"/>
              </w:rPr>
            </w:pPr>
            <w:r>
              <w:rPr>
                <w:rFonts w:ascii="宋体" w:hAnsi="宋体" w:cs="宋体" w:eastAsia="宋体" w:hint="default"/>
                <w:sz w:val="18"/>
                <w:szCs w:val="18"/>
              </w:rPr>
              <w:t>折算汇率</w:t>
            </w:r>
          </w:p>
        </w:tc>
        <w:tc>
          <w:tcPr>
            <w:tcW w:w="13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25" w:right="0"/>
              <w:jc w:val="left"/>
              <w:rPr>
                <w:rFonts w:ascii="宋体" w:hAnsi="宋体" w:cs="宋体" w:eastAsia="宋体" w:hint="default"/>
                <w:sz w:val="18"/>
                <w:szCs w:val="18"/>
              </w:rPr>
            </w:pPr>
            <w:r>
              <w:rPr>
                <w:rFonts w:ascii="宋体" w:hAnsi="宋体" w:cs="宋体" w:eastAsia="宋体" w:hint="default"/>
                <w:sz w:val="18"/>
                <w:szCs w:val="18"/>
              </w:rPr>
              <w:t>人民币余额</w:t>
            </w:r>
          </w:p>
        </w:tc>
        <w:tc>
          <w:tcPr>
            <w:tcW w:w="12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65" w:right="0"/>
              <w:jc w:val="left"/>
              <w:rPr>
                <w:rFonts w:ascii="宋体" w:hAnsi="宋体" w:cs="宋体" w:eastAsia="宋体" w:hint="default"/>
                <w:sz w:val="18"/>
                <w:szCs w:val="18"/>
              </w:rPr>
            </w:pPr>
            <w:r>
              <w:rPr>
                <w:rFonts w:ascii="宋体" w:hAnsi="宋体" w:cs="宋体" w:eastAsia="宋体" w:hint="default"/>
                <w:sz w:val="18"/>
                <w:szCs w:val="18"/>
              </w:rPr>
              <w:t>外币余额</w:t>
            </w:r>
          </w:p>
        </w:tc>
        <w:tc>
          <w:tcPr>
            <w:tcW w:w="10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142" w:right="0"/>
              <w:jc w:val="left"/>
              <w:rPr>
                <w:rFonts w:ascii="宋体" w:hAnsi="宋体" w:cs="宋体" w:eastAsia="宋体" w:hint="default"/>
                <w:sz w:val="18"/>
                <w:szCs w:val="18"/>
              </w:rPr>
            </w:pPr>
            <w:r>
              <w:rPr>
                <w:rFonts w:ascii="宋体" w:hAnsi="宋体" w:cs="宋体" w:eastAsia="宋体" w:hint="default"/>
                <w:sz w:val="18"/>
                <w:szCs w:val="18"/>
              </w:rPr>
              <w:t>折算汇率</w:t>
            </w:r>
          </w:p>
        </w:tc>
        <w:tc>
          <w:tcPr>
            <w:tcW w:w="136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8"/>
              <w:ind w:left="225" w:right="0"/>
              <w:jc w:val="left"/>
              <w:rPr>
                <w:rFonts w:ascii="宋体" w:hAnsi="宋体" w:cs="宋体" w:eastAsia="宋体" w:hint="default"/>
                <w:sz w:val="18"/>
                <w:szCs w:val="18"/>
              </w:rPr>
            </w:pPr>
            <w:r>
              <w:rPr>
                <w:rFonts w:ascii="宋体" w:hAnsi="宋体" w:cs="宋体" w:eastAsia="宋体" w:hint="default"/>
                <w:sz w:val="18"/>
                <w:szCs w:val="18"/>
              </w:rPr>
              <w:t>人民币余额</w:t>
            </w:r>
          </w:p>
        </w:tc>
      </w:tr>
      <w:tr>
        <w:trPr>
          <w:trHeight w:val="509" w:hRule="exact"/>
        </w:trPr>
        <w:tc>
          <w:tcPr>
            <w:tcW w:w="12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67" w:type="dxa"/>
            <w:tcBorders>
              <w:top w:val="single" w:sz="12" w:space="0" w:color="000000"/>
              <w:left w:val="single" w:sz="6" w:space="0" w:color="000000"/>
              <w:bottom w:val="single" w:sz="12" w:space="0" w:color="000000"/>
              <w:right w:val="single" w:sz="6" w:space="0" w:color="000000"/>
            </w:tcBorders>
          </w:tcPr>
          <w:p>
            <w:pPr/>
          </w:p>
        </w:tc>
        <w:tc>
          <w:tcPr>
            <w:tcW w:w="1023" w:type="dxa"/>
            <w:tcBorders>
              <w:top w:val="single" w:sz="12" w:space="0" w:color="000000"/>
              <w:left w:val="single" w:sz="6" w:space="0" w:color="000000"/>
              <w:bottom w:val="single" w:sz="12" w:space="0" w:color="000000"/>
              <w:right w:val="single" w:sz="6" w:space="0" w:color="000000"/>
            </w:tcBorders>
          </w:tcPr>
          <w:p>
            <w:pPr/>
          </w:p>
        </w:tc>
        <w:tc>
          <w:tcPr>
            <w:tcW w:w="1366" w:type="dxa"/>
            <w:tcBorders>
              <w:top w:val="single" w:sz="12" w:space="0" w:color="000000"/>
              <w:left w:val="single" w:sz="6" w:space="0" w:color="000000"/>
              <w:bottom w:val="single" w:sz="12" w:space="0" w:color="000000"/>
              <w:right w:val="single" w:sz="6" w:space="0" w:color="000000"/>
            </w:tcBorders>
          </w:tcPr>
          <w:p>
            <w:pPr/>
          </w:p>
        </w:tc>
        <w:tc>
          <w:tcPr>
            <w:tcW w:w="1267" w:type="dxa"/>
            <w:tcBorders>
              <w:top w:val="single" w:sz="12" w:space="0" w:color="000000"/>
              <w:left w:val="single" w:sz="6" w:space="0" w:color="000000"/>
              <w:bottom w:val="single" w:sz="12" w:space="0" w:color="000000"/>
              <w:right w:val="single" w:sz="6" w:space="0" w:color="000000"/>
            </w:tcBorders>
          </w:tcPr>
          <w:p>
            <w:pPr/>
          </w:p>
        </w:tc>
        <w:tc>
          <w:tcPr>
            <w:tcW w:w="1022" w:type="dxa"/>
            <w:tcBorders>
              <w:top w:val="single" w:sz="12" w:space="0" w:color="000000"/>
              <w:left w:val="single" w:sz="6" w:space="0" w:color="000000"/>
              <w:bottom w:val="single" w:sz="12" w:space="0" w:color="000000"/>
              <w:right w:val="single" w:sz="6" w:space="0" w:color="000000"/>
            </w:tcBorders>
          </w:tcPr>
          <w:p>
            <w:pPr/>
          </w:p>
        </w:tc>
        <w:tc>
          <w:tcPr>
            <w:tcW w:w="1366" w:type="dxa"/>
            <w:tcBorders>
              <w:top w:val="single" w:sz="12" w:space="0" w:color="000000"/>
              <w:left w:val="single" w:sz="6" w:space="0" w:color="000000"/>
              <w:bottom w:val="single" w:sz="12" w:space="0" w:color="000000"/>
              <w:right w:val="nil" w:sz="6" w:space="0" w:color="auto"/>
            </w:tcBorders>
          </w:tcPr>
          <w:p>
            <w:pPr/>
          </w:p>
        </w:tc>
      </w:tr>
      <w:tr>
        <w:trPr>
          <w:trHeight w:val="508" w:hRule="exact"/>
        </w:trPr>
        <w:tc>
          <w:tcPr>
            <w:tcW w:w="12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12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0"/>
              <w:jc w:val="right"/>
              <w:rPr>
                <w:rFonts w:ascii="Times New Roman" w:hAnsi="Times New Roman" w:cs="Times New Roman" w:eastAsia="Times New Roman" w:hint="default"/>
                <w:sz w:val="18"/>
                <w:szCs w:val="18"/>
              </w:rPr>
            </w:pPr>
            <w:r>
              <w:rPr>
                <w:rFonts w:ascii="Times New Roman"/>
                <w:sz w:val="18"/>
              </w:rPr>
              <w:t>67.89</w:t>
            </w:r>
          </w:p>
        </w:tc>
        <w:tc>
          <w:tcPr>
            <w:tcW w:w="10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0"/>
              <w:jc w:val="right"/>
              <w:rPr>
                <w:rFonts w:ascii="Times New Roman" w:hAnsi="Times New Roman" w:cs="Times New Roman" w:eastAsia="Times New Roman" w:hint="default"/>
                <w:sz w:val="18"/>
                <w:szCs w:val="18"/>
              </w:rPr>
            </w:pPr>
            <w:r>
              <w:rPr>
                <w:rFonts w:ascii="Times New Roman"/>
                <w:sz w:val="18"/>
              </w:rPr>
              <w:t>6.53</w:t>
            </w:r>
          </w:p>
        </w:tc>
        <w:tc>
          <w:tcPr>
            <w:tcW w:w="13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z w:val="18"/>
              </w:rPr>
              <w:t>443.61</w:t>
            </w:r>
          </w:p>
        </w:tc>
        <w:tc>
          <w:tcPr>
            <w:tcW w:w="12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0"/>
              <w:jc w:val="right"/>
              <w:rPr>
                <w:rFonts w:ascii="Times New Roman" w:hAnsi="Times New Roman" w:cs="Times New Roman" w:eastAsia="Times New Roman" w:hint="default"/>
                <w:sz w:val="18"/>
                <w:szCs w:val="18"/>
              </w:rPr>
            </w:pPr>
            <w:r>
              <w:rPr>
                <w:rFonts w:ascii="Times New Roman"/>
                <w:sz w:val="18"/>
              </w:rPr>
              <w:t>67.85</w:t>
            </w:r>
          </w:p>
        </w:tc>
        <w:tc>
          <w:tcPr>
            <w:tcW w:w="10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z w:val="18"/>
              </w:rPr>
              <w:t>6.94</w:t>
            </w:r>
          </w:p>
        </w:tc>
        <w:tc>
          <w:tcPr>
            <w:tcW w:w="136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6"/>
              <w:jc w:val="right"/>
              <w:rPr>
                <w:rFonts w:ascii="Times New Roman" w:hAnsi="Times New Roman" w:cs="Times New Roman" w:eastAsia="Times New Roman" w:hint="default"/>
                <w:sz w:val="18"/>
                <w:szCs w:val="18"/>
              </w:rPr>
            </w:pPr>
            <w:r>
              <w:rPr>
                <w:rFonts w:ascii="Times New Roman"/>
                <w:sz w:val="18"/>
              </w:rPr>
              <w:t>470.68</w:t>
            </w:r>
          </w:p>
        </w:tc>
      </w:tr>
      <w:tr>
        <w:trPr>
          <w:trHeight w:val="508" w:hRule="exact"/>
        </w:trPr>
        <w:tc>
          <w:tcPr>
            <w:tcW w:w="12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54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2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0"/>
              <w:jc w:val="right"/>
              <w:rPr>
                <w:rFonts w:ascii="Times New Roman" w:hAnsi="Times New Roman" w:cs="Times New Roman" w:eastAsia="Times New Roman" w:hint="default"/>
                <w:sz w:val="18"/>
                <w:szCs w:val="18"/>
              </w:rPr>
            </w:pPr>
            <w:r>
              <w:rPr>
                <w:rFonts w:ascii="Times New Roman"/>
                <w:spacing w:val="-1"/>
                <w:sz w:val="18"/>
              </w:rPr>
              <w:t>8,252.78</w:t>
            </w:r>
          </w:p>
        </w:tc>
        <w:tc>
          <w:tcPr>
            <w:tcW w:w="10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0"/>
              <w:jc w:val="right"/>
              <w:rPr>
                <w:rFonts w:ascii="Times New Roman" w:hAnsi="Times New Roman" w:cs="Times New Roman" w:eastAsia="Times New Roman" w:hint="default"/>
                <w:sz w:val="18"/>
                <w:szCs w:val="18"/>
              </w:rPr>
            </w:pPr>
            <w:r>
              <w:rPr>
                <w:rFonts w:ascii="Times New Roman"/>
                <w:sz w:val="18"/>
              </w:rPr>
              <w:t>7.80</w:t>
            </w:r>
          </w:p>
        </w:tc>
        <w:tc>
          <w:tcPr>
            <w:tcW w:w="13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64,390.67</w:t>
            </w:r>
          </w:p>
        </w:tc>
        <w:tc>
          <w:tcPr>
            <w:tcW w:w="12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0"/>
              <w:jc w:val="right"/>
              <w:rPr>
                <w:rFonts w:ascii="Times New Roman" w:hAnsi="Times New Roman" w:cs="Times New Roman" w:eastAsia="Times New Roman" w:hint="default"/>
                <w:sz w:val="18"/>
                <w:szCs w:val="18"/>
              </w:rPr>
            </w:pPr>
            <w:r>
              <w:rPr>
                <w:rFonts w:ascii="Times New Roman"/>
                <w:sz w:val="18"/>
              </w:rPr>
              <w:t>8,252.78</w:t>
            </w:r>
          </w:p>
        </w:tc>
        <w:tc>
          <w:tcPr>
            <w:tcW w:w="10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z w:val="18"/>
              </w:rPr>
              <w:t>7.31</w:t>
            </w:r>
          </w:p>
        </w:tc>
        <w:tc>
          <w:tcPr>
            <w:tcW w:w="136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6"/>
              <w:jc w:val="right"/>
              <w:rPr>
                <w:rFonts w:ascii="Times New Roman" w:hAnsi="Times New Roman" w:cs="Times New Roman" w:eastAsia="Times New Roman" w:hint="default"/>
                <w:sz w:val="18"/>
                <w:szCs w:val="18"/>
              </w:rPr>
            </w:pPr>
            <w:r>
              <w:rPr>
                <w:rFonts w:ascii="Times New Roman"/>
                <w:sz w:val="18"/>
              </w:rPr>
              <w:t>60,301.41</w:t>
            </w:r>
          </w:p>
        </w:tc>
      </w:tr>
      <w:tr>
        <w:trPr>
          <w:trHeight w:val="509" w:hRule="exact"/>
        </w:trPr>
        <w:tc>
          <w:tcPr>
            <w:tcW w:w="12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54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2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7,830,259.73</w:t>
            </w:r>
          </w:p>
        </w:tc>
        <w:tc>
          <w:tcPr>
            <w:tcW w:w="10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0"/>
              <w:jc w:val="right"/>
              <w:rPr>
                <w:rFonts w:ascii="Times New Roman" w:hAnsi="Times New Roman" w:cs="Times New Roman" w:eastAsia="Times New Roman" w:hint="default"/>
                <w:sz w:val="18"/>
                <w:szCs w:val="18"/>
              </w:rPr>
            </w:pPr>
            <w:r>
              <w:rPr>
                <w:rFonts w:ascii="Times New Roman"/>
                <w:sz w:val="18"/>
              </w:rPr>
              <w:t>0.84</w:t>
            </w:r>
          </w:p>
        </w:tc>
        <w:tc>
          <w:tcPr>
            <w:tcW w:w="13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6,545,314.11</w:t>
            </w:r>
          </w:p>
        </w:tc>
        <w:tc>
          <w:tcPr>
            <w:tcW w:w="12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7,625,569.34</w:t>
            </w:r>
          </w:p>
        </w:tc>
        <w:tc>
          <w:tcPr>
            <w:tcW w:w="10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z w:val="18"/>
              </w:rPr>
              <w:t>0.89</w:t>
            </w:r>
          </w:p>
        </w:tc>
        <w:tc>
          <w:tcPr>
            <w:tcW w:w="136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7"/>
              <w:jc w:val="right"/>
              <w:rPr>
                <w:rFonts w:ascii="Times New Roman" w:hAnsi="Times New Roman" w:cs="Times New Roman" w:eastAsia="Times New Roman" w:hint="default"/>
                <w:sz w:val="18"/>
                <w:szCs w:val="18"/>
              </w:rPr>
            </w:pPr>
            <w:r>
              <w:rPr>
                <w:rFonts w:ascii="Times New Roman"/>
                <w:spacing w:val="-1"/>
                <w:sz w:val="18"/>
              </w:rPr>
              <w:t>6,821,071.77</w:t>
            </w:r>
          </w:p>
        </w:tc>
      </w:tr>
      <w:tr>
        <w:trPr>
          <w:trHeight w:val="508" w:hRule="exact"/>
        </w:trPr>
        <w:tc>
          <w:tcPr>
            <w:tcW w:w="12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267" w:type="dxa"/>
            <w:tcBorders>
              <w:top w:val="single" w:sz="12" w:space="0" w:color="000000"/>
              <w:left w:val="single" w:sz="6" w:space="0" w:color="000000"/>
              <w:bottom w:val="single" w:sz="12" w:space="0" w:color="000000"/>
              <w:right w:val="single" w:sz="6" w:space="0" w:color="000000"/>
            </w:tcBorders>
          </w:tcPr>
          <w:p>
            <w:pPr/>
          </w:p>
        </w:tc>
        <w:tc>
          <w:tcPr>
            <w:tcW w:w="1023" w:type="dxa"/>
            <w:tcBorders>
              <w:top w:val="single" w:sz="12" w:space="0" w:color="000000"/>
              <w:left w:val="single" w:sz="6" w:space="0" w:color="000000"/>
              <w:bottom w:val="single" w:sz="12" w:space="0" w:color="000000"/>
              <w:right w:val="single" w:sz="6" w:space="0" w:color="000000"/>
            </w:tcBorders>
          </w:tcPr>
          <w:p>
            <w:pPr/>
          </w:p>
        </w:tc>
        <w:tc>
          <w:tcPr>
            <w:tcW w:w="1366" w:type="dxa"/>
            <w:tcBorders>
              <w:top w:val="single" w:sz="12" w:space="0" w:color="000000"/>
              <w:left w:val="single" w:sz="6" w:space="0" w:color="000000"/>
              <w:bottom w:val="single" w:sz="12" w:space="0" w:color="000000"/>
              <w:right w:val="single" w:sz="6" w:space="0" w:color="000000"/>
            </w:tcBorders>
          </w:tcPr>
          <w:p>
            <w:pPr/>
          </w:p>
        </w:tc>
        <w:tc>
          <w:tcPr>
            <w:tcW w:w="1267" w:type="dxa"/>
            <w:tcBorders>
              <w:top w:val="single" w:sz="12" w:space="0" w:color="000000"/>
              <w:left w:val="single" w:sz="6" w:space="0" w:color="000000"/>
              <w:bottom w:val="single" w:sz="12" w:space="0" w:color="000000"/>
              <w:right w:val="single" w:sz="6" w:space="0" w:color="000000"/>
            </w:tcBorders>
          </w:tcPr>
          <w:p>
            <w:pPr/>
          </w:p>
        </w:tc>
        <w:tc>
          <w:tcPr>
            <w:tcW w:w="1022" w:type="dxa"/>
            <w:tcBorders>
              <w:top w:val="single" w:sz="12" w:space="0" w:color="000000"/>
              <w:left w:val="single" w:sz="6" w:space="0" w:color="000000"/>
              <w:bottom w:val="single" w:sz="12" w:space="0" w:color="000000"/>
              <w:right w:val="single" w:sz="6" w:space="0" w:color="000000"/>
            </w:tcBorders>
          </w:tcPr>
          <w:p>
            <w:pPr/>
          </w:p>
        </w:tc>
        <w:tc>
          <w:tcPr>
            <w:tcW w:w="1366" w:type="dxa"/>
            <w:tcBorders>
              <w:top w:val="single" w:sz="12" w:space="0" w:color="000000"/>
              <w:left w:val="single" w:sz="6" w:space="0" w:color="000000"/>
              <w:bottom w:val="single" w:sz="12" w:space="0" w:color="000000"/>
              <w:right w:val="nil" w:sz="6" w:space="0" w:color="auto"/>
            </w:tcBorders>
          </w:tcPr>
          <w:p>
            <w:pPr/>
          </w:p>
        </w:tc>
      </w:tr>
      <w:tr>
        <w:trPr>
          <w:trHeight w:val="508" w:hRule="exact"/>
        </w:trPr>
        <w:tc>
          <w:tcPr>
            <w:tcW w:w="12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3" w:right="0"/>
              <w:jc w:val="left"/>
              <w:rPr>
                <w:rFonts w:ascii="宋体" w:hAnsi="宋体" w:cs="宋体" w:eastAsia="宋体" w:hint="default"/>
                <w:sz w:val="18"/>
                <w:szCs w:val="18"/>
              </w:rPr>
            </w:pPr>
            <w:r>
              <w:rPr>
                <w:rFonts w:ascii="宋体" w:hAnsi="宋体" w:cs="宋体" w:eastAsia="宋体" w:hint="default"/>
                <w:sz w:val="18"/>
                <w:szCs w:val="18"/>
              </w:rPr>
              <w:t>其中：欧元</w:t>
            </w:r>
          </w:p>
        </w:tc>
        <w:tc>
          <w:tcPr>
            <w:tcW w:w="12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1,225,394.72</w:t>
            </w:r>
          </w:p>
        </w:tc>
        <w:tc>
          <w:tcPr>
            <w:tcW w:w="10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0"/>
              <w:jc w:val="right"/>
              <w:rPr>
                <w:rFonts w:ascii="Times New Roman" w:hAnsi="Times New Roman" w:cs="Times New Roman" w:eastAsia="Times New Roman" w:hint="default"/>
                <w:sz w:val="18"/>
                <w:szCs w:val="18"/>
              </w:rPr>
            </w:pPr>
            <w:r>
              <w:rPr>
                <w:rFonts w:ascii="Times New Roman"/>
                <w:sz w:val="18"/>
              </w:rPr>
              <w:t>7.80</w:t>
            </w:r>
          </w:p>
        </w:tc>
        <w:tc>
          <w:tcPr>
            <w:tcW w:w="13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9,560,897.21</w:t>
            </w:r>
          </w:p>
        </w:tc>
        <w:tc>
          <w:tcPr>
            <w:tcW w:w="12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0"/>
              <w:jc w:val="right"/>
              <w:rPr>
                <w:rFonts w:ascii="Times New Roman" w:hAnsi="Times New Roman" w:cs="Times New Roman" w:eastAsia="Times New Roman" w:hint="default"/>
                <w:sz w:val="18"/>
                <w:szCs w:val="18"/>
              </w:rPr>
            </w:pPr>
            <w:r>
              <w:rPr>
                <w:rFonts w:ascii="Times New Roman"/>
                <w:sz w:val="18"/>
              </w:rPr>
              <w:t>464,529.77</w:t>
            </w:r>
          </w:p>
        </w:tc>
        <w:tc>
          <w:tcPr>
            <w:tcW w:w="10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z w:val="18"/>
              </w:rPr>
              <w:t>7.31</w:t>
            </w:r>
          </w:p>
        </w:tc>
        <w:tc>
          <w:tcPr>
            <w:tcW w:w="136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7"/>
              <w:jc w:val="right"/>
              <w:rPr>
                <w:rFonts w:ascii="Times New Roman" w:hAnsi="Times New Roman" w:cs="Times New Roman" w:eastAsia="Times New Roman" w:hint="default"/>
                <w:sz w:val="18"/>
                <w:szCs w:val="18"/>
              </w:rPr>
            </w:pPr>
            <w:r>
              <w:rPr>
                <w:rFonts w:ascii="Times New Roman"/>
                <w:spacing w:val="-1"/>
                <w:sz w:val="18"/>
              </w:rPr>
              <w:t>3,463,348.16</w:t>
            </w:r>
          </w:p>
        </w:tc>
      </w:tr>
      <w:tr>
        <w:trPr>
          <w:trHeight w:val="509" w:hRule="exact"/>
        </w:trPr>
        <w:tc>
          <w:tcPr>
            <w:tcW w:w="12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453" w:right="0"/>
              <w:jc w:val="left"/>
              <w:rPr>
                <w:rFonts w:ascii="宋体" w:hAnsi="宋体" w:cs="宋体" w:eastAsia="宋体" w:hint="default"/>
                <w:sz w:val="18"/>
                <w:szCs w:val="18"/>
              </w:rPr>
            </w:pPr>
            <w:r>
              <w:rPr>
                <w:rFonts w:ascii="宋体" w:hAnsi="宋体" w:cs="宋体" w:eastAsia="宋体" w:hint="default"/>
                <w:sz w:val="18"/>
                <w:szCs w:val="18"/>
              </w:rPr>
              <w:t>瑞典克朗</w:t>
            </w:r>
          </w:p>
        </w:tc>
        <w:tc>
          <w:tcPr>
            <w:tcW w:w="12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0"/>
              <w:jc w:val="right"/>
              <w:rPr>
                <w:rFonts w:ascii="Times New Roman" w:hAnsi="Times New Roman" w:cs="Times New Roman" w:eastAsia="Times New Roman" w:hint="default"/>
                <w:sz w:val="18"/>
                <w:szCs w:val="18"/>
              </w:rPr>
            </w:pPr>
            <w:r>
              <w:rPr>
                <w:rFonts w:ascii="Times New Roman"/>
                <w:spacing w:val="-1"/>
                <w:sz w:val="18"/>
              </w:rPr>
              <w:t>64,400.00</w:t>
            </w:r>
          </w:p>
        </w:tc>
        <w:tc>
          <w:tcPr>
            <w:tcW w:w="10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0"/>
              <w:jc w:val="right"/>
              <w:rPr>
                <w:rFonts w:ascii="Times New Roman" w:hAnsi="Times New Roman" w:cs="Times New Roman" w:eastAsia="Times New Roman" w:hint="default"/>
                <w:sz w:val="18"/>
                <w:szCs w:val="18"/>
              </w:rPr>
            </w:pPr>
            <w:r>
              <w:rPr>
                <w:rFonts w:ascii="Times New Roman"/>
                <w:sz w:val="18"/>
              </w:rPr>
              <w:t>0.79</w:t>
            </w:r>
          </w:p>
        </w:tc>
        <w:tc>
          <w:tcPr>
            <w:tcW w:w="13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51,011.24</w:t>
            </w:r>
          </w:p>
        </w:tc>
        <w:tc>
          <w:tcPr>
            <w:tcW w:w="12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477" w:lineRule="auto" w:before="89"/>
        <w:ind w:right="0" w:firstLine="450"/>
        <w:jc w:val="left"/>
      </w:pPr>
      <w:r>
        <w:rPr>
          <w:spacing w:val="-2"/>
        </w:rPr>
        <w:t>于</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日，在所有其他变量保持不变的情况下，如果欧元对人民币升值或贬值</w:t>
      </w:r>
      <w:r>
        <w:rPr>
          <w:rFonts w:ascii="宋体" w:hAnsi="宋体" w:cs="宋体" w:eastAsia="宋体" w:hint="default"/>
          <w:spacing w:val="-2"/>
        </w:rPr>
        <w:t>10%</w:t>
      </w:r>
      <w:r>
        <w:rPr>
          <w:spacing w:val="-2"/>
        </w:rPr>
        <w:t>，则公司将增加或减少净利</w:t>
      </w:r>
      <w:r>
        <w:rPr/>
        <w:t> 润</w:t>
      </w:r>
      <w:r>
        <w:rPr>
          <w:rFonts w:ascii="宋体" w:hAnsi="宋体" w:cs="宋体" w:eastAsia="宋体" w:hint="default"/>
        </w:rPr>
        <w:t>804,585.61</w:t>
      </w:r>
      <w:r>
        <w:rPr/>
        <w:t>元。</w:t>
      </w:r>
    </w:p>
    <w:p>
      <w:pPr>
        <w:pStyle w:val="BodyText"/>
        <w:spacing w:line="240" w:lineRule="auto" w:before="54"/>
        <w:ind w:left="1583" w:right="0"/>
        <w:jc w:val="left"/>
      </w:pPr>
      <w:r>
        <w:rPr/>
        <w:t>于</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日，在所有其他变量保持不变的情况下，如果港币对人民币升值或贬值</w:t>
      </w:r>
      <w:r>
        <w:rPr>
          <w:rFonts w:ascii="宋体" w:hAnsi="宋体" w:cs="宋体" w:eastAsia="宋体" w:hint="default"/>
        </w:rPr>
        <w:t>10%</w:t>
      </w:r>
      <w:r>
        <w:rPr/>
        <w:t>，则公司将增加或减少净利</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0"/>
        <w:jc w:val="left"/>
      </w:pPr>
      <w:r>
        <w:rPr/>
        <w:t>润</w:t>
      </w:r>
      <w:r>
        <w:rPr>
          <w:rFonts w:ascii="宋体" w:hAnsi="宋体" w:cs="宋体" w:eastAsia="宋体" w:hint="default"/>
        </w:rPr>
        <w:t>586,369</w:t>
      </w:r>
      <w:r>
        <w:rPr/>
        <w:t>元。</w:t>
      </w:r>
    </w:p>
    <w:p>
      <w:pPr>
        <w:spacing w:line="240" w:lineRule="auto" w:before="10"/>
        <w:rPr>
          <w:rFonts w:ascii="宋体" w:hAnsi="宋体" w:cs="宋体" w:eastAsia="宋体" w:hint="default"/>
          <w:sz w:val="17"/>
          <w:szCs w:val="17"/>
        </w:rPr>
      </w:pPr>
    </w:p>
    <w:p>
      <w:pPr>
        <w:pStyle w:val="BodyText"/>
        <w:spacing w:line="477" w:lineRule="auto"/>
        <w:ind w:right="0" w:firstLine="450"/>
        <w:jc w:val="left"/>
      </w:pPr>
      <w:r>
        <w:rPr>
          <w:spacing w:val="-2"/>
        </w:rPr>
        <w:t>于</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日，在所有其他变量保持不变的情况下，如果瑞典克朗对人民币升值或贬值</w:t>
      </w:r>
      <w:r>
        <w:rPr>
          <w:rFonts w:ascii="宋体" w:hAnsi="宋体" w:cs="宋体" w:eastAsia="宋体" w:hint="default"/>
          <w:spacing w:val="-2"/>
        </w:rPr>
        <w:t>10%</w:t>
      </w:r>
      <w:r>
        <w:rPr>
          <w:spacing w:val="-2"/>
        </w:rPr>
        <w:t>，则公司将增加或减少</w:t>
      </w:r>
      <w:r>
        <w:rPr/>
        <w:t> 净利润</w:t>
      </w:r>
      <w:r>
        <w:rPr>
          <w:rFonts w:ascii="宋体" w:hAnsi="宋体" w:cs="宋体" w:eastAsia="宋体" w:hint="default"/>
        </w:rPr>
        <w:t>4,209.51</w:t>
      </w:r>
      <w:r>
        <w:rPr/>
        <w:t>元。</w:t>
      </w:r>
    </w:p>
    <w:p>
      <w:pPr>
        <w:pStyle w:val="BodyText"/>
        <w:spacing w:line="477" w:lineRule="auto" w:before="54"/>
        <w:ind w:right="1118" w:firstLine="450"/>
        <w:jc w:val="left"/>
      </w:pPr>
      <w:r>
        <w:rPr>
          <w:spacing w:val="-2"/>
        </w:rPr>
        <w:t>于</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日，在所有其他变量保持不变的情况下，如果美元对人民币升值或贬值</w:t>
      </w:r>
      <w:r>
        <w:rPr>
          <w:rFonts w:ascii="宋体" w:hAnsi="宋体" w:cs="宋体" w:eastAsia="宋体" w:hint="default"/>
          <w:spacing w:val="-2"/>
        </w:rPr>
        <w:t>10%</w:t>
      </w:r>
      <w:r>
        <w:rPr>
          <w:spacing w:val="-2"/>
        </w:rPr>
        <w:t>，则公司将增加或减少净利</w:t>
      </w:r>
      <w:r>
        <w:rPr/>
        <w:t> 润</w:t>
      </w:r>
      <w:r>
        <w:rPr>
          <w:rFonts w:ascii="宋体" w:hAnsi="宋体" w:cs="宋体" w:eastAsia="宋体" w:hint="default"/>
        </w:rPr>
        <w:t>37.44</w:t>
      </w:r>
      <w:r>
        <w:rPr/>
        <w:t>元。</w:t>
      </w:r>
    </w:p>
    <w:p>
      <w:pPr>
        <w:pStyle w:val="BodyText"/>
        <w:spacing w:line="240" w:lineRule="auto" w:before="54"/>
        <w:ind w:left="1584" w:right="0"/>
        <w:jc w:val="left"/>
      </w:pPr>
      <w:r>
        <w:rPr/>
        <w:t>管理层认为</w:t>
      </w:r>
      <w:r>
        <w:rPr>
          <w:rFonts w:ascii="宋体" w:hAnsi="宋体" w:cs="宋体" w:eastAsia="宋体" w:hint="default"/>
        </w:rPr>
        <w:t>10%</w:t>
      </w:r>
      <w:r>
        <w:rPr/>
        <w:t>合理反映了下一年度人民币对欧元，港币，瑞典克朗及美元可能发生变动的合理范围。</w:t>
      </w:r>
    </w:p>
    <w:p>
      <w:pPr>
        <w:spacing w:line="240" w:lineRule="auto" w:before="10"/>
        <w:rPr>
          <w:rFonts w:ascii="宋体" w:hAnsi="宋体" w:cs="宋体" w:eastAsia="宋体" w:hint="default"/>
          <w:sz w:val="17"/>
          <w:szCs w:val="17"/>
        </w:rPr>
      </w:pPr>
    </w:p>
    <w:p>
      <w:pPr>
        <w:pStyle w:val="BodyText"/>
        <w:spacing w:line="451" w:lineRule="auto"/>
        <w:ind w:left="1494" w:right="0" w:firstLine="79"/>
        <w:jc w:val="left"/>
      </w:pPr>
      <w:r>
        <w:rPr>
          <w:rFonts w:ascii="Times New Roman" w:hAnsi="Times New Roman" w:cs="Times New Roman" w:eastAsia="Times New Roman" w:hint="default"/>
          <w:b/>
          <w:bCs/>
        </w:rPr>
        <w:t>(</w:t>
      </w:r>
      <w:r>
        <w:rPr>
          <w:rFonts w:ascii="宋体" w:hAnsi="宋体" w:cs="宋体" w:eastAsia="宋体" w:hint="default"/>
          <w:b/>
          <w:bCs/>
        </w:rPr>
        <w:t>三</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10"/>
        </w:rPr>
        <w:t> </w:t>
      </w:r>
      <w:r>
        <w:rPr>
          <w:rFonts w:ascii="宋体" w:hAnsi="宋体" w:cs="宋体" w:eastAsia="宋体" w:hint="default"/>
          <w:b/>
          <w:bCs/>
        </w:rPr>
        <w:t>流动性风险</w:t>
      </w:r>
      <w:r>
        <w:rPr>
          <w:rFonts w:ascii="宋体" w:hAnsi="宋体" w:cs="宋体" w:eastAsia="宋体" w:hint="default"/>
          <w:b/>
          <w:bCs/>
          <w:w w:val="99"/>
        </w:rPr>
        <w:t> </w:t>
      </w:r>
      <w:r>
        <w:rPr>
          <w:spacing w:val="-2"/>
        </w:rPr>
        <w:t>流动风险，是指企业在履行以交付现金或其他金融资产的方式结算的义务时发生资金短缺的风险。本公司的政策是确保</w:t>
      </w:r>
    </w:p>
    <w:p>
      <w:pPr>
        <w:pStyle w:val="BodyText"/>
        <w:spacing w:line="477" w:lineRule="auto" w:before="74"/>
        <w:ind w:left="1134" w:right="0"/>
        <w:jc w:val="left"/>
      </w:pPr>
      <w:r>
        <w:rPr>
          <w:spacing w:val="-2"/>
        </w:rPr>
        <w:t>拥有充足的现金以偿还到期债务。流动性风险由本公司的财务部门集中控制。财务部门通过监控现金余额、可随时变现的有</w:t>
      </w:r>
      <w:r>
        <w:rPr>
          <w:spacing w:val="-66"/>
        </w:rPr>
        <w:t> </w:t>
      </w:r>
      <w:r>
        <w:rPr>
          <w:spacing w:val="-66"/>
        </w:rPr>
      </w:r>
      <w:r>
        <w:rPr/>
        <w:t>价证券以及对未来现金流量的预测，确保公司在所有合理预测的情况下拥有充足的资金偿还债务。</w:t>
      </w:r>
    </w:p>
    <w:p>
      <w:pPr>
        <w:pStyle w:val="BodyText"/>
        <w:tabs>
          <w:tab w:pos="8079" w:val="left" w:leader="none"/>
        </w:tabs>
        <w:spacing w:line="240" w:lineRule="auto" w:before="54"/>
        <w:ind w:left="1848" w:right="0"/>
        <w:jc w:val="left"/>
      </w:pPr>
      <w:r>
        <w:rPr/>
        <w:t>本公司各项金融负债以未折现的合同现金流量按到期日列示如下：</w:t>
        <w:tab/>
        <w:t>单位：元</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tbl>
      <w:tblPr>
        <w:tblW w:w="0" w:type="auto"/>
        <w:jc w:val="left"/>
        <w:tblInd w:w="1736" w:type="dxa"/>
        <w:tblLayout w:type="fixed"/>
        <w:tblCellMar>
          <w:top w:w="0" w:type="dxa"/>
          <w:left w:w="0" w:type="dxa"/>
          <w:bottom w:w="0" w:type="dxa"/>
          <w:right w:w="0" w:type="dxa"/>
        </w:tblCellMar>
        <w:tblLook w:val="01E0"/>
      </w:tblPr>
      <w:tblGrid>
        <w:gridCol w:w="1027"/>
        <w:gridCol w:w="1975"/>
        <w:gridCol w:w="1842"/>
        <w:gridCol w:w="1710"/>
        <w:gridCol w:w="1975"/>
      </w:tblGrid>
      <w:tr>
        <w:trPr>
          <w:trHeight w:val="355" w:hRule="exact"/>
        </w:trPr>
        <w:tc>
          <w:tcPr>
            <w:tcW w:w="1027" w:type="dxa"/>
            <w:vMerge w:val="restart"/>
            <w:tcBorders>
              <w:top w:val="single" w:sz="6" w:space="0" w:color="000000"/>
              <w:left w:val="single" w:sz="6" w:space="0" w:color="000000"/>
              <w:right w:val="single" w:sz="6" w:space="0" w:color="000000"/>
            </w:tcBorders>
          </w:tcPr>
          <w:p>
            <w:pPr>
              <w:pStyle w:val="TableParagraph"/>
              <w:spacing w:line="240" w:lineRule="auto" w:before="21"/>
              <w:ind w:left="32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7503" w:type="dxa"/>
            <w:gridSpan w:val="4"/>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67"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2" w:hRule="exact"/>
        </w:trPr>
        <w:tc>
          <w:tcPr>
            <w:tcW w:w="1027" w:type="dxa"/>
            <w:vMerge/>
            <w:tcBorders>
              <w:left w:val="single" w:sz="6" w:space="0" w:color="000000"/>
              <w:bottom w:val="single" w:sz="12" w:space="0" w:color="000000"/>
              <w:right w:val="single" w:sz="6" w:space="0" w:color="000000"/>
            </w:tcBorders>
          </w:tcPr>
          <w:p>
            <w:pPr/>
          </w:p>
        </w:tc>
        <w:tc>
          <w:tcPr>
            <w:tcW w:w="19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7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5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年以上</w:t>
            </w:r>
          </w:p>
        </w:tc>
        <w:tc>
          <w:tcPr>
            <w:tcW w:w="197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6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3" w:hRule="exact"/>
        </w:trPr>
        <w:tc>
          <w:tcPr>
            <w:tcW w:w="10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287"/>
              <w:jc w:val="right"/>
              <w:rPr>
                <w:rFonts w:ascii="宋体" w:hAnsi="宋体" w:cs="宋体" w:eastAsia="宋体" w:hint="default"/>
                <w:sz w:val="18"/>
                <w:szCs w:val="18"/>
              </w:rPr>
            </w:pPr>
            <w:r>
              <w:rPr>
                <w:rFonts w:ascii="宋体" w:hAnsi="宋体" w:cs="宋体" w:eastAsia="宋体" w:hint="default"/>
                <w:sz w:val="18"/>
                <w:szCs w:val="18"/>
              </w:rPr>
              <w:t>应付票据</w:t>
            </w:r>
          </w:p>
        </w:tc>
        <w:tc>
          <w:tcPr>
            <w:tcW w:w="19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11,656,740.00</w:t>
            </w:r>
          </w:p>
        </w:tc>
        <w:tc>
          <w:tcPr>
            <w:tcW w:w="1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7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9"/>
              <w:jc w:val="right"/>
              <w:rPr>
                <w:rFonts w:ascii="Times New Roman" w:hAnsi="Times New Roman" w:cs="Times New Roman" w:eastAsia="Times New Roman" w:hint="default"/>
                <w:sz w:val="18"/>
                <w:szCs w:val="18"/>
              </w:rPr>
            </w:pPr>
            <w:r>
              <w:rPr>
                <w:rFonts w:ascii="Times New Roman"/>
                <w:spacing w:val="-1"/>
                <w:sz w:val="18"/>
              </w:rPr>
              <w:t>11,656,740.00</w:t>
            </w:r>
          </w:p>
        </w:tc>
      </w:tr>
      <w:tr>
        <w:trPr>
          <w:trHeight w:val="352" w:hRule="exact"/>
        </w:trPr>
        <w:tc>
          <w:tcPr>
            <w:tcW w:w="10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287"/>
              <w:jc w:val="right"/>
              <w:rPr>
                <w:rFonts w:ascii="宋体" w:hAnsi="宋体" w:cs="宋体" w:eastAsia="宋体" w:hint="default"/>
                <w:sz w:val="18"/>
                <w:szCs w:val="18"/>
              </w:rPr>
            </w:pPr>
            <w:r>
              <w:rPr>
                <w:rFonts w:ascii="宋体" w:hAnsi="宋体" w:cs="宋体" w:eastAsia="宋体" w:hint="default"/>
                <w:sz w:val="18"/>
                <w:szCs w:val="18"/>
              </w:rPr>
              <w:t>应付账款</w:t>
            </w:r>
          </w:p>
        </w:tc>
        <w:tc>
          <w:tcPr>
            <w:tcW w:w="19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141,199,319.39</w:t>
            </w:r>
          </w:p>
        </w:tc>
        <w:tc>
          <w:tcPr>
            <w:tcW w:w="1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41,721,430.75</w:t>
            </w:r>
          </w:p>
        </w:tc>
        <w:tc>
          <w:tcPr>
            <w:tcW w:w="17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9,063,850.00</w:t>
            </w:r>
          </w:p>
        </w:tc>
        <w:tc>
          <w:tcPr>
            <w:tcW w:w="197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191,984,600.14</w:t>
            </w:r>
          </w:p>
        </w:tc>
      </w:tr>
      <w:tr>
        <w:trPr>
          <w:trHeight w:val="352" w:hRule="exact"/>
        </w:trPr>
        <w:tc>
          <w:tcPr>
            <w:tcW w:w="10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287"/>
              <w:jc w:val="right"/>
              <w:rPr>
                <w:rFonts w:ascii="宋体" w:hAnsi="宋体" w:cs="宋体" w:eastAsia="宋体" w:hint="default"/>
                <w:sz w:val="18"/>
                <w:szCs w:val="18"/>
              </w:rPr>
            </w:pPr>
            <w:r>
              <w:rPr>
                <w:rFonts w:ascii="宋体" w:hAnsi="宋体" w:cs="宋体" w:eastAsia="宋体" w:hint="default"/>
                <w:sz w:val="18"/>
                <w:szCs w:val="18"/>
              </w:rPr>
              <w:t>长期借款</w:t>
            </w:r>
          </w:p>
        </w:tc>
        <w:tc>
          <w:tcPr>
            <w:tcW w:w="19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40,000,000.00</w:t>
            </w:r>
          </w:p>
        </w:tc>
        <w:tc>
          <w:tcPr>
            <w:tcW w:w="1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7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9"/>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353" w:hRule="exact"/>
        </w:trPr>
        <w:tc>
          <w:tcPr>
            <w:tcW w:w="10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324"/>
              <w:jc w:val="right"/>
              <w:rPr>
                <w:rFonts w:ascii="宋体" w:hAnsi="宋体" w:cs="宋体" w:eastAsia="宋体" w:hint="default"/>
                <w:sz w:val="18"/>
                <w:szCs w:val="18"/>
              </w:rPr>
            </w:pPr>
            <w:r>
              <w:rPr>
                <w:rFonts w:ascii="宋体" w:hAnsi="宋体" w:cs="宋体" w:eastAsia="宋体" w:hint="default"/>
                <w:sz w:val="18"/>
                <w:szCs w:val="18"/>
              </w:rPr>
              <w:t>合计</w:t>
            </w:r>
          </w:p>
        </w:tc>
        <w:tc>
          <w:tcPr>
            <w:tcW w:w="19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192,856,059.39</w:t>
            </w:r>
          </w:p>
        </w:tc>
        <w:tc>
          <w:tcPr>
            <w:tcW w:w="1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41,721,430.75</w:t>
            </w:r>
          </w:p>
        </w:tc>
        <w:tc>
          <w:tcPr>
            <w:tcW w:w="17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9,063,850.00</w:t>
            </w:r>
          </w:p>
        </w:tc>
        <w:tc>
          <w:tcPr>
            <w:tcW w:w="197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243,641,340.14</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tbl>
      <w:tblPr>
        <w:tblW w:w="0" w:type="auto"/>
        <w:jc w:val="left"/>
        <w:tblInd w:w="1736" w:type="dxa"/>
        <w:tblLayout w:type="fixed"/>
        <w:tblCellMar>
          <w:top w:w="0" w:type="dxa"/>
          <w:left w:w="0" w:type="dxa"/>
          <w:bottom w:w="0" w:type="dxa"/>
          <w:right w:w="0" w:type="dxa"/>
        </w:tblCellMar>
        <w:tblLook w:val="01E0"/>
      </w:tblPr>
      <w:tblGrid>
        <w:gridCol w:w="1027"/>
        <w:gridCol w:w="1975"/>
        <w:gridCol w:w="1842"/>
        <w:gridCol w:w="1710"/>
        <w:gridCol w:w="1975"/>
      </w:tblGrid>
      <w:tr>
        <w:trPr>
          <w:trHeight w:val="355" w:hRule="exact"/>
        </w:trPr>
        <w:tc>
          <w:tcPr>
            <w:tcW w:w="1027" w:type="dxa"/>
            <w:vMerge w:val="restart"/>
            <w:tcBorders>
              <w:top w:val="single" w:sz="6" w:space="0" w:color="000000"/>
              <w:left w:val="single" w:sz="6" w:space="0" w:color="000000"/>
              <w:right w:val="single" w:sz="6" w:space="0" w:color="000000"/>
            </w:tcBorders>
          </w:tcPr>
          <w:p>
            <w:pPr>
              <w:pStyle w:val="TableParagraph"/>
              <w:spacing w:line="240" w:lineRule="auto" w:before="21"/>
              <w:ind w:left="32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7503" w:type="dxa"/>
            <w:gridSpan w:val="4"/>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67"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2" w:hRule="exact"/>
        </w:trPr>
        <w:tc>
          <w:tcPr>
            <w:tcW w:w="1027" w:type="dxa"/>
            <w:vMerge/>
            <w:tcBorders>
              <w:left w:val="single" w:sz="6" w:space="0" w:color="000000"/>
              <w:bottom w:val="single" w:sz="12" w:space="0" w:color="000000"/>
              <w:right w:val="single" w:sz="6" w:space="0" w:color="000000"/>
            </w:tcBorders>
          </w:tcPr>
          <w:p>
            <w:pPr/>
          </w:p>
        </w:tc>
        <w:tc>
          <w:tcPr>
            <w:tcW w:w="19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7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5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年以上</w:t>
            </w:r>
          </w:p>
        </w:tc>
        <w:tc>
          <w:tcPr>
            <w:tcW w:w="197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6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3" w:hRule="exact"/>
        </w:trPr>
        <w:tc>
          <w:tcPr>
            <w:tcW w:w="10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287"/>
              <w:jc w:val="right"/>
              <w:rPr>
                <w:rFonts w:ascii="宋体" w:hAnsi="宋体" w:cs="宋体" w:eastAsia="宋体" w:hint="default"/>
                <w:sz w:val="18"/>
                <w:szCs w:val="18"/>
              </w:rPr>
            </w:pPr>
            <w:r>
              <w:rPr>
                <w:rFonts w:ascii="宋体" w:hAnsi="宋体" w:cs="宋体" w:eastAsia="宋体" w:hint="default"/>
                <w:sz w:val="18"/>
                <w:szCs w:val="18"/>
              </w:rPr>
              <w:t>应付票据</w:t>
            </w:r>
          </w:p>
        </w:tc>
        <w:tc>
          <w:tcPr>
            <w:tcW w:w="19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1,952,400.00</w:t>
            </w:r>
          </w:p>
        </w:tc>
        <w:tc>
          <w:tcPr>
            <w:tcW w:w="1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7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9"/>
              <w:jc w:val="right"/>
              <w:rPr>
                <w:rFonts w:ascii="Times New Roman" w:hAnsi="Times New Roman" w:cs="Times New Roman" w:eastAsia="Times New Roman" w:hint="default"/>
                <w:sz w:val="18"/>
                <w:szCs w:val="18"/>
              </w:rPr>
            </w:pPr>
            <w:r>
              <w:rPr>
                <w:rFonts w:ascii="Times New Roman"/>
                <w:spacing w:val="-1"/>
                <w:sz w:val="18"/>
              </w:rPr>
              <w:t>1,952,400.00</w:t>
            </w:r>
          </w:p>
        </w:tc>
      </w:tr>
      <w:tr>
        <w:trPr>
          <w:trHeight w:val="352" w:hRule="exact"/>
        </w:trPr>
        <w:tc>
          <w:tcPr>
            <w:tcW w:w="10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287"/>
              <w:jc w:val="right"/>
              <w:rPr>
                <w:rFonts w:ascii="宋体" w:hAnsi="宋体" w:cs="宋体" w:eastAsia="宋体" w:hint="default"/>
                <w:sz w:val="18"/>
                <w:szCs w:val="18"/>
              </w:rPr>
            </w:pPr>
            <w:r>
              <w:rPr>
                <w:rFonts w:ascii="宋体" w:hAnsi="宋体" w:cs="宋体" w:eastAsia="宋体" w:hint="default"/>
                <w:sz w:val="18"/>
                <w:szCs w:val="18"/>
              </w:rPr>
              <w:t>应付账款</w:t>
            </w:r>
          </w:p>
        </w:tc>
        <w:tc>
          <w:tcPr>
            <w:tcW w:w="19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98,812,668.48</w:t>
            </w:r>
          </w:p>
        </w:tc>
        <w:tc>
          <w:tcPr>
            <w:tcW w:w="1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23,267,003.89</w:t>
            </w:r>
          </w:p>
        </w:tc>
        <w:tc>
          <w:tcPr>
            <w:tcW w:w="17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2,208,914.50</w:t>
            </w:r>
          </w:p>
        </w:tc>
        <w:tc>
          <w:tcPr>
            <w:tcW w:w="197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9"/>
              <w:jc w:val="right"/>
              <w:rPr>
                <w:rFonts w:ascii="Times New Roman" w:hAnsi="Times New Roman" w:cs="Times New Roman" w:eastAsia="Times New Roman" w:hint="default"/>
                <w:sz w:val="18"/>
                <w:szCs w:val="18"/>
              </w:rPr>
            </w:pPr>
            <w:r>
              <w:rPr>
                <w:rFonts w:ascii="Times New Roman"/>
                <w:spacing w:val="-1"/>
                <w:sz w:val="18"/>
              </w:rPr>
              <w:t>124,288,586.87</w:t>
            </w:r>
          </w:p>
        </w:tc>
      </w:tr>
      <w:tr>
        <w:trPr>
          <w:trHeight w:val="352" w:hRule="exact"/>
        </w:trPr>
        <w:tc>
          <w:tcPr>
            <w:tcW w:w="10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287"/>
              <w:jc w:val="right"/>
              <w:rPr>
                <w:rFonts w:ascii="宋体" w:hAnsi="宋体" w:cs="宋体" w:eastAsia="宋体" w:hint="default"/>
                <w:sz w:val="18"/>
                <w:szCs w:val="18"/>
              </w:rPr>
            </w:pPr>
            <w:r>
              <w:rPr>
                <w:rFonts w:ascii="宋体" w:hAnsi="宋体" w:cs="宋体" w:eastAsia="宋体" w:hint="default"/>
                <w:sz w:val="18"/>
                <w:szCs w:val="18"/>
              </w:rPr>
              <w:t>长期借款</w:t>
            </w:r>
          </w:p>
        </w:tc>
        <w:tc>
          <w:tcPr>
            <w:tcW w:w="19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10,000,000.00</w:t>
            </w:r>
          </w:p>
        </w:tc>
        <w:tc>
          <w:tcPr>
            <w:tcW w:w="1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40,000,000.00</w:t>
            </w:r>
          </w:p>
        </w:tc>
        <w:tc>
          <w:tcPr>
            <w:tcW w:w="17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7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9"/>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353" w:hRule="exact"/>
        </w:trPr>
        <w:tc>
          <w:tcPr>
            <w:tcW w:w="10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324"/>
              <w:jc w:val="right"/>
              <w:rPr>
                <w:rFonts w:ascii="宋体" w:hAnsi="宋体" w:cs="宋体" w:eastAsia="宋体" w:hint="default"/>
                <w:sz w:val="18"/>
                <w:szCs w:val="18"/>
              </w:rPr>
            </w:pPr>
            <w:r>
              <w:rPr>
                <w:rFonts w:ascii="宋体" w:hAnsi="宋体" w:cs="宋体" w:eastAsia="宋体" w:hint="default"/>
                <w:sz w:val="18"/>
                <w:szCs w:val="18"/>
              </w:rPr>
              <w:t>合计</w:t>
            </w:r>
          </w:p>
        </w:tc>
        <w:tc>
          <w:tcPr>
            <w:tcW w:w="19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110,765,068.48</w:t>
            </w:r>
          </w:p>
        </w:tc>
        <w:tc>
          <w:tcPr>
            <w:tcW w:w="1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63,267,003.89</w:t>
            </w:r>
          </w:p>
        </w:tc>
        <w:tc>
          <w:tcPr>
            <w:tcW w:w="17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2,208,914.50</w:t>
            </w:r>
          </w:p>
        </w:tc>
        <w:tc>
          <w:tcPr>
            <w:tcW w:w="197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9"/>
              <w:jc w:val="right"/>
              <w:rPr>
                <w:rFonts w:ascii="Times New Roman" w:hAnsi="Times New Roman" w:cs="Times New Roman" w:eastAsia="Times New Roman" w:hint="default"/>
                <w:sz w:val="18"/>
                <w:szCs w:val="18"/>
              </w:rPr>
            </w:pPr>
            <w:r>
              <w:rPr>
                <w:rFonts w:ascii="Times New Roman"/>
                <w:spacing w:val="-1"/>
                <w:sz w:val="18"/>
              </w:rPr>
              <w:t>176,240,986.87</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Heading4"/>
        <w:spacing w:line="240" w:lineRule="auto" w:before="44"/>
        <w:ind w:right="0"/>
        <w:jc w:val="left"/>
        <w:rPr>
          <w:b w:val="0"/>
          <w:bCs w:val="0"/>
        </w:rPr>
      </w:pPr>
      <w:bookmarkStart w:name="十一、关联方及关联交易" w:id="327"/>
      <w:bookmarkEnd w:id="327"/>
      <w:r>
        <w:rPr>
          <w:b w:val="0"/>
          <w:bCs w:val="0"/>
        </w:rPr>
      </w:r>
      <w:r>
        <w:rPr/>
        <w:t>十一、关联方及关联交易</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42"/>
        <w:ind w:left="1133" w:right="0"/>
        <w:jc w:val="left"/>
        <w:rPr>
          <w:b w:val="0"/>
          <w:bCs w:val="0"/>
        </w:rPr>
      </w:pPr>
      <w:bookmarkStart w:name="1、本企业的母公司情况" w:id="328"/>
      <w:bookmarkEnd w:id="328"/>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本企业的母公司情况的说明</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60" w:lineRule="auto" w:before="44"/>
        <w:ind w:right="7873"/>
        <w:jc w:val="left"/>
      </w:pPr>
      <w:r>
        <w:rPr/>
        <w:t>不适用 本企业最终控制方是自然人邵健伟。</w:t>
      </w:r>
    </w:p>
    <w:p>
      <w:pPr>
        <w:spacing w:line="240" w:lineRule="auto" w:before="12"/>
        <w:rPr>
          <w:rFonts w:ascii="宋体" w:hAnsi="宋体" w:cs="宋体" w:eastAsia="宋体" w:hint="default"/>
          <w:sz w:val="21"/>
          <w:szCs w:val="21"/>
        </w:rPr>
      </w:pPr>
    </w:p>
    <w:p>
      <w:pPr>
        <w:spacing w:line="590" w:lineRule="auto" w:before="0"/>
        <w:ind w:left="1133" w:right="4993" w:firstLine="0"/>
        <w:jc w:val="left"/>
        <w:rPr>
          <w:rFonts w:ascii="宋体" w:hAnsi="宋体" w:cs="宋体" w:eastAsia="宋体" w:hint="default"/>
          <w:sz w:val="18"/>
          <w:szCs w:val="18"/>
        </w:rPr>
      </w:pPr>
      <w:bookmarkStart w:name="2、本企业的子公司情况" w:id="329"/>
      <w:bookmarkEnd w:id="329"/>
      <w:r>
        <w:rPr/>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、本企业的子公司情况</w:t>
      </w:r>
      <w:r>
        <w:rPr>
          <w:rFonts w:ascii="宋体" w:hAnsi="宋体" w:cs="宋体" w:eastAsia="宋体" w:hint="default"/>
          <w:b/>
          <w:bCs/>
          <w:w w:val="99"/>
          <w:sz w:val="18"/>
          <w:szCs w:val="18"/>
        </w:rPr>
        <w:t> </w:t>
      </w:r>
      <w:r>
        <w:rPr>
          <w:rFonts w:ascii="宋体" w:hAnsi="宋体" w:cs="宋体" w:eastAsia="宋体" w:hint="default"/>
          <w:spacing w:val="-10"/>
          <w:sz w:val="18"/>
          <w:szCs w:val="18"/>
        </w:rPr>
        <w:t>本企业子公司的情况详见附注第十一节财务报告九、（</w:t>
      </w: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w:t>
      </w:r>
      <w:r>
        <w:rPr>
          <w:rFonts w:ascii="宋体" w:hAnsi="宋体" w:cs="宋体" w:eastAsia="宋体" w:hint="default"/>
          <w:spacing w:val="-90"/>
          <w:sz w:val="18"/>
          <w:szCs w:val="18"/>
        </w:rPr>
        <w:t> </w:t>
      </w:r>
      <w:bookmarkStart w:name="3、本企业合营和联营企业情况" w:id="330"/>
      <w:bookmarkEnd w:id="330"/>
      <w:r>
        <w:rPr>
          <w:rFonts w:ascii="宋体" w:hAnsi="宋体" w:cs="宋体" w:eastAsia="宋体" w:hint="default"/>
          <w:spacing w:val="-90"/>
          <w:sz w:val="18"/>
          <w:szCs w:val="18"/>
        </w:rPr>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、本企业合营和联营企业情况</w:t>
      </w:r>
      <w:r>
        <w:rPr>
          <w:rFonts w:ascii="宋体" w:hAnsi="宋体" w:cs="宋体" w:eastAsia="宋体" w:hint="default"/>
          <w:sz w:val="18"/>
          <w:szCs w:val="18"/>
        </w:rPr>
      </w:r>
    </w:p>
    <w:p>
      <w:pPr>
        <w:pStyle w:val="BodyText"/>
        <w:spacing w:line="340" w:lineRule="auto" w:before="73"/>
        <w:ind w:right="2293"/>
        <w:jc w:val="left"/>
      </w:pPr>
      <w:r>
        <w:rPr>
          <w:spacing w:val="-9"/>
        </w:rPr>
        <w:t>本企业重要的合营或联营企业详见附注第十一节财务报告九、（</w:t>
      </w:r>
      <w:r>
        <w:rPr>
          <w:rFonts w:ascii="Times New Roman" w:hAnsi="Times New Roman" w:cs="Times New Roman" w:eastAsia="Times New Roman" w:hint="default"/>
          <w:spacing w:val="-9"/>
        </w:rPr>
        <w:t>2</w:t>
      </w:r>
      <w:r>
        <w:rPr>
          <w:spacing w:val="-9"/>
        </w:rPr>
        <w:t>）。</w:t>
      </w:r>
      <w:r>
        <w:rPr>
          <w:spacing w:val="-81"/>
        </w:rPr>
        <w:t> </w:t>
      </w:r>
      <w:r>
        <w:rPr/>
        <w:t>本期与本公司发生关联方交易，或前期与本公司发生关联方交易形成余额的其他合营或联营企业情况如下：</w:t>
      </w:r>
    </w:p>
    <w:p>
      <w:pPr>
        <w:spacing w:line="240" w:lineRule="auto" w:before="3"/>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深圳市旭龙昇电子有限公司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pStyle w:val="BodyText"/>
        <w:spacing w:line="357" w:lineRule="auto" w:before="51"/>
        <w:ind w:right="10033"/>
        <w:jc w:val="left"/>
      </w:pPr>
      <w:r>
        <w:rPr/>
        <w:t>其他说明 无</w:t>
      </w:r>
    </w:p>
    <w:p>
      <w:pPr>
        <w:spacing w:line="240" w:lineRule="auto" w:before="2"/>
        <w:rPr>
          <w:rFonts w:ascii="宋体" w:hAnsi="宋体" w:cs="宋体" w:eastAsia="宋体" w:hint="default"/>
          <w:sz w:val="22"/>
          <w:szCs w:val="22"/>
        </w:rPr>
      </w:pPr>
    </w:p>
    <w:p>
      <w:pPr>
        <w:pStyle w:val="Heading4"/>
        <w:spacing w:line="240" w:lineRule="auto"/>
        <w:ind w:right="0"/>
        <w:jc w:val="left"/>
        <w:rPr>
          <w:b w:val="0"/>
          <w:bCs w:val="0"/>
        </w:rPr>
      </w:pPr>
      <w:bookmarkStart w:name="4、其他关联方情况" w:id="331"/>
      <w:bookmarkEnd w:id="331"/>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3"/>
        <w:rPr>
          <w:rFonts w:ascii="宋体" w:hAnsi="宋体" w:cs="宋体" w:eastAsia="宋体" w:hint="default"/>
          <w:b/>
          <w:bCs/>
          <w:sz w:val="26"/>
          <w:szCs w:val="26"/>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陈茂清</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实际控制人邵健伟的母亲</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邵健锋</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股东、实际控制人邵健伟的弟弟及公司关键管理人员</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刘俊杰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公司关键管理人员邵健锋妻弟</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马琳</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实际控制人邵健伟配偶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陈伟国</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皖江（芜湖）物流产业投资基金（有限合伙）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深圳市华锐丰投资合伙企业（有限合伙）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深圳市盛桥创源投资合伙企业（有限合伙）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颜明霞</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陈锦棣</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深圳市新智丰投资合伙企业（有限合伙）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深圳市金美华投资合伙企业（有限合伙）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巨丰企业管理咨询（深圳）有限公司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股东</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林宜生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股东</w:t>
            </w:r>
          </w:p>
        </w:tc>
      </w:tr>
    </w:tbl>
    <w:p>
      <w:pPr>
        <w:spacing w:line="240" w:lineRule="auto" w:before="6"/>
        <w:rPr>
          <w:rFonts w:ascii="宋体" w:hAnsi="宋体" w:cs="宋体" w:eastAsia="宋体" w:hint="default"/>
          <w:b/>
          <w:bCs/>
          <w:sz w:val="20"/>
          <w:szCs w:val="20"/>
        </w:rPr>
      </w:pPr>
    </w:p>
    <w:p>
      <w:pPr>
        <w:pStyle w:val="Heading4"/>
        <w:spacing w:line="240" w:lineRule="auto" w:before="44"/>
        <w:ind w:right="0"/>
        <w:jc w:val="left"/>
        <w:rPr>
          <w:b w:val="0"/>
          <w:bCs w:val="0"/>
        </w:rPr>
      </w:pPr>
      <w:bookmarkStart w:name="5、关联交易情况" w:id="332"/>
      <w:bookmarkEnd w:id="332"/>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0"/>
        <w:rPr>
          <w:rFonts w:ascii="宋体" w:hAnsi="宋体" w:cs="宋体" w:eastAsia="宋体" w:hint="default"/>
          <w:b/>
          <w:bCs/>
          <w:sz w:val="18"/>
          <w:szCs w:val="18"/>
        </w:rPr>
      </w:pPr>
    </w:p>
    <w:p>
      <w:pPr>
        <w:spacing w:line="590" w:lineRule="auto" w:before="129"/>
        <w:ind w:left="1133" w:right="7230" w:firstLine="0"/>
        <w:jc w:val="left"/>
        <w:rPr>
          <w:rFonts w:ascii="宋体" w:hAnsi="宋体" w:cs="宋体" w:eastAsia="宋体" w:hint="default"/>
          <w:sz w:val="18"/>
          <w:szCs w:val="18"/>
        </w:rPr>
      </w:pPr>
      <w:bookmarkStart w:name="（1）购销商品、提供和接受劳务的关联交易" w:id="333"/>
      <w:bookmarkEnd w:id="333"/>
      <w:r>
        <w:rPr/>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）购销商品、提供和接受劳务的关联交易</w:t>
      </w:r>
      <w:r>
        <w:rPr>
          <w:rFonts w:ascii="宋体" w:hAnsi="宋体" w:cs="宋体" w:eastAsia="宋体" w:hint="default"/>
          <w:b/>
          <w:bCs/>
          <w:w w:val="99"/>
          <w:sz w:val="18"/>
          <w:szCs w:val="18"/>
        </w:rPr>
        <w:t> </w:t>
      </w: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after="0" w:line="59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1"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454"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351" w:right="2975" w:hanging="218"/>
        <w:jc w:val="left"/>
      </w:pPr>
      <w:r>
        <w:rPr/>
        <w:t>购销商品、提供和接受劳务的关联交易说明 存在控制关系且已纳入本公司合并报表范围的子公司，其相互间交易及母子公司交易已作抵销。</w:t>
      </w:r>
    </w:p>
    <w:p>
      <w:pPr>
        <w:spacing w:line="240" w:lineRule="auto" w:before="2"/>
        <w:rPr>
          <w:rFonts w:ascii="宋体" w:hAnsi="宋体" w:cs="宋体" w:eastAsia="宋体" w:hint="default"/>
          <w:sz w:val="22"/>
          <w:szCs w:val="22"/>
        </w:rPr>
      </w:pPr>
    </w:p>
    <w:p>
      <w:pPr>
        <w:pStyle w:val="Heading4"/>
        <w:spacing w:line="240" w:lineRule="auto"/>
        <w:ind w:left="1133" w:right="0"/>
        <w:jc w:val="left"/>
        <w:rPr>
          <w:b w:val="0"/>
          <w:bCs w:val="0"/>
        </w:rPr>
      </w:pPr>
      <w:bookmarkStart w:name="（2）关联受托管理/承包及委托管理/出包情况" w:id="334"/>
      <w:bookmarkEnd w:id="334"/>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1134" w:right="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pStyle w:val="BodyText"/>
        <w:spacing w:line="338" w:lineRule="auto" w:before="51"/>
        <w:ind w:left="1134" w:right="520"/>
        <w:jc w:val="left"/>
      </w:pPr>
      <w:r>
        <w:rPr/>
        <w:t>关联托管</w:t>
      </w:r>
      <w:r>
        <w:rPr>
          <w:rFonts w:ascii="Times New Roman" w:hAnsi="Times New Roman" w:cs="Times New Roman" w:eastAsia="Times New Roman" w:hint="default"/>
        </w:rPr>
        <w:t>/</w:t>
      </w:r>
      <w:r>
        <w:rPr/>
        <w:t>承包情况说明 不适用</w:t>
      </w:r>
    </w:p>
    <w:p>
      <w:pPr>
        <w:pStyle w:val="BodyText"/>
        <w:spacing w:line="240" w:lineRule="auto" w:before="44"/>
        <w:ind w:left="1134" w:right="-20"/>
        <w:jc w:val="left"/>
      </w:pPr>
      <w:r>
        <w:rPr/>
        <w:t>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3525" w:space="5304"/>
            <w:col w:w="3081"/>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38" w:lineRule="auto" w:before="51"/>
        <w:ind w:left="1134" w:right="8902"/>
        <w:jc w:val="left"/>
      </w:pPr>
      <w:r>
        <w:rPr/>
        <w:t>关联管理</w:t>
      </w:r>
      <w:r>
        <w:rPr>
          <w:rFonts w:ascii="Times New Roman" w:hAnsi="Times New Roman" w:cs="Times New Roman" w:eastAsia="Times New Roman" w:hint="default"/>
        </w:rPr>
        <w:t>/</w:t>
      </w:r>
      <w:r>
        <w:rPr/>
        <w:t>出包情况说明 不适用</w:t>
      </w:r>
    </w:p>
    <w:p>
      <w:pPr>
        <w:spacing w:line="240" w:lineRule="auto" w:before="3"/>
        <w:rPr>
          <w:rFonts w:ascii="宋体" w:hAnsi="宋体" w:cs="宋体" w:eastAsia="宋体" w:hint="default"/>
          <w:sz w:val="23"/>
          <w:szCs w:val="23"/>
        </w:rPr>
      </w:pPr>
    </w:p>
    <w:p>
      <w:pPr>
        <w:pStyle w:val="Heading4"/>
        <w:spacing w:line="240" w:lineRule="auto"/>
        <w:ind w:right="0"/>
        <w:jc w:val="left"/>
        <w:rPr>
          <w:b w:val="0"/>
          <w:bCs w:val="0"/>
        </w:rPr>
      </w:pPr>
      <w:bookmarkStart w:name="（3）关联租赁情况" w:id="335"/>
      <w:bookmarkEnd w:id="335"/>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1134" w:right="0"/>
        <w:jc w:val="left"/>
      </w:pPr>
      <w:r>
        <w:rPr/>
        <w:t>本公司作为出租方：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2394"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本公司作为承租方：</w:t>
      </w:r>
    </w:p>
    <w:p>
      <w:pPr>
        <w:pStyle w:val="BodyText"/>
        <w:spacing w:line="240" w:lineRule="auto" w:before="117"/>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陈茂清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办公楼</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384,000.00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384,000.00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邵健锋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办公楼</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288,000.00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288,000.00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关联租赁情况说明</w:t>
      </w:r>
    </w:p>
    <w:p>
      <w:pPr>
        <w:spacing w:line="240" w:lineRule="auto" w:before="10"/>
        <w:rPr>
          <w:rFonts w:ascii="宋体" w:hAnsi="宋体" w:cs="宋体" w:eastAsia="宋体" w:hint="default"/>
          <w:sz w:val="14"/>
          <w:szCs w:val="14"/>
        </w:rPr>
      </w:pPr>
    </w:p>
    <w:p>
      <w:pPr>
        <w:pStyle w:val="BodyText"/>
        <w:spacing w:line="451" w:lineRule="auto"/>
        <w:ind w:left="1209" w:right="1130" w:firstLine="360"/>
        <w:jc w:val="both"/>
      </w:pPr>
      <w:r>
        <w:rPr/>
        <w:t>（</w:t>
      </w:r>
      <w:r>
        <w:rPr>
          <w:rFonts w:ascii="Times New Roman" w:hAnsi="Times New Roman" w:cs="Times New Roman" w:eastAsia="Times New Roman" w:hint="default"/>
        </w:rPr>
        <w:t>1</w:t>
      </w:r>
      <w:r>
        <w:rPr/>
        <w:t>）本公司关联方陈茂清将其位于深圳市罗湖区笋岗东路宝安广场</w:t>
      </w:r>
      <w:r>
        <w:rPr>
          <w:rFonts w:ascii="Times New Roman" w:hAnsi="Times New Roman" w:cs="Times New Roman" w:eastAsia="Times New Roman" w:hint="default"/>
        </w:rPr>
        <w:t>A</w:t>
      </w:r>
      <w:r>
        <w:rPr/>
        <w:t>座</w:t>
      </w:r>
      <w:r>
        <w:rPr>
          <w:rFonts w:ascii="Times New Roman" w:hAnsi="Times New Roman" w:cs="Times New Roman" w:eastAsia="Times New Roman" w:hint="default"/>
        </w:rPr>
        <w:t>10</w:t>
      </w:r>
      <w:r>
        <w:rPr/>
        <w:t>楼</w:t>
      </w:r>
      <w:r>
        <w:rPr>
          <w:rFonts w:ascii="Times New Roman" w:hAnsi="Times New Roman" w:cs="Times New Roman" w:eastAsia="Times New Roman" w:hint="default"/>
        </w:rPr>
        <w:t>F</w:t>
      </w:r>
      <w:r>
        <w:rPr/>
        <w:t>室、</w:t>
      </w:r>
      <w:r>
        <w:rPr>
          <w:rFonts w:ascii="Times New Roman" w:hAnsi="Times New Roman" w:cs="Times New Roman" w:eastAsia="Times New Roman" w:hint="default"/>
        </w:rPr>
        <w:t>G</w:t>
      </w:r>
      <w:r>
        <w:rPr/>
        <w:t>室、</w:t>
      </w:r>
      <w:r>
        <w:rPr>
          <w:rFonts w:ascii="Times New Roman" w:hAnsi="Times New Roman" w:cs="Times New Roman" w:eastAsia="Times New Roman" w:hint="default"/>
        </w:rPr>
        <w:t>H</w:t>
      </w:r>
      <w:r>
        <w:rPr/>
        <w:t>室共计</w:t>
      </w:r>
      <w:r>
        <w:rPr>
          <w:rFonts w:ascii="Times New Roman" w:hAnsi="Times New Roman" w:cs="Times New Roman" w:eastAsia="Times New Roman" w:hint="default"/>
        </w:rPr>
        <w:t>298.89</w:t>
      </w:r>
      <w:r>
        <w:rPr/>
        <w:t>平方米的房屋 提供给公司办公使用。</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24</w:t>
      </w:r>
      <w:r>
        <w:rPr/>
        <w:t>日，陈茂清又将其位于深圳市罗湖区笋岗东路宝安广场</w:t>
      </w:r>
      <w:r>
        <w:rPr>
          <w:rFonts w:ascii="Times New Roman" w:hAnsi="Times New Roman" w:cs="Times New Roman" w:eastAsia="Times New Roman" w:hint="default"/>
        </w:rPr>
        <w:t>A</w:t>
      </w:r>
      <w:r>
        <w:rPr/>
        <w:t>座</w:t>
      </w:r>
      <w:r>
        <w:rPr>
          <w:rFonts w:ascii="Times New Roman" w:hAnsi="Times New Roman" w:cs="Times New Roman" w:eastAsia="Times New Roman" w:hint="default"/>
        </w:rPr>
        <w:t>10</w:t>
      </w:r>
      <w:r>
        <w:rPr/>
        <w:t>楼</w:t>
      </w:r>
      <w:r>
        <w:rPr>
          <w:rFonts w:ascii="Times New Roman" w:hAnsi="Times New Roman" w:cs="Times New Roman" w:eastAsia="Times New Roman" w:hint="default"/>
        </w:rPr>
        <w:t>E</w:t>
      </w:r>
      <w:r>
        <w:rPr/>
        <w:t>室、</w:t>
      </w:r>
      <w:r>
        <w:rPr>
          <w:rFonts w:ascii="Times New Roman" w:hAnsi="Times New Roman" w:cs="Times New Roman" w:eastAsia="Times New Roman" w:hint="default"/>
        </w:rPr>
        <w:t>F</w:t>
      </w:r>
      <w:r>
        <w:rPr/>
        <w:t>室、</w:t>
      </w:r>
      <w:r>
        <w:rPr>
          <w:rFonts w:ascii="Times New Roman" w:hAnsi="Times New Roman" w:cs="Times New Roman" w:eastAsia="Times New Roman" w:hint="default"/>
        </w:rPr>
        <w:t>G</w:t>
      </w:r>
      <w:r>
        <w:rPr/>
        <w:t>室、</w:t>
      </w:r>
      <w:r>
        <w:rPr>
          <w:rFonts w:ascii="Times New Roman" w:hAnsi="Times New Roman" w:cs="Times New Roman" w:eastAsia="Times New Roman" w:hint="default"/>
        </w:rPr>
        <w:t>H</w:t>
      </w:r>
      <w:r>
        <w:rPr/>
        <w:t>室</w:t>
      </w:r>
      <w:r>
        <w:rPr>
          <w:spacing w:val="-46"/>
        </w:rPr>
        <w:t> </w:t>
      </w:r>
      <w:r>
        <w:rPr/>
        <w:t>共计</w:t>
      </w:r>
      <w:r>
        <w:rPr>
          <w:rFonts w:ascii="Times New Roman" w:hAnsi="Times New Roman" w:cs="Times New Roman" w:eastAsia="Times New Roman" w:hint="default"/>
        </w:rPr>
        <w:t>397.11</w:t>
      </w:r>
      <w:r>
        <w:rPr/>
        <w:t>平方米的房屋提供给公司办公使用，租赁价格每月</w:t>
      </w:r>
      <w:r>
        <w:rPr>
          <w:rFonts w:ascii="Times New Roman" w:hAnsi="Times New Roman" w:cs="Times New Roman" w:eastAsia="Times New Roman" w:hint="default"/>
        </w:rPr>
        <w:t>32,000</w:t>
      </w:r>
      <w:r>
        <w:rPr/>
        <w:t>元，租赁期自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24</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23</w:t>
      </w:r>
      <w:r>
        <w:rPr/>
        <w:t>日。</w:t>
      </w:r>
    </w:p>
    <w:p>
      <w:pPr>
        <w:pStyle w:val="BodyText"/>
        <w:spacing w:line="451" w:lineRule="auto" w:before="43"/>
        <w:ind w:right="1132" w:firstLine="360"/>
        <w:jc w:val="both"/>
      </w:pPr>
      <w:r>
        <w:rPr>
          <w:spacing w:val="-1"/>
        </w:rPr>
        <w:t>（</w:t>
      </w:r>
      <w:r>
        <w:rPr>
          <w:rFonts w:ascii="Times New Roman" w:hAnsi="Times New Roman" w:cs="Times New Roman" w:eastAsia="Times New Roman" w:hint="default"/>
          <w:spacing w:val="-1"/>
        </w:rPr>
        <w:t>2</w:t>
      </w:r>
      <w:r>
        <w:rPr>
          <w:spacing w:val="-1"/>
        </w:rPr>
        <w:t>）本公司关联方邵健锋将其位于深圳市罗湖区笋岗东路宝安广场</w:t>
      </w:r>
      <w:r>
        <w:rPr>
          <w:rFonts w:ascii="Times New Roman" w:hAnsi="Times New Roman" w:cs="Times New Roman" w:eastAsia="Times New Roman" w:hint="default"/>
          <w:spacing w:val="-1"/>
        </w:rPr>
        <w:t>A</w:t>
      </w:r>
      <w:r>
        <w:rPr>
          <w:spacing w:val="-1"/>
        </w:rPr>
        <w:t>座</w:t>
      </w:r>
      <w:r>
        <w:rPr>
          <w:rFonts w:ascii="Times New Roman" w:hAnsi="Times New Roman" w:cs="Times New Roman" w:eastAsia="Times New Roman" w:hint="default"/>
          <w:spacing w:val="-1"/>
        </w:rPr>
        <w:t>9</w:t>
      </w:r>
      <w:r>
        <w:rPr>
          <w:spacing w:val="-1"/>
        </w:rPr>
        <w:t>楼</w:t>
      </w:r>
      <w:r>
        <w:rPr>
          <w:rFonts w:ascii="Times New Roman" w:hAnsi="Times New Roman" w:cs="Times New Roman" w:eastAsia="Times New Roman" w:hint="default"/>
          <w:spacing w:val="-1"/>
        </w:rPr>
        <w:t>A</w:t>
      </w:r>
      <w:r>
        <w:rPr>
          <w:spacing w:val="-1"/>
        </w:rPr>
        <w:t>室、</w:t>
      </w:r>
      <w:r>
        <w:rPr>
          <w:rFonts w:ascii="Times New Roman" w:hAnsi="Times New Roman" w:cs="Times New Roman" w:eastAsia="Times New Roman" w:hint="default"/>
          <w:spacing w:val="-1"/>
        </w:rPr>
        <w:t>10</w:t>
      </w:r>
      <w:r>
        <w:rPr>
          <w:spacing w:val="-1"/>
        </w:rPr>
        <w:t>楼</w:t>
      </w:r>
      <w:r>
        <w:rPr>
          <w:rFonts w:ascii="Times New Roman" w:hAnsi="Times New Roman" w:cs="Times New Roman" w:eastAsia="Times New Roman" w:hint="default"/>
          <w:spacing w:val="-1"/>
        </w:rPr>
        <w:t>C</w:t>
      </w:r>
      <w:r>
        <w:rPr>
          <w:spacing w:val="-1"/>
        </w:rPr>
        <w:t>室、</w:t>
      </w:r>
      <w:r>
        <w:rPr>
          <w:rFonts w:ascii="Times New Roman" w:hAnsi="Times New Roman" w:cs="Times New Roman" w:eastAsia="Times New Roman" w:hint="default"/>
          <w:spacing w:val="-1"/>
        </w:rPr>
        <w:t>D</w:t>
      </w:r>
      <w:r>
        <w:rPr>
          <w:spacing w:val="-1"/>
        </w:rPr>
        <w:t>室共计</w:t>
      </w:r>
      <w:r>
        <w:rPr>
          <w:rFonts w:ascii="Times New Roman" w:hAnsi="Times New Roman" w:cs="Times New Roman" w:eastAsia="Times New Roman" w:hint="default"/>
          <w:spacing w:val="-1"/>
        </w:rPr>
        <w:t>304.14</w:t>
      </w:r>
      <w:r>
        <w:rPr>
          <w:spacing w:val="-1"/>
        </w:rPr>
        <w:t>平方米的房</w:t>
      </w:r>
      <w:r>
        <w:rPr/>
        <w:t> 屋提供给公司办公使用，租赁价格每月</w:t>
      </w:r>
      <w:r>
        <w:rPr>
          <w:rFonts w:ascii="Times New Roman" w:hAnsi="Times New Roman" w:cs="Times New Roman" w:eastAsia="Times New Roman" w:hint="default"/>
        </w:rPr>
        <w:t>24,000</w:t>
      </w:r>
      <w:r>
        <w:rPr/>
        <w:t>元，租赁期自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24</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23</w:t>
      </w:r>
      <w:r>
        <w:rPr/>
        <w:t>日。</w:t>
      </w:r>
    </w:p>
    <w:p>
      <w:pPr>
        <w:pStyle w:val="Heading4"/>
        <w:spacing w:line="240" w:lineRule="auto" w:before="43"/>
        <w:ind w:left="1133" w:right="0"/>
        <w:jc w:val="left"/>
        <w:rPr>
          <w:b w:val="0"/>
          <w:bCs w:val="0"/>
        </w:rPr>
      </w:pPr>
      <w:bookmarkStart w:name="（4）关联担保情况" w:id="336"/>
      <w:bookmarkEnd w:id="336"/>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6"/>
        <w:rPr>
          <w:rFonts w:ascii="宋体" w:hAnsi="宋体" w:cs="宋体" w:eastAsia="宋体" w:hint="default"/>
          <w:b/>
          <w:bCs/>
          <w:sz w:val="10"/>
          <w:szCs w:val="10"/>
        </w:rPr>
      </w:pPr>
    </w:p>
    <w:p>
      <w:pPr>
        <w:pStyle w:val="BodyText"/>
        <w:spacing w:line="240" w:lineRule="auto" w:before="44"/>
        <w:ind w:left="1134" w:right="0"/>
        <w:jc w:val="left"/>
      </w:pPr>
      <w:r>
        <w:rPr/>
        <w:t>本公司作为担保方</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本公司作为被担保方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邵健伟、马琳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邵健伟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邵健伟、马琳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邵健伟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357" w:lineRule="auto" w:before="51"/>
        <w:ind w:left="1134" w:right="3552"/>
        <w:jc w:val="left"/>
      </w:pPr>
      <w:r>
        <w:rPr/>
        <w:t>关联担保情况说明 报告期内发生之关联担保主要是公司控股股东及其配偶无偿为公司获取银行授信提供担保。</w:t>
      </w:r>
    </w:p>
    <w:p>
      <w:pPr>
        <w:spacing w:line="240" w:lineRule="auto" w:before="2"/>
        <w:rPr>
          <w:rFonts w:ascii="宋体" w:hAnsi="宋体" w:cs="宋体" w:eastAsia="宋体" w:hint="default"/>
          <w:sz w:val="22"/>
          <w:szCs w:val="22"/>
        </w:rPr>
      </w:pPr>
    </w:p>
    <w:p>
      <w:pPr>
        <w:pStyle w:val="Heading4"/>
        <w:spacing w:line="240" w:lineRule="auto"/>
        <w:ind w:left="1133" w:right="0"/>
        <w:jc w:val="left"/>
        <w:rPr>
          <w:b w:val="0"/>
          <w:bCs w:val="0"/>
        </w:rPr>
      </w:pPr>
      <w:bookmarkStart w:name="（5）关键管理人员报酬" w:id="337"/>
      <w:bookmarkEnd w:id="337"/>
      <w:r>
        <w:rPr>
          <w:b w:val="0"/>
          <w:bCs w:val="0"/>
        </w:rPr>
      </w:r>
      <w:r>
        <w:rPr/>
        <w:t>（</w:t>
      </w:r>
      <w:r>
        <w:rPr>
          <w:rFonts w:ascii="Times New Roman" w:hAnsi="Times New Roman" w:cs="Times New Roman" w:eastAsia="Times New Roman" w:hint="default"/>
        </w:rPr>
        <w:t>5</w:t>
      </w:r>
      <w:r>
        <w:rPr/>
        <w:t>）关键管理人员报酬</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5,454,064.50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5,209,080.00</w:t>
            </w:r>
          </w:p>
        </w:tc>
      </w:tr>
    </w:tbl>
    <w:p>
      <w:pPr>
        <w:spacing w:line="240" w:lineRule="auto" w:before="6"/>
        <w:rPr>
          <w:rFonts w:ascii="宋体" w:hAnsi="宋体" w:cs="宋体" w:eastAsia="宋体" w:hint="default"/>
          <w:sz w:val="20"/>
          <w:szCs w:val="20"/>
        </w:rPr>
      </w:pPr>
    </w:p>
    <w:p>
      <w:pPr>
        <w:pStyle w:val="Heading4"/>
        <w:spacing w:line="240" w:lineRule="auto" w:before="44"/>
        <w:ind w:right="0"/>
        <w:jc w:val="left"/>
        <w:rPr>
          <w:b w:val="0"/>
          <w:bCs w:val="0"/>
        </w:rPr>
      </w:pPr>
      <w:bookmarkStart w:name="6、关联方应收应付款项" w:id="338"/>
      <w:bookmarkEnd w:id="338"/>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8"/>
        <w:ind w:left="1133" w:right="0"/>
        <w:jc w:val="left"/>
        <w:rPr>
          <w:b w:val="0"/>
          <w:bCs w:val="0"/>
        </w:rPr>
      </w:pPr>
      <w:bookmarkStart w:name="（1）应付项目" w:id="339"/>
      <w:bookmarkEnd w:id="339"/>
      <w:r>
        <w:rPr>
          <w:b w:val="0"/>
          <w:bCs w:val="0"/>
        </w:rPr>
      </w:r>
      <w:r>
        <w:rPr/>
        <w:t>（</w:t>
      </w:r>
      <w:r>
        <w:rPr>
          <w:rFonts w:ascii="Times New Roman" w:hAnsi="Times New Roman" w:cs="Times New Roman" w:eastAsia="Times New Roman" w:hint="default"/>
        </w:rPr>
        <w:t>1</w:t>
      </w:r>
      <w:r>
        <w:rPr/>
        <w:t>）应付项目</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深圳市旭龙昇电子有限公司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4" w:right="0"/>
              <w:jc w:val="left"/>
              <w:rPr>
                <w:rFonts w:ascii="Times New Roman" w:hAnsi="Times New Roman" w:cs="Times New Roman" w:eastAsia="Times New Roman" w:hint="default"/>
                <w:sz w:val="18"/>
                <w:szCs w:val="18"/>
              </w:rPr>
            </w:pPr>
            <w:r>
              <w:rPr>
                <w:rFonts w:ascii="Times New Roman"/>
                <w:sz w:val="18"/>
              </w:rPr>
              <w:t>2,050,631.04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4" w:right="0"/>
              <w:jc w:val="left"/>
              <w:rPr>
                <w:rFonts w:ascii="Times New Roman" w:hAnsi="Times New Roman" w:cs="Times New Roman" w:eastAsia="Times New Roman" w:hint="default"/>
                <w:sz w:val="18"/>
                <w:szCs w:val="18"/>
              </w:rPr>
            </w:pPr>
            <w:r>
              <w:rPr>
                <w:rFonts w:ascii="Times New Roman"/>
                <w:sz w:val="18"/>
              </w:rPr>
              <w:t>7,656,384.47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7、关联方承诺" w:id="340"/>
      <w:bookmarkEnd w:id="340"/>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1493" w:right="0"/>
        <w:jc w:val="left"/>
      </w:pPr>
      <w:r>
        <w:rPr/>
        <w:t>关联方无关联交易相关的承诺，其他承诺事项参见本报告第五节</w:t>
      </w:r>
      <w:r>
        <w:rPr>
          <w:rFonts w:ascii="宋体" w:hAnsi="宋体" w:cs="宋体" w:eastAsia="宋体" w:hint="default"/>
        </w:rPr>
        <w:t>. </w:t>
      </w:r>
      <w:r>
        <w:rPr/>
        <w:t>重要事项  二、承诺事项履行情况。</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Heading2"/>
        <w:spacing w:line="240" w:lineRule="auto"/>
        <w:ind w:right="0"/>
        <w:jc w:val="left"/>
        <w:rPr>
          <w:b w:val="0"/>
          <w:bCs w:val="0"/>
        </w:rPr>
      </w:pPr>
      <w:bookmarkStart w:name="十二、股份支付" w:id="341"/>
      <w:bookmarkEnd w:id="341"/>
      <w:r>
        <w:rPr>
          <w:b w:val="0"/>
          <w:bCs w:val="0"/>
        </w:rPr>
      </w:r>
      <w:r>
        <w:rPr/>
        <w:t>十二、股份支付</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股份支付总体情况" w:id="342"/>
      <w:bookmarkEnd w:id="342"/>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2,829,600.00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合同剩余期限：</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r>
    </w:tbl>
    <w:p>
      <w:pPr>
        <w:spacing w:line="240" w:lineRule="auto" w:before="6"/>
        <w:rPr>
          <w:rFonts w:ascii="宋体" w:hAnsi="宋体" w:cs="宋体" w:eastAsia="宋体" w:hint="default"/>
          <w:sz w:val="6"/>
          <w:szCs w:val="6"/>
        </w:rPr>
      </w:pPr>
    </w:p>
    <w:p>
      <w:pPr>
        <w:pStyle w:val="BodyText"/>
        <w:spacing w:line="240" w:lineRule="auto" w:before="44"/>
        <w:ind w:left="1494" w:right="0"/>
        <w:jc w:val="left"/>
      </w:pPr>
      <w:r>
        <w:rPr/>
        <w:t>其他说明</w:t>
      </w:r>
    </w:p>
    <w:p>
      <w:pPr>
        <w:spacing w:line="240" w:lineRule="auto" w:before="10"/>
        <w:rPr>
          <w:rFonts w:ascii="宋体" w:hAnsi="宋体" w:cs="宋体" w:eastAsia="宋体" w:hint="default"/>
          <w:sz w:val="20"/>
          <w:szCs w:val="20"/>
        </w:rPr>
      </w:pPr>
    </w:p>
    <w:p>
      <w:pPr>
        <w:pStyle w:val="BodyText"/>
        <w:spacing w:line="240" w:lineRule="auto"/>
        <w:ind w:left="1493" w:right="0"/>
        <w:jc w:val="left"/>
      </w:pPr>
      <w:r>
        <w:rPr/>
        <w:t>根据第三届董事会第六次会议于</w:t>
      </w:r>
      <w:r>
        <w:rPr>
          <w:spacing w:val="-45"/>
        </w:rPr>
        <w:t> </w:t>
      </w:r>
      <w:r>
        <w:rPr>
          <w:rFonts w:ascii="宋体" w:hAnsi="宋体" w:cs="宋体" w:eastAsia="宋体" w:hint="default"/>
        </w:rPr>
        <w:t>2017</w:t>
      </w:r>
      <w:r>
        <w:rPr>
          <w:rFonts w:ascii="宋体" w:hAnsi="宋体" w:cs="宋体" w:eastAsia="宋体" w:hint="default"/>
          <w:spacing w:val="-45"/>
        </w:rPr>
        <w:t> </w:t>
      </w:r>
      <w:r>
        <w:rPr/>
        <w:t>年</w:t>
      </w:r>
      <w:r>
        <w:rPr>
          <w:spacing w:val="-44"/>
        </w:rPr>
        <w:t> </w:t>
      </w:r>
      <w:r>
        <w:rPr>
          <w:rFonts w:ascii="宋体" w:hAnsi="宋体" w:cs="宋体" w:eastAsia="宋体" w:hint="default"/>
        </w:rPr>
        <w:t>5</w:t>
      </w:r>
      <w:r>
        <w:rPr>
          <w:rFonts w:ascii="宋体" w:hAnsi="宋体" w:cs="宋体" w:eastAsia="宋体" w:hint="default"/>
          <w:spacing w:val="-44"/>
        </w:rPr>
        <w:t> </w:t>
      </w:r>
      <w:r>
        <w:rPr/>
        <w:t>月</w:t>
      </w:r>
      <w:r>
        <w:rPr>
          <w:spacing w:val="-45"/>
        </w:rPr>
        <w:t> </w:t>
      </w:r>
      <w:r>
        <w:rPr>
          <w:rFonts w:ascii="宋体" w:hAnsi="宋体" w:cs="宋体" w:eastAsia="宋体" w:hint="default"/>
        </w:rPr>
        <w:t>17</w:t>
      </w:r>
      <w:r>
        <w:rPr>
          <w:rFonts w:ascii="宋体" w:hAnsi="宋体" w:cs="宋体" w:eastAsia="宋体" w:hint="default"/>
          <w:spacing w:val="-45"/>
        </w:rPr>
        <w:t> </w:t>
      </w:r>
      <w:r>
        <w:rPr>
          <w:spacing w:val="-3"/>
        </w:rPr>
        <w:t>日审议通过了《关于向激励对象首次授予限制性股票的决议》，董事会</w:t>
      </w:r>
    </w:p>
    <w:p>
      <w:pPr>
        <w:spacing w:line="240" w:lineRule="auto" w:before="11"/>
        <w:rPr>
          <w:rFonts w:ascii="宋体" w:hAnsi="宋体" w:cs="宋体" w:eastAsia="宋体" w:hint="default"/>
          <w:sz w:val="17"/>
          <w:szCs w:val="17"/>
        </w:rPr>
      </w:pPr>
    </w:p>
    <w:p>
      <w:pPr>
        <w:pStyle w:val="BodyText"/>
        <w:spacing w:line="516" w:lineRule="auto"/>
        <w:ind w:left="1493" w:right="2032" w:hanging="360"/>
        <w:jc w:val="left"/>
      </w:pPr>
      <w:r>
        <w:rPr/>
        <w:pict>
          <v:shape style="position:absolute;margin-left:55.860001pt;margin-top:46.331726pt;width:484.05pt;height:174.6pt;mso-position-horizontal-relative:page;mso-position-vertical-relative:paragraph;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29"/>
                    <w:gridCol w:w="6055"/>
                    <w:gridCol w:w="1375"/>
                  </w:tblGrid>
                  <w:tr>
                    <w:trPr>
                      <w:trHeight w:val="511" w:hRule="exact"/>
                    </w:trPr>
                    <w:tc>
                      <w:tcPr>
                        <w:tcW w:w="222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解除限售安排</w:t>
                        </w:r>
                      </w:p>
                    </w:tc>
                    <w:tc>
                      <w:tcPr>
                        <w:tcW w:w="605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8"/>
                          <w:ind w:right="1"/>
                          <w:jc w:val="center"/>
                          <w:rPr>
                            <w:rFonts w:ascii="宋体" w:hAnsi="宋体" w:cs="宋体" w:eastAsia="宋体" w:hint="default"/>
                            <w:sz w:val="18"/>
                            <w:szCs w:val="18"/>
                          </w:rPr>
                        </w:pPr>
                        <w:r>
                          <w:rPr>
                            <w:rFonts w:ascii="宋体" w:hAnsi="宋体" w:cs="宋体" w:eastAsia="宋体" w:hint="default"/>
                            <w:sz w:val="18"/>
                            <w:szCs w:val="18"/>
                          </w:rPr>
                          <w:t>解除限售时间</w:t>
                        </w:r>
                      </w:p>
                    </w:tc>
                    <w:tc>
                      <w:tcPr>
                        <w:tcW w:w="13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解除限售比例</w:t>
                        </w:r>
                      </w:p>
                    </w:tc>
                  </w:tr>
                  <w:tr>
                    <w:trPr>
                      <w:trHeight w:val="985" w:hRule="exact"/>
                    </w:trPr>
                    <w:tc>
                      <w:tcPr>
                        <w:tcW w:w="22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第一个解除限售期</w:t>
                        </w:r>
                      </w:p>
                    </w:tc>
                    <w:tc>
                      <w:tcPr>
                        <w:tcW w:w="6055" w:type="dxa"/>
                        <w:tcBorders>
                          <w:top w:val="single" w:sz="12" w:space="0" w:color="000000"/>
                          <w:left w:val="single" w:sz="6" w:space="0" w:color="000000"/>
                          <w:bottom w:val="single" w:sz="12" w:space="0" w:color="000000"/>
                          <w:right w:val="single" w:sz="6" w:space="0" w:color="000000"/>
                        </w:tcBorders>
                      </w:tcPr>
                      <w:p>
                        <w:pPr>
                          <w:pStyle w:val="TableParagraph"/>
                          <w:spacing w:line="451" w:lineRule="auto" w:before="98"/>
                          <w:ind w:left="2" w:right="95"/>
                          <w:jc w:val="left"/>
                          <w:rPr>
                            <w:rFonts w:ascii="宋体" w:hAnsi="宋体" w:cs="宋体" w:eastAsia="宋体" w:hint="default"/>
                            <w:sz w:val="18"/>
                            <w:szCs w:val="18"/>
                          </w:rPr>
                        </w:pPr>
                        <w:r>
                          <w:rPr>
                            <w:rFonts w:ascii="宋体" w:hAnsi="宋体" w:cs="宋体" w:eastAsia="宋体" w:hint="default"/>
                            <w:sz w:val="18"/>
                            <w:szCs w:val="18"/>
                          </w:rPr>
                          <w:t>自首次授予日起</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个月后的首个交易日起至首次授予日起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个月内的最后一 个交易日当日止</w:t>
                        </w:r>
                      </w:p>
                    </w:tc>
                    <w:tc>
                      <w:tcPr>
                        <w:tcW w:w="13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1"/>
                          <w:jc w:val="center"/>
                          <w:rPr>
                            <w:rFonts w:ascii="Times New Roman" w:hAnsi="Times New Roman" w:cs="Times New Roman" w:eastAsia="Times New Roman" w:hint="default"/>
                            <w:sz w:val="18"/>
                            <w:szCs w:val="18"/>
                          </w:rPr>
                        </w:pPr>
                        <w:r>
                          <w:rPr>
                            <w:rFonts w:ascii="Times New Roman"/>
                            <w:sz w:val="18"/>
                          </w:rPr>
                          <w:t>20%</w:t>
                        </w:r>
                      </w:p>
                    </w:tc>
                  </w:tr>
                  <w:tr>
                    <w:trPr>
                      <w:trHeight w:val="986" w:hRule="exact"/>
                    </w:trPr>
                    <w:tc>
                      <w:tcPr>
                        <w:tcW w:w="22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第二个解除限售期</w:t>
                        </w:r>
                      </w:p>
                    </w:tc>
                    <w:tc>
                      <w:tcPr>
                        <w:tcW w:w="6055" w:type="dxa"/>
                        <w:tcBorders>
                          <w:top w:val="single" w:sz="12" w:space="0" w:color="000000"/>
                          <w:left w:val="single" w:sz="6" w:space="0" w:color="000000"/>
                          <w:bottom w:val="single" w:sz="12" w:space="0" w:color="000000"/>
                          <w:right w:val="single" w:sz="6" w:space="0" w:color="000000"/>
                        </w:tcBorders>
                      </w:tcPr>
                      <w:p>
                        <w:pPr>
                          <w:pStyle w:val="TableParagraph"/>
                          <w:spacing w:line="451" w:lineRule="auto" w:before="99"/>
                          <w:ind w:left="2" w:right="95"/>
                          <w:jc w:val="left"/>
                          <w:rPr>
                            <w:rFonts w:ascii="宋体" w:hAnsi="宋体" w:cs="宋体" w:eastAsia="宋体" w:hint="default"/>
                            <w:sz w:val="18"/>
                            <w:szCs w:val="18"/>
                          </w:rPr>
                        </w:pPr>
                        <w:r>
                          <w:rPr>
                            <w:rFonts w:ascii="宋体" w:hAnsi="宋体" w:cs="宋体" w:eastAsia="宋体" w:hint="default"/>
                            <w:sz w:val="18"/>
                            <w:szCs w:val="18"/>
                          </w:rPr>
                          <w:t>自首次授予日起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个月后的首个交易日起至首次授予日起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个月内的最后一 个交易日当日止</w:t>
                        </w:r>
                      </w:p>
                    </w:tc>
                    <w:tc>
                      <w:tcPr>
                        <w:tcW w:w="13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center"/>
                          <w:rPr>
                            <w:rFonts w:ascii="Times New Roman" w:hAnsi="Times New Roman" w:cs="Times New Roman" w:eastAsia="Times New Roman" w:hint="default"/>
                            <w:sz w:val="18"/>
                            <w:szCs w:val="18"/>
                          </w:rPr>
                        </w:pPr>
                        <w:r>
                          <w:rPr>
                            <w:rFonts w:ascii="Times New Roman"/>
                            <w:sz w:val="18"/>
                          </w:rPr>
                          <w:t>40%</w:t>
                        </w:r>
                      </w:p>
                    </w:tc>
                  </w:tr>
                  <w:tr>
                    <w:trPr>
                      <w:trHeight w:val="986" w:hRule="exact"/>
                    </w:trPr>
                    <w:tc>
                      <w:tcPr>
                        <w:tcW w:w="22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第三个解除限售期</w:t>
                        </w:r>
                      </w:p>
                    </w:tc>
                    <w:tc>
                      <w:tcPr>
                        <w:tcW w:w="6055" w:type="dxa"/>
                        <w:tcBorders>
                          <w:top w:val="single" w:sz="12" w:space="0" w:color="000000"/>
                          <w:left w:val="single" w:sz="6" w:space="0" w:color="000000"/>
                          <w:bottom w:val="single" w:sz="12" w:space="0" w:color="000000"/>
                          <w:right w:val="single" w:sz="6" w:space="0" w:color="000000"/>
                        </w:tcBorders>
                      </w:tcPr>
                      <w:p>
                        <w:pPr>
                          <w:pStyle w:val="TableParagraph"/>
                          <w:spacing w:line="451" w:lineRule="auto" w:before="98"/>
                          <w:ind w:left="2" w:right="95"/>
                          <w:jc w:val="left"/>
                          <w:rPr>
                            <w:rFonts w:ascii="宋体" w:hAnsi="宋体" w:cs="宋体" w:eastAsia="宋体" w:hint="default"/>
                            <w:sz w:val="18"/>
                            <w:szCs w:val="18"/>
                          </w:rPr>
                        </w:pPr>
                        <w:r>
                          <w:rPr>
                            <w:rFonts w:ascii="宋体" w:hAnsi="宋体" w:cs="宋体" w:eastAsia="宋体" w:hint="default"/>
                            <w:sz w:val="18"/>
                            <w:szCs w:val="18"/>
                          </w:rPr>
                          <w:t>自首次授予日起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个月后的首个交易日起至首次授予日起</w:t>
                        </w:r>
                        <w:r>
                          <w:rPr>
                            <w:rFonts w:ascii="Times New Roman" w:hAnsi="Times New Roman" w:cs="Times New Roman" w:eastAsia="Times New Roman" w:hint="default"/>
                            <w:sz w:val="18"/>
                            <w:szCs w:val="18"/>
                          </w:rPr>
                          <w:t>48</w:t>
                        </w:r>
                        <w:r>
                          <w:rPr>
                            <w:rFonts w:ascii="宋体" w:hAnsi="宋体" w:cs="宋体" w:eastAsia="宋体" w:hint="default"/>
                            <w:sz w:val="18"/>
                            <w:szCs w:val="18"/>
                          </w:rPr>
                          <w:t>个月内的最后一 个交易日当日止</w:t>
                        </w:r>
                      </w:p>
                    </w:tc>
                    <w:tc>
                      <w:tcPr>
                        <w:tcW w:w="13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1"/>
                          <w:jc w:val="center"/>
                          <w:rPr>
                            <w:rFonts w:ascii="Times New Roman" w:hAnsi="Times New Roman" w:cs="Times New Roman" w:eastAsia="Times New Roman" w:hint="default"/>
                            <w:sz w:val="18"/>
                            <w:szCs w:val="18"/>
                          </w:rPr>
                        </w:pPr>
                        <w:r>
                          <w:rPr>
                            <w:rFonts w:ascii="Times New Roman"/>
                            <w:sz w:val="18"/>
                          </w:rPr>
                          <w:t>40%</w:t>
                        </w:r>
                      </w:p>
                    </w:tc>
                  </w:tr>
                </w:tbl>
                <w:p>
                  <w:pPr/>
                </w:p>
              </w:txbxContent>
            </v:textbox>
            <w10:wrap type="none"/>
          </v:shape>
        </w:pict>
      </w:r>
      <w:r>
        <w:rPr/>
        <w:t>同意授予</w:t>
      </w:r>
      <w:r>
        <w:rPr>
          <w:spacing w:val="-46"/>
        </w:rPr>
        <w:t> </w:t>
      </w:r>
      <w:r>
        <w:rPr>
          <w:rFonts w:ascii="宋体" w:hAnsi="宋体" w:cs="宋体" w:eastAsia="宋体" w:hint="default"/>
        </w:rPr>
        <w:t>88</w:t>
      </w:r>
      <w:r>
        <w:rPr>
          <w:rFonts w:ascii="宋体" w:hAnsi="宋体" w:cs="宋体" w:eastAsia="宋体" w:hint="default"/>
          <w:spacing w:val="-46"/>
        </w:rPr>
        <w:t> </w:t>
      </w:r>
      <w:r>
        <w:rPr/>
        <w:t>名激励对象</w:t>
      </w:r>
      <w:r>
        <w:rPr>
          <w:spacing w:val="-46"/>
        </w:rPr>
        <w:t> </w:t>
      </w:r>
      <w:r>
        <w:rPr>
          <w:rFonts w:ascii="宋体" w:hAnsi="宋体" w:cs="宋体" w:eastAsia="宋体" w:hint="default"/>
        </w:rPr>
        <w:t>282.96</w:t>
      </w:r>
      <w:r>
        <w:rPr>
          <w:rFonts w:ascii="宋体" w:hAnsi="宋体" w:cs="宋体" w:eastAsia="宋体" w:hint="default"/>
          <w:spacing w:val="-46"/>
        </w:rPr>
        <w:t> </w:t>
      </w:r>
      <w:r>
        <w:rPr/>
        <w:t>万股限制性股票，限制性股票的授予日为</w:t>
      </w:r>
      <w:r>
        <w:rPr>
          <w:spacing w:val="-46"/>
        </w:rPr>
        <w:t> </w:t>
      </w:r>
      <w:r>
        <w:rPr>
          <w:rFonts w:ascii="宋体" w:hAnsi="宋体" w:cs="宋体" w:eastAsia="宋体" w:hint="default"/>
        </w:rPr>
        <w:t>2017</w:t>
      </w:r>
      <w:r>
        <w:rPr>
          <w:rFonts w:ascii="宋体" w:hAnsi="宋体" w:cs="宋体" w:eastAsia="宋体" w:hint="default"/>
          <w:spacing w:val="-46"/>
        </w:rPr>
        <w:t> </w:t>
      </w:r>
      <w:r>
        <w:rPr/>
        <w:t>年</w:t>
      </w:r>
      <w:r>
        <w:rPr>
          <w:spacing w:val="-46"/>
        </w:rPr>
        <w:t> </w:t>
      </w:r>
      <w:r>
        <w:rPr>
          <w:rFonts w:ascii="宋体" w:hAnsi="宋体" w:cs="宋体" w:eastAsia="宋体" w:hint="default"/>
        </w:rPr>
        <w:t>5</w:t>
      </w:r>
      <w:r>
        <w:rPr>
          <w:rFonts w:ascii="宋体" w:hAnsi="宋体" w:cs="宋体" w:eastAsia="宋体" w:hint="default"/>
          <w:spacing w:val="-45"/>
        </w:rPr>
        <w:t> </w:t>
      </w:r>
      <w:r>
        <w:rPr/>
        <w:t>月</w:t>
      </w:r>
      <w:r>
        <w:rPr>
          <w:spacing w:val="-46"/>
        </w:rPr>
        <w:t> </w:t>
      </w:r>
      <w:r>
        <w:rPr>
          <w:rFonts w:ascii="宋体" w:hAnsi="宋体" w:cs="宋体" w:eastAsia="宋体" w:hint="default"/>
        </w:rPr>
        <w:t>17</w:t>
      </w:r>
      <w:r>
        <w:rPr>
          <w:rFonts w:ascii="宋体" w:hAnsi="宋体" w:cs="宋体" w:eastAsia="宋体" w:hint="default"/>
          <w:spacing w:val="-44"/>
        </w:rPr>
        <w:t> </w:t>
      </w:r>
      <w:r>
        <w:rPr/>
        <w:t>日，价格为</w:t>
      </w:r>
      <w:r>
        <w:rPr>
          <w:spacing w:val="-46"/>
        </w:rPr>
        <w:t> </w:t>
      </w:r>
      <w:r>
        <w:rPr>
          <w:rFonts w:ascii="宋体" w:hAnsi="宋体" w:cs="宋体" w:eastAsia="宋体" w:hint="default"/>
        </w:rPr>
        <w:t>17.6</w:t>
      </w:r>
      <w:r>
        <w:rPr>
          <w:rFonts w:ascii="宋体" w:hAnsi="宋体" w:cs="宋体" w:eastAsia="宋体" w:hint="default"/>
          <w:spacing w:val="-46"/>
        </w:rPr>
        <w:t> </w:t>
      </w:r>
      <w:r>
        <w:rPr/>
        <w:t>元。 本激励计划首次授予的限制性股票的解除限售期及各期解除限售时间安排如下表所示：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BodyText"/>
        <w:spacing w:line="451" w:lineRule="auto" w:before="44"/>
        <w:ind w:left="1134" w:right="1131" w:firstLine="578"/>
        <w:jc w:val="both"/>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31</w:t>
      </w:r>
      <w:r>
        <w:rPr>
          <w:spacing w:val="-1"/>
        </w:rPr>
        <w:t>日，立信会计师事务所（特殊普通合伙）就公司新增注册资本的实收情况出具了《深圳市今天国际物流</w:t>
      </w:r>
      <w:r>
        <w:rPr/>
        <w:t> </w:t>
      </w:r>
      <w:r>
        <w:rPr>
          <w:spacing w:val="-2"/>
        </w:rPr>
        <w:t>技术股份有限公司验资报告》（信会师报字【</w:t>
      </w:r>
      <w:r>
        <w:rPr>
          <w:rFonts w:ascii="Times New Roman" w:hAnsi="Times New Roman" w:cs="Times New Roman" w:eastAsia="Times New Roman" w:hint="default"/>
          <w:spacing w:val="-2"/>
        </w:rPr>
        <w:t>2017</w:t>
      </w:r>
      <w:r>
        <w:rPr>
          <w:spacing w:val="-2"/>
        </w:rPr>
        <w:t>】第</w:t>
      </w:r>
      <w:r>
        <w:rPr>
          <w:rFonts w:ascii="Times New Roman" w:hAnsi="Times New Roman" w:cs="Times New Roman" w:eastAsia="Times New Roman" w:hint="default"/>
          <w:spacing w:val="-2"/>
        </w:rPr>
        <w:t>ZI10603</w:t>
      </w:r>
      <w:r>
        <w:rPr>
          <w:spacing w:val="-2"/>
        </w:rPr>
        <w:t>号）。根据该验资报告，截至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27</w:t>
      </w:r>
      <w:r>
        <w:rPr>
          <w:spacing w:val="-2"/>
        </w:rPr>
        <w:t>日止，公司实际收</w:t>
      </w:r>
      <w:r>
        <w:rPr>
          <w:spacing w:val="-44"/>
        </w:rPr>
        <w:t> </w:t>
      </w:r>
      <w:r>
        <w:rPr>
          <w:spacing w:val="-44"/>
        </w:rPr>
      </w:r>
      <w:r>
        <w:rPr/>
        <w:t>到</w:t>
      </w:r>
      <w:r>
        <w:rPr>
          <w:rFonts w:ascii="Times New Roman" w:hAnsi="Times New Roman" w:cs="Times New Roman" w:eastAsia="Times New Roman" w:hint="default"/>
        </w:rPr>
        <w:t>88</w:t>
      </w:r>
      <w:r>
        <w:rPr/>
        <w:t>名股权激励对象认购</w:t>
      </w:r>
      <w:r>
        <w:rPr>
          <w:rFonts w:ascii="Times New Roman" w:hAnsi="Times New Roman" w:cs="Times New Roman" w:eastAsia="Times New Roman" w:hint="default"/>
        </w:rPr>
        <w:t>2,829,600</w:t>
      </w:r>
      <w:r>
        <w:rPr/>
        <w:t>股缴纳的人民币</w:t>
      </w:r>
      <w:r>
        <w:rPr>
          <w:rFonts w:ascii="Times New Roman" w:hAnsi="Times New Roman" w:cs="Times New Roman" w:eastAsia="Times New Roman" w:hint="default"/>
        </w:rPr>
        <w:t>49,800,960</w:t>
      </w:r>
      <w:r>
        <w:rPr/>
        <w:t>元，其中新增注册资本（股本）合计人民币</w:t>
      </w:r>
      <w:r>
        <w:rPr>
          <w:rFonts w:ascii="Times New Roman" w:hAnsi="Times New Roman" w:cs="Times New Roman" w:eastAsia="Times New Roman" w:hint="default"/>
        </w:rPr>
        <w:t>2,829,600</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2、以权益结算的股份支付情况" w:id="343"/>
      <w:bookmarkEnd w:id="343"/>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股票市价</w:t>
            </w:r>
          </w:p>
        </w:tc>
      </w:tr>
      <w:tr>
        <w:trPr>
          <w:trHeight w:val="714"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51"/>
              <w:jc w:val="left"/>
              <w:rPr>
                <w:rFonts w:ascii="宋体" w:hAnsi="宋体" w:cs="宋体" w:eastAsia="宋体" w:hint="default"/>
                <w:sz w:val="18"/>
                <w:szCs w:val="18"/>
              </w:rPr>
            </w:pPr>
            <w:r>
              <w:rPr>
                <w:rFonts w:ascii="宋体" w:hAnsi="宋体" w:cs="宋体" w:eastAsia="宋体" w:hint="default"/>
                <w:sz w:val="18"/>
                <w:szCs w:val="18"/>
              </w:rPr>
              <w:t>公司根据在职激励对象对应的权益工具、以及对未来年度 公司业绩的预测进行确定</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9,450,864.00</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9,450,864.00</w:t>
            </w:r>
          </w:p>
        </w:tc>
      </w:tr>
    </w:tbl>
    <w:p>
      <w:pPr>
        <w:spacing w:line="240" w:lineRule="auto" w:before="6"/>
        <w:rPr>
          <w:rFonts w:ascii="宋体" w:hAnsi="宋体" w:cs="宋体" w:eastAsia="宋体" w:hint="default"/>
          <w:sz w:val="20"/>
          <w:szCs w:val="20"/>
        </w:rPr>
      </w:pPr>
    </w:p>
    <w:p>
      <w:pPr>
        <w:pStyle w:val="Heading4"/>
        <w:spacing w:line="240" w:lineRule="auto" w:before="44"/>
        <w:ind w:right="0"/>
        <w:jc w:val="left"/>
        <w:rPr>
          <w:b w:val="0"/>
          <w:bCs w:val="0"/>
        </w:rPr>
      </w:pPr>
      <w:bookmarkStart w:name="十三、承诺及或有事项" w:id="344"/>
      <w:bookmarkEnd w:id="344"/>
      <w:r>
        <w:rPr>
          <w:b w:val="0"/>
          <w:bCs w:val="0"/>
        </w:rPr>
      </w:r>
      <w:r>
        <w:rPr/>
        <w:t>十三、承诺及或有事项</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42"/>
        <w:ind w:left="1133" w:right="0"/>
        <w:jc w:val="left"/>
        <w:rPr>
          <w:b w:val="0"/>
          <w:bCs w:val="0"/>
        </w:rPr>
      </w:pPr>
      <w:bookmarkStart w:name="1、或有事项" w:id="345"/>
      <w:bookmarkEnd w:id="345"/>
      <w:r>
        <w:rPr>
          <w:b w:val="0"/>
          <w:bCs w:val="0"/>
        </w:rPr>
      </w:r>
      <w:r>
        <w:rPr>
          <w:rFonts w:ascii="Times New Roman" w:hAnsi="Times New Roman" w:cs="Times New Roman" w:eastAsia="Times New Roman" w:hint="default"/>
        </w:rPr>
        <w:t>1</w:t>
      </w:r>
      <w:r>
        <w:rPr/>
        <w:t>、或有事项</w:t>
      </w:r>
      <w:r>
        <w:rPr>
          <w:b w:val="0"/>
          <w:bCs w:val="0"/>
        </w:rPr>
      </w:r>
    </w:p>
    <w:p>
      <w:pPr>
        <w:spacing w:line="240" w:lineRule="auto" w:before="0"/>
        <w:rPr>
          <w:rFonts w:ascii="宋体" w:hAnsi="宋体" w:cs="宋体" w:eastAsia="宋体" w:hint="default"/>
          <w:b/>
          <w:bCs/>
          <w:sz w:val="18"/>
          <w:szCs w:val="18"/>
        </w:rPr>
      </w:pPr>
    </w:p>
    <w:p>
      <w:pPr>
        <w:spacing w:line="590" w:lineRule="auto" w:before="128"/>
        <w:ind w:left="1509" w:right="3177" w:hanging="376"/>
        <w:jc w:val="left"/>
        <w:rPr>
          <w:rFonts w:ascii="宋体" w:hAnsi="宋体" w:cs="宋体" w:eastAsia="宋体" w:hint="default"/>
          <w:sz w:val="18"/>
          <w:szCs w:val="18"/>
        </w:rPr>
      </w:pPr>
      <w:bookmarkStart w:name="（1）资产负债表日存在的重要或有事项" w:id="346"/>
      <w:bookmarkEnd w:id="346"/>
      <w:r>
        <w:rPr/>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）资产负债表日存在的重要或有事项</w:t>
      </w:r>
      <w:r>
        <w:rPr>
          <w:rFonts w:ascii="宋体" w:hAnsi="宋体" w:cs="宋体" w:eastAsia="宋体" w:hint="default"/>
          <w:b/>
          <w:bCs/>
          <w:w w:val="99"/>
          <w:sz w:val="18"/>
          <w:szCs w:val="18"/>
        </w:rPr>
        <w:t> </w:t>
      </w:r>
      <w:r>
        <w:rPr>
          <w:rFonts w:ascii="宋体" w:hAnsi="宋体" w:cs="宋体" w:eastAsia="宋体" w:hint="default"/>
          <w:sz w:val="18"/>
          <w:szCs w:val="18"/>
        </w:rPr>
        <w:t>截止</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日，本公司无对正常生产、经营活动有重大影响需特别披露的或有事项。</w:t>
      </w:r>
    </w:p>
    <w:p>
      <w:pPr>
        <w:spacing w:line="590" w:lineRule="auto" w:before="73"/>
        <w:ind w:left="1509" w:right="5950" w:hanging="376"/>
        <w:jc w:val="left"/>
        <w:rPr>
          <w:rFonts w:ascii="宋体" w:hAnsi="宋体" w:cs="宋体" w:eastAsia="宋体" w:hint="default"/>
          <w:sz w:val="18"/>
          <w:szCs w:val="18"/>
        </w:rPr>
      </w:pPr>
      <w:bookmarkStart w:name="（2）公司没有需要披露的重要或有事项，也应予以说明" w:id="347"/>
      <w:bookmarkEnd w:id="347"/>
      <w:r>
        <w:rPr/>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）公司没有需要披露的重要或有事项，也应予以说明</w:t>
      </w:r>
      <w:r>
        <w:rPr>
          <w:rFonts w:ascii="宋体" w:hAnsi="宋体" w:cs="宋体" w:eastAsia="宋体" w:hint="default"/>
          <w:b/>
          <w:bCs/>
          <w:w w:val="99"/>
          <w:sz w:val="18"/>
          <w:szCs w:val="18"/>
        </w:rPr>
        <w:t> </w:t>
      </w:r>
      <w:r>
        <w:rPr>
          <w:rFonts w:ascii="宋体" w:hAnsi="宋体" w:cs="宋体" w:eastAsia="宋体" w:hint="default"/>
          <w:sz w:val="18"/>
          <w:szCs w:val="18"/>
        </w:rPr>
        <w:t>公司不存在需要披露的重要或有事项。</w:t>
      </w:r>
    </w:p>
    <w:p>
      <w:pPr>
        <w:pStyle w:val="Heading4"/>
        <w:spacing w:line="240" w:lineRule="auto" w:before="115"/>
        <w:ind w:left="1133" w:right="0"/>
        <w:jc w:val="left"/>
        <w:rPr>
          <w:b w:val="0"/>
          <w:bCs w:val="0"/>
        </w:rPr>
      </w:pPr>
      <w:bookmarkStart w:name="十四、其他重要事项" w:id="348"/>
      <w:bookmarkEnd w:id="348"/>
      <w:r>
        <w:rPr>
          <w:b w:val="0"/>
          <w:bCs w:val="0"/>
        </w:rPr>
      </w:r>
      <w:r>
        <w:rPr/>
        <w:t>十四、其他重要事项</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42"/>
        <w:ind w:left="1133" w:right="0"/>
        <w:jc w:val="left"/>
        <w:rPr>
          <w:b w:val="0"/>
          <w:bCs w:val="0"/>
        </w:rPr>
      </w:pPr>
      <w:bookmarkStart w:name="1、其他对投资者决策有影响的重要交易和事项" w:id="349"/>
      <w:bookmarkEnd w:id="349"/>
      <w:r>
        <w:rPr>
          <w:b w:val="0"/>
          <w:bCs w:val="0"/>
        </w:rPr>
      </w:r>
      <w:r>
        <w:rPr>
          <w:rFonts w:ascii="Times New Roman" w:hAnsi="Times New Roman" w:cs="Times New Roman" w:eastAsia="Times New Roman" w:hint="default"/>
        </w:rPr>
        <w:t>1</w:t>
      </w:r>
      <w:r>
        <w:rPr/>
        <w:t>、其他对投资者决策有影响的重要交易和事项</w:t>
      </w:r>
      <w:r>
        <w:rPr>
          <w:b w:val="0"/>
          <w:bCs w:val="0"/>
        </w:rPr>
      </w:r>
    </w:p>
    <w:p>
      <w:pPr>
        <w:spacing w:line="240" w:lineRule="auto" w:before="0"/>
        <w:rPr>
          <w:rFonts w:ascii="宋体" w:hAnsi="宋体" w:cs="宋体" w:eastAsia="宋体" w:hint="default"/>
          <w:b/>
          <w:bCs/>
          <w:sz w:val="18"/>
          <w:szCs w:val="18"/>
        </w:rPr>
      </w:pPr>
    </w:p>
    <w:p>
      <w:pPr>
        <w:spacing w:line="607" w:lineRule="auto" w:before="128"/>
        <w:ind w:left="1133" w:right="786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bookmarkStart w:name="十五、母公司财务报表主要项目注释" w:id="350"/>
      <w:bookmarkEnd w:id="350"/>
      <w:r>
        <w:rPr>
          <w:rFonts w:ascii="宋体" w:hAnsi="宋体" w:cs="宋体" w:eastAsia="宋体" w:hint="default"/>
          <w:sz w:val="18"/>
          <w:szCs w:val="18"/>
        </w:rPr>
      </w:r>
      <w:r>
        <w:rPr>
          <w:rFonts w:ascii="宋体" w:hAnsi="宋体" w:cs="宋体" w:eastAsia="宋体" w:hint="default"/>
          <w:b/>
          <w:bCs/>
          <w:sz w:val="18"/>
          <w:szCs w:val="18"/>
        </w:rPr>
        <w:t>十五、母公司财务报表主要项目注释</w:t>
      </w:r>
      <w:r>
        <w:rPr>
          <w:rFonts w:ascii="宋体" w:hAnsi="宋体" w:cs="宋体" w:eastAsia="宋体" w:hint="default"/>
          <w:b/>
          <w:bCs/>
          <w:w w:val="99"/>
          <w:sz w:val="18"/>
          <w:szCs w:val="18"/>
        </w:rPr>
        <w:t> </w:t>
      </w:r>
      <w:bookmarkStart w:name="1、应收账款" w:id="351"/>
      <w:bookmarkEnd w:id="351"/>
      <w:r>
        <w:rPr>
          <w:rFonts w:ascii="宋体" w:hAnsi="宋体" w:cs="宋体" w:eastAsia="宋体" w:hint="default"/>
          <w:b/>
          <w:bCs/>
          <w:w w:val="99"/>
          <w:sz w:val="18"/>
          <w:szCs w:val="18"/>
        </w:rPr>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、应收账款</w:t>
      </w:r>
      <w:r>
        <w:rPr>
          <w:rFonts w:ascii="宋体" w:hAnsi="宋体" w:cs="宋体" w:eastAsia="宋体" w:hint="default"/>
          <w:sz w:val="18"/>
          <w:szCs w:val="18"/>
        </w:rPr>
      </w:r>
    </w:p>
    <w:p>
      <w:pPr>
        <w:pStyle w:val="Heading4"/>
        <w:spacing w:line="240" w:lineRule="auto" w:before="59"/>
        <w:ind w:right="0"/>
        <w:jc w:val="left"/>
        <w:rPr>
          <w:b w:val="0"/>
          <w:bCs w:val="0"/>
        </w:rPr>
      </w:pPr>
      <w:bookmarkStart w:name="（1）应收账款分类披露" w:id="352"/>
      <w:bookmarkEnd w:id="352"/>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3"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486,483,</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745.70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31,685,0</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06.36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6.51%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454,798,7</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39.34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416,897</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,900.08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29,049,46</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8.01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6.97%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387,848,43</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2.07</w:t>
            </w:r>
          </w:p>
        </w:tc>
      </w:tr>
      <w:tr>
        <w:trPr>
          <w:trHeight w:val="162"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69" w:right="0"/>
              <w:jc w:val="center"/>
              <w:rPr>
                <w:rFonts w:ascii="Times New Roman" w:hAnsi="Times New Roman" w:cs="Times New Roman" w:eastAsia="Times New Roman" w:hint="default"/>
                <w:sz w:val="18"/>
                <w:szCs w:val="18"/>
              </w:rPr>
            </w:pPr>
            <w:r>
              <w:rPr>
                <w:rFonts w:ascii="Times New Roman"/>
                <w:sz w:val="18"/>
              </w:rPr>
              <w:t>486,483,</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745.70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31,685,0</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06.36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6.51%</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454,798,7</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39.34</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35" w:right="0"/>
              <w:jc w:val="left"/>
              <w:rPr>
                <w:rFonts w:ascii="Times New Roman" w:hAnsi="Times New Roman" w:cs="Times New Roman" w:eastAsia="Times New Roman" w:hint="default"/>
                <w:sz w:val="18"/>
                <w:szCs w:val="18"/>
              </w:rPr>
            </w:pPr>
            <w:r>
              <w:rPr>
                <w:rFonts w:ascii="Times New Roman"/>
                <w:sz w:val="18"/>
              </w:rPr>
              <w:t>416,897</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,900.08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left="60" w:right="0"/>
              <w:jc w:val="left"/>
              <w:rPr>
                <w:rFonts w:ascii="Times New Roman" w:hAnsi="Times New Roman" w:cs="Times New Roman" w:eastAsia="Times New Roman" w:hint="default"/>
                <w:sz w:val="18"/>
                <w:szCs w:val="18"/>
              </w:rPr>
            </w:pPr>
            <w:r>
              <w:rPr>
                <w:rFonts w:ascii="Times New Roman"/>
                <w:sz w:val="18"/>
              </w:rPr>
              <w:t>29,049,46</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8.01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6.97%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387,848,43</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2.07</w:t>
            </w:r>
          </w:p>
        </w:tc>
      </w:tr>
      <w:tr>
        <w:trPr>
          <w:trHeight w:val="391"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期末单项金额重大并单项计提坏账准备的应收账款：</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79" w:top="1060" w:bottom="1160" w:left="0" w:right="0"/>
        </w:sectPr>
      </w:pPr>
    </w:p>
    <w:p>
      <w:pPr>
        <w:pStyle w:val="BodyText"/>
        <w:spacing w:line="338"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113" w:right="1112"/>
        <w:jc w:val="center"/>
      </w:pPr>
      <w:r>
        <w:rPr/>
        <w:t>单位： 元</w:t>
      </w:r>
    </w:p>
    <w:p>
      <w:pPr>
        <w:spacing w:after="0" w:line="240" w:lineRule="auto"/>
        <w:jc w:val="center"/>
        <w:sectPr>
          <w:type w:val="continuous"/>
          <w:pgSz w:w="11910" w:h="16840"/>
          <w:pgMar w:top="1060" w:bottom="1160" w:left="0" w:right="0"/>
          <w:cols w:num="2" w:equalWidth="0">
            <w:col w:w="5095" w:space="3735"/>
            <w:col w:w="3080"/>
          </w:cols>
        </w:sectPr>
      </w:pP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476"/>
        <w:gridCol w:w="2301"/>
        <w:gridCol w:w="2391"/>
        <w:gridCol w:w="2390"/>
      </w:tblGrid>
      <w:tr>
        <w:trPr>
          <w:trHeight w:val="206"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452,258,073.26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22,612,903.67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8,470,349.90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847,034.99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24,566,821.98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7,370,046.59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348,256.15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174,128.08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796,756.90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637,405.52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43,487.51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43,487.51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486,483,745.70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31,685,006.36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6.51%</w:t>
            </w:r>
          </w:p>
        </w:tc>
      </w:tr>
    </w:tbl>
    <w:p>
      <w:pPr>
        <w:pStyle w:val="BodyText"/>
        <w:spacing w:line="240" w:lineRule="auto" w:before="51"/>
        <w:ind w:left="1134" w:right="0"/>
        <w:jc w:val="left"/>
      </w:pPr>
      <w:r>
        <w:rPr/>
        <w:t>组合中，采用余额百分比法计提坏账准备的应收账款：</w:t>
      </w:r>
    </w:p>
    <w:p>
      <w:pPr>
        <w:pStyle w:val="BodyText"/>
        <w:spacing w:line="348" w:lineRule="auto" w:before="11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 不适用</w:t>
      </w:r>
    </w:p>
    <w:p>
      <w:pPr>
        <w:spacing w:line="240" w:lineRule="auto" w:before="9"/>
        <w:rPr>
          <w:rFonts w:ascii="宋体" w:hAnsi="宋体" w:cs="宋体" w:eastAsia="宋体" w:hint="default"/>
          <w:sz w:val="22"/>
          <w:szCs w:val="22"/>
        </w:rPr>
      </w:pPr>
    </w:p>
    <w:p>
      <w:pPr>
        <w:pStyle w:val="Heading4"/>
        <w:spacing w:line="240" w:lineRule="auto"/>
        <w:ind w:left="1133" w:right="0"/>
        <w:jc w:val="left"/>
        <w:rPr>
          <w:b w:val="0"/>
          <w:bCs w:val="0"/>
        </w:rPr>
      </w:pPr>
      <w:bookmarkStart w:name="（2）本期计提、收回或转回的坏账准备情况" w:id="353"/>
      <w:bookmarkEnd w:id="353"/>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6"/>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type w:val="continuous"/>
          <w:pgSz w:w="11910" w:h="16840"/>
          <w:pgMar w:top="1060" w:bottom="1160" w:left="0" w:right="0"/>
        </w:sectPr>
      </w:pPr>
    </w:p>
    <w:p>
      <w:pPr>
        <w:pStyle w:val="BodyText"/>
        <w:spacing w:line="338" w:lineRule="auto" w:before="44"/>
        <w:ind w:right="-12"/>
        <w:jc w:val="left"/>
      </w:pPr>
      <w:r>
        <w:rPr/>
        <w:t>本期计提坏账准备金额</w:t>
      </w:r>
      <w:r>
        <w:rPr>
          <w:spacing w:val="-47"/>
        </w:rPr>
        <w:t> </w:t>
      </w:r>
      <w:r>
        <w:rPr>
          <w:rFonts w:ascii="Times New Roman" w:hAnsi="Times New Roman" w:cs="Times New Roman" w:eastAsia="Times New Roman" w:hint="default"/>
        </w:rPr>
        <w:t>2,635,538.35</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7434" w:space="1395"/>
            <w:col w:w="3081"/>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10"/>
        <w:ind w:left="1134" w:right="0"/>
        <w:jc w:val="left"/>
      </w:pPr>
      <w:r>
        <w:rPr/>
        <w:t>不适用</w:t>
      </w:r>
    </w:p>
    <w:p>
      <w:pPr>
        <w:spacing w:line="690" w:lineRule="exact" w:before="36"/>
        <w:ind w:left="1493" w:right="1036" w:hanging="360"/>
        <w:jc w:val="left"/>
        <w:rPr>
          <w:rFonts w:ascii="宋体" w:hAnsi="宋体" w:cs="宋体" w:eastAsia="宋体" w:hint="default"/>
          <w:sz w:val="18"/>
          <w:szCs w:val="18"/>
        </w:rPr>
      </w:pPr>
      <w:bookmarkStart w:name="（3）按欠款方归集的期末余额前五名的应收账款情况" w:id="354"/>
      <w:bookmarkEnd w:id="354"/>
      <w:r>
        <w:rPr/>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）按欠款方归集的期末余额前五名的应收账款情况</w:t>
      </w:r>
      <w:r>
        <w:rPr>
          <w:rFonts w:ascii="宋体" w:hAnsi="宋体" w:cs="宋体" w:eastAsia="宋体" w:hint="default"/>
          <w:b/>
          <w:bCs/>
          <w:w w:val="99"/>
          <w:sz w:val="18"/>
          <w:szCs w:val="18"/>
        </w:rPr>
        <w:t> </w:t>
      </w:r>
      <w:r>
        <w:rPr>
          <w:rFonts w:ascii="宋体" w:hAnsi="宋体" w:cs="宋体" w:eastAsia="宋体" w:hint="default"/>
          <w:spacing w:val="-1"/>
          <w:sz w:val="18"/>
          <w:szCs w:val="18"/>
        </w:rPr>
        <w:t>按欠款方集中度归集的期末余额前五名应收账款汇总金额</w:t>
      </w:r>
      <w:r>
        <w:rPr>
          <w:rFonts w:ascii="Times New Roman" w:hAnsi="Times New Roman" w:cs="Times New Roman" w:eastAsia="Times New Roman" w:hint="default"/>
          <w:spacing w:val="-1"/>
          <w:sz w:val="18"/>
          <w:szCs w:val="18"/>
        </w:rPr>
        <w:t>252,575,253.00</w:t>
      </w:r>
      <w:r>
        <w:rPr>
          <w:rFonts w:ascii="宋体" w:hAnsi="宋体" w:cs="宋体" w:eastAsia="宋体" w:hint="default"/>
          <w:spacing w:val="-1"/>
          <w:sz w:val="18"/>
          <w:szCs w:val="18"/>
        </w:rPr>
        <w:t>元，占应收账款期末余额合计数的比例</w:t>
      </w:r>
      <w:r>
        <w:rPr>
          <w:rFonts w:ascii="Times New Roman" w:hAnsi="Times New Roman" w:cs="Times New Roman" w:eastAsia="Times New Roman" w:hint="default"/>
          <w:spacing w:val="-1"/>
          <w:sz w:val="18"/>
          <w:szCs w:val="18"/>
        </w:rPr>
        <w:t>51.92%</w:t>
      </w:r>
      <w:r>
        <w:rPr>
          <w:rFonts w:ascii="宋体" w:hAnsi="宋体" w:cs="宋体" w:eastAsia="宋体" w:hint="default"/>
          <w:spacing w:val="-1"/>
          <w:sz w:val="18"/>
          <w:szCs w:val="18"/>
        </w:rPr>
        <w:t>，</w:t>
      </w:r>
    </w:p>
    <w:p>
      <w:pPr>
        <w:pStyle w:val="BodyText"/>
        <w:spacing w:line="240" w:lineRule="auto" w:before="121"/>
        <w:ind w:right="0"/>
        <w:jc w:val="left"/>
      </w:pPr>
      <w:r>
        <w:rPr/>
        <w:t>相应计提的坏账准备期末余额汇总金额</w:t>
      </w:r>
      <w:r>
        <w:rPr>
          <w:rFonts w:ascii="Times New Roman" w:hAnsi="Times New Roman" w:cs="Times New Roman" w:eastAsia="Times New Roman" w:hint="default"/>
        </w:rPr>
        <w:t>17,936,010.65</w:t>
      </w:r>
      <w:r>
        <w:rPr/>
        <w:t>元。</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5"/>
          <w:szCs w:val="15"/>
        </w:rPr>
      </w:pPr>
    </w:p>
    <w:p>
      <w:pPr>
        <w:pStyle w:val="Heading4"/>
        <w:spacing w:line="240" w:lineRule="auto"/>
        <w:ind w:left="1133" w:right="0"/>
        <w:jc w:val="left"/>
        <w:rPr>
          <w:b w:val="0"/>
          <w:bCs w:val="0"/>
        </w:rPr>
      </w:pPr>
      <w:bookmarkStart w:name="2、其他应收款" w:id="355"/>
      <w:bookmarkEnd w:id="355"/>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30"/>
        <w:ind w:right="0"/>
        <w:jc w:val="left"/>
        <w:rPr>
          <w:b w:val="0"/>
          <w:bCs w:val="0"/>
        </w:rPr>
      </w:pPr>
      <w:bookmarkStart w:name="（1）其他应收款分类披露" w:id="356"/>
      <w:bookmarkEnd w:id="356"/>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8"/>
        <w:ind w:left="0" w:right="1130"/>
        <w:jc w:val="right"/>
      </w:pPr>
      <w:r>
        <w:rPr/>
        <w:t>单位： 元</w:t>
      </w:r>
    </w:p>
    <w:p>
      <w:pPr>
        <w:spacing w:after="0" w:line="240" w:lineRule="auto"/>
        <w:jc w:val="right"/>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20,759,7</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61.69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98.09%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964,023.</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80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19,795,73</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7.89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34,085,</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164.30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98.83%</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701,081.0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33,384,083.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26</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403,789.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403,789.</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403,789</w:t>
            </w:r>
          </w:p>
          <w:p>
            <w:pPr>
              <w:pStyle w:val="TableParagraph"/>
              <w:spacing w:line="240" w:lineRule="auto" w:before="106"/>
              <w:ind w:left="395" w:right="0"/>
              <w:jc w:val="lef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1.17%</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403,789.0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21,163,5</w:t>
            </w:r>
          </w:p>
          <w:p>
            <w:pPr>
              <w:pStyle w:val="TableParagraph"/>
              <w:spacing w:line="240" w:lineRule="auto" w:before="106"/>
              <w:ind w:left="330" w:right="0"/>
              <w:jc w:val="left"/>
              <w:rPr>
                <w:rFonts w:ascii="Times New Roman" w:hAnsi="Times New Roman" w:cs="Times New Roman" w:eastAsia="Times New Roman" w:hint="default"/>
                <w:sz w:val="18"/>
                <w:szCs w:val="18"/>
              </w:rPr>
            </w:pPr>
            <w:r>
              <w:rPr>
                <w:rFonts w:ascii="Times New Roman"/>
                <w:sz w:val="18"/>
              </w:rPr>
              <w:t>50.69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1,367,81</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2.80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6.46%</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19,795,73</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7.89</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34,488,</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953.30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1,104,870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3.20%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33,384,083.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26</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期末单项金额重大并单项计提坏账准备的其他应收款：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3"/>
        <w:ind w:left="11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455" w:space="3375"/>
            <w:col w:w="3080"/>
          </w:cols>
        </w:sectPr>
      </w:pP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482"/>
        <w:gridCol w:w="2295"/>
        <w:gridCol w:w="2391"/>
        <w:gridCol w:w="2390"/>
      </w:tblGrid>
      <w:tr>
        <w:trPr>
          <w:trHeight w:val="206"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1,394,442.96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69,722.15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178,879.27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17,887.93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138,767.32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41,630.20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110,782.67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55,391.34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566,718.97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453,375.18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326,017.00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326,017.00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2,715,608.19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964,023.80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35.50%</w:t>
            </w:r>
          </w:p>
        </w:tc>
      </w:tr>
    </w:tbl>
    <w:p>
      <w:pPr>
        <w:pStyle w:val="BodyText"/>
        <w:spacing w:line="240" w:lineRule="auto" w:before="51"/>
        <w:ind w:left="1134" w:right="0"/>
        <w:jc w:val="left"/>
      </w:pPr>
      <w:r>
        <w:rPr/>
        <w:t>组合中，采用余额百分比法计提坏账准备的其他应收款：</w:t>
      </w:r>
    </w:p>
    <w:p>
      <w:pPr>
        <w:pStyle w:val="BodyText"/>
        <w:spacing w:line="340" w:lineRule="auto" w:before="116"/>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tabs>
          <w:tab w:pos="7863" w:val="left" w:leader="none"/>
        </w:tabs>
        <w:spacing w:line="240" w:lineRule="auto" w:before="101"/>
        <w:ind w:left="1810" w:right="0"/>
        <w:jc w:val="left"/>
      </w:pPr>
      <w:r>
        <w:rPr/>
        <w:t>期末单项金额不重大但单独计提坏账准备的其他应收款</w:t>
        <w:tab/>
        <w:t>单位：元</w:t>
      </w:r>
    </w:p>
    <w:p>
      <w:pPr>
        <w:spacing w:line="240" w:lineRule="auto" w:before="0"/>
        <w:rPr>
          <w:rFonts w:ascii="宋体" w:hAnsi="宋体" w:cs="宋体" w:eastAsia="宋体" w:hint="default"/>
          <w:sz w:val="5"/>
          <w:szCs w:val="5"/>
        </w:rPr>
      </w:pPr>
    </w:p>
    <w:tbl>
      <w:tblPr>
        <w:tblW w:w="0" w:type="auto"/>
        <w:jc w:val="left"/>
        <w:tblInd w:w="1736" w:type="dxa"/>
        <w:tblLayout w:type="fixed"/>
        <w:tblCellMar>
          <w:top w:w="0" w:type="dxa"/>
          <w:left w:w="0" w:type="dxa"/>
          <w:bottom w:w="0" w:type="dxa"/>
          <w:right w:w="0" w:type="dxa"/>
        </w:tblCellMar>
        <w:tblLook w:val="01E0"/>
      </w:tblPr>
      <w:tblGrid>
        <w:gridCol w:w="1776"/>
        <w:gridCol w:w="1026"/>
        <w:gridCol w:w="1026"/>
        <w:gridCol w:w="847"/>
        <w:gridCol w:w="1026"/>
        <w:gridCol w:w="1026"/>
        <w:gridCol w:w="748"/>
        <w:gridCol w:w="1055"/>
      </w:tblGrid>
      <w:tr>
        <w:trPr>
          <w:trHeight w:val="355" w:hRule="exact"/>
        </w:trPr>
        <w:tc>
          <w:tcPr>
            <w:tcW w:w="1776" w:type="dxa"/>
            <w:vMerge w:val="restart"/>
            <w:tcBorders>
              <w:top w:val="single" w:sz="6" w:space="0" w:color="000000"/>
              <w:left w:val="single" w:sz="6" w:space="0" w:color="000000"/>
              <w:right w:val="single" w:sz="6" w:space="0" w:color="000000"/>
            </w:tcBorders>
          </w:tcPr>
          <w:p>
            <w:pPr>
              <w:pStyle w:val="TableParagraph"/>
              <w:spacing w:line="240" w:lineRule="auto" w:before="21"/>
              <w:ind w:left="25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2900" w:type="dxa"/>
            <w:gridSpan w:val="3"/>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800" w:type="dxa"/>
            <w:gridSpan w:val="3"/>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年初余额</w:t>
            </w:r>
          </w:p>
        </w:tc>
        <w:tc>
          <w:tcPr>
            <w:tcW w:w="1055" w:type="dxa"/>
            <w:vMerge w:val="restart"/>
            <w:tcBorders>
              <w:top w:val="single" w:sz="6" w:space="0" w:color="000000"/>
              <w:left w:val="single" w:sz="6" w:space="0" w:color="000000"/>
              <w:right w:val="nil" w:sz="6" w:space="0" w:color="auto"/>
            </w:tcBorders>
          </w:tcPr>
          <w:p>
            <w:pPr>
              <w:pStyle w:val="TableParagraph"/>
              <w:spacing w:line="316" w:lineRule="auto" w:before="21"/>
              <w:ind w:left="339" w:right="347"/>
              <w:jc w:val="left"/>
              <w:rPr>
                <w:rFonts w:ascii="宋体" w:hAnsi="宋体" w:cs="宋体" w:eastAsia="宋体" w:hint="default"/>
                <w:sz w:val="18"/>
                <w:szCs w:val="18"/>
              </w:rPr>
            </w:pPr>
            <w:r>
              <w:rPr>
                <w:rFonts w:ascii="宋体" w:hAnsi="宋体" w:cs="宋体" w:eastAsia="宋体" w:hint="default"/>
                <w:sz w:val="18"/>
                <w:szCs w:val="18"/>
              </w:rPr>
              <w:t>计提 理由</w:t>
            </w:r>
          </w:p>
        </w:tc>
      </w:tr>
      <w:tr>
        <w:trPr>
          <w:trHeight w:val="665" w:hRule="exact"/>
        </w:trPr>
        <w:tc>
          <w:tcPr>
            <w:tcW w:w="1776" w:type="dxa"/>
            <w:vMerge/>
            <w:tcBorders>
              <w:left w:val="single" w:sz="6" w:space="0" w:color="000000"/>
              <w:bottom w:val="single" w:sz="12" w:space="0" w:color="000000"/>
              <w:right w:val="single" w:sz="6" w:space="0" w:color="000000"/>
            </w:tcBorders>
          </w:tcPr>
          <w:p>
            <w:pPr/>
          </w:p>
        </w:tc>
        <w:tc>
          <w:tcPr>
            <w:tcW w:w="10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4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4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77"/>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4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55" w:type="dxa"/>
            <w:vMerge/>
            <w:tcBorders>
              <w:left w:val="single" w:sz="6" w:space="0" w:color="000000"/>
              <w:bottom w:val="single" w:sz="12" w:space="0" w:color="000000"/>
              <w:right w:val="nil" w:sz="6" w:space="0" w:color="auto"/>
            </w:tcBorders>
          </w:tcPr>
          <w:p>
            <w:pPr/>
          </w:p>
        </w:tc>
      </w:tr>
      <w:tr>
        <w:trPr>
          <w:trHeight w:val="976" w:hRule="exact"/>
        </w:trPr>
        <w:tc>
          <w:tcPr>
            <w:tcW w:w="177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3" w:right="137"/>
              <w:jc w:val="both"/>
              <w:rPr>
                <w:rFonts w:ascii="宋体" w:hAnsi="宋体" w:cs="宋体" w:eastAsia="宋体" w:hint="default"/>
                <w:sz w:val="18"/>
                <w:szCs w:val="18"/>
              </w:rPr>
            </w:pPr>
            <w:r>
              <w:rPr>
                <w:rFonts w:ascii="宋体" w:hAnsi="宋体" w:cs="宋体" w:eastAsia="宋体" w:hint="default"/>
                <w:sz w:val="18"/>
                <w:szCs w:val="18"/>
              </w:rPr>
              <w:t>深圳市龙岗天安数码 新城有限公司购房履 约保证金</w:t>
            </w:r>
          </w:p>
        </w:tc>
        <w:tc>
          <w:tcPr>
            <w:tcW w:w="10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199" w:right="0"/>
              <w:jc w:val="left"/>
              <w:rPr>
                <w:rFonts w:ascii="Times New Roman" w:hAnsi="Times New Roman" w:cs="Times New Roman" w:eastAsia="Times New Roman" w:hint="default"/>
                <w:sz w:val="18"/>
                <w:szCs w:val="18"/>
              </w:rPr>
            </w:pPr>
            <w:r>
              <w:rPr>
                <w:rFonts w:ascii="Times New Roman"/>
                <w:sz w:val="18"/>
              </w:rPr>
              <w:t>403,789.00</w:t>
            </w:r>
          </w:p>
        </w:tc>
        <w:tc>
          <w:tcPr>
            <w:tcW w:w="10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199" w:right="0"/>
              <w:jc w:val="left"/>
              <w:rPr>
                <w:rFonts w:ascii="Times New Roman" w:hAnsi="Times New Roman" w:cs="Times New Roman" w:eastAsia="Times New Roman" w:hint="default"/>
                <w:sz w:val="18"/>
                <w:szCs w:val="18"/>
              </w:rPr>
            </w:pPr>
            <w:r>
              <w:rPr>
                <w:rFonts w:ascii="Times New Roman"/>
                <w:sz w:val="18"/>
              </w:rPr>
              <w:t>403,789.00</w:t>
            </w:r>
          </w:p>
        </w:tc>
        <w:tc>
          <w:tcPr>
            <w:tcW w:w="8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335" w:right="0"/>
              <w:jc w:val="left"/>
              <w:rPr>
                <w:rFonts w:ascii="Times New Roman" w:hAnsi="Times New Roman" w:cs="Times New Roman" w:eastAsia="Times New Roman" w:hint="default"/>
                <w:sz w:val="18"/>
                <w:szCs w:val="18"/>
              </w:rPr>
            </w:pPr>
            <w:r>
              <w:rPr>
                <w:rFonts w:ascii="Times New Roman"/>
                <w:sz w:val="18"/>
              </w:rPr>
              <w:t>100.00</w:t>
            </w:r>
          </w:p>
        </w:tc>
        <w:tc>
          <w:tcPr>
            <w:tcW w:w="10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197" w:right="0"/>
              <w:jc w:val="left"/>
              <w:rPr>
                <w:rFonts w:ascii="Times New Roman" w:hAnsi="Times New Roman" w:cs="Times New Roman" w:eastAsia="Times New Roman" w:hint="default"/>
                <w:sz w:val="18"/>
                <w:szCs w:val="18"/>
              </w:rPr>
            </w:pPr>
            <w:r>
              <w:rPr>
                <w:rFonts w:ascii="Times New Roman"/>
                <w:sz w:val="18"/>
              </w:rPr>
              <w:t>403,789.00</w:t>
            </w:r>
          </w:p>
        </w:tc>
        <w:tc>
          <w:tcPr>
            <w:tcW w:w="10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199" w:right="0"/>
              <w:jc w:val="left"/>
              <w:rPr>
                <w:rFonts w:ascii="Times New Roman" w:hAnsi="Times New Roman" w:cs="Times New Roman" w:eastAsia="Times New Roman" w:hint="default"/>
                <w:sz w:val="18"/>
                <w:szCs w:val="18"/>
              </w:rPr>
            </w:pPr>
            <w:r>
              <w:rPr>
                <w:rFonts w:ascii="Times New Roman"/>
                <w:sz w:val="18"/>
              </w:rPr>
              <w:t>403,789.00</w:t>
            </w:r>
          </w:p>
        </w:tc>
        <w:tc>
          <w:tcPr>
            <w:tcW w:w="7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36" w:right="0"/>
              <w:jc w:val="left"/>
              <w:rPr>
                <w:rFonts w:ascii="Times New Roman" w:hAnsi="Times New Roman" w:cs="Times New Roman" w:eastAsia="Times New Roman" w:hint="default"/>
                <w:sz w:val="18"/>
                <w:szCs w:val="18"/>
              </w:rPr>
            </w:pPr>
            <w:r>
              <w:rPr>
                <w:rFonts w:ascii="Times New Roman"/>
                <w:sz w:val="18"/>
              </w:rPr>
              <w:t>100.00</w:t>
            </w:r>
          </w:p>
        </w:tc>
        <w:tc>
          <w:tcPr>
            <w:tcW w:w="1055"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10"/>
              <w:ind w:left="2" w:right="143"/>
              <w:jc w:val="left"/>
              <w:rPr>
                <w:rFonts w:ascii="宋体" w:hAnsi="宋体" w:cs="宋体" w:eastAsia="宋体" w:hint="default"/>
                <w:sz w:val="18"/>
                <w:szCs w:val="18"/>
              </w:rPr>
            </w:pPr>
            <w:r>
              <w:rPr>
                <w:rFonts w:ascii="宋体" w:hAnsi="宋体" w:cs="宋体" w:eastAsia="宋体" w:hint="default"/>
                <w:sz w:val="18"/>
                <w:szCs w:val="18"/>
              </w:rPr>
              <w:t>预计可能无 法收回</w:t>
            </w:r>
          </w:p>
        </w:tc>
      </w:tr>
    </w:tbl>
    <w:p>
      <w:pPr>
        <w:spacing w:after="0" w:line="316" w:lineRule="auto"/>
        <w:jc w:val="left"/>
        <w:rPr>
          <w:rFonts w:ascii="宋体" w:hAnsi="宋体" w:cs="宋体" w:eastAsia="宋体" w:hint="default"/>
          <w:sz w:val="18"/>
          <w:szCs w:val="18"/>
        </w:rPr>
        <w:sectPr>
          <w:type w:val="continuous"/>
          <w:pgSz w:w="11910" w:h="16840"/>
          <w:pgMar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4"/>
        <w:spacing w:line="240" w:lineRule="auto"/>
        <w:ind w:left="1133" w:right="0"/>
        <w:jc w:val="left"/>
        <w:rPr>
          <w:b w:val="0"/>
          <w:bCs w:val="0"/>
        </w:rPr>
      </w:pPr>
      <w:bookmarkStart w:name="（2）本期计提、收回或转回的坏账准备情况" w:id="357"/>
      <w:bookmarkEnd w:id="35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6"/>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7" w:footer="979" w:top="1060" w:bottom="1160" w:left="0" w:right="0"/>
        </w:sectPr>
      </w:pPr>
    </w:p>
    <w:p>
      <w:pPr>
        <w:pStyle w:val="BodyText"/>
        <w:spacing w:line="338" w:lineRule="auto" w:before="44"/>
        <w:ind w:right="-15"/>
        <w:jc w:val="left"/>
      </w:pPr>
      <w:r>
        <w:rPr/>
        <w:t>本期计提坏账准备金额</w:t>
      </w:r>
      <w:r>
        <w:rPr>
          <w:spacing w:val="-46"/>
        </w:rPr>
        <w:t> </w:t>
      </w:r>
      <w:r>
        <w:rPr>
          <w:rFonts w:ascii="Times New Roman" w:hAnsi="Times New Roman" w:cs="Times New Roman" w:eastAsia="Times New Roman" w:hint="default"/>
        </w:rPr>
        <w:t>262,942.76</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7300" w:space="1530"/>
            <w:col w:w="308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20"/>
          <w:szCs w:val="20"/>
        </w:rPr>
      </w:pPr>
    </w:p>
    <w:p>
      <w:pPr>
        <w:pStyle w:val="Heading4"/>
        <w:spacing w:line="240" w:lineRule="auto" w:before="44"/>
        <w:ind w:right="0"/>
        <w:jc w:val="left"/>
        <w:rPr>
          <w:b w:val="0"/>
          <w:bCs w:val="0"/>
        </w:rPr>
      </w:pPr>
      <w:bookmarkStart w:name="（3）其他应收款按款项性质分类情况" w:id="358"/>
      <w:bookmarkEnd w:id="358"/>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17,127,736.83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31,531,898.86</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员工备用金及代扣代缴款项</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916,416.67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626,091.16</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其他往来</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3,119,397.19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2,330,963.28</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21,163,550.69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34,488,953.30</w:t>
            </w:r>
          </w:p>
        </w:tc>
      </w:tr>
    </w:tbl>
    <w:p>
      <w:pPr>
        <w:spacing w:line="240" w:lineRule="auto" w:before="6"/>
        <w:rPr>
          <w:rFonts w:ascii="宋体" w:hAnsi="宋体" w:cs="宋体" w:eastAsia="宋体" w:hint="default"/>
          <w:sz w:val="20"/>
          <w:szCs w:val="20"/>
        </w:rPr>
      </w:pPr>
    </w:p>
    <w:p>
      <w:pPr>
        <w:pStyle w:val="Heading4"/>
        <w:spacing w:line="240" w:lineRule="auto" w:before="44"/>
        <w:ind w:right="0"/>
        <w:jc w:val="left"/>
        <w:rPr>
          <w:b w:val="0"/>
          <w:bCs w:val="0"/>
        </w:rPr>
      </w:pPr>
      <w:bookmarkStart w:name="（4）按欠款方归集的期末余额前五名的其他应收款情况" w:id="359"/>
      <w:bookmarkEnd w:id="359"/>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四川中烟工业有限责 任公司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项目保证金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6,660,000.00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31.47%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陕西中烟工业有限责 任公司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项目保证金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2,140,496.10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10.11%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泉州福海粮油工业有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项目保证金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1,889,560.00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中天储能科技有限公 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项目保证金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贵州中烟工业有限责 任公司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项目保证金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925,932.08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12,615,988.18</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59.62%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6"/>
        <w:rPr>
          <w:rFonts w:ascii="宋体" w:hAnsi="宋体" w:cs="宋体" w:eastAsia="宋体" w:hint="default"/>
          <w:sz w:val="20"/>
          <w:szCs w:val="20"/>
        </w:rPr>
      </w:pPr>
    </w:p>
    <w:p>
      <w:pPr>
        <w:pStyle w:val="Heading4"/>
        <w:spacing w:line="240" w:lineRule="auto" w:before="44"/>
        <w:ind w:right="0"/>
        <w:jc w:val="left"/>
        <w:rPr>
          <w:b w:val="0"/>
          <w:bCs w:val="0"/>
        </w:rPr>
      </w:pPr>
      <w:bookmarkStart w:name="3、长期股权投资" w:id="360"/>
      <w:bookmarkEnd w:id="360"/>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after="0" w:line="240" w:lineRule="auto"/>
        <w:jc w:val="right"/>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64,454,029.73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64,454,029.73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35,482,429.73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35,482,429.73</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37,788,885.39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37,788,885.39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102,242,915.12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102,242,915.12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35,482,429.73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35,482,429.73</w:t>
            </w:r>
          </w:p>
        </w:tc>
      </w:tr>
    </w:tbl>
    <w:p>
      <w:pPr>
        <w:spacing w:line="240" w:lineRule="auto" w:before="6"/>
        <w:rPr>
          <w:rFonts w:ascii="宋体" w:hAnsi="宋体" w:cs="宋体" w:eastAsia="宋体" w:hint="default"/>
          <w:sz w:val="20"/>
          <w:szCs w:val="20"/>
        </w:rPr>
      </w:pPr>
    </w:p>
    <w:p>
      <w:pPr>
        <w:pStyle w:val="Heading4"/>
        <w:spacing w:line="240" w:lineRule="auto" w:before="44"/>
        <w:ind w:right="0"/>
        <w:jc w:val="left"/>
        <w:rPr>
          <w:b w:val="0"/>
          <w:bCs w:val="0"/>
        </w:rPr>
      </w:pPr>
      <w:bookmarkStart w:name="（1）对子公司投资" w:id="361"/>
      <w:bookmarkEnd w:id="361"/>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今天国际物流科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7,588,029.73</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7,588,029.73</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广东新阳物流设 备有限公司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12,894,400.00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12,894,400.00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深圳市同创智软 件技术有限公司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深圳市今天国际 智能机器人有限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北京今天华迅智 能技术有限公司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1,866,000.00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1,866,000.00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35,482,429.73</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41,866,000.00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12,894,400.00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64,454,029.73</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20"/>
          <w:szCs w:val="20"/>
        </w:rPr>
      </w:pPr>
    </w:p>
    <w:p>
      <w:pPr>
        <w:pStyle w:val="Heading4"/>
        <w:spacing w:line="240" w:lineRule="auto" w:before="44"/>
        <w:ind w:right="0"/>
        <w:jc w:val="left"/>
        <w:rPr>
          <w:b w:val="0"/>
          <w:bCs w:val="0"/>
        </w:rPr>
      </w:pPr>
      <w:bookmarkStart w:name="（2）对联营、合营企业投资" w:id="362"/>
      <w:bookmarkEnd w:id="362"/>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深圳市旭 龙昇电子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34,731,49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9.62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3,077,313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-19,927.6</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37,788,88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5.39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34,731,49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9.62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3,077,313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-19,927.6</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37,788,88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5.39</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798"/>
        <w:gridCol w:w="798"/>
        <w:gridCol w:w="797"/>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34,731,49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9.62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3,077,313</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-19,927.6</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37,788,88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5.39</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20"/>
          <w:szCs w:val="20"/>
        </w:rPr>
      </w:pPr>
    </w:p>
    <w:p>
      <w:pPr>
        <w:pStyle w:val="Heading4"/>
        <w:spacing w:line="240" w:lineRule="auto" w:before="44"/>
        <w:ind w:right="0"/>
        <w:jc w:val="left"/>
        <w:rPr>
          <w:b w:val="0"/>
          <w:bCs w:val="0"/>
        </w:rPr>
      </w:pPr>
      <w:bookmarkStart w:name="（3）其他说明" w:id="363"/>
      <w:bookmarkEnd w:id="363"/>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29"/>
        <w:ind w:right="0"/>
        <w:jc w:val="left"/>
        <w:rPr>
          <w:b w:val="0"/>
          <w:bCs w:val="0"/>
        </w:rPr>
      </w:pPr>
      <w:bookmarkStart w:name="4、营业收入和营业成本" w:id="364"/>
      <w:bookmarkEnd w:id="364"/>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206"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568,287,726.38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399,657,782.64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395,454,619.18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269,201,450.86</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1,387,166.73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694,739.82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1,155,724.72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643,091.64</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569,674,893.11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400,352,522.46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396,610,343.90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269,844,542.50</w:t>
            </w:r>
          </w:p>
        </w:tc>
      </w:tr>
    </w:tbl>
    <w:p>
      <w:pPr>
        <w:spacing w:line="240" w:lineRule="auto" w:before="6"/>
        <w:rPr>
          <w:rFonts w:ascii="宋体" w:hAnsi="宋体" w:cs="宋体" w:eastAsia="宋体" w:hint="default"/>
          <w:sz w:val="20"/>
          <w:szCs w:val="20"/>
        </w:rPr>
      </w:pPr>
    </w:p>
    <w:p>
      <w:pPr>
        <w:pStyle w:val="Heading4"/>
        <w:spacing w:line="240" w:lineRule="auto" w:before="44"/>
        <w:ind w:right="0"/>
        <w:jc w:val="left"/>
        <w:rPr>
          <w:b w:val="0"/>
          <w:bCs w:val="0"/>
        </w:rPr>
      </w:pPr>
      <w:bookmarkStart w:name="5、投资收益" w:id="365"/>
      <w:bookmarkEnd w:id="365"/>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3,077,313.42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15,105,600.00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购买短期理财产品收益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4,904,675.87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1,236,712.33</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23,087,589.29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1,236,712.33</w:t>
            </w:r>
          </w:p>
        </w:tc>
      </w:tr>
    </w:tbl>
    <w:p>
      <w:pPr>
        <w:spacing w:line="240" w:lineRule="auto" w:before="6"/>
        <w:rPr>
          <w:rFonts w:ascii="宋体" w:hAnsi="宋体" w:cs="宋体" w:eastAsia="宋体" w:hint="default"/>
          <w:sz w:val="20"/>
          <w:szCs w:val="20"/>
        </w:rPr>
      </w:pPr>
    </w:p>
    <w:p>
      <w:pPr>
        <w:pStyle w:val="Heading4"/>
        <w:spacing w:line="240" w:lineRule="auto" w:before="44"/>
        <w:ind w:right="0"/>
        <w:jc w:val="left"/>
        <w:rPr>
          <w:b w:val="0"/>
          <w:bCs w:val="0"/>
        </w:rPr>
      </w:pPr>
      <w:bookmarkStart w:name="十六、补充资料" w:id="366"/>
      <w:bookmarkEnd w:id="366"/>
      <w:r>
        <w:rPr>
          <w:b w:val="0"/>
          <w:bCs w:val="0"/>
        </w:rPr>
      </w:r>
      <w:r>
        <w:rPr/>
        <w:t>十六、补充资料</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42"/>
        <w:ind w:right="0"/>
        <w:jc w:val="left"/>
        <w:rPr>
          <w:b w:val="0"/>
          <w:bCs w:val="0"/>
        </w:rPr>
      </w:pPr>
      <w:bookmarkStart w:name="1、当期非经常性损益明细表" w:id="367"/>
      <w:bookmarkEnd w:id="367"/>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3,769,757.01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6,965,771.02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5,288,905.04</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-1,803,476.90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2,133,143.43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12,087,812.74</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left="113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pStyle w:val="Heading4"/>
        <w:spacing w:line="240" w:lineRule="auto" w:before="126"/>
        <w:ind w:left="1133" w:right="0"/>
        <w:jc w:val="left"/>
        <w:rPr>
          <w:b w:val="0"/>
          <w:bCs w:val="0"/>
        </w:rPr>
      </w:pPr>
      <w:bookmarkStart w:name="2、净资产收益率及每股收益" w:id="368"/>
      <w:bookmarkEnd w:id="368"/>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0"/>
        <w:rPr>
          <w:rFonts w:ascii="宋体" w:hAnsi="宋体" w:cs="宋体" w:eastAsia="宋体" w:hint="default"/>
          <w:b/>
          <w:bCs/>
          <w:sz w:val="27"/>
          <w:szCs w:val="27"/>
        </w:rPr>
      </w:pPr>
    </w:p>
    <w:tbl>
      <w:tblPr>
        <w:tblW w:w="0" w:type="auto"/>
        <w:jc w:val="left"/>
        <w:tblInd w:w="1129" w:type="dxa"/>
        <w:tblLayout w:type="fixed"/>
        <w:tblCellMar>
          <w:top w:w="0" w:type="dxa"/>
          <w:left w:w="0" w:type="dxa"/>
          <w:bottom w:w="0" w:type="dxa"/>
          <w:right w:w="0" w:type="dxa"/>
        </w:tblCellMar>
        <w:tblLook w:val="01E0"/>
      </w:tblPr>
      <w:tblGrid>
        <w:gridCol w:w="2662"/>
        <w:gridCol w:w="3081"/>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0.61</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860" w:right="2861"/>
        <w:jc w:val="center"/>
        <w:rPr>
          <w:b w:val="0"/>
          <w:bCs w:val="0"/>
        </w:rPr>
      </w:pPr>
      <w:bookmarkStart w:name="第十二节 备查文件目录" w:id="369"/>
      <w:bookmarkEnd w:id="369"/>
      <w:r>
        <w:rPr>
          <w:b w:val="0"/>
          <w:bCs w:val="0"/>
        </w:rPr>
      </w:r>
      <w:bookmarkStart w:name="_bookmark10" w:id="370"/>
      <w:bookmarkEnd w:id="370"/>
      <w:r>
        <w:rPr>
          <w:b w:val="0"/>
          <w:bCs w:val="0"/>
        </w:rPr>
      </w:r>
      <w:r>
        <w:rPr/>
        <w:t>第十二节</w:t>
      </w:r>
      <w:r>
        <w:rPr>
          <w:spacing w:val="-8"/>
        </w:rPr>
        <w:t> </w:t>
      </w:r>
      <w:r>
        <w:rPr/>
        <w:t>备查文件目录</w:t>
      </w:r>
      <w:r>
        <w:rPr>
          <w:b w:val="0"/>
          <w:bCs w:val="0"/>
        </w:rPr>
      </w:r>
    </w:p>
    <w:p>
      <w:pPr>
        <w:spacing w:line="240" w:lineRule="auto" w:before="0"/>
        <w:rPr>
          <w:rFonts w:ascii="宋体" w:hAnsi="宋体" w:cs="宋体" w:eastAsia="宋体" w:hint="default"/>
          <w:b/>
          <w:bCs/>
          <w:sz w:val="32"/>
          <w:szCs w:val="32"/>
        </w:rPr>
      </w:pPr>
    </w:p>
    <w:p>
      <w:pPr>
        <w:pStyle w:val="BodyText"/>
        <w:spacing w:line="240" w:lineRule="auto" w:before="215"/>
        <w:ind w:right="0"/>
        <w:jc w:val="left"/>
      </w:pPr>
      <w:r>
        <w:rPr/>
        <w:t>（一）载有公司负责人、主管会计工作负责人、会计机构负责人（会计主管人员）签名并盖章的财务报表。</w:t>
      </w:r>
    </w:p>
    <w:p>
      <w:pPr>
        <w:spacing w:line="240" w:lineRule="auto" w:before="10"/>
        <w:rPr>
          <w:rFonts w:ascii="宋体" w:hAnsi="宋体" w:cs="宋体" w:eastAsia="宋体" w:hint="default"/>
          <w:sz w:val="17"/>
          <w:szCs w:val="17"/>
        </w:rPr>
      </w:pPr>
    </w:p>
    <w:p>
      <w:pPr>
        <w:pStyle w:val="BodyText"/>
        <w:spacing w:line="240" w:lineRule="auto"/>
        <w:ind w:right="0"/>
        <w:jc w:val="left"/>
      </w:pPr>
      <w:r>
        <w:rPr/>
        <w:t>（二）载有会计师事务所盖章、注册会计师签名并盖章的审计报告原件。</w:t>
      </w:r>
    </w:p>
    <w:p>
      <w:pPr>
        <w:spacing w:line="240" w:lineRule="auto" w:before="10"/>
        <w:rPr>
          <w:rFonts w:ascii="宋体" w:hAnsi="宋体" w:cs="宋体" w:eastAsia="宋体" w:hint="default"/>
          <w:sz w:val="17"/>
          <w:szCs w:val="17"/>
        </w:rPr>
      </w:pPr>
    </w:p>
    <w:p>
      <w:pPr>
        <w:pStyle w:val="BodyText"/>
        <w:spacing w:line="240" w:lineRule="auto"/>
        <w:ind w:right="0"/>
        <w:jc w:val="left"/>
      </w:pPr>
      <w:r>
        <w:rPr/>
        <w:t>（三）报告期内在中国证监会指定网站上公开披露过的所有公司文件的正本及公告的原稿。</w:t>
      </w:r>
    </w:p>
    <w:sectPr>
      <w:pgSz w:w="11910" w:h="16840"/>
      <w:pgMar w:header="747" w:footer="979" w:top="1060" w:bottom="116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881224" type="#_x0000_t75" stroked="false">
          <v:imagedata r:id="rId1" o:title=""/>
        </v:shape>
      </w:pict>
    </w:r>
    <w:r>
      <w:rPr/>
      <w:pict>
        <v:shape style="position:absolute;margin-left:533.179993pt;margin-top:795.517944pt;width:6.5pt;height:11pt;mso-position-horizontal-relative:page;mso-position-vertical-relative:page;z-index:-88120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881176" type="#_x0000_t75" stroked="false">
          <v:imagedata r:id="rId1" o:title=""/>
        </v:shape>
      </w:pict>
    </w:r>
    <w:r>
      <w:rPr/>
      <w:pict>
        <v:shape style="position:absolute;margin-left:527.679993pt;margin-top:781.957947pt;width:13pt;height:11pt;mso-position-horizontal-relative:page;mso-position-vertical-relative:page;z-index:-8811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881128" type="#_x0000_t75" stroked="false">
          <v:imagedata r:id="rId1" o:title=""/>
        </v:shape>
      </w:pict>
    </w:r>
    <w:r>
      <w:rPr/>
      <w:pict>
        <v:shape style="position:absolute;margin-left:527.679993pt;margin-top:781.957947pt;width:13pt;height:11pt;mso-position-horizontal-relative:page;mso-position-vertical-relative:page;z-index:-8811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74</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881080" type="#_x0000_t75" stroked="false">
          <v:imagedata r:id="rId1" o:title=""/>
        </v:shape>
      </w:pict>
    </w:r>
    <w:r>
      <w:rPr/>
      <w:pict>
        <v:shape style="position:absolute;margin-left:524.179993pt;margin-top:781.957947pt;width:15.5pt;height:11pt;mso-position-horizontal-relative:page;mso-position-vertical-relative:page;z-index:-88105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881032" type="#_x0000_t75" stroked="false">
          <v:imagedata r:id="rId1" o:title=""/>
        </v:shape>
      </w:pict>
    </w:r>
    <w:r>
      <w:rPr/>
      <w:pict>
        <v:shape style="position:absolute;margin-left:523.179993pt;margin-top:781.957947pt;width:17.5pt;height:11pt;mso-position-horizontal-relative:page;mso-position-vertical-relative:page;z-index:-8810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880984" type="#_x0000_t75" stroked="false">
          <v:imagedata r:id="rId1" o:title=""/>
        </v:shape>
      </w:pict>
    </w:r>
    <w:r>
      <w:rPr/>
      <w:pict>
        <v:shape style="position:absolute;margin-left:523.179993pt;margin-top:781.957947pt;width:17.5pt;height:11pt;mso-position-horizontal-relative:page;mso-position-vertical-relative:page;z-index:-8809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106</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299.220001pt;margin-top:36.325607pt;width:240.5pt;height:11.5pt;mso-position-horizontal-relative:page;mso-position-vertical-relative:page;z-index:-881248" type="#_x0000_t202" filled="false" stroked="false">
          <v:textbox inset="0,0,0,0">
            <w:txbxContent>
              <w:p>
                <w:pPr>
                  <w:pStyle w:val="BodyText"/>
                  <w:spacing w:line="214" w:lineRule="exact"/>
                  <w:ind w:left="20" w:right="0"/>
                  <w:jc w:val="left"/>
                </w:pPr>
                <w:r>
                  <w:rPr/>
                  <w:t>深圳市今天国际物流技术股份有限公司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15"/>
      <w:ind w:left="1133"/>
    </w:pPr>
    <w:rPr>
      <w:rFonts w:ascii="宋体" w:hAnsi="宋体" w:eastAsia="宋体"/>
      <w:b/>
      <w:bCs/>
      <w:sz w:val="24"/>
      <w:szCs w:val="24"/>
    </w:rPr>
  </w:style>
  <w:style w:styleId="BodyText" w:type="paragraph">
    <w:name w:val="Body Text"/>
    <w:basedOn w:val="Normal"/>
    <w:uiPriority w:val="1"/>
    <w:qFormat/>
    <w:pPr>
      <w:ind w:left="1133"/>
    </w:pPr>
    <w:rPr>
      <w:rFonts w:ascii="宋体" w:hAnsi="宋体" w:eastAsia="宋体"/>
      <w:sz w:val="18"/>
      <w:szCs w:val="18"/>
    </w:rPr>
  </w:style>
  <w:style w:styleId="Heading1" w:type="paragraph">
    <w:name w:val="Heading 1"/>
    <w:basedOn w:val="Normal"/>
    <w:uiPriority w:val="1"/>
    <w:qFormat/>
    <w:pPr>
      <w:spacing w:before="1"/>
      <w:ind w:left="2861"/>
      <w:outlineLvl w:val="1"/>
    </w:pPr>
    <w:rPr>
      <w:rFonts w:ascii="宋体" w:hAnsi="宋体" w:eastAsia="宋体"/>
      <w:b/>
      <w:bCs/>
      <w:sz w:val="32"/>
      <w:szCs w:val="32"/>
    </w:rPr>
  </w:style>
  <w:style w:styleId="Heading2" w:type="paragraph">
    <w:name w:val="Heading 2"/>
    <w:basedOn w:val="Normal"/>
    <w:uiPriority w:val="1"/>
    <w:qFormat/>
    <w:pPr>
      <w:ind w:left="1133"/>
      <w:outlineLvl w:val="2"/>
    </w:pPr>
    <w:rPr>
      <w:rFonts w:ascii="宋体" w:hAnsi="宋体" w:eastAsia="宋体"/>
      <w:b/>
      <w:bCs/>
      <w:sz w:val="24"/>
      <w:szCs w:val="24"/>
    </w:rPr>
  </w:style>
  <w:style w:styleId="Heading3" w:type="paragraph">
    <w:name w:val="Heading 3"/>
    <w:basedOn w:val="Normal"/>
    <w:uiPriority w:val="1"/>
    <w:qFormat/>
    <w:pPr>
      <w:ind w:left="1133"/>
      <w:outlineLvl w:val="3"/>
    </w:pPr>
    <w:rPr>
      <w:rFonts w:ascii="宋体" w:hAnsi="宋体" w:eastAsia="宋体"/>
      <w:b/>
      <w:bCs/>
      <w:sz w:val="21"/>
      <w:szCs w:val="21"/>
    </w:rPr>
  </w:style>
  <w:style w:styleId="Heading4" w:type="paragraph">
    <w:name w:val="Heading 4"/>
    <w:basedOn w:val="Normal"/>
    <w:uiPriority w:val="1"/>
    <w:qFormat/>
    <w:pPr>
      <w:ind w:left="1134"/>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nti56.com/" TargetMode="External"/><Relationship Id="rId10" Type="http://schemas.openxmlformats.org/officeDocument/2006/relationships/hyperlink" Target="mailto:info@nti56.com" TargetMode="External"/><Relationship Id="rId11" Type="http://schemas.openxmlformats.org/officeDocument/2006/relationships/hyperlink" Target="mailto:zhyq@nti56.com" TargetMode="External"/><Relationship Id="rId12" Type="http://schemas.openxmlformats.org/officeDocument/2006/relationships/hyperlink" Target="mailto:yjp@nti56.com" TargetMode="External"/><Relationship Id="rId13" Type="http://schemas.openxmlformats.org/officeDocument/2006/relationships/hyperlink" Target="http://www.cninfo.com.cn/" TargetMode="External"/><Relationship Id="rId14" Type="http://schemas.openxmlformats.org/officeDocument/2006/relationships/hyperlink" Target="http://irm.p5w.net/" TargetMode="External"/><Relationship Id="rId15" Type="http://schemas.openxmlformats.org/officeDocument/2006/relationships/image" Target="media/image3.jpeg"/><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深圳市今天国际物流技术股份有限公司</dc:creator>
  <dc:title>深圳市今天国际物流技术股份有限公司2017年年度报告全文</dc:title>
  <dcterms:created xsi:type="dcterms:W3CDTF">2020-05-03T00:59:04Z</dcterms:created>
  <dcterms:modified xsi:type="dcterms:W3CDTF">2020-05-03T00:59:04Z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2018-03-26T00:00:00Z</vt:filetime>
  </property>
  <property fmtid="{D5CDD505-2E9C-101B-9397-08002B2CF9AE}" pid="3" name="Creator">
    <vt:lpwstr>Microsoft® Office Word 2007</vt:lpwstr>
  </property>
  <property fmtid="{D5CDD505-2E9C-101B-9397-08002B2CF9AE}" pid="4" name="LastSaved">
    <vt:filetime>2020-05-02T00:00:00Z</vt:filetime>
  </property>
</Properties>
</file>