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517" w:lineRule="exact"/>
        <w:ind w:left="36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1679672" cy="96345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679672" cy="963453"/>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p>
      <w:pPr>
        <w:spacing w:line="460" w:lineRule="exact" w:before="0"/>
        <w:ind w:left="133" w:right="1117" w:firstLine="0"/>
        <w:jc w:val="center"/>
        <w:rPr>
          <w:rFonts w:ascii="宋体" w:hAnsi="宋体" w:cs="宋体" w:eastAsia="宋体" w:hint="default"/>
          <w:sz w:val="36"/>
          <w:szCs w:val="36"/>
        </w:rPr>
      </w:pPr>
      <w:r>
        <w:rPr>
          <w:rFonts w:ascii="宋体" w:hAnsi="宋体" w:cs="宋体" w:eastAsia="宋体" w:hint="default"/>
          <w:b/>
          <w:bCs/>
          <w:sz w:val="36"/>
          <w:szCs w:val="36"/>
        </w:rPr>
        <w:t>深圳市今天国际物流技术股份有限公司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3" w:right="11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7"/>
        <w:rPr>
          <w:rFonts w:ascii="宋体" w:hAnsi="宋体" w:cs="宋体" w:eastAsia="宋体" w:hint="default"/>
          <w:b/>
          <w:bCs/>
          <w:sz w:val="32"/>
          <w:szCs w:val="32"/>
        </w:rPr>
      </w:pPr>
    </w:p>
    <w:p>
      <w:pPr>
        <w:spacing w:before="0"/>
        <w:ind w:left="133" w:right="1108" w:firstLine="0"/>
        <w:jc w:val="center"/>
        <w:rPr>
          <w:rFonts w:ascii="Times New Roman" w:hAnsi="Times New Roman" w:cs="Times New Roman" w:eastAsia="Times New Roman" w:hint="default"/>
          <w:sz w:val="22"/>
          <w:szCs w:val="22"/>
        </w:rPr>
      </w:pPr>
      <w:r>
        <w:rPr>
          <w:rFonts w:ascii="Times New Roman"/>
          <w:b/>
          <w:sz w:val="22"/>
        </w:rPr>
        <w:t>2019-011</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133" w:right="11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BodyText"/>
        <w:spacing w:line="240" w:lineRule="auto" w:before="76"/>
        <w:ind w:right="1132"/>
        <w:jc w:val="right"/>
        <w:rPr>
          <w:rFonts w:ascii="Times New Roman" w:hAnsi="Times New Roman" w:cs="Times New Roman" w:eastAsia="Times New Roman" w:hint="default"/>
        </w:rPr>
      </w:pPr>
      <w:r>
        <w:rPr>
          <w:rFonts w:ascii="Times New Roman"/>
        </w:rPr>
        <w:t>1</w:t>
      </w:r>
    </w:p>
    <w:p>
      <w:pPr>
        <w:spacing w:after="0" w:line="240" w:lineRule="auto"/>
        <w:jc w:val="right"/>
        <w:rPr>
          <w:rFonts w:ascii="Times New Roman" w:hAnsi="Times New Roman" w:cs="Times New Roman" w:eastAsia="Times New Roman" w:hint="default"/>
        </w:rPr>
        <w:sectPr>
          <w:headerReference w:type="default" r:id="rId5"/>
          <w:footerReference w:type="default" r:id="rId6"/>
          <w:type w:val="continuous"/>
          <w:pgSz w:w="11910" w:h="16840"/>
          <w:pgMar w:header="745" w:footer="504" w:top="1060" w:bottom="70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pStyle w:val="Heading1"/>
        <w:spacing w:line="240" w:lineRule="auto"/>
        <w:ind w:right="1115"/>
        <w:jc w:val="center"/>
        <w:rPr>
          <w:b w:val="0"/>
          <w:bCs w:val="0"/>
        </w:rPr>
      </w:pPr>
      <w:bookmarkStart w:name="_TOC_250011" w:id="1"/>
      <w:r>
        <w:rPr/>
        <w:t>第一节</w:t>
      </w:r>
      <w:r>
        <w:rPr>
          <w:spacing w:val="-5"/>
        </w:rPr>
        <w:t> </w:t>
      </w:r>
      <w:r>
        <w:rPr/>
        <w:t>重要提示、目录和释义</w:t>
      </w:r>
      <w:bookmarkEnd w:id="1"/>
      <w:r>
        <w:rPr>
          <w:b w:val="0"/>
          <w:bCs w:val="0"/>
        </w:rPr>
      </w:r>
    </w:p>
    <w:p>
      <w:pPr>
        <w:spacing w:line="240" w:lineRule="auto" w:before="11"/>
        <w:rPr>
          <w:rFonts w:ascii="宋体" w:hAnsi="宋体" w:cs="宋体" w:eastAsia="宋体" w:hint="default"/>
          <w:b/>
          <w:bCs/>
          <w:sz w:val="44"/>
          <w:szCs w:val="44"/>
        </w:rPr>
      </w:pPr>
    </w:p>
    <w:p>
      <w:pPr>
        <w:pStyle w:val="Heading4"/>
        <w:spacing w:line="357" w:lineRule="auto"/>
        <w:ind w:right="1136" w:firstLine="482"/>
        <w:jc w:val="both"/>
        <w:rPr>
          <w:b w:val="0"/>
          <w:bCs w:val="0"/>
        </w:rPr>
      </w:pPr>
      <w:r>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4"/>
        <w:spacing w:line="338" w:lineRule="auto" w:before="137"/>
        <w:ind w:right="1124" w:firstLine="482"/>
        <w:jc w:val="both"/>
        <w:rPr>
          <w:b w:val="0"/>
          <w:bCs w:val="0"/>
        </w:rPr>
      </w:pPr>
      <w:r>
        <w:rPr>
          <w:spacing w:val="2"/>
        </w:rPr>
        <w:t>公司负责人邵健伟、主管会计工作负责人张永清及会计机构负责人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蓝国</w:t>
      </w:r>
      <w:r>
        <w:rPr>
          <w:spacing w:val="4"/>
          <w:w w:val="99"/>
        </w:rPr>
        <w:t> </w:t>
      </w:r>
      <w:r>
        <w:rPr/>
        <w:t>斌声明：保证年度报告中财务报告的真实、准确、完整。</w:t>
      </w:r>
      <w:r>
        <w:rPr>
          <w:b w:val="0"/>
          <w:bCs w:val="0"/>
        </w:rPr>
      </w:r>
    </w:p>
    <w:p>
      <w:pPr>
        <w:pStyle w:val="Heading4"/>
        <w:spacing w:line="434" w:lineRule="auto" w:before="156"/>
        <w:ind w:left="635" w:right="1115"/>
        <w:jc w:val="left"/>
        <w:rPr>
          <w:b w:val="0"/>
          <w:bCs w:val="0"/>
        </w:rPr>
      </w:pPr>
      <w:r>
        <w:rPr/>
        <w:t>所有董事均已出席了审议本报告的董事会会议。</w:t>
      </w:r>
      <w:r>
        <w:rPr>
          <w:w w:val="99"/>
        </w:rPr>
        <w:t> </w:t>
      </w:r>
      <w:r>
        <w:rPr/>
        <w:t>本年度报告所涉及的发展战略及未来计划等前瞻性陈述，不构成公司对投资者的实质承</w:t>
      </w:r>
      <w:r>
        <w:rPr>
          <w:b w:val="0"/>
          <w:bCs w:val="0"/>
        </w:rPr>
      </w:r>
    </w:p>
    <w:p>
      <w:pPr>
        <w:pStyle w:val="Heading4"/>
        <w:spacing w:line="274" w:lineRule="exact"/>
        <w:ind w:right="998"/>
        <w:jc w:val="left"/>
        <w:rPr>
          <w:b w:val="0"/>
          <w:bCs w:val="0"/>
        </w:rPr>
      </w:pPr>
      <w:r>
        <w:rPr/>
        <w:t>诺。投资者及相关人士均应当对此保持足够的风险认识，并且应当理解计划、预测与承诺之</w:t>
      </w:r>
      <w:r>
        <w:rPr>
          <w:b w:val="0"/>
          <w:bCs w:val="0"/>
        </w:rPr>
      </w:r>
    </w:p>
    <w:p>
      <w:pPr>
        <w:pStyle w:val="Heading4"/>
        <w:spacing w:line="240" w:lineRule="auto" w:before="154"/>
        <w:ind w:right="1115"/>
        <w:jc w:val="left"/>
        <w:rPr>
          <w:b w:val="0"/>
          <w:bCs w:val="0"/>
        </w:rPr>
      </w:pPr>
      <w:r>
        <w:rPr/>
        <w:t>间的差异。</w:t>
      </w:r>
      <w:r>
        <w:rPr>
          <w:b w:val="0"/>
          <w:bCs w:val="0"/>
        </w:rPr>
      </w:r>
    </w:p>
    <w:p>
      <w:pPr>
        <w:spacing w:line="240" w:lineRule="auto" w:before="6"/>
        <w:rPr>
          <w:rFonts w:ascii="宋体" w:hAnsi="宋体" w:cs="宋体" w:eastAsia="宋体" w:hint="default"/>
          <w:b/>
          <w:bCs/>
          <w:sz w:val="19"/>
          <w:szCs w:val="19"/>
        </w:rPr>
      </w:pPr>
    </w:p>
    <w:p>
      <w:pPr>
        <w:pStyle w:val="Heading4"/>
        <w:spacing w:line="410" w:lineRule="auto"/>
        <w:ind w:left="635" w:right="1115"/>
        <w:jc w:val="left"/>
        <w:rPr>
          <w:b w:val="0"/>
          <w:bCs w:val="0"/>
        </w:rPr>
      </w:pPr>
      <w:r>
        <w:rPr>
          <w:rFonts w:ascii="Times New Roman" w:hAnsi="Times New Roman" w:cs="Times New Roman" w:eastAsia="Times New Roman" w:hint="default"/>
        </w:rPr>
        <w:t>1</w:t>
      </w:r>
      <w:r>
        <w:rPr/>
        <w:t>、经营业绩波动的风险</w:t>
      </w:r>
      <w:r>
        <w:rPr>
          <w:w w:val="99"/>
        </w:rPr>
        <w:t> </w:t>
      </w:r>
      <w:r>
        <w:rPr/>
        <w:t>公司单个项目金额较高、实施周期较长，大项目的收入确认对当期营业收入影响较大；</w:t>
      </w:r>
      <w:r>
        <w:rPr>
          <w:b w:val="0"/>
          <w:bCs w:val="0"/>
        </w:rPr>
      </w:r>
    </w:p>
    <w:p>
      <w:pPr>
        <w:pStyle w:val="Heading4"/>
        <w:spacing w:line="298" w:lineRule="exact"/>
        <w:ind w:right="998"/>
        <w:jc w:val="left"/>
        <w:rPr>
          <w:b w:val="0"/>
          <w:bCs w:val="0"/>
        </w:rPr>
      </w:pPr>
      <w:r>
        <w:rPr/>
        <w:t>若受到客户修改规划设计方案或土建、通风、供电、消防等工程未能如期完工的影响，项目</w:t>
      </w:r>
      <w:r>
        <w:rPr>
          <w:b w:val="0"/>
          <w:bCs w:val="0"/>
        </w:rPr>
      </w:r>
    </w:p>
    <w:p>
      <w:pPr>
        <w:pStyle w:val="Heading4"/>
        <w:spacing w:line="357" w:lineRule="auto" w:before="154"/>
        <w:ind w:right="998"/>
        <w:jc w:val="left"/>
        <w:rPr>
          <w:b w:val="0"/>
          <w:bCs w:val="0"/>
        </w:rPr>
      </w:pPr>
      <w:r>
        <w:rPr>
          <w:spacing w:val="-3"/>
        </w:rPr>
        <w:t>的收入确认时点具有不确定性。因此，公司可能出现某个季度由于可确认收入项目数量较少、</w:t>
      </w:r>
      <w:r>
        <w:rPr>
          <w:w w:val="99"/>
        </w:rPr>
        <w:t> </w:t>
      </w:r>
      <w:r>
        <w:rPr/>
        <w:t>金额较小而产生亏损；或者某个季度可确认收入项目数量较多、金额较大而使当季度业绩大</w:t>
      </w:r>
      <w:r>
        <w:rPr>
          <w:w w:val="99"/>
        </w:rPr>
        <w:t> </w:t>
      </w:r>
      <w:r>
        <w:rPr/>
        <w:t>幅提升等情形。</w:t>
      </w:r>
      <w:r>
        <w:rPr>
          <w:b w:val="0"/>
          <w:bCs w:val="0"/>
        </w:rPr>
      </w:r>
    </w:p>
    <w:p>
      <w:pPr>
        <w:pStyle w:val="Heading4"/>
        <w:spacing w:line="240" w:lineRule="auto" w:before="134"/>
        <w:ind w:left="635" w:right="1115"/>
        <w:jc w:val="left"/>
        <w:rPr>
          <w:b w:val="0"/>
          <w:bCs w:val="0"/>
        </w:rPr>
      </w:pPr>
      <w:r>
        <w:rPr>
          <w:rFonts w:ascii="Times New Roman" w:hAnsi="Times New Roman" w:cs="Times New Roman" w:eastAsia="Times New Roman" w:hint="default"/>
        </w:rPr>
        <w:t>2</w:t>
      </w:r>
      <w:r>
        <w:rPr/>
        <w:t>、毛利率波动的风险</w:t>
      </w:r>
      <w:r>
        <w:rPr>
          <w:b w:val="0"/>
          <w:bCs w:val="0"/>
        </w:rPr>
      </w:r>
    </w:p>
    <w:p>
      <w:pPr>
        <w:spacing w:line="240" w:lineRule="auto" w:before="1"/>
        <w:rPr>
          <w:rFonts w:ascii="宋体" w:hAnsi="宋体" w:cs="宋体" w:eastAsia="宋体" w:hint="default"/>
          <w:b/>
          <w:bCs/>
          <w:sz w:val="18"/>
          <w:szCs w:val="18"/>
        </w:rPr>
      </w:pPr>
    </w:p>
    <w:p>
      <w:pPr>
        <w:pStyle w:val="Heading4"/>
        <w:spacing w:line="352" w:lineRule="auto"/>
        <w:ind w:right="1132" w:firstLine="482"/>
        <w:jc w:val="both"/>
        <w:rPr>
          <w:b w:val="0"/>
          <w:bCs w:val="0"/>
        </w:rPr>
      </w:pPr>
      <w:r>
        <w:rPr/>
        <w:t>公司 </w:t>
      </w:r>
      <w:r>
        <w:rPr>
          <w:rFonts w:ascii="Times New Roman" w:hAnsi="Times New Roman" w:cs="Times New Roman" w:eastAsia="Times New Roman" w:hint="default"/>
        </w:rPr>
        <w:t>2016-2018 </w:t>
      </w:r>
      <w:r>
        <w:rPr/>
        <w:t>年综合毛利率分别为</w:t>
      </w:r>
      <w:r>
        <w:rPr>
          <w:spacing w:val="-73"/>
        </w:rPr>
        <w:t> </w:t>
      </w:r>
      <w:r>
        <w:rPr>
          <w:rFonts w:ascii="Times New Roman" w:hAnsi="Times New Roman" w:cs="Times New Roman" w:eastAsia="Times New Roman" w:hint="default"/>
        </w:rPr>
        <w:t>36.89%</w:t>
      </w:r>
      <w:r>
        <w:rPr/>
        <w:t>、</w:t>
      </w:r>
      <w:r>
        <w:rPr>
          <w:rFonts w:ascii="Times New Roman" w:hAnsi="Times New Roman" w:cs="Times New Roman" w:eastAsia="Times New Roman" w:hint="default"/>
        </w:rPr>
        <w:t>36.77%</w:t>
      </w:r>
      <w:r>
        <w:rPr/>
        <w:t>、</w:t>
      </w:r>
      <w:r>
        <w:rPr>
          <w:rFonts w:ascii="Times New Roman" w:hAnsi="Times New Roman" w:cs="Times New Roman" w:eastAsia="Times New Roman" w:hint="default"/>
        </w:rPr>
        <w:t>34.54%</w:t>
      </w:r>
      <w:r>
        <w:rPr/>
        <w:t>，公司毛利率水平主要</w:t>
      </w:r>
      <w:r>
        <w:rPr>
          <w:w w:val="99"/>
        </w:rPr>
        <w:t> </w:t>
      </w:r>
      <w:r>
        <w:rPr/>
        <w:t>受原材料价格、员工薪酬水平、客户预算、项目投标竞争态势等影响，随着智慧物流和智能</w:t>
      </w:r>
      <w:r>
        <w:rPr>
          <w:w w:val="99"/>
        </w:rPr>
        <w:t> </w:t>
      </w:r>
      <w:r>
        <w:rPr/>
        <w:t>制造系统行业竞争加剧，以及公司不断向其他下游应用行业拓展，不同行业、不同客户的项</w:t>
      </w:r>
      <w:r>
        <w:rPr>
          <w:w w:val="99"/>
        </w:rPr>
        <w:t> </w:t>
      </w:r>
      <w:r>
        <w:rPr/>
        <w:t>目毛利率水平相差较大，加上公司单个项目金额一般较大，所以公司综合毛利率可能随着当</w:t>
      </w:r>
      <w:r>
        <w:rPr>
          <w:w w:val="99"/>
        </w:rPr>
        <w:t> </w:t>
      </w:r>
      <w:r>
        <w:rPr/>
        <w:t>年确认收入的大项目毛利率的波动而产生较大的波动。</w:t>
      </w:r>
      <w:r>
        <w:rPr>
          <w:b w:val="0"/>
          <w:bCs w:val="0"/>
        </w:rPr>
      </w:r>
    </w:p>
    <w:p>
      <w:pPr>
        <w:pStyle w:val="Heading4"/>
        <w:spacing w:line="240" w:lineRule="auto" w:before="142"/>
        <w:ind w:left="635" w:right="1115"/>
        <w:jc w:val="left"/>
        <w:rPr>
          <w:b w:val="0"/>
          <w:bCs w:val="0"/>
        </w:rPr>
      </w:pPr>
      <w:r>
        <w:rPr>
          <w:rFonts w:ascii="Times New Roman" w:hAnsi="Times New Roman" w:cs="Times New Roman" w:eastAsia="Times New Roman" w:hint="default"/>
        </w:rPr>
        <w:t>3</w:t>
      </w:r>
      <w:r>
        <w:rPr/>
        <w:t>、应收账款回收风险</w:t>
      </w:r>
      <w:r>
        <w:rPr>
          <w:b w:val="0"/>
          <w:bCs w:val="0"/>
        </w:rPr>
      </w:r>
    </w:p>
    <w:p>
      <w:pPr>
        <w:spacing w:line="240" w:lineRule="auto" w:before="12"/>
        <w:rPr>
          <w:rFonts w:ascii="宋体" w:hAnsi="宋体" w:cs="宋体" w:eastAsia="宋体" w:hint="default"/>
          <w:b/>
          <w:bCs/>
          <w:sz w:val="17"/>
          <w:szCs w:val="17"/>
        </w:rPr>
      </w:pPr>
    </w:p>
    <w:p>
      <w:pPr>
        <w:pStyle w:val="Heading4"/>
        <w:spacing w:line="240" w:lineRule="auto"/>
        <w:ind w:left="635" w:right="998"/>
        <w:jc w:val="left"/>
        <w:rPr>
          <w:b w:val="0"/>
          <w:bCs w:val="0"/>
        </w:rPr>
      </w:pPr>
      <w:r>
        <w:rPr/>
        <w:t>公司</w:t>
      </w:r>
      <w:r>
        <w:rPr>
          <w:spacing w:val="-61"/>
        </w:rPr>
        <w:t> </w:t>
      </w:r>
      <w:r>
        <w:rPr>
          <w:rFonts w:ascii="Times New Roman" w:hAnsi="Times New Roman" w:cs="Times New Roman" w:eastAsia="Times New Roman" w:hint="default"/>
        </w:rPr>
        <w:t>2016-2018</w:t>
      </w:r>
      <w:r>
        <w:rPr>
          <w:rFonts w:ascii="Times New Roman" w:hAnsi="Times New Roman" w:cs="Times New Roman" w:eastAsia="Times New Roman" w:hint="default"/>
          <w:spacing w:val="-2"/>
        </w:rPr>
        <w:t> </w:t>
      </w:r>
      <w:r>
        <w:rPr/>
        <w:t>年近三年应收账款余额较大，分别是</w:t>
      </w:r>
      <w:r>
        <w:rPr>
          <w:spacing w:val="-59"/>
        </w:rPr>
        <w:t> </w:t>
      </w:r>
      <w:r>
        <w:rPr>
          <w:rFonts w:ascii="Times New Roman" w:hAnsi="Times New Roman" w:cs="Times New Roman" w:eastAsia="Times New Roman" w:hint="default"/>
        </w:rPr>
        <w:t>41,730.65</w:t>
      </w:r>
      <w:r>
        <w:rPr>
          <w:rFonts w:ascii="Times New Roman" w:hAnsi="Times New Roman" w:cs="Times New Roman" w:eastAsia="Times New Roman" w:hint="default"/>
          <w:spacing w:val="-2"/>
        </w:rPr>
        <w:t> </w:t>
      </w:r>
      <w:r>
        <w:rPr/>
        <w:t>万元、</w:t>
      </w:r>
      <w:r>
        <w:rPr>
          <w:spacing w:val="-2"/>
        </w:rPr>
        <w:t> </w:t>
      </w:r>
      <w:r>
        <w:rPr>
          <w:rFonts w:ascii="Times New Roman" w:hAnsi="Times New Roman" w:cs="Times New Roman" w:eastAsia="Times New Roman" w:hint="default"/>
        </w:rPr>
        <w:t>48,654.87</w:t>
      </w:r>
      <w:r>
        <w:rPr>
          <w:rFonts w:ascii="Times New Roman" w:hAnsi="Times New Roman" w:cs="Times New Roman" w:eastAsia="Times New Roman" w:hint="default"/>
          <w:spacing w:val="-2"/>
        </w:rPr>
        <w:t> </w:t>
      </w:r>
      <w:r>
        <w:rPr/>
        <w:t>万元、</w:t>
      </w:r>
      <w:r>
        <w:rPr>
          <w:b w:val="0"/>
          <w:bCs w:val="0"/>
        </w:rPr>
      </w:r>
    </w:p>
    <w:p>
      <w:pPr>
        <w:pStyle w:val="Heading4"/>
        <w:spacing w:line="348" w:lineRule="auto" w:before="135"/>
        <w:ind w:right="1013"/>
        <w:jc w:val="both"/>
        <w:rPr>
          <w:b w:val="0"/>
          <w:bCs w:val="0"/>
        </w:rPr>
      </w:pPr>
      <w:r>
        <w:rPr>
          <w:rFonts w:ascii="Times New Roman" w:hAnsi="Times New Roman" w:cs="Times New Roman" w:eastAsia="Times New Roman" w:hint="default"/>
        </w:rPr>
        <w:t>48,523.32 </w:t>
      </w:r>
      <w:r>
        <w:rPr/>
        <w:t>万元，占总资产比例分别为</w:t>
      </w:r>
      <w:r>
        <w:rPr>
          <w:spacing w:val="-45"/>
        </w:rPr>
        <w:t> </w:t>
      </w:r>
      <w:r>
        <w:rPr>
          <w:rFonts w:ascii="Times New Roman" w:hAnsi="Times New Roman" w:cs="Times New Roman" w:eastAsia="Times New Roman" w:hint="default"/>
        </w:rPr>
        <w:t>35.95%</w:t>
      </w:r>
      <w:r>
        <w:rPr/>
        <w:t>、</w:t>
      </w:r>
      <w:r>
        <w:rPr>
          <w:rFonts w:ascii="Times New Roman" w:hAnsi="Times New Roman" w:cs="Times New Roman" w:eastAsia="Times New Roman" w:hint="default"/>
        </w:rPr>
        <w:t>37.4%</w:t>
      </w:r>
      <w:r>
        <w:rPr/>
        <w:t>、</w:t>
      </w:r>
      <w:r>
        <w:rPr>
          <w:rFonts w:ascii="Times New Roman" w:hAnsi="Times New Roman" w:cs="Times New Roman" w:eastAsia="Times New Roman" w:hint="default"/>
        </w:rPr>
        <w:t>32.11%</w:t>
      </w:r>
      <w:r>
        <w:rPr/>
        <w:t>。应收账款余额较大，主要</w:t>
      </w:r>
      <w:r>
        <w:rPr>
          <w:w w:val="99"/>
        </w:rPr>
        <w:t> </w:t>
      </w:r>
      <w:r>
        <w:rPr/>
        <w:t>与公司智能系统集成项目分阶段收款模式相关。按主要合同约定的收款模式，在项目确认收</w:t>
      </w:r>
      <w:r>
        <w:rPr>
          <w:w w:val="99"/>
        </w:rPr>
        <w:t> </w:t>
      </w:r>
      <w:r>
        <w:rPr/>
        <w:t>入时，公司通常已累计收取合同金额</w:t>
      </w:r>
      <w:r>
        <w:rPr>
          <w:spacing w:val="-82"/>
        </w:rPr>
        <w:t> </w:t>
      </w:r>
      <w:r>
        <w:rPr>
          <w:rFonts w:ascii="Times New Roman" w:hAnsi="Times New Roman" w:cs="Times New Roman" w:eastAsia="Times New Roman" w:hint="default"/>
        </w:rPr>
        <w:t>60%-75%</w:t>
      </w:r>
      <w:r>
        <w:rPr/>
        <w:t>款项。因此，公司智能系统项目确认收入后，</w:t>
      </w:r>
      <w:r>
        <w:rPr>
          <w:b w:val="0"/>
          <w:bCs w:val="0"/>
        </w:rPr>
      </w:r>
    </w:p>
    <w:p>
      <w:pPr>
        <w:spacing w:after="0" w:line="348" w:lineRule="auto"/>
        <w:jc w:val="both"/>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25"/>
          <w:szCs w:val="25"/>
        </w:rPr>
      </w:pPr>
    </w:p>
    <w:p>
      <w:pPr>
        <w:pStyle w:val="Heading4"/>
        <w:spacing w:line="345" w:lineRule="auto" w:before="26"/>
        <w:ind w:right="1130"/>
        <w:jc w:val="both"/>
        <w:rPr>
          <w:b w:val="0"/>
          <w:bCs w:val="0"/>
        </w:rPr>
      </w:pPr>
      <w:r>
        <w:rPr/>
        <w:t>尚有</w:t>
      </w:r>
      <w:r>
        <w:rPr>
          <w:spacing w:val="27"/>
        </w:rPr>
        <w:t> </w:t>
      </w:r>
      <w:r>
        <w:rPr>
          <w:rFonts w:ascii="Times New Roman" w:hAnsi="Times New Roman" w:cs="Times New Roman" w:eastAsia="Times New Roman" w:hint="default"/>
        </w:rPr>
        <w:t>20%-30%</w:t>
      </w:r>
      <w:r>
        <w:rPr/>
        <w:t>左右的款项待项目终验后向客户收取。智能系统项目的商业运行时间通常为</w:t>
      </w:r>
      <w:r>
        <w:rPr>
          <w:spacing w:val="-117"/>
        </w:rPr>
        <w:t> </w:t>
      </w:r>
      <w:r>
        <w:rPr>
          <w:spacing w:val="-117"/>
        </w:rPr>
      </w:r>
      <w:r>
        <w:rPr>
          <w:rFonts w:ascii="Times New Roman" w:hAnsi="Times New Roman" w:cs="Times New Roman" w:eastAsia="Times New Roman" w:hint="default"/>
        </w:rPr>
        <w:t>3-6</w:t>
      </w:r>
      <w:r>
        <w:rPr>
          <w:rFonts w:ascii="Times New Roman" w:hAnsi="Times New Roman" w:cs="Times New Roman" w:eastAsia="Times New Roman" w:hint="default"/>
          <w:spacing w:val="26"/>
        </w:rPr>
        <w:t> </w:t>
      </w:r>
      <w:r>
        <w:rPr/>
        <w:t>个月，且下游客户对外付款时需履行较严格的付款审批流程，导致期末应收账款余额较</w:t>
      </w:r>
      <w:r>
        <w:rPr>
          <w:spacing w:val="-117"/>
        </w:rPr>
        <w:t> </w:t>
      </w:r>
      <w:r>
        <w:rPr>
          <w:spacing w:val="-117"/>
        </w:rPr>
      </w:r>
      <w:r>
        <w:rPr>
          <w:spacing w:val="-9"/>
        </w:rPr>
        <w:t>大。此外，项目终验后，客户仍保留合同金额</w:t>
      </w:r>
      <w:r>
        <w:rPr>
          <w:spacing w:val="-73"/>
        </w:rPr>
        <w:t> </w:t>
      </w:r>
      <w:r>
        <w:rPr>
          <w:rFonts w:ascii="Times New Roman" w:hAnsi="Times New Roman" w:cs="Times New Roman" w:eastAsia="Times New Roman" w:hint="default"/>
          <w:spacing w:val="-5"/>
        </w:rPr>
        <w:t>10%</w:t>
      </w:r>
      <w:r>
        <w:rPr>
          <w:spacing w:val="-5"/>
        </w:rPr>
        <w:t>左右的款项作为质保金，于项目质保期（质</w:t>
      </w:r>
      <w:r>
        <w:rPr>
          <w:w w:val="99"/>
        </w:rPr>
        <w:t> </w:t>
      </w:r>
      <w:r>
        <w:rPr/>
        <w:t>保期通常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年）结束后支付，亦形成了公司应收账款。一方面，虽然公司的主要客户来自</w:t>
      </w:r>
      <w:r>
        <w:rPr>
          <w:w w:val="99"/>
        </w:rPr>
        <w:t> </w:t>
      </w:r>
      <w:r>
        <w:rPr/>
        <w:t>知名大中型企业，存在坏账的可能性较小，但由于受到客户终验进度、客户审计、预算以及</w:t>
      </w:r>
      <w:r>
        <w:rPr>
          <w:w w:val="99"/>
        </w:rPr>
        <w:t> </w:t>
      </w:r>
      <w:r>
        <w:rPr/>
        <w:t>经营情况的影响，可能会使账期延长。另一方面公司近年来积极向其他行业拓展，各行业的</w:t>
      </w:r>
      <w:r>
        <w:rPr>
          <w:w w:val="99"/>
        </w:rPr>
        <w:t> </w:t>
      </w:r>
      <w:r>
        <w:rPr/>
        <w:t>收款模式也存在多样化，新拓展行业的终验前期收款比例有所下降，而应收账款比例也会相</w:t>
      </w:r>
      <w:r>
        <w:rPr>
          <w:w w:val="99"/>
        </w:rPr>
        <w:t> </w:t>
      </w:r>
      <w:r>
        <w:rPr/>
        <w:t>应增长。</w:t>
      </w:r>
      <w:r>
        <w:rPr>
          <w:b w:val="0"/>
          <w:bCs w:val="0"/>
        </w:rPr>
      </w:r>
    </w:p>
    <w:p>
      <w:pPr>
        <w:pStyle w:val="Heading4"/>
        <w:spacing w:line="240" w:lineRule="auto" w:before="149"/>
        <w:ind w:left="635" w:right="998"/>
        <w:jc w:val="left"/>
        <w:rPr>
          <w:b w:val="0"/>
          <w:bCs w:val="0"/>
        </w:rPr>
      </w:pPr>
      <w:r>
        <w:rPr/>
        <w:t>公司经董事会审议通过的利润分配预案为：以截至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2"/>
        </w:rPr>
        <w:t> </w:t>
      </w:r>
      <w:r>
        <w:rPr/>
        <w:t>日公司股本总数</w:t>
      </w:r>
      <w:r>
        <w:rPr>
          <w:b w:val="0"/>
          <w:bCs w:val="0"/>
        </w:rPr>
      </w:r>
    </w:p>
    <w:p>
      <w:pPr>
        <w:pStyle w:val="Heading4"/>
        <w:spacing w:line="240" w:lineRule="auto" w:before="136"/>
        <w:ind w:right="0"/>
        <w:jc w:val="both"/>
        <w:rPr>
          <w:b w:val="0"/>
          <w:bCs w:val="0"/>
        </w:rPr>
      </w:pPr>
      <w:r>
        <w:rPr>
          <w:rFonts w:ascii="Times New Roman" w:hAnsi="Times New Roman" w:cs="Times New Roman" w:eastAsia="Times New Roman" w:hint="default"/>
        </w:rPr>
        <w:t>277,253,280  </w:t>
      </w:r>
      <w:r>
        <w:rPr>
          <w:spacing w:val="8"/>
        </w:rPr>
        <w:t>股</w:t>
      </w:r>
      <w:r>
        <w:rPr>
          <w:rFonts w:ascii="Times New Roman" w:hAnsi="Times New Roman" w:cs="Times New Roman" w:eastAsia="Times New Roman" w:hint="default"/>
          <w:spacing w:val="8"/>
        </w:rPr>
        <w:t>,</w:t>
      </w:r>
      <w:r>
        <w:rPr>
          <w:spacing w:val="8"/>
        </w:rPr>
        <w:t>扣除拟回购注销 </w:t>
      </w:r>
      <w:r>
        <w:rPr>
          <w:rFonts w:ascii="Times New Roman" w:hAnsi="Times New Roman" w:cs="Times New Roman" w:eastAsia="Times New Roman" w:hint="default"/>
        </w:rPr>
        <w:t>88 </w:t>
      </w:r>
      <w:r>
        <w:rPr>
          <w:rFonts w:ascii="Times New Roman" w:hAnsi="Times New Roman" w:cs="Times New Roman" w:eastAsia="Times New Roman" w:hint="default"/>
          <w:spacing w:val="4"/>
        </w:rPr>
        <w:t> </w:t>
      </w:r>
      <w:r>
        <w:rPr>
          <w:spacing w:val="9"/>
        </w:rPr>
        <w:t>名激励对象合计持有的已授予尚未解锁的限制性股票</w:t>
      </w:r>
      <w:r>
        <w:rPr>
          <w:b w:val="0"/>
          <w:bCs w:val="0"/>
          <w:spacing w:val="9"/>
        </w:rPr>
      </w:r>
    </w:p>
    <w:p>
      <w:pPr>
        <w:pStyle w:val="Heading4"/>
        <w:spacing w:line="240" w:lineRule="auto" w:before="135"/>
        <w:ind w:right="0"/>
        <w:jc w:val="both"/>
        <w:rPr>
          <w:b w:val="0"/>
          <w:bCs w:val="0"/>
        </w:rPr>
      </w:pPr>
      <w:r>
        <w:rPr>
          <w:rFonts w:ascii="Times New Roman" w:hAnsi="Times New Roman" w:cs="Times New Roman" w:eastAsia="Times New Roman" w:hint="default"/>
        </w:rPr>
        <w:t>2,218,536</w:t>
      </w:r>
      <w:r>
        <w:rPr>
          <w:rFonts w:ascii="Times New Roman" w:hAnsi="Times New Roman" w:cs="Times New Roman" w:eastAsia="Times New Roman" w:hint="default"/>
          <w:spacing w:val="-1"/>
        </w:rPr>
        <w:t> </w:t>
      </w:r>
      <w:r>
        <w:rPr/>
        <w:t>股后的总股本</w:t>
      </w:r>
      <w:r>
        <w:rPr>
          <w:spacing w:val="-60"/>
        </w:rPr>
        <w:t> </w:t>
      </w:r>
      <w:r>
        <w:rPr>
          <w:rFonts w:ascii="Times New Roman" w:hAnsi="Times New Roman" w:cs="Times New Roman" w:eastAsia="Times New Roman" w:hint="default"/>
        </w:rPr>
        <w:t>275,034,744</w:t>
      </w:r>
      <w:r>
        <w:rPr>
          <w:rFonts w:ascii="Times New Roman" w:hAnsi="Times New Roman" w:cs="Times New Roman" w:eastAsia="Times New Roman" w:hint="default"/>
          <w:spacing w:val="-1"/>
        </w:rPr>
        <w:t> </w:t>
      </w:r>
      <w:r>
        <w:rPr>
          <w:spacing w:val="-5"/>
        </w:rPr>
        <w:t>股为基数，向全体股东每</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股派发现金红利</w:t>
      </w:r>
      <w:r>
        <w:rPr>
          <w:spacing w:val="-59"/>
        </w:rPr>
        <w:t> </w:t>
      </w:r>
      <w:r>
        <w:rPr>
          <w:rFonts w:ascii="Times New Roman" w:hAnsi="Times New Roman" w:cs="Times New Roman" w:eastAsia="Times New Roman" w:hint="default"/>
        </w:rPr>
        <w:t>0.60</w:t>
      </w:r>
      <w:r>
        <w:rPr>
          <w:rFonts w:ascii="Times New Roman" w:hAnsi="Times New Roman" w:cs="Times New Roman" w:eastAsia="Times New Roman" w:hint="default"/>
          <w:spacing w:val="-4"/>
        </w:rPr>
        <w:t> </w:t>
      </w:r>
      <w:r>
        <w:rPr>
          <w:spacing w:val="-18"/>
        </w:rPr>
        <w:t>元（含</w:t>
      </w:r>
      <w:r>
        <w:rPr>
          <w:b w:val="0"/>
          <w:bCs w:val="0"/>
          <w:spacing w:val="-18"/>
        </w:rPr>
      </w:r>
    </w:p>
    <w:p>
      <w:pPr>
        <w:pStyle w:val="Heading4"/>
        <w:spacing w:line="240" w:lineRule="auto" w:before="135"/>
        <w:ind w:right="0"/>
        <w:jc w:val="both"/>
        <w:rPr>
          <w:b w:val="0"/>
          <w:bCs w:val="0"/>
        </w:rPr>
      </w:pPr>
      <w:r>
        <w:rPr>
          <w:spacing w:val="2"/>
          <w:w w:val="99"/>
        </w:rPr>
        <w:t>税</w:t>
      </w:r>
      <w:r>
        <w:rPr>
          <w:spacing w:val="-120"/>
          <w:w w:val="99"/>
        </w:rPr>
        <w:t>）</w:t>
      </w:r>
      <w:r>
        <w:rPr>
          <w:w w:val="99"/>
        </w:rPr>
        <w:t>，</w:t>
      </w:r>
      <w:r>
        <w:rPr>
          <w:spacing w:val="2"/>
          <w:w w:val="99"/>
        </w:rPr>
        <w:t>送</w:t>
      </w:r>
      <w:r>
        <w:rPr>
          <w:w w:val="99"/>
        </w:rPr>
        <w:t>红股</w:t>
      </w:r>
      <w:r>
        <w:rPr>
          <w:spacing w:val="-58"/>
        </w:rPr>
        <w:t> </w:t>
      </w:r>
      <w:r>
        <w:rPr>
          <w:rFonts w:ascii="Times New Roman" w:hAnsi="Times New Roman" w:cs="Times New Roman" w:eastAsia="Times New Roman" w:hint="default"/>
        </w:rPr>
        <w:t>0 </w:t>
      </w:r>
      <w:r>
        <w:rPr>
          <w:w w:val="99"/>
        </w:rPr>
        <w:t>股</w:t>
      </w:r>
      <w:r>
        <w:rPr>
          <w:spacing w:val="2"/>
          <w:w w:val="99"/>
        </w:rPr>
        <w:t>（</w:t>
      </w:r>
      <w:r>
        <w:rPr>
          <w:w w:val="99"/>
        </w:rPr>
        <w:t>含</w:t>
      </w:r>
      <w:r>
        <w:rPr>
          <w:spacing w:val="2"/>
          <w:w w:val="99"/>
        </w:rPr>
        <w:t>税</w:t>
      </w:r>
      <w:r>
        <w:rPr>
          <w:spacing w:val="-120"/>
          <w:w w:val="99"/>
        </w:rPr>
        <w:t>）</w:t>
      </w:r>
      <w:r>
        <w:rPr>
          <w:w w:val="99"/>
        </w:rPr>
        <w:t>，</w:t>
      </w:r>
      <w:r>
        <w:rPr>
          <w:spacing w:val="2"/>
          <w:w w:val="99"/>
        </w:rPr>
        <w:t>以</w:t>
      </w:r>
      <w:r>
        <w:rPr>
          <w:w w:val="99"/>
        </w:rPr>
        <w:t>资</w:t>
      </w:r>
      <w:r>
        <w:rPr>
          <w:spacing w:val="2"/>
          <w:w w:val="99"/>
        </w:rPr>
        <w:t>本</w:t>
      </w:r>
      <w:r>
        <w:rPr>
          <w:w w:val="99"/>
        </w:rPr>
        <w:t>公积</w:t>
      </w:r>
      <w:r>
        <w:rPr>
          <w:spacing w:val="2"/>
          <w:w w:val="99"/>
        </w:rPr>
        <w:t>金</w:t>
      </w:r>
      <w:r>
        <w:rPr>
          <w:w w:val="99"/>
        </w:rPr>
        <w:t>向</w:t>
      </w:r>
      <w:r>
        <w:rPr>
          <w:spacing w:val="2"/>
          <w:w w:val="99"/>
        </w:rPr>
        <w:t>全</w:t>
      </w:r>
      <w:r>
        <w:rPr>
          <w:w w:val="99"/>
        </w:rPr>
        <w:t>体</w:t>
      </w:r>
      <w:r>
        <w:rPr>
          <w:spacing w:val="2"/>
          <w:w w:val="99"/>
        </w:rPr>
        <w:t>股</w:t>
      </w:r>
      <w:r>
        <w:rPr>
          <w:w w:val="99"/>
        </w:rPr>
        <w:t>东每</w:t>
      </w:r>
      <w:r>
        <w:rPr>
          <w:spacing w:val="-56"/>
        </w:rPr>
        <w:t> </w:t>
      </w:r>
      <w:r>
        <w:rPr>
          <w:rFonts w:ascii="Times New Roman" w:hAnsi="Times New Roman" w:cs="Times New Roman" w:eastAsia="Times New Roman" w:hint="default"/>
        </w:rPr>
        <w:t>10 </w:t>
      </w:r>
      <w:r>
        <w:rPr>
          <w:w w:val="99"/>
        </w:rPr>
        <w:t>股转增</w:t>
      </w:r>
      <w:r>
        <w:rPr>
          <w:spacing w:val="-61"/>
        </w:rPr>
        <w:t> </w:t>
      </w:r>
      <w:r>
        <w:rPr>
          <w:rFonts w:ascii="Times New Roman" w:hAnsi="Times New Roman" w:cs="Times New Roman" w:eastAsia="Times New Roman" w:hint="default"/>
        </w:rPr>
        <w:t>0 </w:t>
      </w:r>
      <w:r>
        <w:rPr>
          <w:spacing w:val="2"/>
          <w:w w:val="99"/>
        </w:rPr>
        <w:t>股。</w:t>
      </w:r>
      <w:r>
        <w:rPr>
          <w:b w:val="0"/>
          <w:bCs w:val="0"/>
        </w:rPr>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133" w:right="11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8"/>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8"/>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9">
            <w:r>
              <w:rPr/>
              <w:t>第三节</w:t>
            </w:r>
            <w:r>
              <w:rPr>
                <w:spacing w:val="-18"/>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8"/>
              </w:rPr>
              <w:t> </w:t>
            </w:r>
            <w:r>
              <w:rPr/>
              <w:t>经营情况讨论与分析</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8"/>
              </w:rPr>
              <w:t> </w:t>
            </w:r>
            <w:r>
              <w:rPr/>
              <w:t>重要事项</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8"/>
              </w:rPr>
              <w:t> </w:t>
            </w:r>
            <w:r>
              <w:rPr/>
              <w:t>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8"/>
              </w:rPr>
              <w:t> </w:t>
            </w:r>
            <w:r>
              <w:rPr/>
              <w:t>优先股相关情况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8"/>
              </w:rPr>
              <w:t> </w:t>
            </w:r>
            <w:r>
              <w:rPr/>
              <w:t>董事、监事、高级管理人员和员工情况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8"/>
              </w:rPr>
              <w:t> </w:t>
            </w:r>
            <w:r>
              <w:rPr/>
              <w:t>公司治理</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2">
            <w:r>
              <w:rPr/>
              <w:t>第十节</w:t>
            </w:r>
            <w:r>
              <w:rPr>
                <w:spacing w:val="-18"/>
              </w:rPr>
              <w:t> </w:t>
            </w:r>
            <w:r>
              <w:rPr/>
              <w:t>公司债券相关情况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7"/>
              </w:rPr>
              <w:t> </w:t>
            </w:r>
            <w:r>
              <w:rPr/>
              <w:t>财务报告</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18"/>
              </w:rPr>
              <w:t> </w:t>
            </w:r>
            <w:r>
              <w:rPr/>
              <w:t>备查文件目录</w:t>
            </w:r>
            <w:r>
              <w:rPr>
                <w:rFonts w:ascii="Times New Roman" w:hAnsi="Times New Roman" w:cs="Times New Roman" w:eastAsia="Times New Roman" w:hint="default"/>
              </w:rPr>
              <w:tab/>
              <w:t>180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133" w:right="1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今天国际、本公司、公司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保荐人、保荐机构、华林证券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华林证券股份有限公司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会计师事务所、注册会计师、立信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r>
              <w:rPr>
                <w:rFonts w:ascii="宋体" w:hAnsi="宋体" w:cs="宋体" w:eastAsia="宋体" w:hint="default"/>
                <w:spacing w:val="1"/>
                <w:sz w:val="18"/>
                <w:szCs w:val="18"/>
              </w:rPr>
              <w:t> </w:t>
            </w:r>
            <w:r>
              <w:rPr>
                <w:rFonts w:ascii="宋体" w:hAnsi="宋体" w:cs="宋体" w:eastAsia="宋体" w:hint="default"/>
                <w:sz w:val="18"/>
                <w:szCs w:val="18"/>
              </w:rPr>
              <w:t>、交易所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深圳市今天国际软件技术有限公司，今天国际全资软件子公司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机器人子公司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深圳市今天国际智能机器人有限公司，今天国际全资机器人子公司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今天香港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今天国际物流科技有限公司（香港</w:t>
            </w:r>
            <w:r>
              <w:rPr>
                <w:rFonts w:ascii="宋体" w:hAnsi="宋体" w:cs="宋体" w:eastAsia="宋体" w:hint="default"/>
                <w:spacing w:val="-92"/>
                <w:sz w:val="18"/>
                <w:szCs w:val="18"/>
              </w:rPr>
              <w:t>）</w:t>
            </w:r>
            <w:r>
              <w:rPr>
                <w:rFonts w:ascii="宋体" w:hAnsi="宋体" w:cs="宋体" w:eastAsia="宋体" w:hint="default"/>
                <w:sz w:val="18"/>
                <w:szCs w:val="18"/>
              </w:rPr>
              <w:t>，今天国际全资子公司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旭龙昇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深圳市旭龙昇电子有限公司，今天国际持股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33%</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北京华迅</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北京今天华迅智能技术有限公司，今天国际全资子公司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上海华峰</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上海今天华峰智能系统有限公司，今天国际全资子公司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科佛科技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深圳市科佛科技有限公司，今天国际持股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23.13%</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安徽中烟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安徽中烟工业有限责任公司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福建中烟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福建中烟工业有限责任公司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湖北中烟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湖北中烟工业有限责任公司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广东中烟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广东中烟工业有限责任公司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宁德时代新能源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宁德时代新能源科技股份有限公司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华润万家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华润万家生活超市（东莞）有限公司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中科炼化</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中科合资广东炼化一体化项目</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比亚迪</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比亚迪股份有限公司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《深圳市今天国际物流技术股份有限公司公司章程》</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深圳市今天国际物流技术股份有限公司股东大会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深圳市今天国际物流技术股份有限公司董事会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深圳市今天国际物流技术股份有限公司监事会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亿元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亿元</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期末、本期末、报告期末</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1115"/>
        <w:jc w:val="left"/>
        <w:rPr>
          <w:b w:val="0"/>
          <w:bCs w:val="0"/>
        </w:rPr>
      </w:pPr>
      <w:bookmarkStart w:name="_TOC_250010"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1115"/>
        <w:jc w:val="left"/>
        <w:rPr>
          <w:b w:val="0"/>
          <w:bCs w:val="0"/>
        </w:rPr>
      </w:pPr>
      <w:r>
        <w:rPr/>
        <w:pict>
          <v:shape style="position:absolute;margin-left:138pt;margin-top:114.675598pt;width:396.95pt;height:19.7pt;mso-position-horizontal-relative:page;mso-position-vertical-relative:paragraph;z-index:-894424"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今天国际</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300532</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今天国际</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NEW</w:t>
            </w:r>
            <w:r>
              <w:rPr>
                <w:rFonts w:ascii="Times New Roman"/>
                <w:spacing w:val="-17"/>
                <w:sz w:val="18"/>
              </w:rPr>
              <w:t> </w:t>
            </w:r>
            <w:r>
              <w:rPr>
                <w:rFonts w:ascii="Times New Roman"/>
                <w:sz w:val="18"/>
              </w:rPr>
              <w:t>TREND</w:t>
            </w:r>
            <w:r>
              <w:rPr>
                <w:rFonts w:ascii="Times New Roman"/>
                <w:spacing w:val="-12"/>
                <w:sz w:val="18"/>
              </w:rPr>
              <w:t> </w:t>
            </w:r>
            <w:r>
              <w:rPr>
                <w:rFonts w:ascii="Times New Roman"/>
                <w:sz w:val="18"/>
              </w:rPr>
              <w:t>INTERNATIONAL</w:t>
            </w:r>
            <w:r>
              <w:rPr>
                <w:rFonts w:ascii="Times New Roman"/>
                <w:spacing w:val="-17"/>
                <w:sz w:val="18"/>
              </w:rPr>
              <w:t> </w:t>
            </w:r>
            <w:r>
              <w:rPr>
                <w:rFonts w:ascii="Times New Roman"/>
                <w:sz w:val="18"/>
              </w:rPr>
              <w:t>LOGIS-TECH</w:t>
            </w:r>
            <w:r>
              <w:rPr>
                <w:rFonts w:ascii="Times New Roman"/>
                <w:spacing w:val="-12"/>
                <w:sz w:val="18"/>
              </w:rPr>
              <w:t> </w:t>
            </w:r>
            <w:r>
              <w:rPr>
                <w:rFonts w:ascii="Times New Roman"/>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NTI</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邵健伟</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深圳市罗湖区笋岗东路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宝安广场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r>
              <w:rPr>
                <w:rFonts w:ascii="Times New Roman" w:hAnsi="Times New Roman" w:cs="Times New Roman" w:eastAsia="Times New Roman" w:hint="default"/>
                <w:sz w:val="18"/>
                <w:szCs w:val="18"/>
              </w:rPr>
              <w:t>G</w:t>
            </w:r>
            <w:r>
              <w:rPr>
                <w:rFonts w:ascii="宋体" w:hAnsi="宋体" w:cs="宋体" w:eastAsia="宋体" w:hint="default"/>
                <w:sz w:val="18"/>
                <w:szCs w:val="18"/>
              </w:rPr>
              <w:t>、</w:t>
            </w:r>
            <w:r>
              <w:rPr>
                <w:rFonts w:ascii="Times New Roman" w:hAnsi="Times New Roman" w:cs="Times New Roman" w:eastAsia="Times New Roman" w:hint="default"/>
                <w:sz w:val="18"/>
                <w:szCs w:val="18"/>
              </w:rPr>
              <w:t>H</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518020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深圳市罗湖区笋岗东路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宝安广场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r>
              <w:rPr>
                <w:rFonts w:ascii="Times New Roman" w:hAnsi="Times New Roman" w:cs="Times New Roman" w:eastAsia="Times New Roman" w:hint="default"/>
                <w:sz w:val="18"/>
                <w:szCs w:val="18"/>
              </w:rPr>
              <w:t>G</w:t>
            </w:r>
            <w:r>
              <w:rPr>
                <w:rFonts w:ascii="宋体" w:hAnsi="宋体" w:cs="宋体" w:eastAsia="宋体" w:hint="default"/>
                <w:sz w:val="18"/>
                <w:szCs w:val="18"/>
              </w:rPr>
              <w:t>、</w:t>
            </w:r>
            <w:r>
              <w:rPr>
                <w:rFonts w:ascii="Times New Roman" w:hAnsi="Times New Roman" w:cs="Times New Roman" w:eastAsia="Times New Roman" w:hint="default"/>
                <w:sz w:val="18"/>
                <w:szCs w:val="18"/>
              </w:rPr>
              <w:t>H</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518020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http://www.nti56.com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info@nti56.com</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1115"/>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张永清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杨金平</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深圳市罗湖区笋岗东路宝安广场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深圳市罗湖区笋岗东路宝安广场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楼</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0755-82684590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0755-82684590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0755-25161166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0755-25161166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zhyq@nti56.com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yjp@nti56.com</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1115"/>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公司董事会办公室、深圳证券交易所</w:t>
            </w:r>
          </w:p>
        </w:tc>
      </w:tr>
    </w:tbl>
    <w:p>
      <w:pPr>
        <w:spacing w:line="240" w:lineRule="auto" w:before="1"/>
        <w:rPr>
          <w:rFonts w:ascii="宋体" w:hAnsi="宋体" w:cs="宋体" w:eastAsia="宋体" w:hint="default"/>
          <w:b/>
          <w:bCs/>
          <w:sz w:val="18"/>
          <w:szCs w:val="18"/>
        </w:rPr>
      </w:pPr>
    </w:p>
    <w:p>
      <w:pPr>
        <w:pStyle w:val="Heading4"/>
        <w:spacing w:line="240" w:lineRule="auto" w:before="26"/>
        <w:ind w:right="1115"/>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t>公司聘请的会计师事务所</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 </w:t>
            </w:r>
            <w:r>
              <w:rPr>
                <w:rFonts w:ascii="宋体" w:hAnsi="宋体" w:cs="宋体" w:eastAsia="宋体" w:hint="default"/>
                <w:sz w:val="18"/>
                <w:szCs w:val="18"/>
              </w:rPr>
              <w:t>号新黄浦金融大厦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崔岩、徐冬冬</w:t>
            </w:r>
          </w:p>
        </w:tc>
      </w:tr>
    </w:tbl>
    <w:p>
      <w:pPr>
        <w:pStyle w:val="BodyText"/>
        <w:spacing w:line="240" w:lineRule="auto" w:before="49"/>
        <w:ind w:right="1115"/>
        <w:jc w:val="left"/>
      </w:pPr>
      <w:r>
        <w:rPr/>
        <w:t>公司聘请的报告期内履行持续督导职责的保荐机构</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华林证券股份有限公司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西藏自治区拉萨市柳梧新区 察古大道</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号君泰国际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 一层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朱文瑾、赵桂荣</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1115"/>
        <w:jc w:val="left"/>
      </w:pPr>
      <w:r>
        <w:rPr/>
        <w:t>公司聘请的报告期内履行持续督导职责的财务顾问</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115"/>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t>公司是否需追溯调整或重述以前年度会计数据</w:t>
      </w:r>
    </w:p>
    <w:p>
      <w:pPr>
        <w:pStyle w:val="BodyText"/>
        <w:spacing w:line="350" w:lineRule="auto" w:before="115"/>
        <w:ind w:right="91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追溯调整或重述原因 其他原因</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360"/>
        <w:gridCol w:w="1201"/>
        <w:gridCol w:w="1202"/>
        <w:gridCol w:w="1200"/>
        <w:gridCol w:w="1202"/>
        <w:gridCol w:w="1201"/>
        <w:gridCol w:w="1202"/>
      </w:tblGrid>
      <w:tr>
        <w:trPr>
          <w:trHeight w:val="714"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06" w:right="55" w:hanging="452"/>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416,147,308.87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569,617,745.01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569,617,745.01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-26.94%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398,637,531.94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398,637,531.94</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18,219,848.27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93,204,793.30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93,204,793.30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-80.45%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54,640,292.85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54,640,292.85</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12,722,267.96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81,116,980.56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81,116,980.56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-84.32%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49,331,187.42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49,331,187.42</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149,681,954.35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-71,527.92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-71,527.92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209,363.68%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-1,549,029.33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-1,549,029.33</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-79.41%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0.24</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-79.41%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0.24</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12.36%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12.36%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10.98%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10.98%</w:t>
            </w:r>
          </w:p>
        </w:tc>
      </w:tr>
      <w:tr>
        <w:trPr>
          <w:trHeight w:val="715"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6" w:right="55" w:hanging="27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2"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2"/>
                <w:sz w:val="15"/>
              </w:rPr>
              <w:t>1,511,315,417.05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1,300,873,384.06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1,300,873,384.06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7"/>
              <w:jc w:val="right"/>
              <w:rPr>
                <w:rFonts w:ascii="Times New Roman" w:hAnsi="Times New Roman" w:cs="Times New Roman" w:eastAsia="Times New Roman" w:hint="default"/>
                <w:sz w:val="15"/>
                <w:szCs w:val="15"/>
              </w:rPr>
            </w:pPr>
            <w:r>
              <w:rPr>
                <w:rFonts w:ascii="Times New Roman"/>
                <w:spacing w:val="-1"/>
                <w:sz w:val="15"/>
              </w:rPr>
              <w:t>1,160,780,992.99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1,160,780,992.99</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768,559,452.88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784,093,322.48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784,093,322.48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732,309,459.04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732,309,459.04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15"/>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1"/>
        <w:gridCol w:w="1740"/>
        <w:gridCol w:w="1738"/>
        <w:gridCol w:w="1731"/>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131,204,738.05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153,170,765.27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60,722,685.55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71,049,120.00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24,906,708.73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8,970,335.76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-12,343,936.24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-3,313,259.98</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21,694,946.17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8,927,505.94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-12,725,432.19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-5,174,751.96</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-90,421,637.97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23,197,165.71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154,023,140.76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62,883,285.85</w:t>
            </w:r>
          </w:p>
        </w:tc>
      </w:tr>
    </w:tbl>
    <w:p>
      <w:pPr>
        <w:pStyle w:val="BodyText"/>
        <w:spacing w:line="240" w:lineRule="auto" w:before="49"/>
        <w:ind w:right="1115"/>
        <w:jc w:val="left"/>
      </w:pPr>
      <w:r>
        <w:rPr/>
        <w:t>上述财务指标或其加总数是否与公司已披露季度报告、半年度报告相关财务指标存在重大差异</w:t>
      </w:r>
    </w:p>
    <w:p>
      <w:pPr>
        <w:pStyle w:val="BodyText"/>
        <w:spacing w:line="240" w:lineRule="auto" w:before="115"/>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4"/>
        <w:spacing w:line="240" w:lineRule="auto"/>
        <w:ind w:right="1115"/>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5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5"/>
        <w:spacing w:line="240" w:lineRule="auto"/>
        <w:ind w:right="1115"/>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4"/>
        <w:spacing w:line="240" w:lineRule="auto"/>
        <w:ind w:right="1115"/>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89"/>
        <w:gridCol w:w="262"/>
        <w:gridCol w:w="1167"/>
        <w:gridCol w:w="1416"/>
        <w:gridCol w:w="1419"/>
        <w:gridCol w:w="1205"/>
      </w:tblGrid>
      <w:tr>
        <w:trPr>
          <w:trHeight w:val="398"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8"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2" w:right="9"/>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非流动资产处置损益（包括已计提资产减值准备的冲</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销部分）</w:t>
            </w:r>
          </w:p>
        </w:tc>
        <w:tc>
          <w:tcPr>
            <w:tcW w:w="14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-128,310.50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3,769,757.01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92,292.31</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照国家统一标准定额或定量享受的政府补助除外）</w:t>
            </w:r>
          </w:p>
        </w:tc>
        <w:tc>
          <w:tcPr>
            <w:tcW w:w="14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4,376,616.22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6,965,771.02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4,977,563.55</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 </w:t>
            </w:r>
            <w:r>
              <w:rPr>
                <w:rFonts w:ascii="宋体" w:hAnsi="宋体" w:cs="宋体" w:eastAsia="宋体" w:hint="default"/>
                <w:spacing w:val="-4"/>
                <w:sz w:val="18"/>
                <w:szCs w:val="18"/>
              </w:rPr>
              <w:t>持有交易性金融资产、交易性金融负债产生的公允价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值变动损益，以及处置交易性金融资产、交易性金融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负债和可供出售金融资产取得的投资收益</w:t>
            </w:r>
          </w:p>
        </w:tc>
        <w:tc>
          <w:tcPr>
            <w:tcW w:w="262"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116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2,668,640.52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5,288,905.04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1,236,712.33</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-449,204.70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-1,803,476.90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-60,561.80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6" w:right="0"/>
              <w:jc w:val="left"/>
              <w:rPr>
                <w:rFonts w:ascii="Times New Roman" w:hAnsi="Times New Roman" w:cs="Times New Roman" w:eastAsia="Times New Roman" w:hint="default"/>
                <w:sz w:val="18"/>
                <w:szCs w:val="18"/>
              </w:rPr>
            </w:pPr>
            <w:r>
              <w:rPr>
                <w:rFonts w:ascii="Times New Roman"/>
                <w:sz w:val="18"/>
              </w:rPr>
              <w:t>970,161.23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2,133,143.43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936,900.96</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2" w:right="0"/>
              <w:jc w:val="left"/>
              <w:rPr>
                <w:rFonts w:ascii="Times New Roman" w:hAnsi="Times New Roman" w:cs="Times New Roman" w:eastAsia="Times New Roman" w:hint="default"/>
                <w:sz w:val="18"/>
                <w:szCs w:val="18"/>
              </w:rPr>
            </w:pPr>
            <w:r>
              <w:rPr>
                <w:rFonts w:ascii="Times New Roman"/>
                <w:sz w:val="18"/>
              </w:rPr>
              <w:t>5,497,580.31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12,087,812.74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5,309,105.43</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98"/>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1115"/>
        <w:jc w:val="left"/>
        <w:rPr>
          <w:b w:val="0"/>
          <w:bCs w:val="0"/>
        </w:rPr>
      </w:pPr>
      <w:bookmarkStart w:name="_TOC_250009"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1115"/>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32"/>
          <w:szCs w:val="32"/>
        </w:rPr>
      </w:pPr>
    </w:p>
    <w:p>
      <w:pPr>
        <w:pStyle w:val="BodyText"/>
        <w:spacing w:line="518" w:lineRule="auto"/>
        <w:ind w:right="7694"/>
        <w:jc w:val="left"/>
      </w:pPr>
      <w:r>
        <w:rPr/>
        <w:t>公司是否需要遵守特殊行业的披露要求 是</w:t>
      </w:r>
    </w:p>
    <w:p>
      <w:pPr>
        <w:pStyle w:val="BodyText"/>
        <w:spacing w:line="240" w:lineRule="auto" w:before="62"/>
        <w:ind w:right="1115"/>
        <w:jc w:val="left"/>
      </w:pPr>
      <w:r>
        <w:rPr/>
        <w:t>软件与信息技术服务业</w:t>
      </w:r>
    </w:p>
    <w:p>
      <w:pPr>
        <w:spacing w:line="240" w:lineRule="auto" w:before="12"/>
        <w:rPr>
          <w:rFonts w:ascii="宋体" w:hAnsi="宋体" w:cs="宋体" w:eastAsia="宋体" w:hint="default"/>
          <w:sz w:val="20"/>
          <w:szCs w:val="20"/>
        </w:rPr>
      </w:pPr>
    </w:p>
    <w:p>
      <w:pPr>
        <w:pStyle w:val="BodyText"/>
        <w:spacing w:line="405" w:lineRule="auto"/>
        <w:ind w:left="513" w:right="1115"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rFonts w:ascii="宋体" w:hAnsi="宋体" w:cs="宋体" w:eastAsia="宋体" w:hint="default"/>
          <w:b/>
          <w:bCs/>
        </w:rPr>
        <w:t>一、公司的主要产品及服务</w:t>
      </w:r>
      <w:r>
        <w:rPr>
          <w:rFonts w:ascii="宋体" w:hAnsi="宋体" w:cs="宋体" w:eastAsia="宋体" w:hint="default"/>
          <w:b/>
          <w:bCs/>
          <w:w w:val="99"/>
        </w:rPr>
        <w:t> </w:t>
      </w:r>
      <w:r>
        <w:rPr>
          <w:spacing w:val="-2"/>
        </w:rPr>
        <w:t>公司是一家专业的智慧物流和智能制造系统综合解决方案提供商，为生产制造、流通配送企业提供自动化生产线及物流</w:t>
      </w:r>
    </w:p>
    <w:p>
      <w:pPr>
        <w:pStyle w:val="BodyText"/>
        <w:spacing w:line="477" w:lineRule="auto" w:before="108"/>
        <w:ind w:right="1130"/>
        <w:jc w:val="both"/>
      </w:pPr>
      <w:r>
        <w:rPr>
          <w:spacing w:val="-2"/>
        </w:rPr>
        <w:t>系统的规划设计、系统集成、软件开发、设备定制、电控系统开发、现场安装调试、客户培训和售后服务等一体化业务，使</w:t>
      </w:r>
      <w:r>
        <w:rPr>
          <w:spacing w:val="-72"/>
        </w:rPr>
        <w:t> </w:t>
      </w:r>
      <w:r>
        <w:rPr>
          <w:spacing w:val="-72"/>
        </w:rPr>
      </w:r>
      <w:r>
        <w:rPr>
          <w:spacing w:val="-2"/>
        </w:rPr>
        <w:t>客户实现产品生产、物料出入库、存储、搬运输送、分拣与拣选、配送等过程的自动化、信息化和智能化，提高效率、降低</w:t>
      </w:r>
      <w:r>
        <w:rPr>
          <w:spacing w:val="-65"/>
        </w:rPr>
        <w:t> </w:t>
      </w:r>
      <w:r>
        <w:rPr>
          <w:spacing w:val="-65"/>
        </w:rPr>
      </w:r>
      <w:r>
        <w:rPr/>
        <w:t>成本、提升管理水平，为企业实现智慧物流和智能制造打下坚实的基础。</w:t>
      </w:r>
    </w:p>
    <w:p>
      <w:pPr>
        <w:pStyle w:val="BodyText"/>
        <w:spacing w:line="477" w:lineRule="auto" w:before="54"/>
        <w:ind w:right="1130" w:firstLine="360"/>
        <w:jc w:val="both"/>
      </w:pPr>
      <w:r>
        <w:rPr>
          <w:spacing w:val="-2"/>
        </w:rPr>
        <w:t>智慧物流和智能制造系统通常由自动化生产线、自动化仓库系统、自动化搬运与输送系统、自动化分拣与拣选系统及其</w:t>
      </w:r>
      <w:r>
        <w:rPr/>
        <w:t> </w:t>
      </w:r>
      <w:r>
        <w:rPr>
          <w:spacing w:val="-2"/>
        </w:rPr>
        <w:t>电气控制和信息管理系统等部分组成。自动化生产线主要是各类专机生产设备和生产管理系统；自动化仓库系统主要包括货</w:t>
      </w:r>
      <w:r>
        <w:rPr>
          <w:spacing w:val="-64"/>
        </w:rPr>
        <w:t> </w:t>
      </w:r>
      <w:r>
        <w:rPr>
          <w:spacing w:val="-64"/>
        </w:rPr>
      </w:r>
      <w:r>
        <w:rPr>
          <w:spacing w:val="-2"/>
        </w:rPr>
        <w:t>架、堆垛机以及密集存储的自动子母车等自动化存储设备；自动化搬运与输送系统主要包括各式输送机、无人搬运小车、轨</w:t>
      </w:r>
      <w:r>
        <w:rPr>
          <w:spacing w:val="-63"/>
        </w:rPr>
        <w:t> </w:t>
      </w:r>
      <w:r>
        <w:rPr>
          <w:spacing w:val="-63"/>
        </w:rPr>
      </w:r>
      <w:r>
        <w:rPr>
          <w:spacing w:val="-2"/>
        </w:rPr>
        <w:t>道穿梭车、机器人和其它自动搬运设备；自动化分拣与拣选系统主要包括各类自动化分拣设备、手持终端拣选和电子标签拣</w:t>
      </w:r>
      <w:r>
        <w:rPr>
          <w:spacing w:val="-63"/>
        </w:rPr>
        <w:t> </w:t>
      </w:r>
      <w:r>
        <w:rPr>
          <w:spacing w:val="-63"/>
        </w:rPr>
      </w:r>
      <w:r>
        <w:rPr/>
        <w:t>选等。信息管理系统主要包括物流管理软件、仓库管理软件、仓库控制软件、智能分拣和拣选软件等。</w:t>
      </w:r>
    </w:p>
    <w:p>
      <w:pPr>
        <w:pStyle w:val="BodyText"/>
        <w:spacing w:line="477" w:lineRule="auto" w:before="54"/>
        <w:ind w:right="1034" w:firstLine="360"/>
        <w:jc w:val="left"/>
      </w:pPr>
      <w:r>
        <w:rPr>
          <w:spacing w:val="-2"/>
        </w:rPr>
        <w:t>随着人力成本增加和土地资源缺乏以及企业信息化管理需求的上升，企业日益需要更为快捷、精准、有效的生产和物流</w:t>
      </w:r>
      <w:r>
        <w:rPr/>
        <w:t> </w:t>
      </w:r>
      <w:r>
        <w:rPr>
          <w:spacing w:val="-2"/>
        </w:rPr>
        <w:t>系统，高效快捷的生产和物流系统已经成为企业的核心竞争力之一。自动化生产线和自动化物流系统可以减少人力及人员作</w:t>
      </w:r>
      <w:r>
        <w:rPr>
          <w:spacing w:val="-64"/>
        </w:rPr>
        <w:t> </w:t>
      </w:r>
      <w:r>
        <w:rPr>
          <w:spacing w:val="-64"/>
        </w:rPr>
      </w:r>
      <w:r>
        <w:rPr>
          <w:spacing w:val="-2"/>
        </w:rPr>
        <w:t>业强度、提高效率和良品率、节约仓库占地面积、减少物流配送过程中的破损，其信息管理系统实时监控生产和物流作业过</w:t>
      </w:r>
      <w:r>
        <w:rPr>
          <w:spacing w:val="-63"/>
        </w:rPr>
        <w:t> </w:t>
      </w:r>
      <w:r>
        <w:rPr>
          <w:spacing w:val="-63"/>
        </w:rPr>
      </w:r>
      <w:r>
        <w:rPr>
          <w:spacing w:val="-2"/>
        </w:rPr>
        <w:t>程并与企业其他管理系统无缝对接，系统之间自动进行信息接收与传递，使企业实现信息流、物流和资金流一体化，提升企</w:t>
      </w:r>
      <w:r>
        <w:rPr>
          <w:spacing w:val="-64"/>
        </w:rPr>
        <w:t> </w:t>
      </w:r>
      <w:r>
        <w:rPr>
          <w:spacing w:val="-64"/>
        </w:rPr>
      </w:r>
      <w:r>
        <w:rPr/>
        <w:t>业信息化管理水平。同时，自动化物流系统还能提高企业仓储管理能力和物流输送效率，保证物流输送的及时性和准确性， </w:t>
      </w:r>
      <w:r>
        <w:rPr>
          <w:spacing w:val="-2"/>
        </w:rPr>
        <w:t>进而提升企业的生产和配送效率。公司产品已应用于烟草、新能源、冷链、石化、日化、医药保健品、高铁、机场、航空军</w:t>
      </w:r>
      <w:r>
        <w:rPr>
          <w:spacing w:val="-68"/>
        </w:rPr>
        <w:t> </w:t>
      </w:r>
      <w:r>
        <w:rPr>
          <w:spacing w:val="-68"/>
        </w:rPr>
      </w:r>
      <w:r>
        <w:rPr/>
        <w:t>工、电力、家具、连锁零售、电子以及食品饮料等众多行业，发展潜力和市场规模较大，应用前景广阔。</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spacing w:line="477" w:lineRule="auto" w:before="0"/>
        <w:ind w:left="513" w:right="4993" w:firstLine="0"/>
        <w:jc w:val="left"/>
        <w:rPr>
          <w:rFonts w:ascii="宋体" w:hAnsi="宋体" w:cs="宋体" w:eastAsia="宋体" w:hint="default"/>
          <w:sz w:val="18"/>
          <w:szCs w:val="18"/>
        </w:rPr>
      </w:pPr>
      <w:r>
        <w:rPr>
          <w:rFonts w:ascii="宋体" w:hAnsi="宋体" w:cs="宋体" w:eastAsia="宋体" w:hint="default"/>
          <w:b/>
          <w:bCs/>
          <w:sz w:val="18"/>
          <w:szCs w:val="18"/>
        </w:rPr>
        <w:t>二、报告期业务订单情况</w:t>
      </w:r>
      <w:r>
        <w:rPr>
          <w:rFonts w:ascii="宋体" w:hAnsi="宋体" w:cs="宋体" w:eastAsia="宋体" w:hint="default"/>
          <w:b/>
          <w:bCs/>
          <w:w w:val="99"/>
          <w:sz w:val="18"/>
          <w:szCs w:val="18"/>
        </w:rPr>
        <w:t> </w:t>
      </w:r>
      <w:r>
        <w:rPr>
          <w:rFonts w:ascii="宋体" w:hAnsi="宋体" w:cs="宋体" w:eastAsia="宋体" w:hint="default"/>
          <w:sz w:val="18"/>
          <w:szCs w:val="18"/>
        </w:rPr>
        <w:t>根据本行业的特性，公司业绩主要受项目订单取得和执行情况影响。</w:t>
      </w:r>
    </w:p>
    <w:p>
      <w:pPr>
        <w:pStyle w:val="BodyText"/>
        <w:spacing w:line="240" w:lineRule="auto" w:before="54"/>
        <w:ind w:right="1131"/>
        <w:jc w:val="right"/>
      </w:pPr>
      <w:r>
        <w:rPr/>
        <w:t>单位：万元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575" w:type="dxa"/>
        <w:tblLayout w:type="fixed"/>
        <w:tblCellMar>
          <w:top w:w="0" w:type="dxa"/>
          <w:left w:w="0" w:type="dxa"/>
          <w:bottom w:w="0" w:type="dxa"/>
          <w:right w:w="0" w:type="dxa"/>
        </w:tblCellMar>
        <w:tblLook w:val="01E0"/>
      </w:tblPr>
      <w:tblGrid>
        <w:gridCol w:w="991"/>
        <w:gridCol w:w="1133"/>
        <w:gridCol w:w="1985"/>
        <w:gridCol w:w="2127"/>
        <w:gridCol w:w="2693"/>
      </w:tblGrid>
      <w:tr>
        <w:trPr>
          <w:trHeight w:val="322" w:hRule="exact"/>
        </w:trPr>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应用行业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9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99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6" w:right="0"/>
              <w:jc w:val="left"/>
              <w:rPr>
                <w:rFonts w:ascii="宋体" w:hAnsi="宋体" w:cs="宋体" w:eastAsia="宋体" w:hint="default"/>
                <w:sz w:val="18"/>
                <w:szCs w:val="18"/>
              </w:rPr>
            </w:pPr>
            <w:r>
              <w:rPr>
                <w:rFonts w:ascii="宋体" w:hAnsi="宋体" w:cs="宋体" w:eastAsia="宋体" w:hint="default"/>
                <w:sz w:val="18"/>
                <w:szCs w:val="18"/>
              </w:rPr>
              <w:t>新增订单（含税）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完成订单（不含税）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6" w:right="0"/>
              <w:jc w:val="left"/>
              <w:rPr>
                <w:rFonts w:ascii="宋体" w:hAnsi="宋体" w:cs="宋体" w:eastAsia="宋体" w:hint="default"/>
                <w:sz w:val="18"/>
                <w:szCs w:val="18"/>
              </w:rPr>
            </w:pPr>
            <w:r>
              <w:rPr>
                <w:rFonts w:ascii="宋体" w:hAnsi="宋体" w:cs="宋体" w:eastAsia="宋体" w:hint="default"/>
                <w:sz w:val="18"/>
                <w:szCs w:val="18"/>
              </w:rPr>
              <w:t>尚未确认收入订单（含税）</w:t>
            </w:r>
          </w:p>
        </w:tc>
      </w:tr>
      <w:tr>
        <w:trPr>
          <w:trHeight w:val="32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3" w:right="0"/>
              <w:jc w:val="left"/>
              <w:rPr>
                <w:rFonts w:ascii="宋体" w:hAnsi="宋体" w:cs="宋体" w:eastAsia="宋体" w:hint="default"/>
                <w:sz w:val="18"/>
                <w:szCs w:val="18"/>
              </w:rPr>
            </w:pPr>
            <w:r>
              <w:rPr>
                <w:rFonts w:ascii="宋体"/>
                <w:sz w:val="18"/>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超市</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7" w:right="0"/>
              <w:jc w:val="left"/>
              <w:rPr>
                <w:rFonts w:ascii="宋体" w:hAnsi="宋体" w:cs="宋体" w:eastAsia="宋体" w:hint="default"/>
                <w:sz w:val="18"/>
                <w:szCs w:val="18"/>
              </w:rPr>
            </w:pPr>
            <w:r>
              <w:rPr>
                <w:rFonts w:ascii="宋体"/>
                <w:sz w:val="18"/>
              </w:rPr>
              <w:t>36,273.58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6" w:right="0"/>
              <w:jc w:val="left"/>
              <w:rPr>
                <w:rFonts w:ascii="宋体" w:hAnsi="宋体" w:cs="宋体" w:eastAsia="宋体" w:hint="default"/>
                <w:sz w:val="18"/>
                <w:szCs w:val="18"/>
              </w:rPr>
            </w:pPr>
            <w:r>
              <w:rPr>
                <w:rFonts w:ascii="宋体"/>
                <w:sz w:val="18"/>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5"/>
              <w:jc w:val="right"/>
              <w:rPr>
                <w:rFonts w:ascii="宋体" w:hAnsi="宋体" w:cs="宋体" w:eastAsia="宋体" w:hint="default"/>
                <w:sz w:val="18"/>
                <w:szCs w:val="18"/>
              </w:rPr>
            </w:pPr>
            <w:r>
              <w:rPr>
                <w:rFonts w:ascii="宋体"/>
                <w:spacing w:val="-1"/>
                <w:sz w:val="18"/>
              </w:rPr>
              <w:t>36,273.58</w:t>
            </w:r>
          </w:p>
        </w:tc>
      </w:tr>
      <w:tr>
        <w:trPr>
          <w:trHeight w:val="324"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3" w:right="0"/>
              <w:jc w:val="left"/>
              <w:rPr>
                <w:rFonts w:ascii="宋体" w:hAnsi="宋体" w:cs="宋体" w:eastAsia="宋体" w:hint="default"/>
                <w:sz w:val="18"/>
                <w:szCs w:val="18"/>
              </w:rPr>
            </w:pPr>
            <w:r>
              <w:rPr>
                <w:rFonts w:ascii="宋体"/>
                <w:sz w:val="18"/>
              </w:rPr>
              <w:t>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新能源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7" w:right="0"/>
              <w:jc w:val="left"/>
              <w:rPr>
                <w:rFonts w:ascii="宋体" w:hAnsi="宋体" w:cs="宋体" w:eastAsia="宋体" w:hint="default"/>
                <w:sz w:val="18"/>
                <w:szCs w:val="18"/>
              </w:rPr>
            </w:pPr>
            <w:r>
              <w:rPr>
                <w:rFonts w:ascii="宋体"/>
                <w:sz w:val="18"/>
              </w:rPr>
              <w:t>33,825.68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5" w:right="0"/>
              <w:jc w:val="left"/>
              <w:rPr>
                <w:rFonts w:ascii="宋体" w:hAnsi="宋体" w:cs="宋体" w:eastAsia="宋体" w:hint="default"/>
                <w:sz w:val="18"/>
                <w:szCs w:val="18"/>
              </w:rPr>
            </w:pPr>
            <w:r>
              <w:rPr>
                <w:rFonts w:ascii="宋体"/>
                <w:sz w:val="18"/>
              </w:rPr>
              <w:t>17,215.24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5"/>
              <w:jc w:val="right"/>
              <w:rPr>
                <w:rFonts w:ascii="宋体" w:hAnsi="宋体" w:cs="宋体" w:eastAsia="宋体" w:hint="default"/>
                <w:sz w:val="18"/>
                <w:szCs w:val="18"/>
              </w:rPr>
            </w:pPr>
            <w:r>
              <w:rPr>
                <w:rFonts w:ascii="宋体"/>
                <w:spacing w:val="-1"/>
                <w:sz w:val="18"/>
              </w:rPr>
              <w:t>38,824.30</w:t>
            </w:r>
          </w:p>
        </w:tc>
      </w:tr>
      <w:tr>
        <w:trPr>
          <w:trHeight w:val="32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3" w:right="0"/>
              <w:jc w:val="left"/>
              <w:rPr>
                <w:rFonts w:ascii="宋体" w:hAnsi="宋体" w:cs="宋体" w:eastAsia="宋体" w:hint="default"/>
                <w:sz w:val="18"/>
                <w:szCs w:val="18"/>
              </w:rPr>
            </w:pPr>
            <w:r>
              <w:rPr>
                <w:rFonts w:ascii="宋体"/>
                <w:sz w:val="18"/>
              </w:rPr>
              <w:t>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烟草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7" w:right="0"/>
              <w:jc w:val="left"/>
              <w:rPr>
                <w:rFonts w:ascii="宋体" w:hAnsi="宋体" w:cs="宋体" w:eastAsia="宋体" w:hint="default"/>
                <w:sz w:val="18"/>
                <w:szCs w:val="18"/>
              </w:rPr>
            </w:pPr>
            <w:r>
              <w:rPr>
                <w:rFonts w:ascii="宋体"/>
                <w:sz w:val="18"/>
              </w:rPr>
              <w:t>23,405.52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5" w:right="0"/>
              <w:jc w:val="left"/>
              <w:rPr>
                <w:rFonts w:ascii="宋体" w:hAnsi="宋体" w:cs="宋体" w:eastAsia="宋体" w:hint="default"/>
                <w:sz w:val="18"/>
                <w:szCs w:val="18"/>
              </w:rPr>
            </w:pPr>
            <w:r>
              <w:rPr>
                <w:rFonts w:ascii="宋体"/>
                <w:sz w:val="18"/>
              </w:rPr>
              <w:t>23,578.93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5"/>
              <w:jc w:val="right"/>
              <w:rPr>
                <w:rFonts w:ascii="宋体" w:hAnsi="宋体" w:cs="宋体" w:eastAsia="宋体" w:hint="default"/>
                <w:sz w:val="18"/>
                <w:szCs w:val="18"/>
              </w:rPr>
            </w:pPr>
            <w:r>
              <w:rPr>
                <w:rFonts w:ascii="宋体"/>
                <w:spacing w:val="-1"/>
                <w:sz w:val="18"/>
              </w:rPr>
              <w:t>49,212.77</w:t>
            </w:r>
          </w:p>
        </w:tc>
      </w:tr>
      <w:tr>
        <w:trPr>
          <w:trHeight w:val="32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3" w:right="0"/>
              <w:jc w:val="left"/>
              <w:rPr>
                <w:rFonts w:ascii="宋体" w:hAnsi="宋体" w:cs="宋体" w:eastAsia="宋体" w:hint="default"/>
                <w:sz w:val="18"/>
                <w:szCs w:val="18"/>
              </w:rPr>
            </w:pPr>
            <w:r>
              <w:rPr>
                <w:rFonts w:ascii="宋体"/>
                <w:sz w:val="18"/>
              </w:rPr>
              <w:t>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石化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7" w:right="0"/>
              <w:jc w:val="left"/>
              <w:rPr>
                <w:rFonts w:ascii="宋体" w:hAnsi="宋体" w:cs="宋体" w:eastAsia="宋体" w:hint="default"/>
                <w:sz w:val="18"/>
                <w:szCs w:val="18"/>
              </w:rPr>
            </w:pPr>
            <w:r>
              <w:rPr>
                <w:rFonts w:ascii="宋体"/>
                <w:sz w:val="18"/>
              </w:rPr>
              <w:t>13,968.00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6" w:right="0"/>
              <w:jc w:val="left"/>
              <w:rPr>
                <w:rFonts w:ascii="宋体" w:hAnsi="宋体" w:cs="宋体" w:eastAsia="宋体" w:hint="default"/>
                <w:sz w:val="18"/>
                <w:szCs w:val="18"/>
              </w:rPr>
            </w:pPr>
            <w:r>
              <w:rPr>
                <w:rFonts w:ascii="宋体"/>
                <w:sz w:val="18"/>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5"/>
              <w:jc w:val="right"/>
              <w:rPr>
                <w:rFonts w:ascii="宋体" w:hAnsi="宋体" w:cs="宋体" w:eastAsia="宋体" w:hint="default"/>
                <w:sz w:val="18"/>
                <w:szCs w:val="18"/>
              </w:rPr>
            </w:pPr>
            <w:r>
              <w:rPr>
                <w:rFonts w:ascii="宋体"/>
                <w:spacing w:val="-1"/>
                <w:sz w:val="18"/>
              </w:rPr>
              <w:t>13,968.00</w:t>
            </w:r>
          </w:p>
        </w:tc>
      </w:tr>
      <w:tr>
        <w:trPr>
          <w:trHeight w:val="32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3" w:right="0"/>
              <w:jc w:val="left"/>
              <w:rPr>
                <w:rFonts w:ascii="宋体" w:hAnsi="宋体" w:cs="宋体" w:eastAsia="宋体" w:hint="default"/>
                <w:sz w:val="18"/>
                <w:szCs w:val="18"/>
              </w:rPr>
            </w:pPr>
            <w:r>
              <w:rPr>
                <w:rFonts w:ascii="宋体"/>
                <w:sz w:val="18"/>
              </w:rPr>
              <w:t>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7" w:right="0"/>
              <w:jc w:val="left"/>
              <w:rPr>
                <w:rFonts w:ascii="宋体" w:hAnsi="宋体" w:cs="宋体" w:eastAsia="宋体" w:hint="default"/>
                <w:sz w:val="18"/>
                <w:szCs w:val="18"/>
              </w:rPr>
            </w:pPr>
            <w:r>
              <w:rPr>
                <w:rFonts w:ascii="宋体"/>
                <w:sz w:val="18"/>
              </w:rPr>
              <w:t>18,143.64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94" w:right="0"/>
              <w:jc w:val="left"/>
              <w:rPr>
                <w:rFonts w:ascii="宋体" w:hAnsi="宋体" w:cs="宋体" w:eastAsia="宋体" w:hint="default"/>
                <w:sz w:val="18"/>
                <w:szCs w:val="18"/>
              </w:rPr>
            </w:pPr>
            <w:r>
              <w:rPr>
                <w:rFonts w:ascii="宋体"/>
                <w:sz w:val="18"/>
              </w:rPr>
              <w:t>820.56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5"/>
              <w:jc w:val="right"/>
              <w:rPr>
                <w:rFonts w:ascii="宋体" w:hAnsi="宋体" w:cs="宋体" w:eastAsia="宋体" w:hint="default"/>
                <w:sz w:val="18"/>
                <w:szCs w:val="18"/>
              </w:rPr>
            </w:pPr>
            <w:r>
              <w:rPr>
                <w:rFonts w:ascii="宋体"/>
                <w:spacing w:val="-1"/>
                <w:sz w:val="18"/>
              </w:rPr>
              <w:t>29,804.84</w:t>
            </w:r>
          </w:p>
        </w:tc>
      </w:tr>
      <w:tr>
        <w:trPr>
          <w:trHeight w:val="32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3" w:right="0"/>
              <w:jc w:val="left"/>
              <w:rPr>
                <w:rFonts w:ascii="宋体" w:hAnsi="宋体" w:cs="宋体" w:eastAsia="宋体" w:hint="default"/>
                <w:sz w:val="18"/>
                <w:szCs w:val="18"/>
              </w:rPr>
            </w:pPr>
            <w:r>
              <w:rPr>
                <w:rFonts w:ascii="宋体"/>
                <w:sz w:val="18"/>
              </w:rPr>
              <w:t>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8" w:right="0"/>
              <w:jc w:val="left"/>
              <w:rPr>
                <w:rFonts w:ascii="宋体" w:hAnsi="宋体" w:cs="宋体" w:eastAsia="宋体" w:hint="default"/>
                <w:sz w:val="18"/>
                <w:szCs w:val="18"/>
              </w:rPr>
            </w:pPr>
            <w:r>
              <w:rPr>
                <w:rFonts w:ascii="宋体"/>
                <w:sz w:val="18"/>
              </w:rPr>
              <w:t>125,616.42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5" w:right="0"/>
              <w:jc w:val="left"/>
              <w:rPr>
                <w:rFonts w:ascii="宋体" w:hAnsi="宋体" w:cs="宋体" w:eastAsia="宋体" w:hint="default"/>
                <w:sz w:val="18"/>
                <w:szCs w:val="18"/>
              </w:rPr>
            </w:pPr>
            <w:r>
              <w:rPr>
                <w:rFonts w:ascii="宋体"/>
                <w:sz w:val="18"/>
              </w:rPr>
              <w:t>41,614.73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5"/>
              <w:jc w:val="right"/>
              <w:rPr>
                <w:rFonts w:ascii="宋体" w:hAnsi="宋体" w:cs="宋体" w:eastAsia="宋体" w:hint="default"/>
                <w:sz w:val="18"/>
                <w:szCs w:val="18"/>
              </w:rPr>
            </w:pPr>
            <w:r>
              <w:rPr>
                <w:rFonts w:ascii="宋体"/>
                <w:spacing w:val="-1"/>
                <w:sz w:val="18"/>
              </w:rPr>
              <w:t>168,083.48</w:t>
            </w:r>
          </w:p>
        </w:tc>
      </w:tr>
    </w:tbl>
    <w:p>
      <w:pPr>
        <w:pStyle w:val="BodyText"/>
        <w:spacing w:line="477" w:lineRule="auto" w:before="87"/>
        <w:ind w:left="513" w:right="1115"/>
        <w:jc w:val="left"/>
      </w:pPr>
      <w:r>
        <w:rPr/>
        <w:t>三、行业发展前景 </w:t>
      </w:r>
      <w:r>
        <w:rPr>
          <w:spacing w:val="-2"/>
        </w:rPr>
        <w:t>伴随着我国土地成本以及劳动力成本的双攀升，特别是制造业转型升级不断深入，智慧物流系统越来越多地在企业得到</w:t>
      </w:r>
    </w:p>
    <w:p>
      <w:pPr>
        <w:pStyle w:val="BodyText"/>
        <w:spacing w:line="468" w:lineRule="auto" w:before="54"/>
        <w:ind w:right="1127"/>
        <w:jc w:val="both"/>
      </w:pPr>
      <w:r>
        <w:rPr>
          <w:spacing w:val="-2"/>
        </w:rPr>
        <w:t>应用。近年来在政府大力推动下，企业对智能制造的探索热情高涨，而物流系统作为智能制造的核心部分，连接制造端和客</w:t>
      </w:r>
      <w:r>
        <w:rPr>
          <w:spacing w:val="-65"/>
        </w:rPr>
        <w:t> </w:t>
      </w:r>
      <w:r>
        <w:rPr>
          <w:spacing w:val="-65"/>
        </w:rPr>
      </w:r>
      <w:r>
        <w:rPr>
          <w:spacing w:val="-2"/>
        </w:rPr>
        <w:t>户端，因此项目需求不断涌现。此外，政府推动的现代流通产业发展与内贸流通体系建设也将引领产业的投资方向。在政策</w:t>
      </w:r>
      <w:r>
        <w:rPr>
          <w:spacing w:val="-64"/>
        </w:rPr>
        <w:t> </w:t>
      </w:r>
      <w:r>
        <w:rPr>
          <w:spacing w:val="-64"/>
        </w:rPr>
      </w:r>
      <w:r>
        <w:rPr>
          <w:spacing w:val="-5"/>
        </w:rPr>
        <w:t>促进与市场带动下，智能物流系统行业将保持较快增长。据有关机构分析，</w:t>
      </w:r>
      <w:r>
        <w:rPr>
          <w:rFonts w:ascii="Times New Roman" w:hAnsi="Times New Roman" w:cs="Times New Roman" w:eastAsia="Times New Roman" w:hint="default"/>
          <w:spacing w:val="-5"/>
        </w:rPr>
        <w:t>2020</w:t>
      </w:r>
      <w:r>
        <w:rPr>
          <w:spacing w:val="-5"/>
        </w:rPr>
        <w:t>年中国智能物流系统集成市场规模将接近</w:t>
      </w:r>
      <w:r>
        <w:rPr>
          <w:rFonts w:ascii="Times New Roman" w:hAnsi="Times New Roman" w:cs="Times New Roman" w:eastAsia="Times New Roman" w:hint="default"/>
          <w:spacing w:val="-5"/>
        </w:rPr>
        <w:t>1400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亿元，年均复合增速在</w:t>
      </w:r>
      <w:r>
        <w:rPr>
          <w:rFonts w:ascii="Times New Roman" w:hAnsi="Times New Roman" w:cs="Times New Roman" w:eastAsia="Times New Roman" w:hint="default"/>
        </w:rPr>
        <w:t>20%</w:t>
      </w:r>
      <w:r>
        <w:rPr/>
        <w:t>以上。这无疑为智能物流系统集成及智能物流装备企业提供了巨大的发展机会。</w:t>
      </w:r>
    </w:p>
    <w:p>
      <w:pPr>
        <w:pStyle w:val="BodyText"/>
        <w:spacing w:line="477" w:lineRule="auto" w:before="29"/>
        <w:ind w:right="998" w:firstLine="360"/>
        <w:jc w:val="left"/>
      </w:pPr>
      <w:r>
        <w:rPr>
          <w:spacing w:val="-2"/>
        </w:rPr>
        <w:t>公司作为国内较早从事智慧物流系统综合解决方案的企业之一，在智慧物流系统的规划设计、系统集成、软件开发、设</w:t>
      </w:r>
      <w:r>
        <w:rPr/>
        <w:t> </w:t>
      </w:r>
      <w:r>
        <w:rPr>
          <w:spacing w:val="-4"/>
        </w:rPr>
        <w:t>备定制、电控系统开发、现场安装调试、客户培训和售后服务等方面均具有丰富的经验，完成了一系列规模大、复杂程度高、</w:t>
      </w:r>
      <w:r>
        <w:rPr>
          <w:spacing w:val="-43"/>
        </w:rPr>
        <w:t> </w:t>
      </w:r>
      <w:r>
        <w:rPr>
          <w:spacing w:val="-43"/>
        </w:rPr>
      </w:r>
      <w:r>
        <w:rPr/>
        <w:t>具有重大影响力的智慧物流系统项目。</w:t>
      </w:r>
    </w:p>
    <w:p>
      <w:pPr>
        <w:spacing w:line="240" w:lineRule="auto" w:before="7"/>
        <w:rPr>
          <w:rFonts w:ascii="宋体" w:hAnsi="宋体" w:cs="宋体" w:eastAsia="宋体" w:hint="default"/>
          <w:sz w:val="17"/>
          <w:szCs w:val="17"/>
        </w:rPr>
      </w:pPr>
    </w:p>
    <w:p>
      <w:pPr>
        <w:pStyle w:val="Heading4"/>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5"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36.62%</w:t>
            </w:r>
            <w:r>
              <w:rPr>
                <w:rFonts w:ascii="宋体" w:hAnsi="宋体" w:cs="宋体" w:eastAsia="宋体" w:hint="default"/>
                <w:sz w:val="18"/>
                <w:szCs w:val="18"/>
              </w:rPr>
              <w:t>，主要系报告期内参股公司科佛投资款及旭龙昇投资收益</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w:t>
            </w:r>
            <w:r>
              <w:rPr>
                <w:rFonts w:ascii="宋体" w:hAnsi="宋体" w:cs="宋体" w:eastAsia="宋体" w:hint="default"/>
                <w:sz w:val="18"/>
                <w:szCs w:val="18"/>
              </w:rPr>
              <w:t>，主要系报告期末存在多个实施中的项目，故预付的采购支出较多</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91.76%</w:t>
            </w:r>
            <w:r>
              <w:rPr>
                <w:rFonts w:ascii="宋体" w:hAnsi="宋体" w:cs="宋体" w:eastAsia="宋体" w:hint="default"/>
                <w:spacing w:val="-3"/>
                <w:sz w:val="18"/>
                <w:szCs w:val="18"/>
              </w:rPr>
              <w:t>，主要系报告期内新增订单金额较大，相应支付的履约保证金增加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84.65%</w:t>
            </w:r>
            <w:r>
              <w:rPr>
                <w:rFonts w:ascii="宋体" w:hAnsi="宋体" w:cs="宋体" w:eastAsia="宋体" w:hint="default"/>
                <w:sz w:val="18"/>
                <w:szCs w:val="18"/>
              </w:rPr>
              <w:t>，主要系报告期末存在多个未达到验收状态的项目工程进度成本</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87.69%</w:t>
            </w:r>
            <w:r>
              <w:rPr>
                <w:rFonts w:ascii="宋体" w:hAnsi="宋体" w:cs="宋体" w:eastAsia="宋体" w:hint="default"/>
                <w:sz w:val="18"/>
                <w:szCs w:val="18"/>
              </w:rPr>
              <w:t>，主要系报告期内短期银行理财产品净投资增加所致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387.98%</w:t>
            </w:r>
            <w:r>
              <w:rPr>
                <w:rFonts w:ascii="宋体" w:hAnsi="宋体" w:cs="宋体" w:eastAsia="宋体" w:hint="default"/>
                <w:sz w:val="18"/>
                <w:szCs w:val="18"/>
              </w:rPr>
              <w:t>，主要系报告期内新增办公室装修费</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115"/>
        <w:jc w:val="left"/>
        <w:rPr>
          <w:b w:val="0"/>
          <w:bCs w:val="0"/>
        </w:rPr>
      </w:pPr>
      <w:r>
        <w:rPr/>
        <w:t>三、核心竞争力分析</w:t>
      </w:r>
      <w:r>
        <w:rPr>
          <w:b w:val="0"/>
          <w:bCs w:val="0"/>
        </w:rPr>
      </w:r>
    </w:p>
    <w:p>
      <w:pPr>
        <w:spacing w:line="240" w:lineRule="auto" w:before="7"/>
        <w:rPr>
          <w:rFonts w:ascii="宋体" w:hAnsi="宋体" w:cs="宋体" w:eastAsia="宋体" w:hint="default"/>
          <w:b/>
          <w:bCs/>
          <w:sz w:val="32"/>
          <w:szCs w:val="32"/>
        </w:rPr>
      </w:pPr>
    </w:p>
    <w:p>
      <w:pPr>
        <w:pStyle w:val="BodyText"/>
        <w:spacing w:line="518" w:lineRule="auto"/>
        <w:ind w:right="7694"/>
        <w:jc w:val="left"/>
      </w:pPr>
      <w:r>
        <w:rPr/>
        <w:t>公司是否需要遵守特殊行业的披露要求 是</w:t>
      </w:r>
    </w:p>
    <w:p>
      <w:pPr>
        <w:pStyle w:val="BodyText"/>
        <w:spacing w:line="240" w:lineRule="auto" w:before="62"/>
        <w:ind w:right="1115"/>
        <w:jc w:val="left"/>
      </w:pPr>
      <w:r>
        <w:rPr/>
        <w:t>软件与信息技术服务业</w:t>
      </w:r>
    </w:p>
    <w:p>
      <w:pPr>
        <w:spacing w:line="240" w:lineRule="auto" w:before="12"/>
        <w:rPr>
          <w:rFonts w:ascii="宋体" w:hAnsi="宋体" w:cs="宋体" w:eastAsia="宋体" w:hint="default"/>
          <w:sz w:val="20"/>
          <w:szCs w:val="20"/>
        </w:rPr>
      </w:pPr>
    </w:p>
    <w:p>
      <w:pPr>
        <w:pStyle w:val="BodyText"/>
        <w:spacing w:line="451" w:lineRule="auto"/>
        <w:ind w:left="513" w:right="1033"/>
        <w:jc w:val="left"/>
      </w:pPr>
      <w:r>
        <w:rPr>
          <w:rFonts w:ascii="Times New Roman" w:hAnsi="Times New Roman" w:cs="Times New Roman" w:eastAsia="Times New Roman" w:hint="default"/>
          <w:b/>
          <w:bCs/>
        </w:rPr>
        <w:t>1</w:t>
      </w:r>
      <w:r>
        <w:rPr>
          <w:rFonts w:ascii="宋体" w:hAnsi="宋体" w:cs="宋体" w:eastAsia="宋体" w:hint="default"/>
          <w:b/>
          <w:bCs/>
        </w:rPr>
        <w:t>、技术研发与创新优势</w:t>
      </w:r>
      <w:r>
        <w:rPr>
          <w:rFonts w:ascii="宋体" w:hAnsi="宋体" w:cs="宋体" w:eastAsia="宋体" w:hint="default"/>
          <w:b/>
          <w:bCs/>
          <w:w w:val="99"/>
        </w:rPr>
        <w:t> </w:t>
      </w:r>
      <w:r>
        <w:rPr/>
        <w:t>公司组建了以技术中心、软件子公司、机器人子公司为主体的即分工又协作的研发机构体系，形成了从系统解决方案、</w:t>
      </w:r>
    </w:p>
    <w:p>
      <w:pPr>
        <w:pStyle w:val="BodyText"/>
        <w:spacing w:line="470" w:lineRule="auto" w:before="74"/>
        <w:ind w:right="998"/>
        <w:jc w:val="left"/>
      </w:pPr>
      <w:r>
        <w:rPr>
          <w:spacing w:val="-2"/>
        </w:rPr>
        <w:t>软件系统、关键设备和模块等多层面的技术成果积累。公司坚持以市场发展和客户需求为导向，既满足当前需求，又形成一</w:t>
      </w:r>
      <w:r>
        <w:rPr>
          <w:spacing w:val="-64"/>
        </w:rPr>
        <w:t> </w:t>
      </w:r>
      <w:r>
        <w:rPr>
          <w:spacing w:val="-64"/>
        </w:rPr>
      </w:r>
      <w:r>
        <w:rPr>
          <w:spacing w:val="-2"/>
        </w:rPr>
        <w:t>定的技术储备。公司能够根据客户的需求快速开发各种物流系统、制造系统应用和管理软件、接口软件，自主研发了一系列</w:t>
      </w:r>
      <w:r>
        <w:rPr>
          <w:spacing w:val="-63"/>
        </w:rPr>
        <w:t> </w:t>
      </w:r>
      <w:r>
        <w:rPr>
          <w:spacing w:val="-63"/>
        </w:rPr>
      </w:r>
      <w:r>
        <w:rPr>
          <w:spacing w:val="-4"/>
        </w:rPr>
        <w:t>信息管理系统、电气控制系统产品、物流机器人、工业机器人及设备。公司拥有一支由系统规划设计、系统集成、软件开发、</w:t>
      </w:r>
      <w:r>
        <w:rPr>
          <w:spacing w:val="-44"/>
        </w:rPr>
        <w:t> </w:t>
      </w:r>
      <w:r>
        <w:rPr>
          <w:spacing w:val="-44"/>
        </w:rPr>
      </w:r>
      <w:r>
        <w:rPr/>
        <w:t>工业机器人和物流机器人及设备研发等工程师组成的优秀研发队伍，拥有</w:t>
      </w:r>
      <w:r>
        <w:rPr>
          <w:rFonts w:ascii="Times New Roman" w:hAnsi="Times New Roman" w:cs="Times New Roman" w:eastAsia="Times New Roman" w:hint="default"/>
        </w:rPr>
        <w:t>180</w:t>
      </w:r>
      <w:r>
        <w:rPr/>
        <w:t>多项专利和计算机软件著作权，并成为行业标</w:t>
      </w:r>
      <w:r>
        <w:rPr>
          <w:spacing w:val="-84"/>
        </w:rPr>
        <w:t> </w:t>
      </w:r>
      <w:r>
        <w:rPr>
          <w:spacing w:val="-84"/>
        </w:rPr>
      </w:r>
      <w:r>
        <w:rPr/>
        <w:t>准的参与制定者。</w:t>
      </w:r>
    </w:p>
    <w:p>
      <w:pPr>
        <w:spacing w:line="451" w:lineRule="auto" w:before="59"/>
        <w:ind w:left="513" w:right="111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、丰富的行业及大项目经验，可靠的项目交付能力</w:t>
      </w:r>
      <w:r>
        <w:rPr>
          <w:rFonts w:ascii="宋体" w:hAnsi="宋体" w:cs="宋体" w:eastAsia="宋体" w:hint="default"/>
          <w:b/>
          <w:bCs/>
          <w:w w:val="99"/>
          <w:sz w:val="18"/>
          <w:szCs w:val="18"/>
        </w:rPr>
        <w:t> </w:t>
      </w:r>
      <w:r>
        <w:rPr>
          <w:rFonts w:ascii="宋体" w:hAnsi="宋体" w:cs="宋体" w:eastAsia="宋体" w:hint="default"/>
          <w:spacing w:val="-2"/>
          <w:sz w:val="18"/>
          <w:szCs w:val="18"/>
        </w:rPr>
        <w:t>公司自</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年成立以来完成了数百个烟草行业和新能源动力锂电行业的大型智慧物流项目和智能制造项目，积累了丰富</w:t>
      </w:r>
    </w:p>
    <w:p>
      <w:pPr>
        <w:pStyle w:val="BodyText"/>
        <w:spacing w:line="477" w:lineRule="auto" w:before="43"/>
        <w:ind w:right="998"/>
        <w:jc w:val="left"/>
      </w:pPr>
      <w:r>
        <w:rPr>
          <w:spacing w:val="-4"/>
        </w:rPr>
        <w:t>的烟草行业和动力锂电池行业的大项目经验。公司经过长期的积累，对烟草和动力锂电池行业的工艺流程、物流和生产特点、</w:t>
      </w:r>
      <w:r>
        <w:rPr>
          <w:spacing w:val="-43"/>
        </w:rPr>
        <w:t> </w:t>
      </w:r>
      <w:r>
        <w:rPr>
          <w:spacing w:val="-43"/>
        </w:rPr>
      </w:r>
      <w:r>
        <w:rPr>
          <w:spacing w:val="-2"/>
        </w:rPr>
        <w:t>管理和运作模式等具有很深的理解，形成了规划设计、系统集成、软件开发、项目工程管理等多方面的技术优势，并积淀了</w:t>
      </w:r>
      <w:r>
        <w:rPr>
          <w:spacing w:val="-67"/>
        </w:rPr>
        <w:t> </w:t>
      </w:r>
      <w:r>
        <w:rPr>
          <w:spacing w:val="-67"/>
        </w:rPr>
      </w:r>
      <w:r>
        <w:rPr>
          <w:spacing w:val="-2"/>
        </w:rPr>
        <w:t>丰富的实践经验。公司依托规范的全过程管理体系、优秀的集成设计能力、自主的软件和电控开发、强大的项目管理和实施</w:t>
      </w:r>
      <w:r>
        <w:rPr>
          <w:spacing w:val="-65"/>
        </w:rPr>
        <w:t> </w:t>
      </w:r>
      <w:r>
        <w:rPr>
          <w:spacing w:val="-65"/>
        </w:rPr>
      </w:r>
      <w:r>
        <w:rPr/>
        <w:t>能力，确保项目按期高质量交付。</w:t>
      </w:r>
    </w:p>
    <w:p>
      <w:pPr>
        <w:spacing w:line="451" w:lineRule="auto" w:before="54"/>
        <w:ind w:left="513" w:right="111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、公司持续追求高品质产品和服务赢得客户及市场良好的口碑，具有一定的品牌优势，积累了丰富的优质客户资源</w:t>
      </w:r>
      <w:r>
        <w:rPr>
          <w:rFonts w:ascii="宋体" w:hAnsi="宋体" w:cs="宋体" w:eastAsia="宋体" w:hint="default"/>
          <w:b/>
          <w:bCs/>
          <w:w w:val="99"/>
          <w:sz w:val="18"/>
          <w:szCs w:val="18"/>
        </w:rPr>
        <w:t> </w:t>
      </w:r>
      <w:r>
        <w:rPr>
          <w:rFonts w:ascii="宋体" w:hAnsi="宋体" w:cs="宋体" w:eastAsia="宋体" w:hint="default"/>
          <w:spacing w:val="-2"/>
          <w:sz w:val="18"/>
          <w:szCs w:val="18"/>
        </w:rPr>
        <w:t>公司自成立以来，一直坚持提供高品质的产品和服务。公司通过贯穿系统解决方案的规划设计、软件的开发设计、机器</w:t>
      </w:r>
    </w:p>
    <w:p>
      <w:pPr>
        <w:pStyle w:val="BodyText"/>
        <w:spacing w:line="477" w:lineRule="auto" w:before="74"/>
        <w:ind w:right="1129"/>
        <w:jc w:val="both"/>
      </w:pPr>
      <w:r>
        <w:rPr>
          <w:spacing w:val="-2"/>
        </w:rPr>
        <w:t>人及硬件的设计及装配、供应链质量管理、现场安装调试和售后服务等方面的全流程质量控制体系保障产品及系统品质。公</w:t>
      </w:r>
      <w:r>
        <w:rPr>
          <w:spacing w:val="-62"/>
        </w:rPr>
        <w:t> </w:t>
      </w:r>
      <w:r>
        <w:rPr>
          <w:spacing w:val="-62"/>
        </w:rPr>
      </w:r>
      <w:r>
        <w:rPr>
          <w:spacing w:val="-2"/>
        </w:rPr>
        <w:t>司以细致工作作风、以专业的技术能力、以周到的客户服务，提供超过客户预期的服务，赢得客户和市场良好的口碑。十八</w:t>
      </w:r>
      <w:r>
        <w:rPr>
          <w:spacing w:val="-67"/>
        </w:rPr>
        <w:t> </w:t>
      </w:r>
      <w:r>
        <w:rPr>
          <w:spacing w:val="-67"/>
        </w:rPr>
      </w:r>
      <w:r>
        <w:rPr/>
        <w:t>年来，公司已经形成了高品质服务商的市场形象，品牌影响力具备一定的优势。</w:t>
      </w:r>
    </w:p>
    <w:p>
      <w:pPr>
        <w:pStyle w:val="BodyText"/>
        <w:spacing w:line="477" w:lineRule="auto" w:before="55"/>
        <w:ind w:right="1115" w:firstLine="360"/>
        <w:jc w:val="left"/>
      </w:pPr>
      <w:r>
        <w:rPr>
          <w:spacing w:val="-2"/>
        </w:rPr>
        <w:t>公司坚持为优质的客户服务的原则，经过多年的努力，公司已经积累了丰富的优质客户资源，包括动力锂电行业的宁德</w:t>
      </w:r>
      <w:r>
        <w:rPr/>
        <w:t> 时代新能源、比亚迪和烟草行业的安徽中烟、福建中烟、武汉中烟、广东中烟等。</w:t>
      </w:r>
    </w:p>
    <w:p>
      <w:pPr>
        <w:spacing w:line="451" w:lineRule="auto" w:before="54"/>
        <w:ind w:left="513" w:right="111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、完善的售后服务体系和快速的反应机制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公司建立了完善的售后服务体系，与客户常年保持密切沟通，通过定期巡访、技术交流会和运维管理交流会等形式跟踪</w:t>
      </w:r>
    </w:p>
    <w:p>
      <w:pPr>
        <w:spacing w:after="0" w:line="451"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998"/>
        <w:jc w:val="left"/>
      </w:pPr>
      <w:r>
        <w:rPr>
          <w:spacing w:val="-4"/>
        </w:rPr>
        <w:t>客户的使用体验，与客户探讨如何进一步为客户提供升级、改造等技术方案，使客户可以较低的成本实现系统的升级、改造，</w:t>
      </w:r>
      <w:r>
        <w:rPr>
          <w:spacing w:val="-46"/>
        </w:rPr>
        <w:t> </w:t>
      </w:r>
      <w:r>
        <w:rPr>
          <w:spacing w:val="-46"/>
        </w:rPr>
      </w:r>
      <w:r>
        <w:rPr>
          <w:spacing w:val="-2"/>
        </w:rPr>
        <w:t>达到充分挖掘客户需求，获得业务机会。公司良好的本地化客户服务机制保证了公司能够对客户需求做出快速反应，充分引</w:t>
      </w:r>
      <w:r>
        <w:rPr>
          <w:spacing w:val="-63"/>
        </w:rPr>
        <w:t> </w:t>
      </w:r>
      <w:r>
        <w:rPr>
          <w:spacing w:val="-63"/>
        </w:rPr>
      </w:r>
      <w:r>
        <w:rPr/>
        <w:t>导和挖掘客户需求，为客户量身定制系统解决方案。</w:t>
      </w:r>
    </w:p>
    <w:p>
      <w:pPr>
        <w:pStyle w:val="BodyText"/>
        <w:spacing w:line="451" w:lineRule="auto" w:before="54"/>
        <w:ind w:left="513" w:right="1033"/>
        <w:jc w:val="left"/>
      </w:pPr>
      <w:r>
        <w:rPr>
          <w:rFonts w:ascii="Times New Roman" w:hAnsi="Times New Roman" w:cs="Times New Roman" w:eastAsia="Times New Roman" w:hint="default"/>
          <w:b/>
          <w:bCs/>
        </w:rPr>
        <w:t>5</w:t>
      </w:r>
      <w:r>
        <w:rPr>
          <w:rFonts w:ascii="宋体" w:hAnsi="宋体" w:cs="宋体" w:eastAsia="宋体" w:hint="default"/>
          <w:b/>
          <w:bCs/>
        </w:rPr>
        <w:t>、稳定的核心团队</w:t>
      </w:r>
      <w:r>
        <w:rPr>
          <w:rFonts w:ascii="宋体" w:hAnsi="宋体" w:cs="宋体" w:eastAsia="宋体" w:hint="default"/>
          <w:b/>
          <w:bCs/>
          <w:w w:val="99"/>
        </w:rPr>
        <w:t> </w:t>
      </w:r>
      <w:r>
        <w:rPr/>
        <w:t>自设立以来，公司创业团队、核心管理及技术人员保持稳定，核心人员均长期专注于自动化物流系统和智能制造行业，</w:t>
      </w:r>
    </w:p>
    <w:p>
      <w:pPr>
        <w:pStyle w:val="BodyText"/>
        <w:spacing w:line="240" w:lineRule="auto" w:before="74"/>
        <w:ind w:right="1115"/>
        <w:jc w:val="left"/>
      </w:pPr>
      <w:r>
        <w:rPr/>
        <w:t>专业结构合理。通过管理层及核心人员持股的方式，保证了管理层及技术人员与公司长期利益的一致。</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3" w:right="1115"/>
        <w:jc w:val="left"/>
        <w:rPr>
          <w:b w:val="0"/>
          <w:bCs w:val="0"/>
        </w:rPr>
      </w:pPr>
      <w:bookmarkStart w:name="_TOC_250008" w:id="4"/>
      <w:r>
        <w:rPr/>
        <w:t>第四节</w:t>
      </w:r>
      <w:r>
        <w:rPr>
          <w:spacing w:val="-5"/>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right="1115"/>
        <w:jc w:val="left"/>
        <w:rPr>
          <w:b w:val="0"/>
          <w:bCs w:val="0"/>
        </w:rPr>
      </w:pP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63" w:lineRule="auto"/>
        <w:ind w:right="1130" w:firstLine="420"/>
        <w:jc w:val="both"/>
      </w:pPr>
      <w:r>
        <w:rPr>
          <w:rFonts w:ascii="Times New Roman" w:hAnsi="Times New Roman" w:cs="Times New Roman" w:eastAsia="Times New Roman" w:hint="default"/>
        </w:rPr>
        <w:t>2018</w:t>
      </w:r>
      <w:r>
        <w:rPr/>
        <w:t>年，公司继续立足深耕烟草行业、保持新能源行业稳步发展的同时，继续加大业务拓展力度，在自动化物流系统 </w:t>
      </w:r>
      <w:r>
        <w:rPr>
          <w:spacing w:val="-2"/>
        </w:rPr>
        <w:t>各个主要应用领域，如综超、石化、电力、汽车等行业业务拓展均取得较大突破，并首次进入综超、石化、汽车、半导体等</w:t>
      </w:r>
      <w:r>
        <w:rPr>
          <w:spacing w:val="-65"/>
        </w:rPr>
        <w:t> </w:t>
      </w:r>
      <w:r>
        <w:rPr>
          <w:spacing w:val="-65"/>
        </w:rPr>
      </w:r>
      <w:r>
        <w:rPr/>
        <w:t>行业。</w:t>
      </w:r>
    </w:p>
    <w:p>
      <w:pPr>
        <w:pStyle w:val="BodyText"/>
        <w:spacing w:line="451" w:lineRule="auto" w:before="65"/>
        <w:ind w:right="1122" w:firstLine="420"/>
        <w:jc w:val="left"/>
      </w:pPr>
      <w:r>
        <w:rPr/>
        <w:t>报告期内，公司新增订单金额</w:t>
      </w:r>
      <w:r>
        <w:rPr>
          <w:rFonts w:ascii="Times New Roman" w:hAnsi="Times New Roman" w:cs="Times New Roman" w:eastAsia="Times New Roman" w:hint="default"/>
        </w:rPr>
        <w:t>125,616.42</w:t>
      </w:r>
      <w:r>
        <w:rPr/>
        <w:t>万元</w:t>
      </w:r>
      <w:r>
        <w:rPr>
          <w:rFonts w:ascii="Times New Roman" w:hAnsi="Times New Roman" w:cs="Times New Roman" w:eastAsia="Times New Roman" w:hint="default"/>
        </w:rPr>
        <w:t>,</w:t>
      </w:r>
      <w:r>
        <w:rPr/>
        <w:t>同比大幅增长；实现营业收入</w:t>
      </w:r>
      <w:r>
        <w:rPr>
          <w:rFonts w:ascii="Times New Roman" w:hAnsi="Times New Roman" w:cs="Times New Roman" w:eastAsia="Times New Roman" w:hint="default"/>
        </w:rPr>
        <w:t>41,614.73</w:t>
      </w:r>
      <w:r>
        <w:rPr/>
        <w:t>万元，同比下降</w:t>
      </w:r>
      <w:r>
        <w:rPr>
          <w:rFonts w:ascii="Times New Roman" w:hAnsi="Times New Roman" w:cs="Times New Roman" w:eastAsia="Times New Roman" w:hint="default"/>
        </w:rPr>
        <w:t>26.94%</w:t>
      </w:r>
      <w:r>
        <w:rPr/>
        <w:t>，实现营 业利润</w:t>
      </w:r>
      <w:r>
        <w:rPr>
          <w:rFonts w:ascii="Times New Roman" w:hAnsi="Times New Roman" w:cs="Times New Roman" w:eastAsia="Times New Roman" w:hint="default"/>
        </w:rPr>
        <w:t>1,674.60</w:t>
      </w:r>
      <w:r>
        <w:rPr/>
        <w:t>万元，同比下降</w:t>
      </w:r>
      <w:r>
        <w:rPr>
          <w:rFonts w:ascii="Times New Roman" w:hAnsi="Times New Roman" w:cs="Times New Roman" w:eastAsia="Times New Roman" w:hint="default"/>
        </w:rPr>
        <w:t>86.66%</w:t>
      </w:r>
      <w:r>
        <w:rPr/>
        <w:t>，归属上市公司股东的净利润</w:t>
      </w:r>
      <w:r>
        <w:rPr>
          <w:rFonts w:ascii="Times New Roman" w:hAnsi="Times New Roman" w:cs="Times New Roman" w:eastAsia="Times New Roman" w:hint="default"/>
        </w:rPr>
        <w:t>1,821.98</w:t>
      </w:r>
      <w:r>
        <w:rPr/>
        <w:t>万元，同比下降</w:t>
      </w:r>
      <w:r>
        <w:rPr>
          <w:spacing w:val="-28"/>
        </w:rPr>
        <w:t> </w:t>
      </w:r>
      <w:r>
        <w:rPr>
          <w:rFonts w:ascii="Times New Roman" w:hAnsi="Times New Roman" w:cs="Times New Roman" w:eastAsia="Times New Roman" w:hint="default"/>
        </w:rPr>
        <w:t>83.82%</w:t>
      </w:r>
      <w:r>
        <w:rPr/>
        <w:t>；实现扣除非经常性损 益后归属于上市公司股东的净利润</w:t>
      </w:r>
      <w:r>
        <w:rPr>
          <w:rFonts w:ascii="Times New Roman" w:hAnsi="Times New Roman" w:cs="Times New Roman" w:eastAsia="Times New Roman" w:hint="default"/>
        </w:rPr>
        <w:t>1,272.22</w:t>
      </w:r>
      <w:r>
        <w:rPr/>
        <w:t>万元，同比下降</w:t>
      </w:r>
      <w:r>
        <w:rPr>
          <w:rFonts w:ascii="Times New Roman" w:hAnsi="Times New Roman" w:cs="Times New Roman" w:eastAsia="Times New Roman" w:hint="default"/>
        </w:rPr>
        <w:t>84.32</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w:t>
      </w:r>
    </w:p>
    <w:p>
      <w:pPr>
        <w:pStyle w:val="BodyText"/>
        <w:spacing w:line="240" w:lineRule="auto" w:before="43"/>
        <w:ind w:left="573" w:right="1115"/>
        <w:jc w:val="left"/>
      </w:pPr>
      <w:r>
        <w:rPr/>
        <w:t>一、新增订单及在手订单业务情况</w:t>
      </w:r>
    </w:p>
    <w:p>
      <w:pPr>
        <w:spacing w:line="240" w:lineRule="auto" w:before="10"/>
        <w:rPr>
          <w:rFonts w:ascii="宋体" w:hAnsi="宋体" w:cs="宋体" w:eastAsia="宋体" w:hint="default"/>
          <w:sz w:val="17"/>
          <w:szCs w:val="17"/>
        </w:rPr>
      </w:pPr>
    </w:p>
    <w:p>
      <w:pPr>
        <w:pStyle w:val="BodyText"/>
        <w:spacing w:line="240" w:lineRule="auto"/>
        <w:ind w:left="573" w:right="111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年公司继续加大业务拓展，新增订单同比有较大幅度增长，增长</w:t>
      </w:r>
      <w:r>
        <w:rPr>
          <w:rFonts w:ascii="Times New Roman" w:hAnsi="Times New Roman" w:cs="Times New Roman" w:eastAsia="Times New Roman" w:hint="default"/>
        </w:rPr>
        <w:t>74.52%</w:t>
      </w:r>
      <w:r>
        <w:rPr/>
        <w:t>。</w:t>
      </w:r>
    </w:p>
    <w:p>
      <w:pPr>
        <w:spacing w:line="240" w:lineRule="auto" w:before="9"/>
        <w:rPr>
          <w:rFonts w:ascii="宋体" w:hAnsi="宋体" w:cs="宋体" w:eastAsia="宋体" w:hint="default"/>
          <w:sz w:val="16"/>
          <w:szCs w:val="16"/>
        </w:rPr>
      </w:pPr>
    </w:p>
    <w:p>
      <w:pPr>
        <w:pStyle w:val="BodyText"/>
        <w:spacing w:line="451" w:lineRule="auto"/>
        <w:ind w:left="573" w:right="1153"/>
        <w:jc w:val="left"/>
      </w:pPr>
      <w:r>
        <w:rPr>
          <w:rFonts w:ascii="Times New Roman" w:hAnsi="Times New Roman" w:cs="Times New Roman" w:eastAsia="Times New Roman" w:hint="default"/>
        </w:rPr>
        <w:t>2</w:t>
      </w:r>
      <w:r>
        <w:rPr/>
        <w:t>、实现了综超、石化、汽车、半导体等行业突破。 报告期公司取得华润万家、中科炼化、比亚迪等大型项目订单，公司承接大项目订单竞争力进一步提升，并获取一汽</w:t>
      </w:r>
    </w:p>
    <w:p>
      <w:pPr>
        <w:pStyle w:val="BodyText"/>
        <w:spacing w:line="463" w:lineRule="auto" w:before="74"/>
        <w:ind w:left="573" w:right="1153" w:hanging="421"/>
        <w:jc w:val="left"/>
      </w:pPr>
      <w:r>
        <w:rPr/>
        <w:t>锡柴、村田五矿精密等新行业客户订单，实现零的突破。 </w:t>
      </w:r>
      <w:r>
        <w:rPr>
          <w:rFonts w:ascii="Times New Roman" w:hAnsi="Times New Roman" w:cs="Times New Roman" w:eastAsia="Times New Roman" w:hint="default"/>
        </w:rPr>
        <w:t>3</w:t>
      </w:r>
      <w:r>
        <w:rPr/>
        <w:t>、报告期新增售后运营维护订单</w:t>
      </w:r>
      <w:r>
        <w:rPr>
          <w:rFonts w:ascii="Times New Roman" w:hAnsi="Times New Roman" w:cs="Times New Roman" w:eastAsia="Times New Roman" w:hint="default"/>
        </w:rPr>
        <w:t>10,022.04</w:t>
      </w:r>
      <w:r>
        <w:rPr/>
        <w:t>万元，同比上年增长</w:t>
      </w:r>
      <w:r>
        <w:rPr>
          <w:rFonts w:ascii="Times New Roman" w:hAnsi="Times New Roman" w:cs="Times New Roman" w:eastAsia="Times New Roman" w:hint="default"/>
        </w:rPr>
        <w:t>31.2%</w:t>
      </w:r>
      <w:r>
        <w:rPr/>
        <w:t>，订单持续较快增长。 运营维护服务是指公司为客户提供年度维保、系统改造升级、更换物流设备零配件以及培训等服务，是公司为客户提</w:t>
      </w:r>
    </w:p>
    <w:p>
      <w:pPr>
        <w:pStyle w:val="BodyText"/>
        <w:spacing w:line="477" w:lineRule="auto" w:before="65"/>
        <w:ind w:right="1115"/>
        <w:jc w:val="left"/>
      </w:pPr>
      <w:r>
        <w:rPr>
          <w:spacing w:val="-2"/>
        </w:rPr>
        <w:t>供的一项重要的后续增值服务，公司运营维护客户保持稳定，随着公司实施项目的积累，以及服务技术创新推行，业务不断</w:t>
      </w:r>
      <w:r>
        <w:rPr>
          <w:spacing w:val="-64"/>
        </w:rPr>
        <w:t> </w:t>
      </w:r>
      <w:r>
        <w:rPr>
          <w:spacing w:val="-64"/>
        </w:rPr>
      </w:r>
      <w:r>
        <w:rPr/>
        <w:t>持续增长。</w:t>
      </w:r>
    </w:p>
    <w:p>
      <w:pPr>
        <w:pStyle w:val="BodyText"/>
        <w:spacing w:line="451" w:lineRule="auto" w:before="54"/>
        <w:ind w:right="1049" w:firstLine="420"/>
        <w:jc w:val="left"/>
      </w:pP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2018</w:t>
      </w:r>
      <w:r>
        <w:rPr/>
        <w:t>年新增订单</w:t>
      </w:r>
      <w:r>
        <w:rPr>
          <w:rFonts w:ascii="Times New Roman" w:hAnsi="Times New Roman" w:cs="Times New Roman" w:eastAsia="Times New Roman" w:hint="default"/>
        </w:rPr>
        <w:t>125,616.42</w:t>
      </w:r>
      <w:r>
        <w:rPr/>
        <w:t>万元，相比上一年增加</w:t>
      </w:r>
      <w:r>
        <w:rPr>
          <w:rFonts w:ascii="Times New Roman" w:hAnsi="Times New Roman" w:cs="Times New Roman" w:eastAsia="Times New Roman" w:hint="default"/>
        </w:rPr>
        <w:t>74.52%</w:t>
      </w:r>
      <w:r>
        <w:rPr/>
        <w:t>，截至</w:t>
      </w:r>
      <w:r>
        <w:rPr>
          <w:rFonts w:ascii="Times New Roman" w:hAnsi="Times New Roman" w:cs="Times New Roman" w:eastAsia="Times New Roman" w:hint="default"/>
        </w:rPr>
        <w:t>2018</w:t>
      </w:r>
      <w:r>
        <w:rPr/>
        <w:t>年底仍有未确认收入订单</w:t>
      </w:r>
      <w:r>
        <w:rPr>
          <w:rFonts w:ascii="Times New Roman" w:hAnsi="Times New Roman" w:cs="Times New Roman" w:eastAsia="Times New Roman" w:hint="default"/>
        </w:rPr>
        <w:t>168,083.48</w:t>
      </w:r>
      <w:r>
        <w:rPr/>
        <w:t>万元， 对未来业绩起到有力的保障。</w:t>
      </w:r>
    </w:p>
    <w:p>
      <w:pPr>
        <w:pStyle w:val="BodyText"/>
        <w:spacing w:line="240" w:lineRule="auto" w:before="74"/>
        <w:ind w:left="573" w:right="1115"/>
        <w:jc w:val="left"/>
      </w:pPr>
      <w:r>
        <w:rPr/>
        <w:t>二、营业收入及利润情况</w:t>
      </w:r>
    </w:p>
    <w:p>
      <w:pPr>
        <w:spacing w:line="240" w:lineRule="auto" w:before="10"/>
        <w:rPr>
          <w:rFonts w:ascii="宋体" w:hAnsi="宋体" w:cs="宋体" w:eastAsia="宋体" w:hint="default"/>
          <w:sz w:val="17"/>
          <w:szCs w:val="17"/>
        </w:rPr>
      </w:pPr>
    </w:p>
    <w:p>
      <w:pPr>
        <w:pStyle w:val="BodyText"/>
        <w:spacing w:line="240" w:lineRule="auto"/>
        <w:ind w:left="573" w:right="1115"/>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2018</w:t>
      </w:r>
      <w:r>
        <w:rPr>
          <w:spacing w:val="-3"/>
        </w:rPr>
        <w:t>年营业收入完成</w:t>
      </w:r>
      <w:r>
        <w:rPr>
          <w:rFonts w:ascii="Times New Roman" w:hAnsi="Times New Roman" w:cs="Times New Roman" w:eastAsia="Times New Roman" w:hint="default"/>
          <w:spacing w:val="-3"/>
        </w:rPr>
        <w:t>41,614.73</w:t>
      </w:r>
      <w:r>
        <w:rPr>
          <w:spacing w:val="-3"/>
        </w:rPr>
        <w:t>万元，同比上年减少</w:t>
      </w:r>
      <w:r>
        <w:rPr>
          <w:rFonts w:ascii="Times New Roman" w:hAnsi="Times New Roman" w:cs="Times New Roman" w:eastAsia="Times New Roman" w:hint="default"/>
          <w:spacing w:val="-3"/>
        </w:rPr>
        <w:t>26.94%</w:t>
      </w:r>
      <w:r>
        <w:rPr>
          <w:spacing w:val="-3"/>
        </w:rPr>
        <w:t>，主要受宏观经济和客户自身经营计划的调整影响，公司</w:t>
      </w:r>
      <w:r>
        <w:rPr>
          <w:rFonts w:ascii="Times New Roman" w:hAnsi="Times New Roman" w:cs="Times New Roman" w:eastAsia="Times New Roman" w:hint="default"/>
          <w:spacing w:val="-3"/>
        </w:rPr>
        <w:t>2018</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5"/>
        <w:jc w:val="left"/>
      </w:pPr>
      <w:r>
        <w:rPr/>
        <w:t>年部分在实施项目推进不及预期。</w:t>
      </w:r>
    </w:p>
    <w:p>
      <w:pPr>
        <w:spacing w:line="240" w:lineRule="auto" w:before="10"/>
        <w:rPr>
          <w:rFonts w:ascii="宋体" w:hAnsi="宋体" w:cs="宋体" w:eastAsia="宋体" w:hint="default"/>
          <w:sz w:val="17"/>
          <w:szCs w:val="17"/>
        </w:rPr>
      </w:pPr>
    </w:p>
    <w:p>
      <w:pPr>
        <w:pStyle w:val="BodyText"/>
        <w:spacing w:line="451" w:lineRule="auto"/>
        <w:ind w:right="1175" w:firstLine="420"/>
        <w:jc w:val="left"/>
      </w:pPr>
      <w:r>
        <w:rPr/>
        <w:t>烟草行业实现收入</w:t>
      </w:r>
      <w:r>
        <w:rPr>
          <w:rFonts w:ascii="Times New Roman" w:hAnsi="Times New Roman" w:cs="Times New Roman" w:eastAsia="Times New Roman" w:hint="default"/>
        </w:rPr>
        <w:t>23,578.93</w:t>
      </w:r>
      <w:r>
        <w:rPr/>
        <w:t>万元，占比</w:t>
      </w:r>
      <w:r>
        <w:rPr>
          <w:rFonts w:ascii="Times New Roman" w:hAnsi="Times New Roman" w:cs="Times New Roman" w:eastAsia="Times New Roman" w:hint="default"/>
        </w:rPr>
        <w:t>56.7%</w:t>
      </w:r>
      <w:r>
        <w:rPr/>
        <w:t>，非烟行业</w:t>
      </w:r>
      <w:r>
        <w:rPr>
          <w:rFonts w:ascii="Times New Roman" w:hAnsi="Times New Roman" w:cs="Times New Roman" w:eastAsia="Times New Roman" w:hint="default"/>
        </w:rPr>
        <w:t>18,035.80</w:t>
      </w:r>
      <w:r>
        <w:rPr/>
        <w:t>万元，占比</w:t>
      </w:r>
      <w:r>
        <w:rPr>
          <w:rFonts w:ascii="Times New Roman" w:hAnsi="Times New Roman" w:cs="Times New Roman" w:eastAsia="Times New Roman" w:hint="default"/>
        </w:rPr>
        <w:t>43.30</w:t>
      </w:r>
      <w:r>
        <w:rPr>
          <w:rFonts w:ascii="Times New Roman" w:hAnsi="Times New Roman" w:cs="Times New Roman" w:eastAsia="Times New Roman" w:hint="default"/>
          <w:spacing w:val="-6"/>
        </w:rPr>
        <w:t> </w:t>
      </w:r>
      <w:r>
        <w:rPr>
          <w:rFonts w:ascii="Times New Roman" w:hAnsi="Times New Roman" w:cs="Times New Roman" w:eastAsia="Times New Roman" w:hint="default"/>
        </w:rPr>
        <w:t>%</w:t>
      </w:r>
      <w:r>
        <w:rPr/>
        <w:t>，报告期内公司烟草行业及非烟 行业收入规模较为均衡，烟草行业营收贡献继续保持稳定。</w:t>
      </w:r>
    </w:p>
    <w:p>
      <w:pPr>
        <w:pStyle w:val="BodyText"/>
        <w:spacing w:line="451" w:lineRule="auto" w:before="74"/>
        <w:ind w:right="1115" w:firstLine="420"/>
        <w:jc w:val="left"/>
      </w:pPr>
      <w:r>
        <w:rPr>
          <w:spacing w:val="-2"/>
        </w:rPr>
        <w:t>售后运营维护实现收入</w:t>
      </w:r>
      <w:r>
        <w:rPr>
          <w:rFonts w:ascii="Times New Roman" w:hAnsi="Times New Roman" w:cs="Times New Roman" w:eastAsia="Times New Roman" w:hint="default"/>
          <w:spacing w:val="-2"/>
        </w:rPr>
        <w:t>6,476.41</w:t>
      </w:r>
      <w:r>
        <w:rPr>
          <w:spacing w:val="-2"/>
        </w:rPr>
        <w:t>万元，占比</w:t>
      </w:r>
      <w:r>
        <w:rPr>
          <w:rFonts w:ascii="Times New Roman" w:hAnsi="Times New Roman" w:cs="Times New Roman" w:eastAsia="Times New Roman" w:hint="default"/>
          <w:spacing w:val="-2"/>
        </w:rPr>
        <w:t>15.56%</w:t>
      </w:r>
      <w:r>
        <w:rPr>
          <w:spacing w:val="-2"/>
        </w:rPr>
        <w:t>，同比增长</w:t>
      </w:r>
      <w:r>
        <w:rPr>
          <w:rFonts w:ascii="Times New Roman" w:hAnsi="Times New Roman" w:cs="Times New Roman" w:eastAsia="Times New Roman" w:hint="default"/>
          <w:spacing w:val="-2"/>
        </w:rPr>
        <w:t>28.07%</w:t>
      </w:r>
      <w:r>
        <w:rPr>
          <w:spacing w:val="-2"/>
        </w:rPr>
        <w:t>。售后运营维护业务逐年稳步增长，对公司营收及</w:t>
      </w:r>
      <w:r>
        <w:rPr/>
        <w:t> 利润的贡献也在加大。</w:t>
      </w:r>
    </w:p>
    <w:p>
      <w:pPr>
        <w:pStyle w:val="BodyText"/>
        <w:spacing w:line="240" w:lineRule="auto" w:before="74"/>
        <w:ind w:left="573" w:right="1115"/>
        <w:jc w:val="left"/>
      </w:pPr>
      <w:r>
        <w:rPr/>
        <w:t>报告期实现营业利润</w:t>
      </w:r>
      <w:r>
        <w:rPr>
          <w:rFonts w:ascii="Times New Roman" w:hAnsi="Times New Roman" w:cs="Times New Roman" w:eastAsia="Times New Roman" w:hint="default"/>
        </w:rPr>
        <w:t>1,674.60</w:t>
      </w:r>
      <w:r>
        <w:rPr/>
        <w:t>万元，同比下降</w:t>
      </w:r>
      <w:r>
        <w:rPr>
          <w:rFonts w:ascii="Times New Roman" w:hAnsi="Times New Roman" w:cs="Times New Roman" w:eastAsia="Times New Roman" w:hint="default"/>
        </w:rPr>
        <w:t>86.66%</w:t>
      </w:r>
      <w:r>
        <w:rPr/>
        <w:t>，归属股东的净利润</w:t>
      </w:r>
      <w:r>
        <w:rPr>
          <w:rFonts w:ascii="Times New Roman" w:hAnsi="Times New Roman" w:cs="Times New Roman" w:eastAsia="Times New Roman" w:hint="default"/>
        </w:rPr>
        <w:t>1,821.98</w:t>
      </w:r>
      <w:r>
        <w:rPr/>
        <w:t>万元，同比大幅下降。一方面主要系</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8" w:lineRule="auto"/>
        <w:ind w:right="1094"/>
        <w:jc w:val="left"/>
      </w:pPr>
      <w:r>
        <w:rPr>
          <w:spacing w:val="-2"/>
        </w:rPr>
        <w:t>受宏观经济和客户自身经营计划的调整影响，报告期部分在实施项目实施进度推进不及预期，导致本年度项目完成并确认收</w:t>
      </w:r>
      <w:r>
        <w:rPr>
          <w:spacing w:val="-64"/>
        </w:rPr>
        <w:t> </w:t>
      </w:r>
      <w:r>
        <w:rPr>
          <w:spacing w:val="-64"/>
        </w:rPr>
      </w:r>
      <w:r>
        <w:rPr/>
        <w:t>入金额相比上一年同期减少</w:t>
      </w:r>
      <w:r>
        <w:rPr>
          <w:rFonts w:ascii="Times New Roman" w:hAnsi="Times New Roman" w:cs="Times New Roman" w:eastAsia="Times New Roman" w:hint="default"/>
        </w:rPr>
        <w:t>26.94%</w:t>
      </w:r>
      <w:r>
        <w:rPr/>
        <w:t>；另一方面根据公司业务跟进情况及未来发展计划，报告期公司增加了大量的业务和技 术人员，全年员工人数增加</w:t>
      </w:r>
      <w:r>
        <w:rPr>
          <w:rFonts w:ascii="Times New Roman" w:hAnsi="Times New Roman" w:cs="Times New Roman" w:eastAsia="Times New Roman" w:hint="default"/>
        </w:rPr>
        <w:t>29.53%</w:t>
      </w:r>
      <w:r>
        <w:rPr/>
        <w:t>，导致人工支出及差旅费用等业务支出有较大增幅，销售费用增长</w:t>
      </w:r>
      <w:r>
        <w:rPr>
          <w:rFonts w:ascii="Times New Roman" w:hAnsi="Times New Roman" w:cs="Times New Roman" w:eastAsia="Times New Roman" w:hint="default"/>
        </w:rPr>
        <w:t>39.70%</w:t>
      </w:r>
      <w:r>
        <w:rPr/>
        <w:t>，管理费用增 长</w:t>
      </w:r>
      <w:r>
        <w:rPr>
          <w:rFonts w:ascii="Times New Roman" w:hAnsi="Times New Roman" w:cs="Times New Roman" w:eastAsia="Times New Roman" w:hint="default"/>
        </w:rPr>
        <w:t>9.72%</w:t>
      </w:r>
      <w:r>
        <w:rPr/>
        <w:t>；进一步加大了技术研发的力度，全年研发费用同比增长</w:t>
      </w:r>
      <w:r>
        <w:rPr>
          <w:rFonts w:ascii="Times New Roman" w:hAnsi="Times New Roman" w:cs="Times New Roman" w:eastAsia="Times New Roman" w:hint="default"/>
        </w:rPr>
        <w:t>38.88%</w:t>
      </w:r>
      <w:r>
        <w:rPr/>
        <w:t>。公司运营费用增长与新增订单业务增长相匹配， 公司人员的增加和对创新技术的研发投入对短期业绩形成了较大的冲击，但会增强公司的长期竞争力。</w:t>
      </w:r>
    </w:p>
    <w:p>
      <w:pPr>
        <w:pStyle w:val="BodyText"/>
        <w:spacing w:line="477" w:lineRule="auto" w:before="68"/>
        <w:ind w:left="573" w:right="1030"/>
        <w:jc w:val="left"/>
      </w:pPr>
      <w:r>
        <w:rPr/>
        <w:t>三、经营现金流及资金管理 </w:t>
      </w:r>
      <w:r>
        <w:rPr>
          <w:spacing w:val="-1"/>
        </w:rPr>
        <w:t>报告期公司继续实行稳健经营策略，期末货币资金保持稳定，资金较为充裕，报告期经营性现金净流入</w:t>
      </w:r>
      <w:r>
        <w:rPr>
          <w:rFonts w:ascii="Times New Roman" w:hAnsi="Times New Roman" w:cs="Times New Roman" w:eastAsia="Times New Roman" w:hint="default"/>
          <w:spacing w:val="-1"/>
        </w:rPr>
        <w:t>14,968.20</w:t>
      </w:r>
      <w:r>
        <w:rPr>
          <w:spacing w:val="-1"/>
        </w:rPr>
        <w:t>万元，</w:t>
      </w:r>
    </w:p>
    <w:p>
      <w:pPr>
        <w:pStyle w:val="BodyText"/>
        <w:spacing w:line="477" w:lineRule="auto" w:before="21"/>
        <w:ind w:right="1115"/>
        <w:jc w:val="left"/>
      </w:pPr>
      <w:r>
        <w:rPr>
          <w:spacing w:val="-2"/>
        </w:rPr>
        <w:t>同比大幅增长，主要是公司继续加强应收账款回款管理及与供应商结算管理，同时新增业务订单大幅增长带来的现金流入增</w:t>
      </w:r>
      <w:r>
        <w:rPr>
          <w:spacing w:val="-64"/>
        </w:rPr>
        <w:t> </w:t>
      </w:r>
      <w:r>
        <w:rPr>
          <w:spacing w:val="-64"/>
        </w:rPr>
      </w:r>
      <w:r>
        <w:rPr/>
        <w:t>加所致。报告期末公司资产负债率</w:t>
      </w:r>
      <w:r>
        <w:rPr>
          <w:rFonts w:ascii="Times New Roman" w:hAnsi="Times New Roman" w:cs="Times New Roman" w:eastAsia="Times New Roman" w:hint="default"/>
        </w:rPr>
        <w:t>49.16%</w:t>
      </w:r>
      <w:r>
        <w:rPr/>
        <w:t>，无有息负债，资产负债结构良好。</w:t>
      </w:r>
    </w:p>
    <w:p>
      <w:pPr>
        <w:spacing w:line="240" w:lineRule="auto" w:before="1"/>
        <w:rPr>
          <w:rFonts w:ascii="宋体" w:hAnsi="宋体" w:cs="宋体" w:eastAsia="宋体" w:hint="default"/>
          <w:sz w:val="15"/>
          <w:szCs w:val="15"/>
        </w:rPr>
      </w:pPr>
    </w:p>
    <w:p>
      <w:pPr>
        <w:pStyle w:val="Heading4"/>
        <w:spacing w:line="240" w:lineRule="auto"/>
        <w:ind w:right="1115"/>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8"/>
        <w:ind w:right="1115"/>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32"/>
          <w:szCs w:val="32"/>
        </w:rPr>
      </w:pPr>
    </w:p>
    <w:p>
      <w:pPr>
        <w:pStyle w:val="BodyText"/>
        <w:spacing w:line="518" w:lineRule="auto"/>
        <w:ind w:right="6974"/>
        <w:jc w:val="left"/>
      </w:pPr>
      <w:r>
        <w:rPr/>
        <w:t>公司是否需要遵守光伏产业链相关业的披露要求 否</w:t>
      </w:r>
    </w:p>
    <w:p>
      <w:pPr>
        <w:pStyle w:val="BodyText"/>
        <w:spacing w:line="489" w:lineRule="auto" w:before="62"/>
        <w:ind w:right="13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487" w:lineRule="auto" w:before="86"/>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489" w:lineRule="auto" w:before="88"/>
        <w:ind w:right="113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489" w:lineRule="auto" w:before="84"/>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487" w:lineRule="auto" w:before="86"/>
        <w:ind w:right="1664"/>
        <w:jc w:val="left"/>
      </w:pPr>
      <w:r>
        <w:rPr/>
        <w:t>公司是否需遵守《深圳证券交易所行业信息披露指引第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 是</w:t>
      </w:r>
    </w:p>
    <w:p>
      <w:pPr>
        <w:spacing w:after="0" w:line="487"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0"/>
        <w:gridCol w:w="1008"/>
        <w:gridCol w:w="1009"/>
        <w:gridCol w:w="1013"/>
        <w:gridCol w:w="1011"/>
        <w:gridCol w:w="1003"/>
        <w:gridCol w:w="1006"/>
        <w:gridCol w:w="1001"/>
        <w:gridCol w:w="1003"/>
      </w:tblGrid>
      <w:tr>
        <w:trPr>
          <w:trHeight w:val="401" w:hRule="exact"/>
        </w:trPr>
        <w:tc>
          <w:tcPr>
            <w:tcW w:w="1520"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520"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682"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131,204,738.05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153,170,765.27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60,722,685.55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5"/>
                <w:szCs w:val="15"/>
              </w:rPr>
            </w:pPr>
            <w:r>
              <w:rPr>
                <w:rFonts w:ascii="Times New Roman"/>
                <w:sz w:val="15"/>
              </w:rPr>
              <w:t>71,049,120.00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53,671,739.32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116,229,858.38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5"/>
                <w:szCs w:val="15"/>
              </w:rPr>
            </w:pPr>
            <w:r>
              <w:rPr>
                <w:rFonts w:ascii="Times New Roman"/>
                <w:sz w:val="15"/>
              </w:rPr>
              <w:t>239,353,838.56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z w:val="15"/>
              </w:rPr>
              <w:t>160,362,308.75</w:t>
            </w:r>
          </w:p>
        </w:tc>
      </w:tr>
      <w:tr>
        <w:trPr>
          <w:trHeight w:val="715"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24,906,708.73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8,970,335.76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-12,343,936.24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41" w:right="0"/>
              <w:jc w:val="left"/>
              <w:rPr>
                <w:rFonts w:ascii="Times New Roman" w:hAnsi="Times New Roman" w:cs="Times New Roman" w:eastAsia="Times New Roman" w:hint="default"/>
                <w:sz w:val="15"/>
                <w:szCs w:val="15"/>
              </w:rPr>
            </w:pPr>
            <w:r>
              <w:rPr>
                <w:rFonts w:ascii="Times New Roman"/>
                <w:sz w:val="15"/>
              </w:rPr>
              <w:t>-3,313,259.98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9,997,365.94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11,711,579.24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6" w:right="0"/>
              <w:jc w:val="center"/>
              <w:rPr>
                <w:rFonts w:ascii="Times New Roman" w:hAnsi="Times New Roman" w:cs="Times New Roman" w:eastAsia="Times New Roman" w:hint="default"/>
                <w:sz w:val="15"/>
                <w:szCs w:val="15"/>
              </w:rPr>
            </w:pPr>
            <w:r>
              <w:rPr>
                <w:rFonts w:ascii="Times New Roman"/>
                <w:sz w:val="15"/>
              </w:rPr>
              <w:t>41,047,314.33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4" w:right="0"/>
              <w:jc w:val="center"/>
              <w:rPr>
                <w:rFonts w:ascii="Times New Roman" w:hAnsi="Times New Roman" w:cs="Times New Roman" w:eastAsia="Times New Roman" w:hint="default"/>
                <w:sz w:val="15"/>
                <w:szCs w:val="15"/>
              </w:rPr>
            </w:pPr>
            <w:r>
              <w:rPr>
                <w:rFonts w:ascii="Times New Roman"/>
                <w:sz w:val="15"/>
              </w:rPr>
              <w:t>30,448,533.79</w:t>
            </w:r>
          </w:p>
        </w:tc>
      </w:tr>
    </w:tbl>
    <w:p>
      <w:pPr>
        <w:pStyle w:val="BodyText"/>
        <w:spacing w:line="436" w:lineRule="auto" w:before="49"/>
        <w:ind w:right="6614"/>
        <w:jc w:val="left"/>
      </w:pPr>
      <w:r>
        <w:rPr/>
        <w:t>说明经营季节性（或周期性）发生的原因及波动风险 公司经营没有固定的季节性，但有很大的波动性。</w:t>
      </w:r>
    </w:p>
    <w:p>
      <w:pPr>
        <w:pStyle w:val="BodyText"/>
        <w:spacing w:line="477" w:lineRule="auto" w:before="85"/>
        <w:ind w:right="998"/>
        <w:jc w:val="left"/>
      </w:pPr>
      <w:r>
        <w:rPr>
          <w:spacing w:val="-4"/>
        </w:rPr>
        <w:t>公司单个项目金额较高、实施周期较长，大项目的收入确认对当期营业收入影响较大；若受到客户修改规划设计方案或土建、</w:t>
      </w:r>
      <w:r>
        <w:rPr>
          <w:spacing w:val="-43"/>
        </w:rPr>
        <w:t> </w:t>
      </w:r>
      <w:r>
        <w:rPr>
          <w:spacing w:val="-43"/>
        </w:rPr>
      </w:r>
      <w:r>
        <w:rPr>
          <w:spacing w:val="-2"/>
        </w:rPr>
        <w:t>通风、供电、消防等工程未能如期完工的影响，项目的收入确认时点具有不确定性。因此，公司可能出现某个季度由于可确</w:t>
      </w:r>
      <w:r>
        <w:rPr>
          <w:spacing w:val="-67"/>
        </w:rPr>
        <w:t> </w:t>
      </w:r>
      <w:r>
        <w:rPr>
          <w:spacing w:val="-67"/>
        </w:rPr>
      </w:r>
      <w:r>
        <w:rPr>
          <w:spacing w:val="-2"/>
        </w:rPr>
        <w:t>认收入项目数量较少、金额较小而产生亏损；或者某个季度可确认收入项目数量较多、金额较大而使当季度业绩大幅提升等</w:t>
      </w:r>
      <w:r>
        <w:rPr>
          <w:spacing w:val="-63"/>
        </w:rPr>
        <w:t> </w:t>
      </w:r>
      <w:r>
        <w:rPr>
          <w:spacing w:val="-63"/>
        </w:rPr>
      </w:r>
      <w:r>
        <w:rPr/>
        <w:t>情形。</w:t>
      </w:r>
    </w:p>
    <w:p>
      <w:pPr>
        <w:pStyle w:val="BodyText"/>
        <w:spacing w:line="240" w:lineRule="auto" w:before="16"/>
        <w:ind w:right="1115"/>
        <w:jc w:val="left"/>
      </w:pPr>
      <w:r>
        <w:rPr/>
        <w:t>营业收入整体情况</w:t>
      </w:r>
    </w:p>
    <w:p>
      <w:pPr>
        <w:pStyle w:val="BodyText"/>
        <w:spacing w:line="240" w:lineRule="auto" w:before="117"/>
        <w:ind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416,147,308.87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569,617,745.01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-26.94%</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414,544,935.47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568,287,726.38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-27.05%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加工制造业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4,273.50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1,602,373.40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1,325,745.13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工业生产型物流系 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349,780,836.75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483,029,105.25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-27.59%</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商业配送型物流系 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34,690,126.53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运营维护（售后服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64,764,098.72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50,568,494.60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28.07%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托盘梗箱</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4,273.50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1,602,373.40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1,325,745.13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1,658,408.88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251,816.23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558.58%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2,054,000.68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1,906,809.85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7,218,931.05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52,795,075.32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90,692,471.19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22,514,386.72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302.82%</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95,094,923.18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22.85%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30,282,107.67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214.03%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207,380,844.93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273,894,643.16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12,047,728.96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187,972,906.06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-93.59%</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8" w:lineRule="auto" w:before="44"/>
        <w:ind w:right="58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公司是否需要遵守特殊行业的披露要求 是</w:t>
      </w:r>
    </w:p>
    <w:p>
      <w:pPr>
        <w:pStyle w:val="BodyText"/>
        <w:spacing w:line="240" w:lineRule="auto" w:before="36"/>
        <w:ind w:right="5833"/>
        <w:jc w:val="left"/>
      </w:pPr>
      <w:r>
        <w:rPr/>
        <w:t>软件与信息技术服务业</w:t>
      </w:r>
    </w:p>
    <w:p>
      <w:pPr>
        <w:pStyle w:val="BodyText"/>
        <w:spacing w:line="240" w:lineRule="auto" w:before="115"/>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32" w:right="0"/>
        <w:jc w:val="left"/>
      </w:pPr>
      <w:r>
        <w:rPr/>
        <w:t>单位：元</w:t>
      </w:r>
    </w:p>
    <w:p>
      <w:pPr>
        <w:spacing w:after="0" w:line="240" w:lineRule="auto"/>
        <w:jc w:val="left"/>
        <w:sectPr>
          <w:type w:val="continuous"/>
          <w:pgSz w:w="11910" w:h="16840"/>
          <w:pgMar w:top="1060" w:bottom="70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172,267,185.55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122,360,060.24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235,365,639.36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142,567,304.32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工业生产型物流 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349,780,836.75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240,498,754.16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运营维护（售后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64,764,098.72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30,287,300.92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90,692,471.19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65,538,708.02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95,094,923.18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55,183,463.18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207,380,844.93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139,890,115.59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w:t>
            </w:r>
          </w:p>
        </w:tc>
      </w:tr>
    </w:tbl>
    <w:p>
      <w:pPr>
        <w:pStyle w:val="BodyText"/>
        <w:spacing w:line="240" w:lineRule="auto" w:before="49"/>
        <w:ind w:right="1115"/>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3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是</w:t>
      </w:r>
    </w:p>
    <w:p>
      <w:pPr>
        <w:pStyle w:val="BodyText"/>
        <w:spacing w:line="240" w:lineRule="auto" w:before="43"/>
        <w:ind w:right="1115"/>
        <w:jc w:val="left"/>
      </w:pPr>
      <w:r>
        <w:rPr/>
        <w:t>软件与信息技术服务业</w:t>
      </w:r>
    </w:p>
    <w:p>
      <w:pPr>
        <w:spacing w:after="0" w:line="240" w:lineRule="auto"/>
        <w:jc w:val="left"/>
        <w:sectPr>
          <w:type w:val="continuous"/>
          <w:pgSz w:w="11910" w:h="16840"/>
          <w:pgMar w:top="1060" w:bottom="70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183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单一销售合同金额占公司最近一个会计年度经审计营业收入</w:t>
      </w:r>
      <w:r>
        <w:rPr>
          <w:spacing w:val="-46"/>
        </w:rPr>
        <w:t> </w:t>
      </w:r>
      <w:r>
        <w:rPr>
          <w:rFonts w:ascii="Times New Roman" w:hAnsi="Times New Roman" w:cs="Times New Roman" w:eastAsia="Times New Roman" w:hint="default"/>
        </w:rPr>
        <w:t>30%</w:t>
      </w:r>
      <w:r>
        <w:rPr/>
        <w:t>以上且金额超过</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万元的正在履行的合同情况</w:t>
      </w:r>
    </w:p>
    <w:p>
      <w:pPr>
        <w:pStyle w:val="BodyText"/>
        <w:spacing w:line="240" w:lineRule="auto" w:before="17"/>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710"/>
        <w:gridCol w:w="850"/>
        <w:gridCol w:w="708"/>
        <w:gridCol w:w="852"/>
        <w:gridCol w:w="1346"/>
        <w:gridCol w:w="1064"/>
        <w:gridCol w:w="1063"/>
      </w:tblGrid>
      <w:tr>
        <w:trPr>
          <w:trHeight w:val="102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3" w:right="0"/>
              <w:jc w:val="left"/>
              <w:rPr>
                <w:rFonts w:ascii="宋体" w:hAnsi="宋体" w:cs="宋体" w:eastAsia="宋体" w:hint="default"/>
                <w:sz w:val="18"/>
                <w:szCs w:val="18"/>
              </w:rPr>
            </w:pPr>
            <w:r>
              <w:rPr>
                <w:rFonts w:ascii="宋体" w:hAnsi="宋体" w:cs="宋体" w:eastAsia="宋体" w:hint="default"/>
                <w:sz w:val="18"/>
                <w:szCs w:val="18"/>
              </w:rPr>
              <w:t>合同金额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61" w:right="77" w:hanging="180"/>
              <w:jc w:val="left"/>
              <w:rPr>
                <w:rFonts w:ascii="宋体" w:hAnsi="宋体" w:cs="宋体" w:eastAsia="宋体" w:hint="default"/>
                <w:sz w:val="18"/>
                <w:szCs w:val="18"/>
              </w:rPr>
            </w:pPr>
            <w:r>
              <w:rPr>
                <w:rFonts w:ascii="宋体" w:hAnsi="宋体" w:cs="宋体" w:eastAsia="宋体" w:hint="default"/>
                <w:sz w:val="18"/>
                <w:szCs w:val="18"/>
              </w:rPr>
              <w:t>业务类 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项目执行 进度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本期确 认收入</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2" w:right="58" w:hanging="180"/>
              <w:jc w:val="left"/>
              <w:rPr>
                <w:rFonts w:ascii="宋体" w:hAnsi="宋体" w:cs="宋体" w:eastAsia="宋体" w:hint="default"/>
                <w:sz w:val="18"/>
                <w:szCs w:val="18"/>
              </w:rPr>
            </w:pPr>
            <w:r>
              <w:rPr>
                <w:rFonts w:ascii="宋体" w:hAnsi="宋体" w:cs="宋体" w:eastAsia="宋体" w:hint="default"/>
                <w:sz w:val="18"/>
                <w:szCs w:val="18"/>
              </w:rPr>
              <w:t>累计确认 收入</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9" w:right="0"/>
              <w:jc w:val="left"/>
              <w:rPr>
                <w:rFonts w:ascii="宋体" w:hAnsi="宋体" w:cs="宋体" w:eastAsia="宋体" w:hint="default"/>
                <w:sz w:val="18"/>
                <w:szCs w:val="18"/>
              </w:rPr>
            </w:pPr>
            <w:r>
              <w:rPr>
                <w:rFonts w:ascii="宋体" w:hAnsi="宋体" w:cs="宋体" w:eastAsia="宋体" w:hint="default"/>
                <w:sz w:val="18"/>
                <w:szCs w:val="18"/>
              </w:rPr>
              <w:t>回款情况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both"/>
              <w:rPr>
                <w:rFonts w:ascii="宋体" w:hAnsi="宋体" w:cs="宋体" w:eastAsia="宋体" w:hint="default"/>
                <w:sz w:val="18"/>
                <w:szCs w:val="18"/>
              </w:rPr>
            </w:pPr>
            <w:r>
              <w:rPr>
                <w:rFonts w:ascii="宋体" w:hAnsi="宋体" w:cs="宋体" w:eastAsia="宋体" w:hint="default"/>
                <w:sz w:val="18"/>
                <w:szCs w:val="18"/>
              </w:rPr>
              <w:t>项目进展是 否达到计划 进度或预期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未达到计划 进度或预期 的原因</w:t>
            </w:r>
          </w:p>
        </w:tc>
      </w:tr>
      <w:tr>
        <w:trPr>
          <w:trHeight w:val="133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华润万家生活超市</w:t>
            </w:r>
          </w:p>
          <w:p>
            <w:pPr>
              <w:pStyle w:val="TableParagraph"/>
              <w:spacing w:line="316" w:lineRule="auto" w:before="76"/>
              <w:ind w:left="24" w:right="45"/>
              <w:jc w:val="both"/>
              <w:rPr>
                <w:rFonts w:ascii="宋体" w:hAnsi="宋体" w:cs="宋体" w:eastAsia="宋体" w:hint="default"/>
                <w:sz w:val="18"/>
                <w:szCs w:val="18"/>
              </w:rPr>
            </w:pPr>
            <w:r>
              <w:rPr>
                <w:rFonts w:ascii="宋体" w:hAnsi="宋体" w:cs="宋体" w:eastAsia="宋体" w:hint="default"/>
                <w:sz w:val="18"/>
                <w:szCs w:val="18"/>
              </w:rPr>
              <w:t>（东莞）有限公司凤 岗配送中心工艺设备 集成项目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362,735,768.00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采购阶段</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126,957,518.80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7"/>
              <w:jc w:val="both"/>
              <w:rPr>
                <w:rFonts w:ascii="宋体" w:hAnsi="宋体" w:cs="宋体" w:eastAsia="宋体" w:hint="default"/>
                <w:sz w:val="18"/>
                <w:szCs w:val="18"/>
              </w:rPr>
            </w:pPr>
            <w:r>
              <w:rPr>
                <w:rFonts w:ascii="宋体" w:hAnsi="宋体" w:cs="宋体" w:eastAsia="宋体" w:hint="default"/>
                <w:sz w:val="18"/>
                <w:szCs w:val="18"/>
              </w:rPr>
              <w:t>中国石化国际事业有 限公司中科炼化自动 立体仓库</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139,680,000.00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71"/>
              <w:jc w:val="center"/>
              <w:rPr>
                <w:rFonts w:ascii="宋体" w:hAnsi="宋体" w:cs="宋体" w:eastAsia="宋体" w:hint="default"/>
                <w:sz w:val="18"/>
                <w:szCs w:val="18"/>
              </w:rPr>
            </w:pPr>
            <w:r>
              <w:rPr>
                <w:rFonts w:ascii="宋体" w:hAnsi="宋体" w:cs="宋体" w:eastAsia="宋体" w:hint="default"/>
                <w:sz w:val="18"/>
                <w:szCs w:val="18"/>
              </w:rPr>
              <w:t>集成设计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四川中烟工业有限责 任公司什邡分厂易地 技术改造生产物流系 统总体集成项目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133,200,000.00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方案调整</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安徽中烟工业有限责 任公司蚌埠卷烟厂 </w:t>
            </w:r>
            <w:r>
              <w:rPr>
                <w:rFonts w:ascii="Times New Roman" w:hAnsi="Times New Roman" w:cs="Times New Roman" w:eastAsia="Times New Roman" w:hint="default"/>
                <w:sz w:val="18"/>
                <w:szCs w:val="18"/>
              </w:rPr>
              <w:t>“</w:t>
            </w:r>
            <w:r>
              <w:rPr>
                <w:rFonts w:ascii="宋体" w:hAnsi="宋体" w:cs="宋体" w:eastAsia="宋体" w:hint="default"/>
                <w:sz w:val="18"/>
                <w:szCs w:val="18"/>
              </w:rPr>
              <w:t>黄山</w:t>
            </w:r>
            <w:r>
              <w:rPr>
                <w:rFonts w:ascii="Times New Roman" w:hAnsi="Times New Roman" w:cs="Times New Roman" w:eastAsia="Times New Roman" w:hint="default"/>
                <w:sz w:val="18"/>
                <w:szCs w:val="18"/>
              </w:rPr>
              <w:t>”</w:t>
            </w:r>
            <w:r>
              <w:rPr>
                <w:rFonts w:ascii="宋体" w:hAnsi="宋体" w:cs="宋体" w:eastAsia="宋体" w:hint="default"/>
                <w:sz w:val="18"/>
                <w:szCs w:val="18"/>
              </w:rPr>
              <w:t>品牌专线暨蚌 埠卷烟厂易地搬迁技 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片烟配 方、成品、辅料平衡 物流系统</w:t>
            </w:r>
            <w:r>
              <w:rPr>
                <w:rFonts w:ascii="Times New Roman" w:hAnsi="Times New Roman" w:cs="Times New Roman" w:eastAsia="Times New Roman"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104,636,740.00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安装调试</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62,319,537.64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西安众迪锂电池有限 公司西安比亚迪</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到货阶段</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青海比亚迪锂电池有 限公司青海比亚迪物 流仓储系统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96,666,666.66</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1"/>
              <w:jc w:val="center"/>
              <w:rPr>
                <w:rFonts w:ascii="宋体" w:hAnsi="宋体" w:cs="宋体" w:eastAsia="宋体" w:hint="default"/>
                <w:sz w:val="18"/>
                <w:szCs w:val="18"/>
              </w:rPr>
            </w:pPr>
            <w:r>
              <w:rPr>
                <w:rFonts w:ascii="宋体" w:hAnsi="宋体" w:cs="宋体" w:eastAsia="宋体" w:hint="default"/>
                <w:sz w:val="18"/>
                <w:szCs w:val="18"/>
              </w:rPr>
              <w:t>安装调试</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江西中烟工业有限责 任公司广丰卷烟厂技 改项目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56,492,991.45</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1"/>
              <w:jc w:val="center"/>
              <w:rPr>
                <w:rFonts w:ascii="宋体" w:hAnsi="宋体" w:cs="宋体" w:eastAsia="宋体" w:hint="default"/>
                <w:sz w:val="18"/>
                <w:szCs w:val="18"/>
              </w:rPr>
            </w:pPr>
            <w:r>
              <w:rPr>
                <w:rFonts w:ascii="宋体" w:hAnsi="宋体" w:cs="宋体" w:eastAsia="宋体" w:hint="default"/>
                <w:sz w:val="18"/>
                <w:szCs w:val="18"/>
              </w:rPr>
              <w:t>采购阶段</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11,298,598.29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32"/>
          <w:szCs w:val="32"/>
        </w:rPr>
      </w:pPr>
    </w:p>
    <w:p>
      <w:pPr>
        <w:pStyle w:val="BodyText"/>
        <w:spacing w:line="489" w:lineRule="auto"/>
        <w:ind w:right="1844"/>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after="0" w:line="48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237,994,476.58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326,351,201.83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-27.07%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12,815,468.27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12,398,452.19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实施费用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20,984,761.48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20,765,391.73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r>
    </w:tbl>
    <w:p>
      <w:pPr>
        <w:pStyle w:val="BodyText"/>
        <w:spacing w:line="240" w:lineRule="auto" w:before="49"/>
        <w:ind w:right="1115"/>
        <w:jc w:val="left"/>
      </w:pPr>
      <w:r>
        <w:rPr/>
        <w:t>行业和产品分类</w:t>
      </w:r>
    </w:p>
    <w:p>
      <w:pPr>
        <w:pStyle w:val="BodyText"/>
        <w:spacing w:line="240" w:lineRule="auto" w:before="117"/>
        <w:ind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271,794,706.33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359,519,526.32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-24.40%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加工制造业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635,972.76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643,091.64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r>
    </w:tbl>
    <w:p>
      <w:pPr>
        <w:pStyle w:val="BodyText"/>
        <w:spacing w:line="240" w:lineRule="auto" w:before="49"/>
        <w:ind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工业生产型物流 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240,498,754.16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315,923,895.18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-23.87%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商业配送型物流 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1,008,651.25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19,147,254.68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-94.73%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运营维护（售后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30,287,300.92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24,448,376.46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托盘梗箱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635,972.76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643,091.64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r>
    </w:tbl>
    <w:p>
      <w:pPr>
        <w:pStyle w:val="BodyText"/>
        <w:spacing w:line="240" w:lineRule="auto" w:before="49"/>
        <w:ind w:right="1115"/>
        <w:jc w:val="left"/>
      </w:pPr>
      <w:r>
        <w:rPr/>
        <w:t>说明</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公司主要销售客户情况</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277,714,381.20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66.73%</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5"/>
        <w:rPr>
          <w:rFonts w:ascii="宋体" w:hAnsi="宋体" w:cs="宋体" w:eastAsia="宋体" w:hint="default"/>
          <w:sz w:val="6"/>
          <w:szCs w:val="6"/>
        </w:rPr>
      </w:pPr>
    </w:p>
    <w:p>
      <w:pPr>
        <w:pStyle w:val="BodyText"/>
        <w:spacing w:line="240" w:lineRule="auto" w:before="44"/>
        <w:ind w:right="1115"/>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87,980,217.57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21.14%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68,128,388.87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16.37%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46,611,146.36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11.20%</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37,822,342.32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37,172,286.08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8.93%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277,714,381.20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66.73%</w:t>
            </w:r>
          </w:p>
        </w:tc>
      </w:tr>
    </w:tbl>
    <w:p>
      <w:pPr>
        <w:spacing w:line="240" w:lineRule="auto" w:before="5"/>
        <w:rPr>
          <w:rFonts w:ascii="宋体" w:hAnsi="宋体" w:cs="宋体" w:eastAsia="宋体" w:hint="default"/>
          <w:sz w:val="6"/>
          <w:szCs w:val="6"/>
        </w:rPr>
      </w:pPr>
    </w:p>
    <w:p>
      <w:pPr>
        <w:pStyle w:val="BodyText"/>
        <w:spacing w:line="240" w:lineRule="auto" w:before="44"/>
        <w:ind w:right="1115"/>
        <w:jc w:val="left"/>
      </w:pPr>
      <w:r>
        <w:rPr/>
        <w:t>主要客户其他情况说明</w:t>
      </w:r>
    </w:p>
    <w:p>
      <w:pPr>
        <w:spacing w:line="240" w:lineRule="auto" w:before="9"/>
        <w:rPr>
          <w:rFonts w:ascii="宋体" w:hAnsi="宋体" w:cs="宋体" w:eastAsia="宋体" w:hint="default"/>
          <w:sz w:val="20"/>
          <w:szCs w:val="20"/>
        </w:rPr>
      </w:pPr>
    </w:p>
    <w:p>
      <w:pPr>
        <w:pStyle w:val="BodyText"/>
        <w:spacing w:line="489"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174,187,746.30</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41.14%</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5"/>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5"/>
        <w:ind w:right="1115"/>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53,143,125.62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36,859,566.57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35,777,528.06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30,053,562.73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18,353,963.32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174,187,746.30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41.14%</w:t>
            </w:r>
          </w:p>
        </w:tc>
      </w:tr>
    </w:tbl>
    <w:p>
      <w:pPr>
        <w:spacing w:line="240" w:lineRule="auto" w:before="5"/>
        <w:rPr>
          <w:rFonts w:ascii="宋体" w:hAnsi="宋体" w:cs="宋体" w:eastAsia="宋体" w:hint="default"/>
          <w:sz w:val="6"/>
          <w:szCs w:val="6"/>
        </w:rPr>
      </w:pPr>
    </w:p>
    <w:p>
      <w:pPr>
        <w:pStyle w:val="BodyText"/>
        <w:spacing w:line="240" w:lineRule="auto" w:before="44"/>
        <w:ind w:right="1115"/>
        <w:jc w:val="left"/>
      </w:pPr>
      <w:r>
        <w:rPr/>
        <w:t>主要供应商其他情况说明</w:t>
      </w:r>
    </w:p>
    <w:p>
      <w:pPr>
        <w:spacing w:line="240" w:lineRule="auto" w:before="10"/>
        <w:rPr>
          <w:rFonts w:ascii="宋体" w:hAnsi="宋体" w:cs="宋体" w:eastAsia="宋体" w:hint="default"/>
          <w:sz w:val="20"/>
          <w:szCs w:val="20"/>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1558"/>
        <w:gridCol w:w="1560"/>
        <w:gridCol w:w="1277"/>
        <w:gridCol w:w="3757"/>
      </w:tblGrid>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43,639,279.77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31,238,930.28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39.70%</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4"/>
                <w:sz w:val="18"/>
                <w:szCs w:val="18"/>
              </w:rPr>
              <w:t>主要系报告期内业务发展需要，人工费用、差旅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费用等同比增加；质保费同比增加</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60,318,326.94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54,972,920.50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9.72%</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4"/>
                <w:sz w:val="18"/>
                <w:szCs w:val="18"/>
              </w:rPr>
              <w:t>主要系报告期内且业务发展需要，人员增多及薪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酬增长</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-2,272,424.88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-1,705,654.32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-33.23%</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主要系报告期内政府贴息冲减财务费用所致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42,594,346.93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30,669,901.75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38.88%</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主要系报告期内研发活动投入增加所致</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BodyText"/>
        <w:spacing w:line="463" w:lineRule="auto"/>
        <w:ind w:right="1133" w:firstLine="360"/>
        <w:jc w:val="both"/>
      </w:pPr>
      <w:r>
        <w:rPr>
          <w:rFonts w:ascii="Times New Roman" w:hAnsi="Times New Roman" w:cs="Times New Roman" w:eastAsia="Times New Roman" w:hint="default"/>
        </w:rPr>
        <w:t>2018</w:t>
      </w:r>
      <w:r>
        <w:rPr/>
        <w:t>年度公司围绕</w:t>
      </w:r>
      <w:r>
        <w:rPr>
          <w:rFonts w:ascii="Times New Roman" w:hAnsi="Times New Roman" w:cs="Times New Roman" w:eastAsia="Times New Roman" w:hint="default"/>
        </w:rPr>
        <w:t>“</w:t>
      </w:r>
      <w:r>
        <w:rPr/>
        <w:t>智慧物流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智能制造</w:t>
      </w:r>
      <w:r>
        <w:rPr>
          <w:rFonts w:ascii="Times New Roman" w:hAnsi="Times New Roman" w:cs="Times New Roman" w:eastAsia="Times New Roman" w:hint="default"/>
        </w:rPr>
        <w:t>”</w:t>
      </w:r>
      <w:r>
        <w:rPr/>
        <w:t>两个核心完善研发制度，分别在母公司和两个子公司建立了</w:t>
      </w:r>
      <w:r>
        <w:rPr>
          <w:rFonts w:ascii="Times New Roman" w:hAnsi="Times New Roman" w:cs="Times New Roman" w:eastAsia="Times New Roman" w:hint="default"/>
        </w:rPr>
        <w:t>3</w:t>
      </w:r>
      <w:r>
        <w:rPr/>
        <w:t>个研发部门， </w:t>
      </w:r>
      <w:r>
        <w:rPr>
          <w:spacing w:val="-2"/>
        </w:rPr>
        <w:t>不断完善研发管理制度，吸引优秀人才，加深校企合作。依托大数据，云平台，人工智能等技术提升企业打造高端制造业和</w:t>
      </w:r>
      <w:r>
        <w:rPr>
          <w:spacing w:val="-67"/>
        </w:rPr>
        <w:t> </w:t>
      </w:r>
      <w:r>
        <w:rPr>
          <w:spacing w:val="-67"/>
        </w:rPr>
      </w:r>
      <w:r>
        <w:rPr/>
        <w:t>物流业。</w:t>
      </w:r>
    </w:p>
    <w:p>
      <w:pPr>
        <w:spacing w:line="487" w:lineRule="auto" w:before="106"/>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Flexsim</w:t>
      </w:r>
      <w:r>
        <w:rPr>
          <w:rFonts w:ascii="宋体" w:hAnsi="宋体" w:cs="宋体" w:eastAsia="宋体" w:hint="default"/>
          <w:b/>
          <w:bCs/>
          <w:sz w:val="18"/>
          <w:szCs w:val="18"/>
        </w:rPr>
        <w:t>堆垛机模块仿真优化项目</w:t>
      </w:r>
      <w:r>
        <w:rPr>
          <w:rFonts w:ascii="宋体" w:hAnsi="宋体" w:cs="宋体" w:eastAsia="宋体" w:hint="default"/>
          <w:b/>
          <w:bCs/>
          <w:w w:val="99"/>
          <w:sz w:val="18"/>
          <w:szCs w:val="18"/>
        </w:rPr>
        <w:t> </w:t>
      </w:r>
      <w:r>
        <w:rPr>
          <w:rFonts w:ascii="宋体" w:hAnsi="宋体" w:cs="宋体" w:eastAsia="宋体" w:hint="default"/>
          <w:sz w:val="18"/>
          <w:szCs w:val="18"/>
        </w:rPr>
        <w:t>本项目从单机（机械</w:t>
      </w:r>
      <w:r>
        <w:rPr>
          <w:rFonts w:ascii="Times New Roman" w:hAnsi="Times New Roman" w:cs="Times New Roman" w:eastAsia="Times New Roman" w:hint="default"/>
          <w:sz w:val="18"/>
          <w:szCs w:val="18"/>
        </w:rPr>
        <w:t>/</w:t>
      </w:r>
      <w:r>
        <w:rPr>
          <w:rFonts w:ascii="宋体" w:hAnsi="宋体" w:cs="宋体" w:eastAsia="宋体" w:hint="default"/>
          <w:sz w:val="18"/>
          <w:szCs w:val="18"/>
        </w:rPr>
        <w:t>电气），工程，</w:t>
      </w:r>
      <w:r>
        <w:rPr>
          <w:rFonts w:ascii="Times New Roman" w:hAnsi="Times New Roman" w:cs="Times New Roman" w:eastAsia="Times New Roman" w:hint="default"/>
          <w:sz w:val="18"/>
          <w:szCs w:val="18"/>
        </w:rPr>
        <w:t>WCS</w:t>
      </w:r>
      <w:r>
        <w:rPr>
          <w:rFonts w:ascii="宋体" w:hAnsi="宋体" w:cs="宋体" w:eastAsia="宋体" w:hint="default"/>
          <w:sz w:val="18"/>
          <w:szCs w:val="18"/>
        </w:rPr>
        <w:t>调度策略三方面入手，研究现实情况下影响堆垛机利用率和能力的因素，与</w:t>
      </w:r>
    </w:p>
    <w:p>
      <w:pPr>
        <w:pStyle w:val="BodyText"/>
        <w:spacing w:line="451" w:lineRule="auto" w:before="13"/>
        <w:ind w:right="998"/>
        <w:jc w:val="left"/>
      </w:pPr>
      <w:r>
        <w:rPr>
          <w:rFonts w:ascii="Times New Roman" w:hAnsi="Times New Roman" w:cs="Times New Roman" w:eastAsia="Times New Roman" w:hint="default"/>
          <w:spacing w:val="-2"/>
        </w:rPr>
        <w:t>Flexsim</w:t>
      </w:r>
      <w:r>
        <w:rPr>
          <w:spacing w:val="-2"/>
        </w:rPr>
        <w:t>中的堆垛机模块进行对比，寻找造成仿真结果差异的原因。再从软件逻辑和系统调度两方面对</w:t>
      </w:r>
      <w:r>
        <w:rPr>
          <w:rFonts w:ascii="Times New Roman" w:hAnsi="Times New Roman" w:cs="Times New Roman" w:eastAsia="Times New Roman" w:hint="default"/>
          <w:spacing w:val="-2"/>
        </w:rPr>
        <w:t>Flexsim</w:t>
      </w:r>
      <w:r>
        <w:rPr>
          <w:spacing w:val="-2"/>
        </w:rPr>
        <w:t>进行二次开发，</w:t>
      </w:r>
      <w:r>
        <w:rPr>
          <w:spacing w:val="-40"/>
        </w:rPr>
        <w:t> </w:t>
      </w:r>
      <w:r>
        <w:rPr>
          <w:spacing w:val="-40"/>
        </w:rPr>
      </w:r>
      <w:r>
        <w:rPr/>
        <w:t>修正</w:t>
      </w:r>
      <w:r>
        <w:rPr>
          <w:rFonts w:ascii="Times New Roman" w:hAnsi="Times New Roman" w:cs="Times New Roman" w:eastAsia="Times New Roman" w:hint="default"/>
        </w:rPr>
        <w:t>Flexsim</w:t>
      </w:r>
      <w:r>
        <w:rPr/>
        <w:t>等主流仿真软件模型粗糙，计算结果和实际不符的问题，使仿真结果更贴近现实情况，提高仿真的可靠性，同</w:t>
      </w:r>
      <w:r>
        <w:rPr>
          <w:spacing w:val="-46"/>
        </w:rPr>
        <w:t> </w:t>
      </w:r>
      <w:r>
        <w:rPr>
          <w:spacing w:val="-46"/>
        </w:rPr>
      </w:r>
      <w:r>
        <w:rPr/>
        <w:t>时为其他智能物流装备的二次开发打下基础。</w:t>
      </w:r>
    </w:p>
    <w:p>
      <w:pPr>
        <w:pStyle w:val="BodyText"/>
        <w:spacing w:line="489" w:lineRule="auto" w:before="115"/>
        <w:ind w:left="513" w:right="1115"/>
        <w:jc w:val="left"/>
      </w:pPr>
      <w:r>
        <w:rPr>
          <w:rFonts w:ascii="Times New Roman" w:hAnsi="Times New Roman" w:cs="Times New Roman" w:eastAsia="Times New Roman" w:hint="default"/>
          <w:b/>
          <w:bCs/>
        </w:rPr>
        <w:t>2</w:t>
      </w:r>
      <w:r>
        <w:rPr>
          <w:rFonts w:ascii="宋体" w:hAnsi="宋体" w:cs="宋体" w:eastAsia="宋体" w:hint="default"/>
          <w:b/>
          <w:bCs/>
        </w:rPr>
        <w:t>、六轴关节机器人项目</w:t>
      </w:r>
      <w:r>
        <w:rPr>
          <w:rFonts w:ascii="宋体" w:hAnsi="宋体" w:cs="宋体" w:eastAsia="宋体" w:hint="default"/>
          <w:b/>
          <w:bCs/>
          <w:w w:val="99"/>
        </w:rPr>
        <w:t> </w:t>
      </w:r>
      <w:r>
        <w:rPr>
          <w:spacing w:val="-2"/>
        </w:rPr>
        <w:t>本项目基于图形表格化编程控制工业机器人的方法、装置及系统，该方法包括：以工业机器人图形化编程软件的编辑平</w:t>
      </w:r>
    </w:p>
    <w:p>
      <w:pPr>
        <w:pStyle w:val="BodyText"/>
        <w:spacing w:line="477" w:lineRule="auto" w:before="45"/>
        <w:ind w:right="1034"/>
        <w:jc w:val="left"/>
      </w:pPr>
      <w:r>
        <w:rPr>
          <w:spacing w:val="-2"/>
        </w:rPr>
        <w:t>面模拟所述工业机器人运动的真实平面；在所述编辑平面内以图形方式建立所述工业机器人运动的目标位置和运动轨迹；依</w:t>
      </w:r>
      <w:r>
        <w:rPr>
          <w:spacing w:val="-64"/>
        </w:rPr>
        <w:t> </w:t>
      </w:r>
      <w:r>
        <w:rPr>
          <w:spacing w:val="-64"/>
        </w:rPr>
      </w:r>
      <w:r>
        <w:rPr>
          <w:spacing w:val="-2"/>
        </w:rPr>
        <w:t>据所述目标位置和运动轨迹，在相应的一个表格编辑界面内设置所述工业机器人的运动顺序和控制逻辑；将建立所述工业机</w:t>
      </w:r>
      <w:r>
        <w:rPr>
          <w:spacing w:val="-64"/>
        </w:rPr>
        <w:t> </w:t>
      </w:r>
      <w:r>
        <w:rPr>
          <w:spacing w:val="-64"/>
        </w:rPr>
      </w:r>
      <w:r>
        <w:rPr/>
        <w:t>器人目标位置和运动轨迹的所述编辑平面和设置所述工业机器人的运动顺序和控制逻辑的所述表格编辑界面生成中间文件； </w:t>
      </w:r>
      <w:r>
        <w:rPr>
          <w:spacing w:val="-2"/>
        </w:rPr>
        <w:t>所述中间文件经解释器编译后发送至所述工业机器人的运动控制器；控制所述工业机器人沿所述运动轨迹移动至所述目标位</w:t>
      </w:r>
      <w:r>
        <w:rPr>
          <w:spacing w:val="-64"/>
        </w:rPr>
        <w:t> </w:t>
      </w:r>
      <w:r>
        <w:rPr>
          <w:spacing w:val="-64"/>
        </w:rPr>
      </w:r>
      <w:r>
        <w:rPr>
          <w:spacing w:val="-2"/>
        </w:rPr>
        <w:t>置。本方法具有编程效率高，易操作的优点。填补了公司六轴机器人控制系统的空白，至此，公司已经拥有了包括直角坐标</w:t>
      </w:r>
      <w:r>
        <w:rPr>
          <w:spacing w:val="-67"/>
        </w:rPr>
        <w:t> </w:t>
      </w:r>
      <w:r>
        <w:rPr>
          <w:spacing w:val="-67"/>
        </w:rPr>
      </w:r>
      <w:r>
        <w:rPr/>
        <w:t>机器人，四轴机器人，六轴机器人等全系列机器人的自主控制系统。</w:t>
      </w:r>
    </w:p>
    <w:p>
      <w:pPr>
        <w:pStyle w:val="BodyText"/>
        <w:spacing w:line="489" w:lineRule="auto" w:before="92"/>
        <w:ind w:left="513" w:right="1115" w:firstLine="24"/>
        <w:jc w:val="left"/>
      </w:pPr>
      <w:r>
        <w:rPr>
          <w:rFonts w:ascii="Times New Roman" w:hAnsi="Times New Roman" w:cs="Times New Roman" w:eastAsia="Times New Roman" w:hint="default"/>
          <w:b/>
          <w:bCs/>
        </w:rPr>
        <w:t>3</w:t>
      </w:r>
      <w:r>
        <w:rPr>
          <w:rFonts w:ascii="宋体" w:hAnsi="宋体" w:cs="宋体" w:eastAsia="宋体" w:hint="default"/>
          <w:b/>
          <w:bCs/>
        </w:rPr>
        <w:t>、视觉机械手在智能制造中的应用研发</w:t>
      </w:r>
      <w:r>
        <w:rPr>
          <w:rFonts w:ascii="宋体" w:hAnsi="宋体" w:cs="宋体" w:eastAsia="宋体" w:hint="default"/>
          <w:b/>
          <w:bCs/>
          <w:w w:val="99"/>
        </w:rPr>
        <w:t> </w:t>
      </w:r>
      <w:r>
        <w:rPr/>
        <w:t>本项目主要针对物流行业中出现的不规则物体抓取，识别和定位开发一套基于</w:t>
      </w:r>
      <w:r>
        <w:rPr>
          <w:rFonts w:ascii="Times New Roman" w:hAnsi="Times New Roman" w:cs="Times New Roman" w:eastAsia="Times New Roman" w:hint="default"/>
        </w:rPr>
        <w:t>6</w:t>
      </w:r>
      <w:r>
        <w:rPr/>
        <w:t>轴机器人的视觉识别抓取系统。 该系统使用视觉识别技术，通过</w:t>
      </w:r>
      <w:r>
        <w:rPr>
          <w:rFonts w:ascii="Times New Roman" w:hAnsi="Times New Roman" w:cs="Times New Roman" w:eastAsia="Times New Roman" w:hint="default"/>
        </w:rPr>
        <w:t>CCD</w:t>
      </w:r>
      <w:r>
        <w:rPr/>
        <w:t>相机采集数据后使用图片算法处理识别物体轮廓，计算出机器人抓取点坐标，坐</w:t>
      </w:r>
    </w:p>
    <w:p>
      <w:pPr>
        <w:spacing w:after="0" w:line="489"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518" w:lineRule="auto"/>
        <w:ind w:left="513" w:right="1115" w:hanging="361"/>
        <w:jc w:val="left"/>
      </w:pPr>
      <w:r>
        <w:rPr/>
        <w:t>标点传递到机器人控制器后机器人实现物体的快速定位，识别和抓取。 </w:t>
      </w:r>
      <w:r>
        <w:rPr>
          <w:spacing w:val="-1"/>
        </w:rPr>
        <w:t>机械手与视觉系统的搭配大大增加其可适用范围，对正常的机械定位抓取和人工拣选，机械手</w:t>
      </w:r>
      <w:r>
        <w:rPr>
          <w:rFonts w:ascii="Times New Roman" w:hAnsi="Times New Roman" w:cs="Times New Roman" w:eastAsia="Times New Roman" w:hint="default"/>
          <w:spacing w:val="-1"/>
        </w:rPr>
        <w:t>+</w:t>
      </w:r>
      <w:r>
        <w:rPr>
          <w:spacing w:val="-1"/>
        </w:rPr>
        <w:t>视觉系统的搭配能够大</w:t>
      </w:r>
    </w:p>
    <w:p>
      <w:pPr>
        <w:pStyle w:val="BodyText"/>
        <w:spacing w:line="223" w:lineRule="exact"/>
        <w:ind w:right="1115"/>
        <w:jc w:val="left"/>
      </w:pPr>
      <w:r>
        <w:rPr/>
        <w:t>大提高效率和成功率，真正实现智能化、自动化。</w:t>
      </w:r>
    </w:p>
    <w:p>
      <w:pPr>
        <w:spacing w:line="240" w:lineRule="auto" w:before="9"/>
        <w:rPr>
          <w:rFonts w:ascii="宋体" w:hAnsi="宋体" w:cs="宋体" w:eastAsia="宋体" w:hint="default"/>
          <w:sz w:val="20"/>
          <w:szCs w:val="20"/>
        </w:rPr>
      </w:pPr>
    </w:p>
    <w:p>
      <w:pPr>
        <w:spacing w:line="489" w:lineRule="auto" w:before="0"/>
        <w:ind w:left="513" w:right="112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、链式双舵轮万向</w:t>
      </w:r>
      <w:r>
        <w:rPr>
          <w:rFonts w:ascii="Times New Roman" w:hAnsi="Times New Roman" w:cs="Times New Roman" w:eastAsia="Times New Roman" w:hint="default"/>
          <w:b/>
          <w:bCs/>
          <w:sz w:val="18"/>
          <w:szCs w:val="18"/>
        </w:rPr>
        <w:t>AGV</w:t>
      </w:r>
      <w:r>
        <w:rPr>
          <w:rFonts w:ascii="宋体" w:hAnsi="宋体" w:cs="宋体" w:eastAsia="宋体" w:hint="default"/>
          <w:b/>
          <w:bCs/>
          <w:sz w:val="18"/>
          <w:szCs w:val="18"/>
        </w:rPr>
        <w:t>研发</w:t>
      </w:r>
      <w:r>
        <w:rPr>
          <w:rFonts w:ascii="宋体" w:hAnsi="宋体" w:cs="宋体" w:eastAsia="宋体" w:hint="default"/>
          <w:b/>
          <w:bCs/>
          <w:spacing w:val="2"/>
          <w:w w:val="99"/>
          <w:sz w:val="18"/>
          <w:szCs w:val="18"/>
        </w:rPr>
        <w:t> </w:t>
      </w:r>
      <w:r>
        <w:rPr>
          <w:rFonts w:ascii="宋体" w:hAnsi="宋体" w:cs="宋体" w:eastAsia="宋体" w:hint="default"/>
          <w:sz w:val="18"/>
          <w:szCs w:val="18"/>
        </w:rPr>
        <w:t>本研发项目面向具体的使用对象，以其运用环境为设计依据，开发激光混合导引背链式</w:t>
      </w:r>
      <w:r>
        <w:rPr>
          <w:rFonts w:ascii="宋体" w:hAnsi="宋体" w:cs="宋体" w:eastAsia="宋体" w:hint="default"/>
          <w:sz w:val="18"/>
          <w:szCs w:val="18"/>
        </w:rPr>
        <w:t>AGV</w:t>
      </w:r>
      <w:r>
        <w:rPr>
          <w:rFonts w:ascii="宋体" w:hAnsi="宋体" w:cs="宋体" w:eastAsia="宋体" w:hint="default"/>
          <w:sz w:val="18"/>
          <w:szCs w:val="18"/>
        </w:rPr>
        <w:t>小车，使其具备车载锂电池</w:t>
      </w:r>
    </w:p>
    <w:p>
      <w:pPr>
        <w:pStyle w:val="BodyText"/>
        <w:spacing w:line="518" w:lineRule="auto" w:before="45"/>
        <w:ind w:left="513" w:right="1123" w:hanging="361"/>
        <w:jc w:val="left"/>
      </w:pPr>
      <w:r>
        <w:rPr/>
        <w:t>的参数实时监测、柔性精确停车、激光反射板及混合导引的导航、车体运行的稳定性、侧移动等动作灵活等几大方面。 研发出来的</w:t>
      </w:r>
      <w:r>
        <w:rPr>
          <w:rFonts w:ascii="宋体" w:hAnsi="宋体" w:cs="宋体" w:eastAsia="宋体" w:hint="default"/>
        </w:rPr>
        <w:t>AGV</w:t>
      </w:r>
      <w:r>
        <w:rPr/>
        <w:t>小车，万向运行，适用于狭窄车间，适用于导航复杂、定位精度要求高的生产制造环节的送料，对于较</w:t>
      </w:r>
    </w:p>
    <w:p>
      <w:pPr>
        <w:pStyle w:val="BodyText"/>
        <w:spacing w:line="477" w:lineRule="auto" w:before="23"/>
        <w:ind w:right="1034"/>
        <w:jc w:val="left"/>
      </w:pPr>
      <w:r>
        <w:rPr>
          <w:spacing w:val="-2"/>
        </w:rPr>
        <w:t>宽的物料托盘的适应性也很强，小车爬坡能力也比其它类型的</w:t>
      </w:r>
      <w:r>
        <w:rPr>
          <w:rFonts w:ascii="宋体" w:hAnsi="宋体" w:cs="宋体" w:eastAsia="宋体" w:hint="default"/>
          <w:spacing w:val="-2"/>
        </w:rPr>
        <w:t>AGV</w:t>
      </w:r>
      <w:r>
        <w:rPr>
          <w:spacing w:val="-2"/>
        </w:rPr>
        <w:t>强。加之此</w:t>
      </w:r>
      <w:r>
        <w:rPr>
          <w:rFonts w:ascii="宋体" w:hAnsi="宋体" w:cs="宋体" w:eastAsia="宋体" w:hint="default"/>
          <w:spacing w:val="-2"/>
        </w:rPr>
        <w:t>AGV</w:t>
      </w:r>
      <w:r>
        <w:rPr>
          <w:spacing w:val="-2"/>
        </w:rPr>
        <w:t>功能性极强的实时电池状态参数监测，丰富</w:t>
      </w:r>
      <w:r>
        <w:rPr>
          <w:spacing w:val="-59"/>
        </w:rPr>
        <w:t> </w:t>
      </w:r>
      <w:r>
        <w:rPr>
          <w:spacing w:val="-59"/>
        </w:rPr>
      </w:r>
      <w:r>
        <w:rPr/>
        <w:t>了</w:t>
      </w:r>
      <w:r>
        <w:rPr>
          <w:rFonts w:ascii="宋体" w:hAnsi="宋体" w:cs="宋体" w:eastAsia="宋体" w:hint="default"/>
        </w:rPr>
        <w:t>AGV</w:t>
      </w:r>
      <w:r>
        <w:rPr/>
        <w:t>在生产制造领域应用中的功能，电池箱体装备微耗电</w:t>
      </w:r>
      <w:r>
        <w:rPr>
          <w:rFonts w:ascii="宋体" w:hAnsi="宋体" w:cs="宋体" w:eastAsia="宋体" w:hint="default"/>
        </w:rPr>
        <w:t>WIFI</w:t>
      </w:r>
      <w:r>
        <w:rPr/>
        <w:t>模块，具备远程启动</w:t>
      </w:r>
      <w:r>
        <w:rPr>
          <w:rFonts w:ascii="宋体" w:hAnsi="宋体" w:cs="宋体" w:eastAsia="宋体" w:hint="default"/>
        </w:rPr>
        <w:t>/</w:t>
      </w:r>
      <w:r>
        <w:rPr/>
        <w:t>关机功能，符合现场维护人员的需要。 在站点精确定位、狭窄环境适应性方面，此</w:t>
      </w:r>
      <w:r>
        <w:rPr>
          <w:rFonts w:ascii="宋体" w:hAnsi="宋体" w:cs="宋体" w:eastAsia="宋体" w:hint="default"/>
        </w:rPr>
        <w:t>AGV</w:t>
      </w:r>
      <w:r>
        <w:rPr/>
        <w:t>参数指标设定达到世界先进水平。</w:t>
      </w:r>
    </w:p>
    <w:p>
      <w:pPr>
        <w:pStyle w:val="BodyText"/>
        <w:spacing w:line="504" w:lineRule="auto" w:before="92"/>
        <w:ind w:left="513" w:right="998"/>
        <w:jc w:val="left"/>
      </w:pPr>
      <w:r>
        <w:rPr/>
        <w:t>本项目设备已完成研发测试并参加两次大型展会，获得行业良好评价；预计</w:t>
      </w:r>
      <w:r>
        <w:rPr>
          <w:rFonts w:ascii="宋体" w:hAnsi="宋体" w:cs="宋体" w:eastAsia="宋体" w:hint="default"/>
        </w:rPr>
        <w:t>19</w:t>
      </w:r>
      <w:r>
        <w:rPr/>
        <w:t>年度进入公司产品名录对外销售。 </w:t>
      </w:r>
      <w:r>
        <w:rPr>
          <w:rFonts w:ascii="Times New Roman" w:hAnsi="Times New Roman" w:cs="Times New Roman" w:eastAsia="Times New Roman" w:hint="default"/>
          <w:b/>
          <w:bCs/>
        </w:rPr>
        <w:t>5</w:t>
      </w:r>
      <w:r>
        <w:rPr>
          <w:rFonts w:ascii="宋体" w:hAnsi="宋体" w:cs="宋体" w:eastAsia="宋体" w:hint="default"/>
          <w:b/>
          <w:bCs/>
        </w:rPr>
        <w:t>、牵引式</w:t>
      </w:r>
      <w:r>
        <w:rPr>
          <w:rFonts w:ascii="Times New Roman" w:hAnsi="Times New Roman" w:cs="Times New Roman" w:eastAsia="Times New Roman" w:hint="default"/>
          <w:b/>
          <w:bCs/>
        </w:rPr>
        <w:t>AGV</w:t>
      </w:r>
      <w:r>
        <w:rPr>
          <w:rFonts w:ascii="宋体" w:hAnsi="宋体" w:cs="宋体" w:eastAsia="宋体" w:hint="default"/>
          <w:b/>
          <w:bCs/>
        </w:rPr>
        <w:t>项目</w:t>
      </w:r>
      <w:r>
        <w:rPr>
          <w:rFonts w:ascii="宋体" w:hAnsi="宋体" w:cs="宋体" w:eastAsia="宋体" w:hint="default"/>
          <w:b/>
          <w:bCs/>
          <w:spacing w:val="2"/>
          <w:w w:val="99"/>
        </w:rPr>
        <w:t> </w:t>
      </w:r>
      <w:r>
        <w:rPr>
          <w:spacing w:val="-2"/>
        </w:rPr>
        <w:t>在本项目开发的牵引式</w:t>
      </w:r>
      <w:r>
        <w:rPr>
          <w:rFonts w:ascii="宋体" w:hAnsi="宋体" w:cs="宋体" w:eastAsia="宋体" w:hint="default"/>
          <w:spacing w:val="-2"/>
        </w:rPr>
        <w:t>AGV</w:t>
      </w:r>
      <w:r>
        <w:rPr>
          <w:spacing w:val="-2"/>
        </w:rPr>
        <w:t>采用激光导引或自然导引技术，不受楼层或户外条件限制，不受道路表面材质和构造的影响，</w:t>
      </w:r>
    </w:p>
    <w:p>
      <w:pPr>
        <w:pStyle w:val="BodyText"/>
        <w:spacing w:line="477" w:lineRule="auto" w:before="34"/>
        <w:ind w:right="1034"/>
        <w:jc w:val="left"/>
      </w:pPr>
      <w:r>
        <w:rPr>
          <w:spacing w:val="-2"/>
        </w:rPr>
        <w:t>无需埋设导线，方便行驶路径规划，能快速改变行驶路径，实现复杂路径的管理。激光导引和自然导引的适应性和灵活性远</w:t>
      </w:r>
      <w:r>
        <w:rPr>
          <w:spacing w:val="-64"/>
        </w:rPr>
        <w:t> </w:t>
      </w:r>
      <w:r>
        <w:rPr>
          <w:spacing w:val="-64"/>
        </w:rPr>
      </w:r>
      <w:r>
        <w:rPr/>
        <w:t>超目前国内主流使用的电磁、磁带等其他导引方式</w:t>
      </w:r>
      <w:r>
        <w:rPr>
          <w:rFonts w:ascii="宋体" w:hAnsi="宋体" w:cs="宋体" w:eastAsia="宋体" w:hint="default"/>
        </w:rPr>
        <w:t>AGV</w:t>
      </w:r>
      <w:r>
        <w:rPr/>
        <w:t>系统。</w:t>
      </w:r>
      <w:r>
        <w:rPr>
          <w:rFonts w:ascii="宋体" w:hAnsi="宋体" w:cs="宋体" w:eastAsia="宋体" w:hint="default"/>
        </w:rPr>
        <w:t>AGV</w:t>
      </w:r>
      <w:r>
        <w:rPr/>
        <w:t>能根据实际场景设计挂具，定制化设计牵引车的相关机构， 确保搬运稳定可靠。单机开发完成后，可以实现大部分机构的国产化，在价格和性能上具有较强的市场竞争力。</w:t>
      </w:r>
    </w:p>
    <w:p>
      <w:pPr>
        <w:spacing w:line="451" w:lineRule="auto" w:before="93"/>
        <w:ind w:left="515" w:right="998"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、今天智能工厂云平台产品研发项目</w:t>
      </w:r>
      <w:r>
        <w:rPr>
          <w:rFonts w:ascii="宋体" w:hAnsi="宋体" w:cs="宋体" w:eastAsia="宋体" w:hint="default"/>
          <w:b/>
          <w:bCs/>
          <w:w w:val="99"/>
          <w:sz w:val="18"/>
          <w:szCs w:val="18"/>
        </w:rPr>
        <w:t> </w:t>
      </w:r>
      <w:r>
        <w:rPr>
          <w:rFonts w:ascii="宋体" w:hAnsi="宋体" w:cs="宋体" w:eastAsia="宋体" w:hint="default"/>
          <w:spacing w:val="-4"/>
          <w:sz w:val="18"/>
          <w:szCs w:val="18"/>
        </w:rPr>
        <w:t>该项目基于国内成熟云平台构建今天</w:t>
      </w:r>
      <w:r>
        <w:rPr>
          <w:rFonts w:ascii="宋体" w:hAnsi="宋体" w:cs="宋体" w:eastAsia="宋体" w:hint="default"/>
          <w:spacing w:val="-4"/>
          <w:sz w:val="18"/>
          <w:szCs w:val="18"/>
        </w:rPr>
        <w:t>Saas</w:t>
      </w:r>
      <w:r>
        <w:rPr>
          <w:rFonts w:ascii="宋体" w:hAnsi="宋体" w:cs="宋体" w:eastAsia="宋体" w:hint="default"/>
          <w:spacing w:val="-4"/>
          <w:sz w:val="18"/>
          <w:szCs w:val="18"/>
        </w:rPr>
        <w:t>云平台，利用数据采集组件实时采集现场数据，实现生产与物流各环节人、机、</w:t>
      </w:r>
    </w:p>
    <w:p>
      <w:pPr>
        <w:pStyle w:val="BodyText"/>
        <w:spacing w:line="477" w:lineRule="auto" w:before="74"/>
        <w:ind w:right="1133"/>
        <w:jc w:val="both"/>
      </w:pPr>
      <w:r>
        <w:rPr>
          <w:spacing w:val="-2"/>
        </w:rPr>
        <w:t>料、环、测进行全面互联，利用大数据工具进行建模及智能分析，为企业精益改进提供数据支撑，然后基于数据建模，建立</w:t>
      </w:r>
      <w:r>
        <w:rPr>
          <w:spacing w:val="-68"/>
        </w:rPr>
        <w:t> </w:t>
      </w:r>
      <w:r>
        <w:rPr>
          <w:spacing w:val="-68"/>
        </w:rPr>
      </w:r>
      <w:r>
        <w:rPr>
          <w:spacing w:val="-2"/>
        </w:rPr>
        <w:t>批次管理服务、设备智慧运维服务、任务服务、调度服务、监控服务、策略服务、流程管理服务、</w:t>
      </w:r>
      <w:r>
        <w:rPr>
          <w:rFonts w:ascii="宋体" w:hAnsi="宋体" w:cs="宋体" w:eastAsia="宋体" w:hint="default"/>
          <w:spacing w:val="-2"/>
        </w:rPr>
        <w:t>3D</w:t>
      </w:r>
      <w:r>
        <w:rPr>
          <w:spacing w:val="-2"/>
        </w:rPr>
        <w:t>可视化展示等微应用服</w:t>
      </w:r>
      <w:r>
        <w:rPr>
          <w:spacing w:val="-69"/>
        </w:rPr>
        <w:t> </w:t>
      </w:r>
      <w:r>
        <w:rPr>
          <w:spacing w:val="-69"/>
        </w:rPr>
      </w:r>
      <w:r>
        <w:rPr/>
        <w:t>务并移动化，打破传统单一系统架构束缚，向云化、移动化应用，建立生产与物流大生态管理，源源不断挖掘数据价值。</w:t>
      </w:r>
    </w:p>
    <w:p>
      <w:pPr>
        <w:pStyle w:val="BodyText"/>
        <w:spacing w:line="477" w:lineRule="auto" w:before="95"/>
        <w:ind w:right="1115" w:firstLine="360"/>
        <w:jc w:val="left"/>
      </w:pPr>
      <w:r>
        <w:rPr>
          <w:spacing w:val="-2"/>
        </w:rPr>
        <w:t>该项目总投资巨大，涉及人员研发核心人员</w:t>
      </w:r>
      <w:r>
        <w:rPr>
          <w:rFonts w:ascii="宋体" w:hAnsi="宋体" w:cs="宋体" w:eastAsia="宋体" w:hint="default"/>
          <w:spacing w:val="-2"/>
        </w:rPr>
        <w:t>40</w:t>
      </w:r>
      <w:r>
        <w:rPr>
          <w:spacing w:val="-2"/>
        </w:rPr>
        <w:t>多名，是</w:t>
      </w:r>
      <w:r>
        <w:rPr>
          <w:rFonts w:ascii="宋体" w:hAnsi="宋体" w:cs="宋体" w:eastAsia="宋体" w:hint="default"/>
          <w:spacing w:val="-2"/>
        </w:rPr>
        <w:t>18</w:t>
      </w:r>
      <w:r>
        <w:rPr>
          <w:spacing w:val="-2"/>
        </w:rPr>
        <w:t>年度公司核心建设项目。目前已经初见规模，预计未来将成为</w:t>
      </w:r>
      <w:r>
        <w:rPr/>
        <w:t> 公司的核心产品。</w:t>
      </w:r>
    </w:p>
    <w:p>
      <w:pPr>
        <w:spacing w:line="487" w:lineRule="auto" w:before="95"/>
        <w:ind w:left="513" w:right="99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NewloT</w:t>
      </w:r>
      <w:r>
        <w:rPr>
          <w:rFonts w:ascii="宋体" w:hAnsi="宋体" w:cs="宋体" w:eastAsia="宋体" w:hint="default"/>
          <w:b/>
          <w:bCs/>
          <w:sz w:val="18"/>
          <w:szCs w:val="18"/>
        </w:rPr>
        <w:t>工业物联网平台</w:t>
      </w:r>
      <w:r>
        <w:rPr>
          <w:rFonts w:ascii="宋体" w:hAnsi="宋体" w:cs="宋体" w:eastAsia="宋体" w:hint="default"/>
          <w:b/>
          <w:bCs/>
          <w:w w:val="99"/>
          <w:sz w:val="18"/>
          <w:szCs w:val="18"/>
        </w:rPr>
        <w:t> </w:t>
      </w:r>
      <w:r>
        <w:rPr>
          <w:rFonts w:ascii="宋体" w:hAnsi="宋体" w:cs="宋体" w:eastAsia="宋体" w:hint="default"/>
          <w:spacing w:val="-4"/>
          <w:sz w:val="18"/>
          <w:szCs w:val="18"/>
        </w:rPr>
        <w:t>该项目是在原有配方物流仓储系统、辅料物流仓储系统以及成品仓储物流系统基础上，引入数据采集故障信息采集系统、</w:t>
      </w:r>
    </w:p>
    <w:p>
      <w:pPr>
        <w:pStyle w:val="BodyText"/>
        <w:spacing w:line="477" w:lineRule="auto" w:before="47"/>
        <w:ind w:right="1034"/>
        <w:jc w:val="left"/>
      </w:pPr>
      <w:r>
        <w:rPr/>
        <w:t>设备故障分析系统和故障数据发布</w:t>
      </w:r>
      <w:r>
        <w:rPr>
          <w:rFonts w:ascii="宋体" w:hAnsi="宋体" w:cs="宋体" w:eastAsia="宋体" w:hint="default"/>
        </w:rPr>
        <w:t>APP </w:t>
      </w:r>
      <w:r>
        <w:rPr>
          <w:spacing w:val="-3"/>
        </w:rPr>
        <w:t>三个子系统，通过与现有的仓库管理系统</w:t>
      </w:r>
      <w:r>
        <w:rPr>
          <w:rFonts w:ascii="宋体" w:hAnsi="宋体" w:cs="宋体" w:eastAsia="宋体" w:hint="default"/>
          <w:spacing w:val="-3"/>
        </w:rPr>
        <w:t>WMS</w:t>
      </w:r>
      <w:r>
        <w:rPr>
          <w:spacing w:val="-3"/>
        </w:rPr>
        <w:t>和仓库调度系统</w:t>
      </w:r>
      <w:r>
        <w:rPr>
          <w:rFonts w:ascii="宋体" w:hAnsi="宋体" w:cs="宋体" w:eastAsia="宋体" w:hint="default"/>
          <w:spacing w:val="-3"/>
        </w:rPr>
        <w:t>WCS</w:t>
      </w:r>
      <w:r>
        <w:rPr>
          <w:spacing w:val="-3"/>
        </w:rPr>
        <w:t>进行无缝对接，完成</w:t>
      </w:r>
      <w:r>
        <w:rPr>
          <w:spacing w:val="-57"/>
        </w:rPr>
        <w:t> </w:t>
      </w:r>
      <w:r>
        <w:rPr>
          <w:spacing w:val="-57"/>
        </w:rPr>
      </w:r>
      <w:r>
        <w:rPr/>
        <w:t>整个设备智能运维监控平台所需要的数据自动采集、数据智能存储、自动推送、智能分析、辅助决策等设备运维监控功能， 达到提升管理水平，提供工作效率的智慧型生产工厂的总体目标。</w:t>
      </w:r>
    </w:p>
    <w:p>
      <w:pPr>
        <w:spacing w:after="0" w:line="47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89" w:lineRule="auto"/>
        <w:ind w:left="513" w:right="1115"/>
        <w:jc w:val="left"/>
      </w:pPr>
      <w:r>
        <w:rPr>
          <w:rFonts w:ascii="Times New Roman" w:hAnsi="Times New Roman" w:cs="Times New Roman" w:eastAsia="Times New Roman" w:hint="default"/>
          <w:b/>
          <w:bCs/>
        </w:rPr>
        <w:t>8</w:t>
      </w:r>
      <w:r>
        <w:rPr>
          <w:rFonts w:ascii="宋体" w:hAnsi="宋体" w:cs="宋体" w:eastAsia="宋体" w:hint="default"/>
          <w:b/>
          <w:bCs/>
        </w:rPr>
        <w:t>、</w:t>
      </w:r>
      <w:r>
        <w:rPr>
          <w:rFonts w:ascii="Times New Roman" w:hAnsi="Times New Roman" w:cs="Times New Roman" w:eastAsia="Times New Roman" w:hint="default"/>
          <w:b/>
          <w:bCs/>
        </w:rPr>
        <w:t>3D</w:t>
      </w:r>
      <w:r>
        <w:rPr>
          <w:rFonts w:ascii="宋体" w:hAnsi="宋体" w:cs="宋体" w:eastAsia="宋体" w:hint="default"/>
          <w:b/>
          <w:bCs/>
        </w:rPr>
        <w:t>可视化平台</w:t>
      </w:r>
      <w:r>
        <w:rPr>
          <w:rFonts w:ascii="宋体" w:hAnsi="宋体" w:cs="宋体" w:eastAsia="宋体" w:hint="default"/>
          <w:b/>
          <w:bCs/>
          <w:w w:val="99"/>
        </w:rPr>
        <w:t> </w:t>
      </w:r>
      <w:r>
        <w:rPr>
          <w:spacing w:val="-2"/>
        </w:rPr>
        <w:t>该项目通过建立系统研究模型，真实地描述和反映设备的实体关系及属性，将实物数据输入可视化系统，通过数据运算</w:t>
      </w:r>
    </w:p>
    <w:p>
      <w:pPr>
        <w:pStyle w:val="BodyText"/>
        <w:spacing w:line="516" w:lineRule="auto" w:before="45"/>
        <w:ind w:left="513" w:right="998" w:hanging="361"/>
        <w:jc w:val="left"/>
      </w:pPr>
      <w:r>
        <w:rPr>
          <w:spacing w:val="-4"/>
        </w:rPr>
        <w:t>和图形模拟，产生贴近实际物流系统的信息输出从而为方案的可行性、稳定性，存在的问题提供准确直观的反馈和数据支持。</w:t>
      </w:r>
      <w:r>
        <w:rPr>
          <w:spacing w:val="-44"/>
        </w:rPr>
        <w:t> </w:t>
      </w:r>
      <w:r>
        <w:rPr>
          <w:spacing w:val="-44"/>
        </w:rPr>
      </w:r>
      <w:r>
        <w:rPr>
          <w:spacing w:val="-2"/>
        </w:rPr>
        <w:t>在后期生产中，设备的正常高效运转是物流体系的核心，关乎这整个物流系统的效率和产出。而</w:t>
      </w:r>
      <w:r>
        <w:rPr>
          <w:rFonts w:ascii="宋体" w:hAnsi="宋体" w:cs="宋体" w:eastAsia="宋体" w:hint="default"/>
          <w:spacing w:val="-2"/>
        </w:rPr>
        <w:t>3D</w:t>
      </w:r>
      <w:r>
        <w:rPr>
          <w:spacing w:val="-2"/>
        </w:rPr>
        <w:t>可视化平台可将真实</w:t>
      </w:r>
    </w:p>
    <w:p>
      <w:pPr>
        <w:pStyle w:val="BodyText"/>
        <w:spacing w:line="477" w:lineRule="auto" w:before="25"/>
        <w:ind w:right="1034"/>
        <w:jc w:val="left"/>
      </w:pPr>
      <w:r>
        <w:rPr/>
        <w:t>工厂的生产运行数据、技术参数、生产环境等都会通过虚拟工厂反映出来，实现同步运行清晰定位故障点，快速解决问题， </w:t>
      </w:r>
      <w:r>
        <w:rPr>
          <w:spacing w:val="-2"/>
        </w:rPr>
        <w:t>恢复生产。</w:t>
      </w:r>
      <w:r>
        <w:rPr>
          <w:rFonts w:ascii="宋体" w:hAnsi="宋体" w:cs="宋体" w:eastAsia="宋体" w:hint="default"/>
          <w:spacing w:val="-2"/>
        </w:rPr>
        <w:t>3D</w:t>
      </w:r>
      <w:r>
        <w:rPr>
          <w:spacing w:val="-2"/>
        </w:rPr>
        <w:t>可视化平台将设备的运行效率、实时吞吐量、设备能耗、等相关数据进行过滤、整合、重构形成图表对于整个</w:t>
      </w:r>
      <w:r>
        <w:rPr>
          <w:spacing w:val="-66"/>
        </w:rPr>
        <w:t> </w:t>
      </w:r>
      <w:r>
        <w:rPr>
          <w:spacing w:val="-66"/>
        </w:rPr>
      </w:r>
      <w:r>
        <w:rPr/>
        <w:t>生产性能的评估和管理提供了最原始准确的依据。</w:t>
      </w:r>
    </w:p>
    <w:p>
      <w:pPr>
        <w:spacing w:line="489" w:lineRule="auto" w:before="95"/>
        <w:ind w:left="513" w:right="112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WisdomX</w:t>
      </w:r>
      <w:r>
        <w:rPr>
          <w:rFonts w:ascii="宋体" w:hAnsi="宋体" w:cs="宋体" w:eastAsia="宋体" w:hint="default"/>
          <w:b/>
          <w:bCs/>
          <w:sz w:val="18"/>
          <w:szCs w:val="18"/>
        </w:rPr>
        <w:t>技术平台</w:t>
      </w:r>
      <w:r>
        <w:rPr>
          <w:rFonts w:ascii="宋体" w:hAnsi="宋体" w:cs="宋体" w:eastAsia="宋体" w:hint="default"/>
          <w:b/>
          <w:bCs/>
          <w:spacing w:val="2"/>
          <w:w w:val="99"/>
          <w:sz w:val="18"/>
          <w:szCs w:val="18"/>
        </w:rPr>
        <w:t> </w:t>
      </w:r>
      <w:r>
        <w:rPr>
          <w:rFonts w:ascii="宋体" w:hAnsi="宋体" w:cs="宋体" w:eastAsia="宋体" w:hint="default"/>
          <w:sz w:val="18"/>
          <w:szCs w:val="18"/>
        </w:rPr>
        <w:t>WisdomX</w:t>
      </w:r>
      <w:r>
        <w:rPr>
          <w:rFonts w:ascii="宋体" w:hAnsi="宋体" w:cs="宋体" w:eastAsia="宋体" w:hint="default"/>
          <w:sz w:val="18"/>
          <w:szCs w:val="18"/>
        </w:rPr>
        <w:t>技术平台支持分布式部署及集群技术、多语言及本地化、可视化工作流设计、可视化事务流设计、可视化界面</w:t>
      </w:r>
    </w:p>
    <w:p>
      <w:pPr>
        <w:pStyle w:val="BodyText"/>
        <w:spacing w:line="516" w:lineRule="auto" w:before="46"/>
        <w:ind w:left="513" w:right="1034" w:hanging="361"/>
        <w:jc w:val="left"/>
      </w:pPr>
      <w:r>
        <w:rPr/>
        <w:t>设计、完善的授权机制（组织授权、角色授权、岗位授权、数据授权、逐级授权）等，以满足企业级业务系统的基本要求。 </w:t>
      </w:r>
      <w:r>
        <w:rPr>
          <w:spacing w:val="-2"/>
        </w:rPr>
        <w:t>此平台属于配置型平台，只要懂业务就可以开发系统。通过少量业务逻辑代码的开发，调用模板、插件或工具便可完成</w:t>
      </w:r>
    </w:p>
    <w:p>
      <w:pPr>
        <w:pStyle w:val="BodyText"/>
        <w:spacing w:line="477" w:lineRule="auto" w:before="25"/>
        <w:ind w:right="998"/>
        <w:jc w:val="left"/>
      </w:pPr>
      <w:r>
        <w:rPr>
          <w:spacing w:val="-2"/>
        </w:rPr>
        <w:t>大型企业级系统开发。提供灵活无限制的可扩展性，轻松插入平台自带的各种插件或第三方插件；轻松集成后续开发的各种</w:t>
      </w:r>
      <w:r>
        <w:rPr>
          <w:spacing w:val="-63"/>
        </w:rPr>
        <w:t> </w:t>
      </w:r>
      <w:r>
        <w:rPr>
          <w:spacing w:val="-63"/>
        </w:rPr>
      </w:r>
      <w:r>
        <w:rPr>
          <w:spacing w:val="-4"/>
        </w:rPr>
        <w:t>应用或第三方应用，也可将公司其他旧系统接入平台；可在平台上二次开发或自定义页面接入。在此技术平台上建制的产品，</w:t>
      </w:r>
      <w:r>
        <w:rPr>
          <w:spacing w:val="-44"/>
        </w:rPr>
        <w:t> </w:t>
      </w:r>
      <w:r>
        <w:rPr>
          <w:spacing w:val="-44"/>
        </w:rPr>
      </w:r>
      <w:r>
        <w:rPr>
          <w:spacing w:val="-2"/>
        </w:rPr>
        <w:t>可通过平台内置的功能进行售后服务的沟通交流、问题的记录及追踪等。平台提供的大数据分析服务，可以快速导入业务数</w:t>
      </w:r>
      <w:r>
        <w:rPr>
          <w:spacing w:val="-63"/>
        </w:rPr>
        <w:t> </w:t>
      </w:r>
      <w:r>
        <w:rPr>
          <w:spacing w:val="-63"/>
        </w:rPr>
      </w:r>
      <w:r>
        <w:rPr/>
        <w:t>据并根据分析规则实现对大数据的分析、运算及统计。</w:t>
      </w:r>
    </w:p>
    <w:p>
      <w:pPr>
        <w:pStyle w:val="BodyText"/>
        <w:spacing w:line="240" w:lineRule="auto" w:before="16"/>
        <w:ind w:left="513" w:right="1115"/>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40.31%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42,594,346.93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30,669,901.75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17,741,977.40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15"/>
        <w:jc w:val="left"/>
      </w:pPr>
      <w:r>
        <w:rPr/>
        <w:t>研发投入总额占营业收入的比重较上年发生显著变化的原因</w:t>
      </w:r>
    </w:p>
    <w:p>
      <w:pPr>
        <w:pStyle w:val="BodyText"/>
        <w:spacing w:line="415" w:lineRule="auto" w:before="115"/>
        <w:ind w:left="513" w:right="10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围绕智能制造、智慧物流两个核心，提升公司核心竞争力，</w:t>
      </w:r>
      <w:r>
        <w:rPr>
          <w:rFonts w:ascii="Times New Roman" w:hAnsi="Times New Roman" w:cs="Times New Roman" w:eastAsia="Times New Roman" w:hint="default"/>
        </w:rPr>
        <w:t>2018</w:t>
      </w:r>
      <w:r>
        <w:rPr/>
        <w:t>年公司继续加大技术研发投入，涵盖硬件及软件方面，</w:t>
      </w:r>
    </w:p>
    <w:p>
      <w:pPr>
        <w:pStyle w:val="BodyText"/>
        <w:spacing w:line="451" w:lineRule="auto" w:before="73"/>
        <w:ind w:right="1204"/>
        <w:jc w:val="left"/>
      </w:pPr>
      <w:r>
        <w:rPr/>
        <w:t>并启动在智能工厂云平台、</w:t>
      </w:r>
      <w:r>
        <w:rPr>
          <w:rFonts w:ascii="Times New Roman" w:hAnsi="Times New Roman" w:cs="Times New Roman" w:eastAsia="Times New Roman" w:hint="default"/>
        </w:rPr>
        <w:t>3D</w:t>
      </w:r>
      <w:r>
        <w:rPr/>
        <w:t>可视化方面的立项研发，</w:t>
      </w:r>
      <w:r>
        <w:rPr>
          <w:rFonts w:ascii="Times New Roman" w:hAnsi="Times New Roman" w:cs="Times New Roman" w:eastAsia="Times New Roman" w:hint="default"/>
        </w:rPr>
        <w:t>2018</w:t>
      </w:r>
      <w:r>
        <w:rPr/>
        <w:t>年在研发项目数量同比增长</w:t>
      </w:r>
      <w:r>
        <w:rPr>
          <w:rFonts w:ascii="Times New Roman" w:hAnsi="Times New Roman" w:cs="Times New Roman" w:eastAsia="Times New Roman" w:hint="default"/>
        </w:rPr>
        <w:t>27%</w:t>
      </w:r>
      <w:r>
        <w:rPr/>
        <w:t>，研发技术人员投入及各项研 发支出也相应大幅增加。</w:t>
      </w:r>
    </w:p>
    <w:p>
      <w:pPr>
        <w:spacing w:after="0" w:line="451"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15"/>
        <w:jc w:val="left"/>
      </w:pPr>
      <w:r>
        <w:rPr/>
        <w:t>研发投入资本化率大幅变动的原因及其合理性说明</w:t>
      </w:r>
    </w:p>
    <w:p>
      <w:pPr>
        <w:pStyle w:val="BodyText"/>
        <w:spacing w:line="240" w:lineRule="auto" w:before="117"/>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798,659,459.27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576,341,055.60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38.57%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648,977,504.92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576,412,583.52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12.59%</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149,681,954.35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-71,527.92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209,363.68%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3,134,020.79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145,353,905.04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-97.84%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97,394,929.79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92,246,533.44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5.58%</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-94,260,909.00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53,107,371.60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-277.49%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50,932,960.00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87,550,166.11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62,819,465.28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39.37%</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-87,548,166.11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-11,886,505.28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-636.53%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-31,863,327.03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40,918,932.17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-177.87%</w:t>
            </w:r>
          </w:p>
        </w:tc>
      </w:tr>
    </w:tbl>
    <w:p>
      <w:pPr>
        <w:pStyle w:val="BodyText"/>
        <w:spacing w:line="240" w:lineRule="auto" w:before="49"/>
        <w:ind w:right="1115"/>
        <w:jc w:val="left"/>
      </w:pPr>
      <w:r>
        <w:rPr/>
        <w:t>相关数据同比发生重大变动的主要影响因素说明</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4"/>
          <w:szCs w:val="14"/>
        </w:rPr>
      </w:pPr>
    </w:p>
    <w:p>
      <w:pPr>
        <w:pStyle w:val="BodyText"/>
        <w:spacing w:line="240" w:lineRule="auto"/>
        <w:ind w:right="1115"/>
        <w:jc w:val="left"/>
      </w:pPr>
      <w:r>
        <w:rPr>
          <w:rFonts w:ascii="Times New Roman" w:hAnsi="Times New Roman" w:cs="Times New Roman" w:eastAsia="Times New Roman" w:hint="default"/>
        </w:rPr>
        <w:t>1</w:t>
      </w:r>
      <w:r>
        <w:rPr/>
        <w:t>、经营活动产生的现金流量净额：同比大幅度增长，主要系报告期内收到多个项目的预收款、进度款；</w:t>
      </w:r>
    </w:p>
    <w:p>
      <w:pPr>
        <w:spacing w:line="240" w:lineRule="auto" w:before="9"/>
        <w:rPr>
          <w:rFonts w:ascii="宋体" w:hAnsi="宋体" w:cs="宋体" w:eastAsia="宋体" w:hint="default"/>
          <w:sz w:val="16"/>
          <w:szCs w:val="16"/>
        </w:rPr>
      </w:pPr>
    </w:p>
    <w:p>
      <w:pPr>
        <w:pStyle w:val="BodyText"/>
        <w:spacing w:line="240" w:lineRule="auto"/>
        <w:ind w:right="1115"/>
        <w:jc w:val="left"/>
      </w:pPr>
      <w:r>
        <w:rPr>
          <w:rFonts w:ascii="Times New Roman" w:hAnsi="Times New Roman" w:cs="Times New Roman" w:eastAsia="Times New Roman" w:hint="default"/>
        </w:rPr>
        <w:t>2</w:t>
      </w:r>
      <w:r>
        <w:rPr/>
        <w:t>、投资活动产生的现金流量净额：同比大幅度下降，主要系报告期内短期银行理财产品净投资增加所致；</w:t>
      </w:r>
    </w:p>
    <w:p>
      <w:pPr>
        <w:spacing w:line="240" w:lineRule="auto" w:before="9"/>
        <w:rPr>
          <w:rFonts w:ascii="宋体" w:hAnsi="宋体" w:cs="宋体" w:eastAsia="宋体" w:hint="default"/>
          <w:sz w:val="16"/>
          <w:szCs w:val="16"/>
        </w:rPr>
      </w:pPr>
    </w:p>
    <w:p>
      <w:pPr>
        <w:pStyle w:val="BodyText"/>
        <w:spacing w:line="451" w:lineRule="auto"/>
        <w:ind w:right="1124"/>
        <w:jc w:val="left"/>
      </w:pPr>
      <w:r>
        <w:rPr>
          <w:rFonts w:ascii="Times New Roman" w:hAnsi="Times New Roman" w:cs="Times New Roman" w:eastAsia="Times New Roman" w:hint="default"/>
        </w:rPr>
        <w:t>3</w:t>
      </w:r>
      <w:r>
        <w:rPr/>
        <w:t>、筹资活动产生的现金流量净额：同比大幅度下降，主要系报告期内吸收投资收到的现金减少、偿还债务支付的现金增加 所致。</w:t>
      </w:r>
    </w:p>
    <w:p>
      <w:pPr>
        <w:pStyle w:val="BodyText"/>
        <w:spacing w:line="240" w:lineRule="auto" w:before="115"/>
        <w:ind w:right="1115"/>
        <w:jc w:val="left"/>
      </w:pPr>
      <w:r>
        <w:rPr/>
        <w:t>报告期内公司经营活动产生的现金净流量与本年度净利润存在重大差异的原因说明</w:t>
      </w:r>
    </w:p>
    <w:p>
      <w:pPr>
        <w:spacing w:line="240" w:lineRule="auto" w:before="9"/>
        <w:rPr>
          <w:rFonts w:ascii="宋体" w:hAnsi="宋体" w:cs="宋体" w:eastAsia="宋体" w:hint="default"/>
          <w:sz w:val="20"/>
          <w:szCs w:val="20"/>
        </w:rPr>
      </w:pPr>
    </w:p>
    <w:p>
      <w:pPr>
        <w:pStyle w:val="BodyText"/>
        <w:spacing w:line="487"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主要系报告期新增业务订单相应预收账款增长较大。</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2"/>
          <w:szCs w:val="22"/>
        </w:rPr>
      </w:pPr>
    </w:p>
    <w:p>
      <w:pPr>
        <w:pStyle w:val="Heading4"/>
        <w:spacing w:line="240" w:lineRule="auto"/>
        <w:ind w:right="1115"/>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878"/>
        <w:gridCol w:w="1630"/>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6"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6,506,728.91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39.22%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2"/>
              <w:jc w:val="left"/>
              <w:rPr>
                <w:rFonts w:ascii="宋体" w:hAnsi="宋体" w:cs="宋体" w:eastAsia="宋体" w:hint="default"/>
                <w:sz w:val="18"/>
                <w:szCs w:val="18"/>
              </w:rPr>
            </w:pPr>
            <w:r>
              <w:rPr>
                <w:rFonts w:ascii="宋体" w:hAnsi="宋体" w:cs="宋体" w:eastAsia="宋体" w:hint="default"/>
                <w:sz w:val="18"/>
                <w:szCs w:val="18"/>
              </w:rPr>
              <w:t>主要系参股企业的投资收益及银行 理财产品收益</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87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-3,552,571.88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-21.41%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主要系应收账款坏账准备减少</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531,522.51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主要系取得的政府补助</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686,541.26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4.14%</w:t>
            </w:r>
          </w:p>
        </w:tc>
        <w:tc>
          <w:tcPr>
            <w:tcW w:w="287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9,114,846.38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54.94%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2"/>
              <w:jc w:val="left"/>
              <w:rPr>
                <w:rFonts w:ascii="宋体" w:hAnsi="宋体" w:cs="宋体" w:eastAsia="宋体" w:hint="default"/>
                <w:sz w:val="18"/>
                <w:szCs w:val="18"/>
              </w:rPr>
            </w:pPr>
            <w:r>
              <w:rPr>
                <w:rFonts w:ascii="宋体" w:hAnsi="宋体" w:cs="宋体" w:eastAsia="宋体" w:hint="default"/>
                <w:sz w:val="18"/>
                <w:szCs w:val="18"/>
              </w:rPr>
              <w:t>主要系取得的增值税即征即退及研 发投入相关的政府补助</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4"/>
        <w:spacing w:line="240" w:lineRule="auto" w:before="26"/>
        <w:ind w:right="1115"/>
        <w:jc w:val="left"/>
        <w:rPr>
          <w:b w:val="0"/>
          <w:bCs w:val="0"/>
        </w:rPr>
      </w:pPr>
      <w:r>
        <w:rPr/>
        <w:t>四、资产及负债状况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83"/>
        <w:gridCol w:w="1045"/>
        <w:gridCol w:w="1195"/>
        <w:gridCol w:w="1064"/>
        <w:gridCol w:w="797"/>
        <w:gridCol w:w="2919"/>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3" w:hRule="exact"/>
        </w:trPr>
        <w:tc>
          <w:tcPr>
            <w:tcW w:w="1368" w:type="dxa"/>
            <w:vMerge/>
            <w:tcBorders>
              <w:left w:val="single" w:sz="4" w:space="0" w:color="000000"/>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27" w:right="6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0"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045"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284,313,470.25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303,840,073.27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457,363,835.47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454,857,239.34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216,398,418.26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117,195,135.06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主要系报告期末存在多个未达到验 收状态的项目工程进度成本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15,817,136.49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16,504,757.71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51,628,016.06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37,788,885.39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85,200,416.16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71,505,732.47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112,208,415.07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95,562,603.83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15"/>
        <w:jc w:val="left"/>
      </w:pPr>
      <w:r>
        <w:rPr/>
        <w:t>因抵押、质押或冻结等对使用有限制，以及放在境外且资金汇回受到限制的货币资金明细如下：</w:t>
      </w:r>
    </w:p>
    <w:p>
      <w:pPr>
        <w:spacing w:line="240" w:lineRule="auto" w:before="3"/>
        <w:rPr>
          <w:rFonts w:ascii="宋体" w:hAnsi="宋体" w:cs="宋体" w:eastAsia="宋体" w:hint="default"/>
          <w:sz w:val="5"/>
          <w:szCs w:val="5"/>
        </w:rPr>
      </w:pPr>
    </w:p>
    <w:tbl>
      <w:tblPr>
        <w:tblW w:w="0" w:type="auto"/>
        <w:jc w:val="left"/>
        <w:tblInd w:w="755" w:type="dxa"/>
        <w:tblLayout w:type="fixed"/>
        <w:tblCellMar>
          <w:top w:w="0" w:type="dxa"/>
          <w:left w:w="0" w:type="dxa"/>
          <w:bottom w:w="0" w:type="dxa"/>
          <w:right w:w="0" w:type="dxa"/>
        </w:tblCellMar>
        <w:tblLook w:val="01E0"/>
      </w:tblPr>
      <w:tblGrid>
        <w:gridCol w:w="3337"/>
        <w:gridCol w:w="2237"/>
        <w:gridCol w:w="2240"/>
      </w:tblGrid>
      <w:tr>
        <w:trPr>
          <w:trHeight w:val="34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17,605,453.94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7,309,043.01</w:t>
            </w:r>
          </w:p>
        </w:tc>
      </w:tr>
      <w:tr>
        <w:trPr>
          <w:trHeight w:val="34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3,575,209.56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5,883,580.00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755" w:type="dxa"/>
        <w:tblLayout w:type="fixed"/>
        <w:tblCellMar>
          <w:top w:w="0" w:type="dxa"/>
          <w:left w:w="0" w:type="dxa"/>
          <w:bottom w:w="0" w:type="dxa"/>
          <w:right w:w="0" w:type="dxa"/>
        </w:tblCellMar>
        <w:tblLook w:val="01E0"/>
      </w:tblPr>
      <w:tblGrid>
        <w:gridCol w:w="3337"/>
        <w:gridCol w:w="2237"/>
        <w:gridCol w:w="2240"/>
      </w:tblGrid>
      <w:tr>
        <w:trPr>
          <w:trHeight w:val="34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5,514,357.52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1,165,674.00</w:t>
            </w:r>
          </w:p>
        </w:tc>
      </w:tr>
      <w:tr>
        <w:trPr>
          <w:trHeight w:val="344"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存放在境外且资金汇回受到限制的款项</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6,765,042.06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6,545,314.11</w:t>
            </w:r>
          </w:p>
        </w:tc>
      </w:tr>
      <w:tr>
        <w:trPr>
          <w:trHeight w:val="34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33,460,063.08</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20,903,611.12</w:t>
            </w:r>
          </w:p>
        </w:tc>
      </w:tr>
    </w:tbl>
    <w:p>
      <w:pPr>
        <w:pStyle w:val="BodyText"/>
        <w:spacing w:line="300" w:lineRule="auto" w:before="8"/>
        <w:ind w:right="1115" w:firstLine="360"/>
        <w:jc w:val="left"/>
      </w:pPr>
      <w:r>
        <w:rPr>
          <w:spacing w:val="-4"/>
        </w:rPr>
        <w:t>（</w:t>
      </w:r>
      <w:r>
        <w:rPr>
          <w:rFonts w:ascii="Times New Roman" w:hAnsi="Times New Roman" w:cs="Times New Roman" w:eastAsia="Times New Roman" w:hint="default"/>
          <w:spacing w:val="-4"/>
        </w:rPr>
        <w:t>1</w:t>
      </w:r>
      <w:r>
        <w:rPr>
          <w:spacing w:val="-4"/>
        </w:rPr>
        <w:t>）截至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日，本公司存放于境外且资金汇回受到限制的货币资金为港币</w:t>
      </w:r>
      <w:r>
        <w:rPr>
          <w:rFonts w:ascii="Times New Roman" w:hAnsi="Times New Roman" w:cs="Times New Roman" w:eastAsia="Times New Roman" w:hint="default"/>
          <w:spacing w:val="-4"/>
        </w:rPr>
        <w:t>7,720,887.99</w:t>
      </w:r>
      <w:r>
        <w:rPr>
          <w:spacing w:val="-4"/>
        </w:rPr>
        <w:t>，折人民币</w:t>
      </w:r>
      <w:r>
        <w:rPr>
          <w:rFonts w:ascii="Times New Roman" w:hAnsi="Times New Roman" w:cs="Times New Roman" w:eastAsia="Times New Roman" w:hint="default"/>
          <w:spacing w:val="-4"/>
        </w:rPr>
        <w:t>6,765,042.06</w:t>
      </w:r>
      <w:r>
        <w:rPr>
          <w:rFonts w:ascii="Times New Roman" w:hAnsi="Times New Roman" w:cs="Times New Roman" w:eastAsia="Times New Roman" w:hint="default"/>
        </w:rPr>
        <w:t> </w:t>
      </w:r>
      <w:r>
        <w:rPr/>
        <w:t>元，均为本公司之香港子公司今天国际物流科技有限公司的银行存款。</w:t>
      </w:r>
    </w:p>
    <w:p>
      <w:pPr>
        <w:pStyle w:val="BodyText"/>
        <w:spacing w:line="300" w:lineRule="auto" w:before="31"/>
        <w:ind w:right="1169" w:firstLine="360"/>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日，其他货币资金人民币</w:t>
      </w:r>
      <w:r>
        <w:rPr>
          <w:rFonts w:ascii="Times New Roman" w:hAnsi="Times New Roman" w:cs="Times New Roman" w:eastAsia="Times New Roman" w:hint="default"/>
        </w:rPr>
        <w:t>26,695,021.02</w:t>
      </w:r>
      <w:r>
        <w:rPr/>
        <w:t>元为本公司向银行存入的保函保证金、信用证保证金以 及银行承兑汇票保证金存款。</w:t>
      </w:r>
    </w:p>
    <w:p>
      <w:pPr>
        <w:spacing w:line="240" w:lineRule="auto" w:before="11"/>
        <w:rPr>
          <w:rFonts w:ascii="宋体" w:hAnsi="宋体" w:cs="宋体" w:eastAsia="宋体" w:hint="default"/>
          <w:sz w:val="21"/>
          <w:szCs w:val="21"/>
        </w:rPr>
      </w:pPr>
    </w:p>
    <w:p>
      <w:pPr>
        <w:pStyle w:val="Heading4"/>
        <w:spacing w:line="240" w:lineRule="auto"/>
        <w:ind w:right="1115"/>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31"/>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44"/>
        <w:ind w:right="1080"/>
        <w:jc w:val="right"/>
      </w:pPr>
      <w:r>
        <w:rPr/>
        <w:pict>
          <v:shape style="position:absolute;margin-left:56.400002pt;margin-top:-161.188263pt;width:482.75pt;height:216.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94"/>
                    <w:gridCol w:w="1291"/>
                    <w:gridCol w:w="566"/>
                    <w:gridCol w:w="853"/>
                    <w:gridCol w:w="708"/>
                    <w:gridCol w:w="566"/>
                    <w:gridCol w:w="566"/>
                    <w:gridCol w:w="569"/>
                    <w:gridCol w:w="566"/>
                    <w:gridCol w:w="566"/>
                    <w:gridCol w:w="710"/>
                    <w:gridCol w:w="451"/>
                    <w:gridCol w:w="682"/>
                    <w:gridCol w:w="850"/>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89" w:right="96" w:hanging="92"/>
                          <w:jc w:val="left"/>
                          <w:rPr>
                            <w:rFonts w:ascii="宋体" w:hAnsi="宋体" w:cs="宋体" w:eastAsia="宋体" w:hint="default"/>
                            <w:sz w:val="18"/>
                            <w:szCs w:val="18"/>
                          </w:rPr>
                        </w:pPr>
                        <w:r>
                          <w:rPr>
                            <w:rFonts w:ascii="宋体" w:hAnsi="宋体" w:cs="宋体" w:eastAsia="宋体" w:hint="default"/>
                            <w:sz w:val="18"/>
                            <w:szCs w:val="18"/>
                          </w:rPr>
                          <w:t>合作 方</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0"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9" w:right="79"/>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0" w:right="38"/>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 w:right="65"/>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4"/>
                          <w:ind w:left="59"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258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z w:val="18"/>
                            <w:szCs w:val="18"/>
                          </w:rPr>
                          <w:t>深圳市 科佛科 技有限 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4"/>
                            <w:sz w:val="18"/>
                            <w:szCs w:val="18"/>
                          </w:rPr>
                          <w:t>计算机软件、信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息系统软件的 </w:t>
                        </w:r>
                        <w:r>
                          <w:rPr>
                            <w:rFonts w:ascii="宋体" w:hAnsi="宋体" w:cs="宋体" w:eastAsia="宋体" w:hint="default"/>
                            <w:spacing w:val="-4"/>
                            <w:sz w:val="18"/>
                            <w:szCs w:val="18"/>
                          </w:rPr>
                          <w:t>开发、销售；信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息系统设计、集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成、维护；信息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技术咨询；集成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电路设计、研发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增资</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23.13%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3" w:right="170"/>
                          <w:jc w:val="left"/>
                          <w:rPr>
                            <w:rFonts w:ascii="宋体" w:hAnsi="宋体" w:cs="宋体" w:eastAsia="宋体" w:hint="default"/>
                            <w:sz w:val="18"/>
                            <w:szCs w:val="18"/>
                          </w:rPr>
                        </w:pPr>
                        <w:r>
                          <w:rPr>
                            <w:rFonts w:ascii="宋体" w:hAnsi="宋体" w:cs="宋体" w:eastAsia="宋体" w:hint="default"/>
                            <w:sz w:val="18"/>
                            <w:szCs w:val="18"/>
                          </w:rPr>
                          <w:t>不适 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6" w:right="171"/>
                          <w:jc w:val="left"/>
                          <w:rPr>
                            <w:rFonts w:ascii="宋体" w:hAnsi="宋体" w:cs="宋体" w:eastAsia="宋体" w:hint="default"/>
                            <w:sz w:val="18"/>
                            <w:szCs w:val="18"/>
                          </w:rPr>
                        </w:pPr>
                        <w:r>
                          <w:rPr>
                            <w:rFonts w:ascii="宋体" w:hAnsi="宋体" w:cs="宋体" w:eastAsia="宋体" w:hint="default"/>
                            <w:sz w:val="18"/>
                            <w:szCs w:val="18"/>
                          </w:rPr>
                          <w:t>不适 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3" w:right="170"/>
                          <w:jc w:val="left"/>
                          <w:rPr>
                            <w:rFonts w:ascii="宋体" w:hAnsi="宋体" w:cs="宋体" w:eastAsia="宋体" w:hint="default"/>
                            <w:sz w:val="18"/>
                            <w:szCs w:val="18"/>
                          </w:rPr>
                        </w:pPr>
                        <w:r>
                          <w:rPr>
                            <w:rFonts w:ascii="宋体" w:hAnsi="宋体" w:cs="宋体" w:eastAsia="宋体" w:hint="default"/>
                            <w:sz w:val="18"/>
                            <w:szCs w:val="18"/>
                          </w:rPr>
                          <w:t>不适 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-304,910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巨潮资讯 网《第三 届董事会 第十一次 会议决议 </w:t>
                        </w:r>
                        <w:r>
                          <w:rPr>
                            <w:rFonts w:ascii="宋体" w:hAnsi="宋体" w:cs="宋体" w:eastAsia="宋体" w:hint="default"/>
                            <w:spacing w:val="-22"/>
                            <w:sz w:val="18"/>
                            <w:szCs w:val="18"/>
                          </w:rPr>
                          <w:t>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2018-010</w:t>
                        </w:r>
                      </w:p>
                    </w:tc>
                  </w:tr>
                  <w:tr>
                    <w:trPr>
                      <w:trHeight w:val="71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-304,910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.23</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5"/>
        <w:spacing w:line="240" w:lineRule="auto" w:before="36"/>
        <w:ind w:right="1115"/>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1639" w:lineRule="exact"/>
        <w:ind w:left="8854"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3pt;height:82pt;mso-position-horizontal-relative:char;mso-position-vertical-relative:line" coordorigin="0,0" coordsize="860,1640">
            <v:group style="position:absolute;left:0;top:0;width:860;height:1640" coordorigin="0,0" coordsize="860,1640">
              <v:shape style="position:absolute;left:0;top:0;width:860;height:1640" coordorigin="0,0" coordsize="860,1640" path="m0,1640l859,1640,859,0,0,0,0,1640xe" filled="true" fillcolor="#ffffff" stroked="false">
                <v:path arrowok="t"/>
                <v:fill type="solid"/>
              </v:shape>
            </v:group>
            <v:group style="position:absolute;left:24;top:624;width:812;height:392" coordorigin="24,624" coordsize="812,392">
              <v:shape style="position:absolute;left:24;top:624;width:812;height:392" coordorigin="24,624" coordsize="812,392" path="m24,1015l835,1015,835,624,24,624,24,1015xe" filled="true" fillcolor="#ffffff" stroked="false">
                <v:path arrowok="t"/>
                <v:fill type="solid"/>
              </v:shape>
            </v:group>
          </v:group>
        </w:pict>
      </w:r>
      <w:r>
        <w:rPr>
          <w:rFonts w:ascii="宋体" w:hAnsi="宋体" w:cs="宋体" w:eastAsia="宋体" w:hint="default"/>
          <w:position w:val="-3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before="44"/>
        <w:ind w:right="1146"/>
        <w:jc w:val="right"/>
      </w:pPr>
      <w:r>
        <w:rPr/>
        <w:pict>
          <v:shape style="position:absolute;margin-left:56.400002pt;margin-top:-320.798279pt;width:479.05pt;height:395.6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72"/>
                    <w:gridCol w:w="869"/>
                    <w:gridCol w:w="871"/>
                    <w:gridCol w:w="869"/>
                    <w:gridCol w:w="871"/>
                    <w:gridCol w:w="869"/>
                    <w:gridCol w:w="872"/>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6" w:right="113"/>
                          <w:jc w:val="left"/>
                          <w:rPr>
                            <w:rFonts w:ascii="宋体" w:hAnsi="宋体" w:cs="宋体" w:eastAsia="宋体" w:hint="default"/>
                            <w:sz w:val="18"/>
                            <w:szCs w:val="18"/>
                          </w:rPr>
                        </w:pPr>
                        <w:r>
                          <w:rPr>
                            <w:rFonts w:ascii="宋体" w:hAnsi="宋体" w:cs="宋体" w:eastAsia="宋体" w:hint="default"/>
                            <w:sz w:val="18"/>
                            <w:szCs w:val="18"/>
                          </w:rPr>
                          <w:t>首次公开 募股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30,836.51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24,297.32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6,721.32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6"/>
                          <w:jc w:val="both"/>
                          <w:rPr>
                            <w:rFonts w:ascii="宋体" w:hAnsi="宋体" w:cs="宋体" w:eastAsia="宋体" w:hint="default"/>
                            <w:sz w:val="18"/>
                            <w:szCs w:val="18"/>
                          </w:rPr>
                        </w:pPr>
                        <w:r>
                          <w:rPr>
                            <w:rFonts w:ascii="宋体" w:hAnsi="宋体" w:cs="宋体" w:eastAsia="宋体" w:hint="default"/>
                            <w:sz w:val="18"/>
                            <w:szCs w:val="18"/>
                          </w:rPr>
                          <w:t>补充公司 流动资金 划转至公 司普通账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30,836.51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24,297.32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6,721.32</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109"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81" w:lineRule="auto" w:before="49"/>
                          <w:ind w:left="475" w:right="23"/>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2"/>
                            <w:sz w:val="18"/>
                            <w:szCs w:val="18"/>
                          </w:rPr>
                          <w:t> </w:t>
                        </w:r>
                        <w:r>
                          <w:rPr>
                            <w:rFonts w:ascii="宋体" w:hAnsi="宋体" w:cs="宋体" w:eastAsia="宋体" w:hint="default"/>
                            <w:sz w:val="18"/>
                            <w:szCs w:val="18"/>
                          </w:rPr>
                          <w:t>募集资金基本情况</w:t>
                        </w:r>
                        <w:r>
                          <w:rPr>
                            <w:rFonts w:ascii="宋体" w:hAnsi="宋体" w:cs="宋体" w:eastAsia="宋体" w:hint="default"/>
                            <w:sz w:val="18"/>
                            <w:szCs w:val="18"/>
                          </w:rPr>
                          <w:t> </w:t>
                        </w:r>
                        <w:r>
                          <w:rPr>
                            <w:rFonts w:ascii="宋体" w:hAnsi="宋体" w:cs="宋体" w:eastAsia="宋体" w:hint="default"/>
                            <w:spacing w:val="-3"/>
                            <w:sz w:val="18"/>
                            <w:szCs w:val="18"/>
                          </w:rPr>
                          <w:t>经中国证券监督管理委员会《关于核准深圳市今天国际物流技术股份有限公司首次公开发行股票的批复》（证监许可</w:t>
                        </w:r>
                      </w:p>
                      <w:p>
                        <w:pPr>
                          <w:pStyle w:val="TableParagraph"/>
                          <w:spacing w:line="345" w:lineRule="auto" w:before="18"/>
                          <w:ind w:left="24" w:right="2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1548</w:t>
                        </w:r>
                        <w:r>
                          <w:rPr>
                            <w:rFonts w:ascii="Times New Roman" w:hAnsi="Times New Roman" w:cs="Times New Roman" w:eastAsia="Times New Roman" w:hint="default"/>
                            <w:spacing w:val="27"/>
                            <w:sz w:val="18"/>
                            <w:szCs w:val="18"/>
                          </w:rPr>
                          <w:t> </w:t>
                        </w:r>
                        <w:r>
                          <w:rPr>
                            <w:rFonts w:ascii="宋体" w:hAnsi="宋体" w:cs="宋体" w:eastAsia="宋体" w:hint="default"/>
                            <w:spacing w:val="-2"/>
                            <w:sz w:val="18"/>
                            <w:szCs w:val="18"/>
                          </w:rPr>
                          <w:t>号）核准，并经深圳证券交易所同意，公司采用网下向询价对象配售与网上向社会公众投资者定价发行相结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w w:val="99"/>
                            <w:sz w:val="18"/>
                            <w:szCs w:val="18"/>
                          </w:rPr>
                          <w:t>合的方式发行人民币普通股（</w:t>
                        </w:r>
                        <w:r>
                          <w:rPr>
                            <w:rFonts w:ascii="Times New Roman" w:hAnsi="Times New Roman" w:cs="Times New Roman" w:eastAsia="Times New Roman" w:hint="default"/>
                            <w:spacing w:val="-7"/>
                            <w:w w:val="99"/>
                            <w:sz w:val="18"/>
                            <w:szCs w:val="18"/>
                          </w:rPr>
                          <w:t>A</w:t>
                        </w:r>
                        <w:r>
                          <w:rPr>
                            <w:rFonts w:ascii="Times New Roman" w:hAnsi="Times New Roman" w:cs="Times New Roman" w:eastAsia="Times New Roman" w:hint="default"/>
                            <w:spacing w:val="-15"/>
                            <w:w w:val="99"/>
                            <w:sz w:val="18"/>
                            <w:szCs w:val="18"/>
                          </w:rPr>
                          <w:t> </w:t>
                        </w:r>
                        <w:r>
                          <w:rPr>
                            <w:rFonts w:ascii="宋体" w:hAnsi="宋体" w:cs="宋体" w:eastAsia="宋体" w:hint="default"/>
                            <w:spacing w:val="-23"/>
                            <w:sz w:val="18"/>
                            <w:szCs w:val="18"/>
                          </w:rPr>
                          <w:t>股）数量</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2,100</w:t>
                        </w:r>
                        <w:r>
                          <w:rPr>
                            <w:rFonts w:ascii="Times New Roman" w:hAnsi="Times New Roman" w:cs="Times New Roman" w:eastAsia="Times New Roman" w:hint="default"/>
                            <w:spacing w:val="-13"/>
                            <w:sz w:val="18"/>
                            <w:szCs w:val="18"/>
                          </w:rPr>
                          <w:t> </w:t>
                        </w:r>
                        <w:r>
                          <w:rPr>
                            <w:rFonts w:ascii="宋体" w:hAnsi="宋体" w:cs="宋体" w:eastAsia="宋体" w:hint="default"/>
                            <w:spacing w:val="-11"/>
                            <w:sz w:val="18"/>
                            <w:szCs w:val="18"/>
                          </w:rPr>
                          <w:t>万股，发行价为每股</w:t>
                        </w:r>
                        <w:r>
                          <w:rPr>
                            <w:rFonts w:ascii="宋体" w:hAnsi="宋体" w:cs="宋体" w:eastAsia="宋体" w:hint="default"/>
                            <w:spacing w:val="-60"/>
                            <w:sz w:val="18"/>
                            <w:szCs w:val="18"/>
                          </w:rPr>
                          <w:t> </w:t>
                        </w:r>
                        <w:r>
                          <w:rPr>
                            <w:rFonts w:ascii="Times New Roman" w:hAnsi="Times New Roman" w:cs="Times New Roman" w:eastAsia="Times New Roman" w:hint="default"/>
                            <w:spacing w:val="-1"/>
                            <w:sz w:val="18"/>
                            <w:szCs w:val="18"/>
                          </w:rPr>
                          <w:t>16.32</w:t>
                        </w:r>
                        <w:r>
                          <w:rPr>
                            <w:rFonts w:ascii="Times New Roman" w:hAnsi="Times New Roman" w:cs="Times New Roman" w:eastAsia="Times New Roman" w:hint="default"/>
                            <w:spacing w:val="-13"/>
                            <w:sz w:val="18"/>
                            <w:szCs w:val="18"/>
                          </w:rPr>
                          <w:t> </w:t>
                        </w:r>
                        <w:r>
                          <w:rPr>
                            <w:rFonts w:ascii="宋体" w:hAnsi="宋体" w:cs="宋体" w:eastAsia="宋体" w:hint="default"/>
                            <w:spacing w:val="-11"/>
                            <w:sz w:val="18"/>
                            <w:szCs w:val="18"/>
                          </w:rPr>
                          <w:t>元。本次发行股票，共募集股款人民币</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342,720,000.00</w:t>
                        </w:r>
                      </w:p>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元，扣除与发行有关的费用人民币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34,354,911.62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元，实际可使用募集资金人民币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308,365,088.38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元。上述募集资金业经立</w:t>
                        </w:r>
                      </w:p>
                      <w:p>
                        <w:pPr>
                          <w:pStyle w:val="TableParagraph"/>
                          <w:spacing w:line="386" w:lineRule="auto" w:before="108"/>
                          <w:ind w:left="475" w:right="1937" w:hanging="452"/>
                          <w:jc w:val="left"/>
                          <w:rPr>
                            <w:rFonts w:ascii="宋体" w:hAnsi="宋体" w:cs="宋体" w:eastAsia="宋体" w:hint="default"/>
                            <w:sz w:val="18"/>
                            <w:szCs w:val="18"/>
                          </w:rPr>
                        </w:pPr>
                        <w:r>
                          <w:rPr>
                            <w:rFonts w:ascii="宋体" w:hAnsi="宋体" w:cs="宋体" w:eastAsia="宋体" w:hint="default"/>
                            <w:sz w:val="18"/>
                            <w:szCs w:val="18"/>
                          </w:rPr>
                          <w:t>信会计师事务所（特殊普通合伙）验证，并由其出具了信会师报字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310713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 二、</w:t>
                        </w:r>
                        <w:r>
                          <w:rPr>
                            <w:rFonts w:ascii="宋体" w:hAnsi="宋体" w:cs="宋体" w:eastAsia="宋体" w:hint="default"/>
                            <w:spacing w:val="-62"/>
                            <w:sz w:val="18"/>
                            <w:szCs w:val="18"/>
                          </w:rPr>
                          <w:t> </w:t>
                        </w:r>
                        <w:r>
                          <w:rPr>
                            <w:rFonts w:ascii="宋体" w:hAnsi="宋体" w:cs="宋体" w:eastAsia="宋体" w:hint="default"/>
                            <w:sz w:val="18"/>
                            <w:szCs w:val="18"/>
                          </w:rPr>
                          <w:t>募集资金使用情况</w:t>
                        </w:r>
                      </w:p>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截至本公告日，已累计投入募集资金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24,297.32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万元，三个募投项目均已完成投资建设并结项。经股东大会审批通过</w:t>
                        </w: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节余募集资金全部补充公司流动资金，募集资金专户中节余募集资金合计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67,213,247.40 </w:t>
                        </w:r>
                        <w:r>
                          <w:rPr>
                            <w:rFonts w:ascii="宋体" w:hAnsi="宋体" w:cs="宋体" w:eastAsia="宋体" w:hint="default"/>
                            <w:sz w:val="18"/>
                            <w:szCs w:val="18"/>
                          </w:rPr>
                          <w:t>元（含截至</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利息收入）及募集资金专户后期利息收入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44,326.23 </w:t>
                        </w:r>
                        <w:r>
                          <w:rPr>
                            <w:rFonts w:ascii="宋体" w:hAnsi="宋体" w:cs="宋体" w:eastAsia="宋体" w:hint="default"/>
                            <w:sz w:val="18"/>
                            <w:szCs w:val="18"/>
                          </w:rPr>
                          <w:t>元（截至</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日，已扣除相关手续费）全部已划转至公司</w:t>
                        </w: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普通账户，合计补充流动资金的金额为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67,257,573.63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95"/>
        <w:ind w:right="1115"/>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22"/>
        <w:gridCol w:w="721"/>
        <w:gridCol w:w="722"/>
        <w:gridCol w:w="720"/>
        <w:gridCol w:w="720"/>
        <w:gridCol w:w="723"/>
        <w:gridCol w:w="722"/>
        <w:gridCol w:w="720"/>
        <w:gridCol w:w="722"/>
        <w:gridCol w:w="723"/>
        <w:gridCol w:w="722"/>
      </w:tblGrid>
      <w:tr>
        <w:trPr>
          <w:trHeight w:val="165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361" w:right="93"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2" w:lineRule="auto"/>
              <w:ind w:left="57"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6" w:right="82"/>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8" w:right="83"/>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159"/>
              <w:jc w:val="left"/>
              <w:rPr>
                <w:rFonts w:ascii="宋体" w:hAnsi="宋体" w:cs="宋体" w:eastAsia="宋体" w:hint="default"/>
                <w:sz w:val="18"/>
                <w:szCs w:val="18"/>
              </w:rPr>
            </w:pPr>
            <w:r>
              <w:rPr>
                <w:rFonts w:ascii="宋体" w:hAnsi="宋体" w:cs="宋体" w:eastAsia="宋体" w:hint="default"/>
                <w:sz w:val="18"/>
                <w:szCs w:val="18"/>
              </w:rPr>
              <w:t>自动化物流系统产 业化项目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5"/>
                <w:szCs w:val="15"/>
              </w:rPr>
            </w:pPr>
            <w:r>
              <w:rPr>
                <w:rFonts w:ascii="Times New Roman"/>
                <w:sz w:val="15"/>
              </w:rPr>
              <w:t>19,254.77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5"/>
                <w:szCs w:val="15"/>
              </w:rPr>
            </w:pPr>
            <w:r>
              <w:rPr>
                <w:rFonts w:ascii="Times New Roman"/>
                <w:sz w:val="15"/>
              </w:rPr>
              <w:t>19,254.77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5"/>
                <w:szCs w:val="15"/>
              </w:rPr>
            </w:pPr>
            <w:r>
              <w:rPr>
                <w:rFonts w:ascii="Times New Roman"/>
                <w:sz w:val="15"/>
              </w:rPr>
              <w:t>254.49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5"/>
                <w:szCs w:val="15"/>
              </w:rPr>
            </w:pPr>
            <w:r>
              <w:rPr>
                <w:rFonts w:ascii="Times New Roman"/>
                <w:sz w:val="15"/>
              </w:rPr>
              <w:t>17,565.39</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91.23%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619.51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5"/>
                <w:szCs w:val="15"/>
              </w:rPr>
            </w:pPr>
            <w:r>
              <w:rPr>
                <w:rFonts w:ascii="Times New Roman"/>
                <w:sz w:val="15"/>
              </w:rPr>
              <w:t>12,919.75</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19"/>
        <w:gridCol w:w="914"/>
        <w:gridCol w:w="722"/>
        <w:gridCol w:w="721"/>
        <w:gridCol w:w="722"/>
        <w:gridCol w:w="720"/>
        <w:gridCol w:w="720"/>
        <w:gridCol w:w="723"/>
        <w:gridCol w:w="722"/>
        <w:gridCol w:w="720"/>
        <w:gridCol w:w="722"/>
        <w:gridCol w:w="723"/>
        <w:gridCol w:w="722"/>
      </w:tblGrid>
      <w:tr>
        <w:trPr>
          <w:trHeight w:val="1025"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159"/>
              <w:jc w:val="left"/>
              <w:rPr>
                <w:rFonts w:ascii="宋体" w:hAnsi="宋体" w:cs="宋体" w:eastAsia="宋体" w:hint="default"/>
                <w:sz w:val="18"/>
                <w:szCs w:val="18"/>
              </w:rPr>
            </w:pPr>
            <w:r>
              <w:rPr>
                <w:rFonts w:ascii="宋体" w:hAnsi="宋体" w:cs="宋体" w:eastAsia="宋体" w:hint="default"/>
                <w:sz w:val="18"/>
                <w:szCs w:val="18"/>
              </w:rPr>
              <w:t>技术研发及产品体 验中心建设项目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7,629.26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7,629.26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125.62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4,013.73</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52.61%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59"/>
              <w:jc w:val="left"/>
              <w:rPr>
                <w:rFonts w:ascii="宋体" w:hAnsi="宋体" w:cs="宋体" w:eastAsia="宋体" w:hint="default"/>
                <w:sz w:val="18"/>
                <w:szCs w:val="18"/>
              </w:rPr>
            </w:pPr>
            <w:r>
              <w:rPr>
                <w:rFonts w:ascii="宋体" w:hAnsi="宋体" w:cs="宋体" w:eastAsia="宋体" w:hint="default"/>
                <w:sz w:val="18"/>
                <w:szCs w:val="18"/>
              </w:rPr>
              <w:t>自动化物流装备总 装基地建设项目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3,952.48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3,952.48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43.18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2,718.2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68.77%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428.49</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30,836.51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30,836.51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423.29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24,297.32</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2" w:right="0"/>
              <w:jc w:val="center"/>
              <w:rPr>
                <w:rFonts w:ascii="Times New Roman" w:hAnsi="Times New Roman" w:cs="Times New Roman" w:eastAsia="Times New Roman" w:hint="default"/>
                <w:sz w:val="15"/>
                <w:szCs w:val="15"/>
              </w:rPr>
            </w:pPr>
            <w:r>
              <w:rPr>
                <w:rFonts w:ascii="Times New Roman"/>
                <w:sz w:val="15"/>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619.51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13,348.24</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97"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z w:val="13"/>
              </w:rPr>
              <w:t>30,836.51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30,836.51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w w:val="95"/>
                <w:sz w:val="13"/>
              </w:rPr>
              <w:t>423.29</w:t>
            </w:r>
            <w:r>
              <w:rPr>
                <w:rFonts w:ascii="Times New Roman"/>
                <w:sz w:val="13"/>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z w:val="13"/>
              </w:rPr>
              <w:t>24,297.32</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left="2" w:right="0"/>
              <w:jc w:val="center"/>
              <w:rPr>
                <w:rFonts w:ascii="Times New Roman" w:hAnsi="Times New Roman" w:cs="Times New Roman" w:eastAsia="Times New Roman" w:hint="default"/>
                <w:sz w:val="13"/>
                <w:szCs w:val="13"/>
              </w:rPr>
            </w:pPr>
            <w:r>
              <w:rPr>
                <w:rFonts w:ascii="Times New Roman"/>
                <w:sz w:val="13"/>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w w:val="95"/>
                <w:sz w:val="13"/>
              </w:rPr>
              <w:t>619.51</w:t>
            </w:r>
            <w:r>
              <w:rPr>
                <w:rFonts w:ascii="Times New Roman"/>
                <w:sz w:val="13"/>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z w:val="13"/>
              </w:rPr>
              <w:t>13,348.24</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98"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97" w:right="0"/>
              <w:jc w:val="lef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4" w:type="dxa"/>
            <w:gridSpan w:val="2"/>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9"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34" w:type="dxa"/>
            <w:gridSpan w:val="2"/>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5"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公司已用自有资金预先投入募集资金投资项目的金额为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119,194,393.35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元，立信会计师事务 </w:t>
            </w:r>
            <w:r>
              <w:rPr>
                <w:rFonts w:ascii="宋体" w:hAnsi="宋体" w:cs="宋体" w:eastAsia="宋体" w:hint="default"/>
                <w:spacing w:val="-2"/>
                <w:sz w:val="18"/>
                <w:szCs w:val="18"/>
              </w:rPr>
              <w:t>所（特殊普通合伙）对此出具了信会师报字</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第</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310804</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号《关于深圳市今天国际物流技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术股份有限公司以自筹资金预先投入募投项目的鉴证报告》。于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w:t>
            </w:r>
            <w:r>
              <w:rPr>
                <w:rFonts w:ascii="宋体" w:hAnsi="宋体" w:cs="宋体" w:eastAsia="宋体" w:hint="default"/>
                <w:spacing w:val="-86"/>
                <w:sz w:val="18"/>
                <w:szCs w:val="18"/>
              </w:rPr>
              <w:t> </w:t>
            </w:r>
            <w:r>
              <w:rPr>
                <w:rFonts w:ascii="宋体" w:hAnsi="宋体" w:cs="宋体" w:eastAsia="宋体" w:hint="default"/>
                <w:spacing w:val="-1"/>
                <w:sz w:val="18"/>
                <w:szCs w:val="18"/>
              </w:rPr>
              <w:t>二届董事会第十九次会议、第二届监事会第九次会议分别审议通过了《关于使用募集资金置</w:t>
            </w:r>
            <w:r>
              <w:rPr>
                <w:rFonts w:ascii="宋体" w:hAnsi="宋体" w:cs="宋体" w:eastAsia="宋体" w:hint="default"/>
                <w:sz w:val="18"/>
                <w:szCs w:val="18"/>
              </w:rPr>
              <w:t> </w:t>
            </w:r>
            <w:r>
              <w:rPr>
                <w:rFonts w:ascii="宋体" w:hAnsi="宋体" w:cs="宋体" w:eastAsia="宋体" w:hint="default"/>
                <w:spacing w:val="-8"/>
                <w:sz w:val="18"/>
                <w:szCs w:val="18"/>
              </w:rPr>
              <w:t>换预先投入募投项目自筹资金的议案》，同意公司以</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119,194,393.35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元募集资金置换前期投入</w:t>
            </w:r>
            <w:r>
              <w:rPr>
                <w:rFonts w:ascii="宋体" w:hAnsi="宋体" w:cs="宋体" w:eastAsia="宋体" w:hint="default"/>
                <w:spacing w:val="-88"/>
                <w:sz w:val="18"/>
                <w:szCs w:val="18"/>
              </w:rPr>
              <w:t> </w:t>
            </w:r>
            <w:r>
              <w:rPr>
                <w:rFonts w:ascii="宋体" w:hAnsi="宋体" w:cs="宋体" w:eastAsia="宋体" w:hint="default"/>
                <w:spacing w:val="-1"/>
                <w:sz w:val="18"/>
                <w:szCs w:val="18"/>
              </w:rPr>
              <w:t>募投项目的公司自筹资金。公司独立董事、监事会及保荐机构已对该议案发表了明确的同意</w:t>
            </w:r>
            <w:r>
              <w:rPr>
                <w:rFonts w:ascii="宋体" w:hAnsi="宋体" w:cs="宋体" w:eastAsia="宋体" w:hint="default"/>
                <w:sz w:val="18"/>
                <w:szCs w:val="18"/>
              </w:rPr>
              <w:t> 意见，公司已于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日完成募集资金置换事宜。</w:t>
            </w:r>
          </w:p>
        </w:tc>
      </w:tr>
      <w:tr>
        <w:trPr>
          <w:trHeight w:val="401"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5"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86"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8"/>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日，公司首次公开发行股票募集资金投资项目已完成建设，达到预定可 </w:t>
            </w:r>
            <w:r>
              <w:rPr>
                <w:rFonts w:ascii="宋体" w:hAnsi="宋体" w:cs="宋体" w:eastAsia="宋体" w:hint="default"/>
                <w:spacing w:val="-2"/>
                <w:sz w:val="18"/>
                <w:szCs w:val="18"/>
              </w:rPr>
              <w:t>使用状态。公司在项目实施过程中，严格按照募集资金管理的有关规定，从项目的实际情况</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出发，本着合理、有效、节约的原则谨慎使用募集资金，严格控制成本支出，有效地控制了</w:t>
            </w:r>
          </w:p>
        </w:tc>
      </w:tr>
    </w:tbl>
    <w:p>
      <w:pPr>
        <w:spacing w:after="0" w:line="309"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4"/>
        <w:gridCol w:w="722"/>
        <w:gridCol w:w="7216"/>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成本，合理地降低了项目实施费用，形成募集资金结余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6,539.19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33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日，募集资金专户中节余募集资金补充流动资金已经全部实施完毕，</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节余的募集资金合计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67,213,247.40 </w:t>
            </w:r>
            <w:r>
              <w:rPr>
                <w:rFonts w:ascii="宋体" w:hAnsi="宋体" w:cs="宋体" w:eastAsia="宋体" w:hint="default"/>
                <w:sz w:val="18"/>
                <w:szCs w:val="18"/>
              </w:rPr>
              <w:t>元（含截至</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日的利息收入）及募集资金</w:t>
            </w:r>
          </w:p>
          <w:p>
            <w:pPr>
              <w:pStyle w:val="TableParagraph"/>
              <w:spacing w:line="300"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专户后期利息收入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44,326.23 </w:t>
            </w:r>
            <w:r>
              <w:rPr>
                <w:rFonts w:ascii="宋体" w:hAnsi="宋体" w:cs="宋体" w:eastAsia="宋体" w:hint="default"/>
                <w:sz w:val="18"/>
                <w:szCs w:val="18"/>
              </w:rPr>
              <w:t>元（截至</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日，已扣除相关手续费）全部已划转 至公司普通账户，并已办理完毕募集资金专户的销户手续。</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8"/>
        <w:rPr>
          <w:rFonts w:ascii="宋体" w:hAnsi="宋体" w:cs="宋体" w:eastAsia="宋体" w:hint="default"/>
          <w:sz w:val="19"/>
          <w:szCs w:val="19"/>
        </w:rPr>
      </w:pPr>
    </w:p>
    <w:p>
      <w:pPr>
        <w:pStyle w:val="Heading4"/>
        <w:spacing w:line="240" w:lineRule="auto"/>
        <w:ind w:right="1115"/>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5"/>
        <w:spacing w:line="240" w:lineRule="auto"/>
        <w:ind w:right="1115"/>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115"/>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9"/>
        <w:jc w:val="left"/>
      </w:pPr>
      <w:r>
        <w:rPr/>
        <w:t>主要子公司及对公司净利润影响达</w:t>
      </w:r>
      <w:r>
        <w:rPr>
          <w:spacing w:val="-43"/>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pict>
          <v:group style="position:absolute;margin-left:109.699997pt;margin-top:37.881714pt;width:59.3pt;height:113.2pt;mso-position-horizontal-relative:page;mso-position-vertical-relative:paragraph;z-index:-894328" coordorigin="2194,758" coordsize="1186,2264">
            <v:group style="position:absolute;left:2194;top:758;width:1186;height:2264" coordorigin="2194,758" coordsize="1186,2264">
              <v:shape style="position:absolute;left:2194;top:758;width:1186;height:2264" coordorigin="2194,758" coordsize="1186,2264" path="m2194,3021l3380,3021,3380,758,2194,758,2194,3021xe" filled="true" fillcolor="#ffffff" stroked="false">
                <v:path arrowok="t"/>
                <v:fill type="solid"/>
              </v:shape>
            </v:group>
            <v:group style="position:absolute;left:2216;top:1693;width:1140;height:392" coordorigin="2216,1693" coordsize="1140,392">
              <v:shape style="position:absolute;left:2216;top:1693;width:1140;height:392" coordorigin="2216,1693" coordsize="1140,392" path="m2216,2085l3356,2085,3356,1693,2216,1693,2216,2085xe" filled="true" fillcolor="#ffffff" stroked="false">
                <v:path arrowok="t"/>
                <v:fill type="solid"/>
              </v:shape>
            </v:group>
            <w10:wrap type="none"/>
          </v:group>
        </w:pict>
      </w:r>
      <w:r>
        <w:rPr/>
        <w:t>单位：元</w:t>
      </w:r>
    </w:p>
    <w:p>
      <w:pPr>
        <w:spacing w:after="0" w:line="240" w:lineRule="auto"/>
        <w:jc w:val="left"/>
        <w:sectPr>
          <w:type w:val="continuous"/>
          <w:pgSz w:w="11910" w:h="16840"/>
          <w:pgMar w:top="1060" w:bottom="70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9"/>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27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深圳市今天 国际软件技 术有限公司</w:t>
            </w:r>
          </w:p>
          <w:p>
            <w:pPr>
              <w:pStyle w:val="TableParagraph"/>
              <w:spacing w:line="319" w:lineRule="auto" w:before="19"/>
              <w:ind w:left="24" w:right="19"/>
              <w:jc w:val="left"/>
              <w:rPr>
                <w:rFonts w:ascii="宋体" w:hAnsi="宋体" w:cs="宋体" w:eastAsia="宋体" w:hint="default"/>
                <w:sz w:val="18"/>
                <w:szCs w:val="18"/>
              </w:rPr>
            </w:pPr>
            <w:r>
              <w:rPr>
                <w:rFonts w:ascii="宋体" w:hAnsi="宋体" w:cs="宋体" w:eastAsia="宋体" w:hint="default"/>
                <w:sz w:val="18"/>
                <w:szCs w:val="18"/>
              </w:rPr>
              <w:t>（原公司名 </w:t>
            </w:r>
            <w:r>
              <w:rPr>
                <w:rFonts w:ascii="宋体" w:hAnsi="宋体" w:cs="宋体" w:eastAsia="宋体" w:hint="default"/>
                <w:spacing w:val="-14"/>
                <w:sz w:val="18"/>
                <w:szCs w:val="18"/>
              </w:rPr>
              <w:t>称：深圳市同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创智软件技 术有限公司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软件研发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sz w:val="17"/>
              </w:rPr>
              <w:t>50,000,000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66,731,521.52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1" w:right="0"/>
              <w:jc w:val="center"/>
              <w:rPr>
                <w:rFonts w:ascii="Times New Roman" w:hAnsi="Times New Roman" w:cs="Times New Roman" w:eastAsia="Times New Roman" w:hint="default"/>
                <w:sz w:val="17"/>
                <w:szCs w:val="17"/>
              </w:rPr>
            </w:pPr>
            <w:r>
              <w:rPr>
                <w:rFonts w:ascii="Times New Roman"/>
                <w:sz w:val="17"/>
              </w:rPr>
              <w:t>55,894,299.37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4" w:right="0"/>
              <w:jc w:val="center"/>
              <w:rPr>
                <w:rFonts w:ascii="Times New Roman" w:hAnsi="Times New Roman" w:cs="Times New Roman" w:eastAsia="Times New Roman" w:hint="default"/>
                <w:sz w:val="17"/>
                <w:szCs w:val="17"/>
              </w:rPr>
            </w:pPr>
            <w:r>
              <w:rPr>
                <w:rFonts w:ascii="Times New Roman"/>
                <w:sz w:val="17"/>
              </w:rPr>
              <w:t>35,658,505.20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19" w:right="0"/>
              <w:jc w:val="left"/>
              <w:rPr>
                <w:rFonts w:ascii="Times New Roman" w:hAnsi="Times New Roman" w:cs="Times New Roman" w:eastAsia="Times New Roman" w:hint="default"/>
                <w:sz w:val="17"/>
                <w:szCs w:val="17"/>
              </w:rPr>
            </w:pPr>
            <w:r>
              <w:rPr>
                <w:rFonts w:ascii="Times New Roman"/>
                <w:sz w:val="17"/>
              </w:rPr>
              <w:t>6,803,272.26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7"/>
                <w:szCs w:val="17"/>
              </w:rPr>
            </w:pPr>
            <w:r>
              <w:rPr>
                <w:rFonts w:ascii="Times New Roman"/>
                <w:spacing w:val="-1"/>
                <w:sz w:val="17"/>
              </w:rPr>
              <w:t>6,843,685.44</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今天国际物 流科技有限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贸易、物流 技术咨询</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429" w:lineRule="auto"/>
              <w:ind w:left="23" w:right="242"/>
              <w:jc w:val="left"/>
              <w:rPr>
                <w:rFonts w:ascii="Times New Roman" w:hAnsi="Times New Roman" w:cs="Times New Roman" w:eastAsia="Times New Roman" w:hint="default"/>
                <w:sz w:val="17"/>
                <w:szCs w:val="17"/>
              </w:rPr>
            </w:pPr>
            <w:r>
              <w:rPr>
                <w:rFonts w:ascii="Times New Roman"/>
                <w:sz w:val="17"/>
              </w:rPr>
              <w:t>HKD</w:t>
            </w:r>
            <w:r>
              <w:rPr>
                <w:rFonts w:ascii="Times New Roman"/>
                <w:spacing w:val="-1"/>
                <w:w w:val="100"/>
                <w:sz w:val="17"/>
              </w:rPr>
              <w:t> </w:t>
            </w:r>
            <w:r>
              <w:rPr>
                <w:rFonts w:ascii="Times New Roman"/>
                <w:sz w:val="17"/>
              </w:rPr>
              <w:t>10,000,000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8,943,727.50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6" w:right="0"/>
              <w:jc w:val="center"/>
              <w:rPr>
                <w:rFonts w:ascii="Times New Roman" w:hAnsi="Times New Roman" w:cs="Times New Roman" w:eastAsia="Times New Roman" w:hint="default"/>
                <w:sz w:val="17"/>
                <w:szCs w:val="17"/>
              </w:rPr>
            </w:pPr>
            <w:r>
              <w:rPr>
                <w:rFonts w:ascii="Times New Roman"/>
                <w:sz w:val="17"/>
              </w:rPr>
              <w:t>8,943,727.50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-93,627.68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7"/>
                <w:szCs w:val="17"/>
              </w:rPr>
            </w:pPr>
            <w:r>
              <w:rPr>
                <w:rFonts w:ascii="Times New Roman"/>
                <w:spacing w:val="-1"/>
                <w:sz w:val="17"/>
              </w:rPr>
              <w:t>-93,627.68</w:t>
            </w:r>
          </w:p>
        </w:tc>
      </w:tr>
      <w:tr>
        <w:trPr>
          <w:trHeight w:val="40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18"/>
              <w:jc w:val="right"/>
              <w:rPr>
                <w:rFonts w:ascii="宋体" w:hAnsi="宋体" w:cs="宋体" w:eastAsia="宋体" w:hint="default"/>
                <w:sz w:val="18"/>
                <w:szCs w:val="18"/>
              </w:rPr>
            </w:pPr>
            <w:r>
              <w:rPr>
                <w:rFonts w:ascii="宋体" w:hAnsi="宋体" w:cs="宋体" w:eastAsia="宋体" w:hint="default"/>
                <w:sz w:val="18"/>
                <w:szCs w:val="18"/>
              </w:rPr>
              <w:t>深圳市今天</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机器人研</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3" w:right="0"/>
              <w:jc w:val="left"/>
              <w:rPr>
                <w:rFonts w:ascii="Times New Roman" w:hAnsi="Times New Roman" w:cs="Times New Roman" w:eastAsia="Times New Roman" w:hint="default"/>
                <w:sz w:val="17"/>
                <w:szCs w:val="17"/>
              </w:rPr>
            </w:pPr>
            <w:r>
              <w:rPr>
                <w:rFonts w:ascii="Times New Roman"/>
                <w:sz w:val="17"/>
              </w:rPr>
              <w:t>50,000,000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7"/>
                <w:szCs w:val="17"/>
              </w:rPr>
            </w:pPr>
            <w:r>
              <w:rPr>
                <w:rFonts w:ascii="Times New Roman"/>
                <w:spacing w:val="-1"/>
                <w:sz w:val="17"/>
              </w:rPr>
              <w:t>68,589,984.88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 w:right="0"/>
              <w:jc w:val="center"/>
              <w:rPr>
                <w:rFonts w:ascii="Times New Roman" w:hAnsi="Times New Roman" w:cs="Times New Roman" w:eastAsia="Times New Roman" w:hint="default"/>
                <w:sz w:val="17"/>
                <w:szCs w:val="17"/>
              </w:rPr>
            </w:pPr>
            <w:r>
              <w:rPr>
                <w:rFonts w:ascii="Times New Roman"/>
                <w:sz w:val="17"/>
              </w:rPr>
              <w:t>51,766,816.14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4" w:right="0"/>
              <w:jc w:val="center"/>
              <w:rPr>
                <w:rFonts w:ascii="Times New Roman" w:hAnsi="Times New Roman" w:cs="Times New Roman" w:eastAsia="Times New Roman" w:hint="default"/>
                <w:sz w:val="17"/>
                <w:szCs w:val="17"/>
              </w:rPr>
            </w:pPr>
            <w:r>
              <w:rPr>
                <w:rFonts w:ascii="Times New Roman"/>
                <w:sz w:val="17"/>
              </w:rPr>
              <w:t>43,535,590.07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sz w:val="17"/>
              </w:rPr>
              <w:t>150,058.97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7"/>
                <w:szCs w:val="17"/>
              </w:rPr>
            </w:pPr>
            <w:r>
              <w:rPr>
                <w:rFonts w:ascii="Times New Roman"/>
                <w:spacing w:val="-1"/>
                <w:sz w:val="17"/>
              </w:rPr>
              <w:t>549,338.78</w:t>
            </w:r>
          </w:p>
        </w:tc>
      </w:tr>
    </w:tbl>
    <w:p>
      <w:pPr>
        <w:spacing w:after="0" w:line="240" w:lineRule="auto"/>
        <w:jc w:val="right"/>
        <w:rPr>
          <w:rFonts w:ascii="Times New Roman" w:hAnsi="Times New Roman" w:cs="Times New Roman" w:eastAsia="Times New Roman" w:hint="default"/>
          <w:sz w:val="17"/>
          <w:szCs w:val="17"/>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98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8"/>
              <w:jc w:val="both"/>
              <w:rPr>
                <w:rFonts w:ascii="宋体" w:hAnsi="宋体" w:cs="宋体" w:eastAsia="宋体" w:hint="default"/>
                <w:sz w:val="18"/>
                <w:szCs w:val="18"/>
              </w:rPr>
            </w:pPr>
            <w:r>
              <w:rPr>
                <w:rFonts w:ascii="宋体" w:hAnsi="宋体" w:cs="宋体" w:eastAsia="宋体" w:hint="default"/>
                <w:sz w:val="18"/>
                <w:szCs w:val="18"/>
              </w:rPr>
              <w:t>国际智能机 器人有限公 司</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发、制造</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北京今天华 迅智能技术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智能系统</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sz w:val="17"/>
              </w:rPr>
              <w:t>50,000,000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2,856,475.18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0" w:right="0"/>
              <w:jc w:val="center"/>
              <w:rPr>
                <w:rFonts w:ascii="Times New Roman" w:hAnsi="Times New Roman" w:cs="Times New Roman" w:eastAsia="Times New Roman" w:hint="default"/>
                <w:sz w:val="17"/>
                <w:szCs w:val="17"/>
              </w:rPr>
            </w:pPr>
            <w:r>
              <w:rPr>
                <w:rFonts w:ascii="Times New Roman"/>
                <w:sz w:val="17"/>
              </w:rPr>
              <w:t>-3,025,999.20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103,448.28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4" w:right="0"/>
              <w:jc w:val="left"/>
              <w:rPr>
                <w:rFonts w:ascii="Times New Roman" w:hAnsi="Times New Roman" w:cs="Times New Roman" w:eastAsia="Times New Roman" w:hint="default"/>
                <w:sz w:val="17"/>
                <w:szCs w:val="17"/>
              </w:rPr>
            </w:pPr>
            <w:r>
              <w:rPr>
                <w:rFonts w:ascii="Times New Roman"/>
                <w:sz w:val="17"/>
              </w:rPr>
              <w:t>-5,047,877.86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-5,048,027.86</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上海今天华 峰智能系统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智能系统</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sz w:val="17"/>
              </w:rPr>
              <w:t>50,000,000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6,540,061.83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6" w:right="0"/>
              <w:jc w:val="center"/>
              <w:rPr>
                <w:rFonts w:ascii="Times New Roman" w:hAnsi="Times New Roman" w:cs="Times New Roman" w:eastAsia="Times New Roman" w:hint="default"/>
                <w:sz w:val="17"/>
                <w:szCs w:val="17"/>
              </w:rPr>
            </w:pPr>
            <w:r>
              <w:rPr>
                <w:rFonts w:ascii="Times New Roman"/>
                <w:sz w:val="17"/>
              </w:rPr>
              <w:t>5,817,640.56</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4" w:right="0"/>
              <w:jc w:val="left"/>
              <w:rPr>
                <w:rFonts w:ascii="Times New Roman" w:hAnsi="Times New Roman" w:cs="Times New Roman" w:eastAsia="Times New Roman" w:hint="default"/>
                <w:sz w:val="17"/>
                <w:szCs w:val="17"/>
              </w:rPr>
            </w:pPr>
            <w:r>
              <w:rPr>
                <w:rFonts w:ascii="Times New Roman"/>
                <w:sz w:val="17"/>
              </w:rPr>
              <w:t>-5,478,898.22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-4,182,359.44</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深圳市旭龙 昇电子有限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sz w:val="17"/>
              </w:rPr>
              <w:t>5,000,000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41,174,651.59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1" w:right="0"/>
              <w:jc w:val="center"/>
              <w:rPr>
                <w:rFonts w:ascii="Times New Roman" w:hAnsi="Times New Roman" w:cs="Times New Roman" w:eastAsia="Times New Roman" w:hint="default"/>
                <w:sz w:val="17"/>
                <w:szCs w:val="17"/>
              </w:rPr>
            </w:pPr>
            <w:r>
              <w:rPr>
                <w:rFonts w:ascii="Times New Roman"/>
                <w:sz w:val="17"/>
              </w:rPr>
              <w:t>23,610,222.10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47,483,390.58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 w:right="0"/>
              <w:jc w:val="left"/>
              <w:rPr>
                <w:rFonts w:ascii="Times New Roman" w:hAnsi="Times New Roman" w:cs="Times New Roman" w:eastAsia="Times New Roman" w:hint="default"/>
                <w:sz w:val="17"/>
                <w:szCs w:val="17"/>
              </w:rPr>
            </w:pPr>
            <w:r>
              <w:rPr>
                <w:rFonts w:ascii="Times New Roman"/>
                <w:sz w:val="17"/>
              </w:rPr>
              <w:t>14,791,123.63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0" w:right="0"/>
              <w:jc w:val="left"/>
              <w:rPr>
                <w:rFonts w:ascii="Times New Roman" w:hAnsi="Times New Roman" w:cs="Times New Roman" w:eastAsia="Times New Roman" w:hint="default"/>
                <w:sz w:val="17"/>
                <w:szCs w:val="17"/>
              </w:rPr>
            </w:pPr>
            <w:r>
              <w:rPr>
                <w:rFonts w:ascii="Times New Roman"/>
                <w:sz w:val="17"/>
              </w:rPr>
              <w:t>12,554,541.28</w:t>
            </w:r>
          </w:p>
        </w:tc>
      </w:tr>
    </w:tbl>
    <w:p>
      <w:pPr>
        <w:pStyle w:val="BodyText"/>
        <w:spacing w:line="240" w:lineRule="auto" w:before="49"/>
        <w:ind w:right="0"/>
        <w:jc w:val="both"/>
      </w:pPr>
      <w:r>
        <w:rPr/>
        <w:t>报告期内取得和处置子公司的情况</w:t>
      </w:r>
    </w:p>
    <w:p>
      <w:pPr>
        <w:pStyle w:val="BodyText"/>
        <w:spacing w:line="338" w:lineRule="auto" w:before="117"/>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spacing w:line="240" w:lineRule="auto" w:before="8"/>
        <w:rPr>
          <w:rFonts w:ascii="宋体" w:hAnsi="宋体" w:cs="宋体" w:eastAsia="宋体" w:hint="default"/>
          <w:sz w:val="19"/>
          <w:szCs w:val="19"/>
        </w:rPr>
      </w:pPr>
    </w:p>
    <w:p>
      <w:pPr>
        <w:pStyle w:val="Heading4"/>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0"/>
        <w:jc w:val="both"/>
        <w:rPr>
          <w:b w:val="0"/>
          <w:bCs w:val="0"/>
        </w:rPr>
      </w:pPr>
      <w:r>
        <w:rPr/>
        <w:t>九、公司未来发展的展望</w:t>
      </w:r>
      <w:r>
        <w:rPr>
          <w:b w:val="0"/>
          <w:bCs w:val="0"/>
        </w:rPr>
      </w:r>
    </w:p>
    <w:p>
      <w:pPr>
        <w:spacing w:line="240" w:lineRule="auto" w:before="7"/>
        <w:rPr>
          <w:rFonts w:ascii="宋体" w:hAnsi="宋体" w:cs="宋体" w:eastAsia="宋体" w:hint="default"/>
          <w:b/>
          <w:bCs/>
          <w:sz w:val="32"/>
          <w:szCs w:val="32"/>
        </w:rPr>
      </w:pPr>
    </w:p>
    <w:p>
      <w:pPr>
        <w:pStyle w:val="Heading6"/>
        <w:spacing w:line="240" w:lineRule="auto"/>
        <w:ind w:left="513" w:right="1115"/>
        <w:jc w:val="left"/>
        <w:rPr>
          <w:b w:val="0"/>
          <w:bCs w:val="0"/>
        </w:rPr>
      </w:pPr>
      <w:r>
        <w:rPr>
          <w:rFonts w:ascii="宋体" w:hAnsi="宋体" w:cs="宋体" w:eastAsia="宋体" w:hint="default"/>
        </w:rPr>
        <w:t>1</w:t>
      </w:r>
      <w:r>
        <w:rPr/>
        <w:t>、行业发展趋势和前景</w:t>
      </w:r>
      <w:r>
        <w:rPr>
          <w:b w:val="0"/>
          <w:bCs w:val="0"/>
        </w:rPr>
      </w:r>
    </w:p>
    <w:p>
      <w:pPr>
        <w:spacing w:line="240" w:lineRule="auto" w:before="10"/>
        <w:rPr>
          <w:rFonts w:ascii="宋体" w:hAnsi="宋体" w:cs="宋体" w:eastAsia="宋体" w:hint="default"/>
          <w:b/>
          <w:bCs/>
          <w:sz w:val="17"/>
          <w:szCs w:val="17"/>
        </w:rPr>
      </w:pPr>
    </w:p>
    <w:p>
      <w:pPr>
        <w:pStyle w:val="BodyText"/>
        <w:spacing w:line="477" w:lineRule="auto"/>
        <w:ind w:right="1130" w:firstLine="360"/>
        <w:jc w:val="both"/>
      </w:pPr>
      <w:r>
        <w:rPr/>
        <w:t>（</w:t>
      </w:r>
      <w:r>
        <w:rPr>
          <w:rFonts w:ascii="宋体" w:hAnsi="宋体" w:cs="宋体" w:eastAsia="宋体" w:hint="default"/>
        </w:rPr>
        <w:t>1</w:t>
      </w:r>
      <w:r>
        <w:rPr/>
        <w:t>）良好的政策支持激发智慧物流系统和智能制造系统建设高潮。国务院</w:t>
      </w:r>
      <w:r>
        <w:rPr>
          <w:rFonts w:ascii="宋体" w:hAnsi="宋体" w:cs="宋体" w:eastAsia="宋体" w:hint="default"/>
        </w:rPr>
        <w:t>2014</w:t>
      </w:r>
      <w:r>
        <w:rPr/>
        <w:t>年发布物流业发展中长期规划（</w:t>
      </w:r>
      <w:r>
        <w:rPr>
          <w:rFonts w:ascii="宋体" w:hAnsi="宋体" w:cs="宋体" w:eastAsia="宋体" w:hint="default"/>
        </w:rPr>
        <w:t>2014</w:t>
      </w:r>
      <w:r>
        <w:rPr/>
        <w:t>－ </w:t>
      </w:r>
      <w:r>
        <w:rPr>
          <w:rFonts w:ascii="宋体" w:hAnsi="宋体" w:cs="宋体" w:eastAsia="宋体" w:hint="default"/>
          <w:spacing w:val="-2"/>
        </w:rPr>
        <w:t>2020</w:t>
      </w:r>
      <w:r>
        <w:rPr>
          <w:spacing w:val="-2"/>
        </w:rPr>
        <w:t>年），旨在加强物流核心技术和装备研发，推动关键技术装备产业化，鼓励物流企业采用先进适用技术和装备。加快食</w:t>
      </w:r>
      <w:r>
        <w:rPr>
          <w:spacing w:val="-65"/>
        </w:rPr>
        <w:t> </w:t>
      </w:r>
      <w:r>
        <w:rPr>
          <w:spacing w:val="-65"/>
        </w:rPr>
      </w:r>
      <w:r>
        <w:rPr>
          <w:spacing w:val="-2"/>
        </w:rPr>
        <w:t>品冷链、医药、烟草、机械、汽车、干散货、危险化学品等专业物流装备的研发，提升物流装备的专业化水平。为贯彻落实</w:t>
      </w:r>
    </w:p>
    <w:p>
      <w:pPr>
        <w:pStyle w:val="BodyText"/>
        <w:spacing w:line="477" w:lineRule="auto" w:before="54"/>
        <w:ind w:right="1130"/>
        <w:jc w:val="both"/>
      </w:pPr>
      <w:r>
        <w:rPr/>
        <w:t>《中国制造</w:t>
      </w:r>
      <w:r>
        <w:rPr>
          <w:rFonts w:ascii="宋体" w:hAnsi="宋体" w:cs="宋体" w:eastAsia="宋体" w:hint="default"/>
        </w:rPr>
        <w:t>2025</w:t>
      </w:r>
      <w:r>
        <w:rPr/>
        <w:t>》，</w:t>
      </w:r>
      <w:r>
        <w:rPr>
          <w:rFonts w:ascii="宋体" w:hAnsi="宋体" w:cs="宋体" w:eastAsia="宋体" w:hint="default"/>
        </w:rPr>
        <w:t>2016</w:t>
      </w:r>
      <w:r>
        <w:rPr/>
        <w:t>年中国先后发布《机器人产业发展规划（</w:t>
      </w:r>
      <w:r>
        <w:rPr>
          <w:rFonts w:ascii="宋体" w:hAnsi="宋体" w:cs="宋体" w:eastAsia="宋体" w:hint="default"/>
        </w:rPr>
        <w:t>2016</w:t>
      </w:r>
      <w:r>
        <w:rPr/>
        <w:t>－</w:t>
      </w:r>
      <w:r>
        <w:rPr>
          <w:rFonts w:ascii="宋体" w:hAnsi="宋体" w:cs="宋体" w:eastAsia="宋体" w:hint="default"/>
        </w:rPr>
        <w:t>2020</w:t>
      </w:r>
      <w:r>
        <w:rPr/>
        <w:t>年）》和《智能制造发展规划</w:t>
      </w:r>
      <w:r>
        <w:rPr>
          <w:spacing w:val="-7"/>
        </w:rPr>
        <w:t> </w:t>
      </w:r>
      <w:r>
        <w:rPr/>
        <w:t>（</w:t>
      </w:r>
      <w:r>
        <w:rPr>
          <w:rFonts w:ascii="宋体" w:hAnsi="宋体" w:cs="宋体" w:eastAsia="宋体" w:hint="default"/>
        </w:rPr>
        <w:t>2016</w:t>
      </w:r>
      <w:r>
        <w:rPr/>
        <w:t>－</w:t>
      </w:r>
      <w:r>
        <w:rPr>
          <w:rFonts w:ascii="宋体" w:hAnsi="宋体" w:cs="宋体" w:eastAsia="宋体" w:hint="default"/>
        </w:rPr>
        <w:t>2020 </w:t>
      </w:r>
      <w:r>
        <w:rPr>
          <w:spacing w:val="-5"/>
        </w:rPr>
        <w:t>年）》，旨在通过大力发展机器人与智能制造，打造中国制造业竞争新优势，激发机器人与智能制造行业水平不断提升。</w:t>
      </w:r>
      <w:r>
        <w:rPr>
          <w:rFonts w:ascii="宋体" w:hAnsi="宋体" w:cs="宋体" w:eastAsia="宋体" w:hint="default"/>
          <w:spacing w:val="-5"/>
        </w:rPr>
        <w:t>2017</w:t>
      </w:r>
      <w:r>
        <w:rPr>
          <w:rFonts w:ascii="宋体" w:hAnsi="宋体" w:cs="宋体" w:eastAsia="宋体" w:hint="default"/>
          <w:spacing w:val="-70"/>
        </w:rPr>
        <w:t> </w:t>
      </w:r>
      <w:r>
        <w:rPr>
          <w:rFonts w:ascii="宋体" w:hAnsi="宋体" w:cs="宋体" w:eastAsia="宋体" w:hint="default"/>
          <w:spacing w:val="-70"/>
        </w:rPr>
      </w:r>
      <w:r>
        <w:rPr>
          <w:spacing w:val="-2"/>
        </w:rPr>
        <w:t>年国务院发布《关于深化“互联网</w:t>
      </w:r>
      <w:r>
        <w:rPr>
          <w:rFonts w:ascii="宋体" w:hAnsi="宋体" w:cs="宋体" w:eastAsia="宋体" w:hint="default"/>
          <w:spacing w:val="-2"/>
        </w:rPr>
        <w:t>+</w:t>
      </w:r>
      <w:r>
        <w:rPr>
          <w:spacing w:val="-2"/>
        </w:rPr>
        <w:t>先进制造业”</w:t>
      </w:r>
      <w:r>
        <w:rPr>
          <w:spacing w:val="16"/>
        </w:rPr>
        <w:t> </w:t>
      </w:r>
      <w:r>
        <w:rPr>
          <w:spacing w:val="-2"/>
        </w:rPr>
        <w:t>发展工业互联网的指导意见》，旨在</w:t>
      </w:r>
      <w:r>
        <w:rPr>
          <w:color w:val="333333"/>
          <w:spacing w:val="-2"/>
        </w:rPr>
        <w:t>加快建设和发展工业互联网，推动互</w:t>
      </w:r>
      <w:r>
        <w:rPr>
          <w:color w:val="333333"/>
          <w:spacing w:val="-85"/>
        </w:rPr>
        <w:t> </w:t>
      </w:r>
      <w:r>
        <w:rPr>
          <w:color w:val="333333"/>
          <w:spacing w:val="-85"/>
        </w:rPr>
      </w:r>
      <w:r>
        <w:rPr>
          <w:color w:val="333333"/>
          <w:spacing w:val="-2"/>
        </w:rPr>
        <w:t>联网、大数据、人工智能和实体经济深度融合，发展先进制造业，支持传统产业优化升级。</w:t>
      </w:r>
      <w:r>
        <w:rPr>
          <w:rFonts w:ascii="宋体" w:hAnsi="宋体" w:cs="宋体" w:eastAsia="宋体" w:hint="default"/>
          <w:color w:val="333333"/>
          <w:spacing w:val="-2"/>
        </w:rPr>
        <w:t>2019</w:t>
      </w:r>
      <w:r>
        <w:rPr>
          <w:color w:val="333333"/>
          <w:spacing w:val="-2"/>
        </w:rPr>
        <w:t>年发改委等部委发布《关于</w:t>
      </w:r>
      <w:r>
        <w:rPr>
          <w:color w:val="333333"/>
          <w:spacing w:val="-63"/>
        </w:rPr>
        <w:t> </w:t>
      </w:r>
      <w:r>
        <w:rPr>
          <w:color w:val="333333"/>
          <w:spacing w:val="-63"/>
        </w:rPr>
      </w:r>
      <w:r>
        <w:rPr>
          <w:color w:val="333333"/>
        </w:rPr>
        <w:t>推动物流高质量发展</w:t>
      </w:r>
      <w:r>
        <w:rPr>
          <w:color w:val="333333"/>
          <w:spacing w:val="1"/>
        </w:rPr>
        <w:t> </w:t>
      </w:r>
      <w:r>
        <w:rPr>
          <w:color w:val="333333"/>
        </w:rPr>
        <w:t>促进形成强大国内市场的意见》，启动国家物流枢纽网络建设，完善国家物流公共信息平台，实施物</w:t>
      </w:r>
      <w:r>
        <w:rPr>
          <w:color w:val="333333"/>
        </w:rPr>
        <w:t> 流智能化改造行动。</w:t>
      </w:r>
      <w:r>
        <w:rPr/>
      </w:r>
    </w:p>
    <w:p>
      <w:pPr>
        <w:pStyle w:val="BodyText"/>
        <w:spacing w:line="477" w:lineRule="auto" w:before="54"/>
        <w:ind w:right="1034" w:firstLine="360"/>
        <w:jc w:val="left"/>
      </w:pPr>
      <w:r>
        <w:rPr>
          <w:spacing w:val="-2"/>
        </w:rPr>
        <w:t>（</w:t>
      </w:r>
      <w:r>
        <w:rPr>
          <w:rFonts w:ascii="宋体" w:hAnsi="宋体" w:cs="宋体" w:eastAsia="宋体" w:hint="default"/>
          <w:spacing w:val="-2"/>
        </w:rPr>
        <w:t>2</w:t>
      </w:r>
      <w:r>
        <w:rPr>
          <w:spacing w:val="-2"/>
        </w:rPr>
        <w:t>）市场需求日趋旺盛。随着人力成本增加和土地资源缺乏以及企业信息化管理需求的上升，企业日益需要更为快捷、</w:t>
      </w:r>
      <w:r>
        <w:rPr/>
        <w:t> </w:t>
      </w:r>
      <w:r>
        <w:rPr>
          <w:spacing w:val="-2"/>
        </w:rPr>
        <w:t>精准、有效的智慧物流系统和智能制造系统，智慧物流系统和智能制造系统可以节约仓库占地面积、减少人力及人员作业强</w:t>
      </w:r>
      <w:r>
        <w:rPr>
          <w:spacing w:val="-63"/>
        </w:rPr>
        <w:t> </w:t>
      </w:r>
      <w:r>
        <w:rPr>
          <w:spacing w:val="-63"/>
        </w:rPr>
      </w:r>
      <w:r>
        <w:rPr>
          <w:spacing w:val="-2"/>
        </w:rPr>
        <w:t>度、提高效率和良品率，可以与企业其他管理系统无缝对接，系统之间自动进行信息接收与传递，使企业实现信息流、物流</w:t>
      </w:r>
      <w:r>
        <w:rPr>
          <w:spacing w:val="-67"/>
        </w:rPr>
        <w:t> </w:t>
      </w:r>
      <w:r>
        <w:rPr>
          <w:spacing w:val="-67"/>
        </w:rPr>
      </w:r>
      <w:r>
        <w:rPr/>
        <w:t>和资金流一体化，提升企业信息化管理水平。智慧物流系统和智能制造系统日渐成为烟草、动力锂电、</w:t>
      </w:r>
      <w:r>
        <w:rPr>
          <w:rFonts w:ascii="宋体" w:hAnsi="宋体" w:cs="宋体" w:eastAsia="宋体" w:hint="default"/>
        </w:rPr>
        <w:t>3C</w:t>
      </w:r>
      <w:r>
        <w:rPr/>
        <w:t>、家具制造制药、</w:t>
      </w:r>
    </w:p>
    <w:p>
      <w:pPr>
        <w:spacing w:after="0" w:line="47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15"/>
        <w:jc w:val="left"/>
      </w:pPr>
      <w:r>
        <w:rPr>
          <w:spacing w:val="-2"/>
        </w:rPr>
        <w:t>商业流通等行业提高竞争力的必要手段。现代工业已经逐渐迈入智能制造和工业互联网时代，各行业大中型企业需要广泛建</w:t>
      </w:r>
      <w:r>
        <w:rPr>
          <w:spacing w:val="-63"/>
        </w:rPr>
        <w:t> </w:t>
      </w:r>
      <w:r>
        <w:rPr>
          <w:spacing w:val="-63"/>
        </w:rPr>
      </w:r>
      <w:r>
        <w:rPr/>
        <w:t>设智慧物流系统和智能制造系统。</w:t>
      </w:r>
      <w:r>
        <w:rPr>
          <w:rFonts w:ascii="宋体" w:hAnsi="宋体" w:cs="宋体" w:eastAsia="宋体" w:hint="default"/>
        </w:rPr>
        <w:t>2019</w:t>
      </w:r>
      <w:r>
        <w:rPr/>
        <w:t>年智慧物流系统和智能制造系统建设市场规模均将超过千亿以上。</w:t>
      </w:r>
    </w:p>
    <w:p>
      <w:pPr>
        <w:pStyle w:val="BodyText"/>
        <w:spacing w:line="477" w:lineRule="auto" w:before="54"/>
        <w:ind w:left="513" w:right="1115"/>
        <w:jc w:val="left"/>
      </w:pPr>
      <w:r>
        <w:rPr>
          <w:rFonts w:ascii="宋体" w:hAnsi="宋体" w:cs="宋体" w:eastAsia="宋体" w:hint="default"/>
          <w:b/>
          <w:bCs/>
        </w:rPr>
        <w:t>2</w:t>
      </w:r>
      <w:r>
        <w:rPr>
          <w:rFonts w:ascii="宋体" w:hAnsi="宋体" w:cs="宋体" w:eastAsia="宋体" w:hint="default"/>
          <w:b/>
          <w:bCs/>
        </w:rPr>
        <w:t>、公司发展战略</w:t>
      </w:r>
      <w:r>
        <w:rPr>
          <w:rFonts w:ascii="宋体" w:hAnsi="宋体" w:cs="宋体" w:eastAsia="宋体" w:hint="default"/>
          <w:b/>
          <w:bCs/>
          <w:w w:val="99"/>
        </w:rPr>
        <w:t> </w:t>
      </w:r>
      <w:r>
        <w:rPr>
          <w:spacing w:val="-2"/>
        </w:rPr>
        <w:t>凭籍公司在物流系统的技术积累和技术创新，为客户打造智慧物流系统，提高客户物流效率和物流管理水平、降低物流</w:t>
      </w:r>
    </w:p>
    <w:p>
      <w:pPr>
        <w:pStyle w:val="BodyText"/>
        <w:spacing w:line="477" w:lineRule="auto" w:before="54"/>
        <w:ind w:right="1133"/>
        <w:jc w:val="both"/>
      </w:pPr>
      <w:r>
        <w:rPr>
          <w:spacing w:val="-2"/>
        </w:rPr>
        <w:t>成本。同时依托物流技术优势，研究开发工业机器人、智能生产系统，为客户打造智能制造系统。打通智慧物流系统和智能</w:t>
      </w:r>
      <w:r>
        <w:rPr>
          <w:spacing w:val="-67"/>
        </w:rPr>
        <w:t> </w:t>
      </w:r>
      <w:r>
        <w:rPr>
          <w:spacing w:val="-67"/>
        </w:rPr>
      </w:r>
      <w:r>
        <w:rPr>
          <w:spacing w:val="-2"/>
        </w:rPr>
        <w:t>制造系统，为客户构建包含智能制造系统和智慧物流系统的透明工厂和智能配送体系，成为智慧物流和智能制造技术行业的</w:t>
      </w:r>
      <w:r>
        <w:rPr>
          <w:spacing w:val="-64"/>
        </w:rPr>
        <w:t> </w:t>
      </w:r>
      <w:r>
        <w:rPr>
          <w:spacing w:val="-64"/>
        </w:rPr>
      </w:r>
      <w:r>
        <w:rPr/>
        <w:t>领军者和标准制定者。</w:t>
      </w:r>
    </w:p>
    <w:p>
      <w:pPr>
        <w:pStyle w:val="Heading6"/>
        <w:spacing w:line="240" w:lineRule="auto" w:before="54"/>
        <w:ind w:left="513" w:right="1115"/>
        <w:jc w:val="left"/>
        <w:rPr>
          <w:b w:val="0"/>
          <w:bCs w:val="0"/>
        </w:rPr>
      </w:pPr>
      <w:r>
        <w:rPr>
          <w:rFonts w:ascii="宋体" w:hAnsi="宋体" w:cs="宋体" w:eastAsia="宋体" w:hint="default"/>
        </w:rPr>
        <w:t>3</w:t>
      </w:r>
      <w:r>
        <w:rPr/>
        <w:t>、</w:t>
      </w:r>
      <w:r>
        <w:rPr>
          <w:rFonts w:ascii="宋体" w:hAnsi="宋体" w:cs="宋体" w:eastAsia="宋体" w:hint="default"/>
        </w:rPr>
        <w:t>2019</w:t>
      </w:r>
      <w:r>
        <w:rPr/>
        <w:t>年公司经营计划</w:t>
      </w:r>
      <w:r>
        <w:rPr>
          <w:b w:val="0"/>
          <w:bCs w:val="0"/>
        </w:rPr>
      </w:r>
    </w:p>
    <w:p>
      <w:pPr>
        <w:spacing w:line="240" w:lineRule="auto" w:before="10"/>
        <w:rPr>
          <w:rFonts w:ascii="宋体" w:hAnsi="宋体" w:cs="宋体" w:eastAsia="宋体" w:hint="default"/>
          <w:b/>
          <w:bCs/>
          <w:sz w:val="17"/>
          <w:szCs w:val="17"/>
        </w:rPr>
      </w:pPr>
    </w:p>
    <w:p>
      <w:pPr>
        <w:pStyle w:val="BodyText"/>
        <w:spacing w:line="240" w:lineRule="auto"/>
        <w:ind w:left="513" w:right="1115"/>
        <w:jc w:val="left"/>
      </w:pPr>
      <w:r>
        <w:rPr/>
        <w:t>（</w:t>
      </w:r>
      <w:r>
        <w:rPr>
          <w:rFonts w:ascii="宋体" w:hAnsi="宋体" w:cs="宋体" w:eastAsia="宋体" w:hint="default"/>
        </w:rPr>
        <w:t>1</w:t>
      </w:r>
      <w:r>
        <w:rPr/>
        <w:t>）继续加强在各下游应用行业的横向、纵向业务延伸。</w:t>
      </w:r>
    </w:p>
    <w:p>
      <w:pPr>
        <w:spacing w:line="240" w:lineRule="auto" w:before="11"/>
        <w:rPr>
          <w:rFonts w:ascii="宋体" w:hAnsi="宋体" w:cs="宋体" w:eastAsia="宋体" w:hint="default"/>
          <w:sz w:val="17"/>
          <w:szCs w:val="17"/>
        </w:rPr>
      </w:pPr>
    </w:p>
    <w:p>
      <w:pPr>
        <w:pStyle w:val="BodyText"/>
        <w:spacing w:line="477" w:lineRule="auto"/>
        <w:ind w:right="998" w:firstLine="360"/>
        <w:jc w:val="left"/>
      </w:pPr>
      <w:r>
        <w:rPr/>
        <w:t>烟草行业要精耕细作</w:t>
      </w:r>
      <w:r>
        <w:rPr>
          <w:rFonts w:ascii="宋体" w:hAnsi="宋体" w:cs="宋体" w:eastAsia="宋体" w:hint="default"/>
        </w:rPr>
        <w:t>:</w:t>
      </w:r>
      <w:r>
        <w:rPr/>
        <w:t>工业物流系统仍要加大力度开发</w:t>
      </w:r>
      <w:r>
        <w:rPr>
          <w:spacing w:val="2"/>
        </w:rPr>
        <w:t> </w:t>
      </w:r>
      <w:r>
        <w:rPr>
          <w:rFonts w:ascii="宋体" w:hAnsi="宋体" w:cs="宋体" w:eastAsia="宋体" w:hint="default"/>
        </w:rPr>
        <w:t>,</w:t>
      </w:r>
      <w:r>
        <w:rPr/>
        <w:t>售后服务方面要挖掘客户更多的需求，今天智能工厂云平台向 烟草行业大力拓展。新能源锂电行业要大刀阔斧：要加大对动力电池领军企业的拓展力度</w:t>
      </w:r>
      <w:r>
        <w:rPr>
          <w:rFonts w:ascii="宋体" w:hAnsi="宋体" w:cs="宋体" w:eastAsia="宋体" w:hint="default"/>
        </w:rPr>
        <w:t>,</w:t>
      </w:r>
      <w:r>
        <w:rPr/>
        <w:t>要取得整线规划和集成技术的突</w:t>
      </w:r>
      <w:r>
        <w:rPr>
          <w:spacing w:val="-83"/>
        </w:rPr>
        <w:t> </w:t>
      </w:r>
      <w:r>
        <w:rPr>
          <w:spacing w:val="-83"/>
        </w:rPr>
      </w:r>
      <w:r>
        <w:rPr>
          <w:spacing w:val="-2"/>
        </w:rPr>
        <w:t>破，打造有更竞争力的整线集成实力。新拓展的大型商超、石化、医药行业，要精心打造标杆示范项目，完成行业解决方案</w:t>
      </w:r>
      <w:r>
        <w:rPr>
          <w:spacing w:val="-68"/>
        </w:rPr>
        <w:t> </w:t>
      </w:r>
      <w:r>
        <w:rPr>
          <w:spacing w:val="-68"/>
        </w:rPr>
      </w:r>
      <w:r>
        <w:rPr>
          <w:spacing w:val="-4"/>
        </w:rPr>
        <w:t>的标准化建设并推广普及。除此之外，要聚焦三至四个新行业和智能制造领域的业务拓展，例如半导体、汽车制造、</w:t>
      </w:r>
      <w:r>
        <w:rPr>
          <w:rFonts w:ascii="宋体" w:hAnsi="宋体" w:cs="宋体" w:eastAsia="宋体" w:hint="default"/>
          <w:spacing w:val="-4"/>
        </w:rPr>
        <w:t>3C</w:t>
      </w:r>
      <w:r>
        <w:rPr>
          <w:spacing w:val="-4"/>
        </w:rPr>
        <w:t>制造、</w:t>
      </w:r>
      <w:r>
        <w:rPr>
          <w:spacing w:val="-38"/>
        </w:rPr>
        <w:t> </w:t>
      </w:r>
      <w:r>
        <w:rPr>
          <w:spacing w:val="-38"/>
        </w:rPr>
      </w:r>
      <w:r>
        <w:rPr/>
        <w:t>军工、家居等行业。</w:t>
      </w:r>
    </w:p>
    <w:p>
      <w:pPr>
        <w:pStyle w:val="BodyText"/>
        <w:spacing w:line="477" w:lineRule="auto" w:before="54"/>
        <w:ind w:left="513" w:right="1115"/>
        <w:jc w:val="left"/>
      </w:pPr>
      <w:r>
        <w:rPr/>
        <w:t>（</w:t>
      </w:r>
      <w:r>
        <w:rPr>
          <w:rFonts w:ascii="宋体" w:hAnsi="宋体" w:cs="宋体" w:eastAsia="宋体" w:hint="default"/>
        </w:rPr>
        <w:t>2</w:t>
      </w:r>
      <w:r>
        <w:rPr/>
        <w:t>）继续加大技术研发投入，提高技术水平。 </w:t>
      </w:r>
      <w:r>
        <w:rPr>
          <w:spacing w:val="-2"/>
        </w:rPr>
        <w:t>依托智能制造研究院和博士后创新实践基地，吸引更多的优秀人才，结合公司的战略和市场的需求系统地进行烟草、新</w:t>
      </w:r>
    </w:p>
    <w:p>
      <w:pPr>
        <w:pStyle w:val="BodyText"/>
        <w:spacing w:line="477" w:lineRule="auto" w:before="54"/>
        <w:ind w:right="1034"/>
        <w:jc w:val="left"/>
      </w:pPr>
      <w:r>
        <w:rPr>
          <w:spacing w:val="-2"/>
        </w:rPr>
        <w:t>能源、汽车、石化、医药等行业的智能制造整体解决方案的研究。更加深入地研究和应用智慧物流技术，结合智慧物流和智</w:t>
      </w:r>
      <w:r>
        <w:rPr>
          <w:spacing w:val="-65"/>
        </w:rPr>
        <w:t> </w:t>
      </w:r>
      <w:r>
        <w:rPr>
          <w:spacing w:val="-65"/>
        </w:rPr>
      </w:r>
      <w:r>
        <w:rPr>
          <w:spacing w:val="-2"/>
        </w:rPr>
        <w:t>能制造技术，打造智能决策支持系统，帮助生产企业实现智能制造和柔性生产。同时，对智能决策系统所需要的核心信息技</w:t>
      </w:r>
      <w:r>
        <w:rPr>
          <w:spacing w:val="-64"/>
        </w:rPr>
        <w:t> </w:t>
      </w:r>
      <w:r>
        <w:rPr>
          <w:spacing w:val="-64"/>
        </w:rPr>
      </w:r>
      <w:r>
        <w:rPr/>
        <w:t>术和智能设备进行专项研究，具体包括：</w:t>
      </w:r>
      <w:r>
        <w:rPr>
          <w:rFonts w:ascii="宋体" w:hAnsi="宋体" w:cs="宋体" w:eastAsia="宋体" w:hint="default"/>
        </w:rPr>
        <w:t>5G</w:t>
      </w:r>
      <w:r>
        <w:rPr/>
        <w:t>技术应用、堆垛机系统、区块链技术应用、今天智能工厂云平台产品研发项目、 </w:t>
      </w:r>
      <w:r>
        <w:rPr>
          <w:rFonts w:ascii="宋体" w:hAnsi="宋体" w:cs="宋体" w:eastAsia="宋体" w:hint="default"/>
          <w:spacing w:val="-2"/>
        </w:rPr>
        <w:t>WisdomX</w:t>
      </w:r>
      <w:r>
        <w:rPr>
          <w:spacing w:val="-2"/>
        </w:rPr>
        <w:t>技术平台、不同负载及取货高度的叉式激光导引</w:t>
      </w:r>
      <w:r>
        <w:rPr>
          <w:rFonts w:ascii="宋体" w:hAnsi="宋体" w:cs="宋体" w:eastAsia="宋体" w:hint="default"/>
          <w:spacing w:val="-2"/>
        </w:rPr>
        <w:t>AGV</w:t>
      </w:r>
      <w:r>
        <w:rPr>
          <w:spacing w:val="-2"/>
        </w:rPr>
        <w:t>及牵引式自然导引</w:t>
      </w:r>
      <w:r>
        <w:rPr>
          <w:rFonts w:ascii="宋体" w:hAnsi="宋体" w:cs="宋体" w:eastAsia="宋体" w:hint="default"/>
          <w:spacing w:val="-2"/>
        </w:rPr>
        <w:t>AGV</w:t>
      </w:r>
      <w:r>
        <w:rPr>
          <w:spacing w:val="-2"/>
        </w:rPr>
        <w:t>、链式双舵轮万向</w:t>
      </w:r>
      <w:r>
        <w:rPr>
          <w:rFonts w:ascii="宋体" w:hAnsi="宋体" w:cs="宋体" w:eastAsia="宋体" w:hint="default"/>
          <w:spacing w:val="-2"/>
        </w:rPr>
        <w:t>AGV</w:t>
      </w:r>
      <w:r>
        <w:rPr>
          <w:spacing w:val="-2"/>
        </w:rPr>
        <w:t>研发、机器人柔性夹</w:t>
      </w:r>
      <w:r>
        <w:rPr>
          <w:spacing w:val="-54"/>
        </w:rPr>
        <w:t> </w:t>
      </w:r>
      <w:r>
        <w:rPr>
          <w:spacing w:val="-54"/>
        </w:rPr>
      </w:r>
      <w:r>
        <w:rPr/>
        <w:t>具、人工智能与机器学习、数据分析工具开发及应用、汽车、石化、医院医药等行业物流系统设计应用的研发。</w:t>
      </w:r>
    </w:p>
    <w:p>
      <w:pPr>
        <w:pStyle w:val="BodyText"/>
        <w:spacing w:line="477" w:lineRule="auto" w:before="54"/>
        <w:ind w:right="1128" w:firstLine="360"/>
        <w:jc w:val="both"/>
      </w:pPr>
      <w:r>
        <w:rPr>
          <w:spacing w:val="-2"/>
        </w:rPr>
        <w:t>（</w:t>
      </w:r>
      <w:r>
        <w:rPr>
          <w:rFonts w:ascii="宋体" w:hAnsi="宋体" w:cs="宋体" w:eastAsia="宋体" w:hint="default"/>
          <w:spacing w:val="-2"/>
        </w:rPr>
        <w:t>3</w:t>
      </w:r>
      <w:r>
        <w:rPr>
          <w:spacing w:val="-2"/>
        </w:rPr>
        <w:t>）加强管理，提高公司运营效率。完善参股公司和控股子公司的系统性、制度化管理；完善公司</w:t>
      </w:r>
      <w:r>
        <w:rPr>
          <w:rFonts w:ascii="宋体" w:hAnsi="宋体" w:cs="宋体" w:eastAsia="宋体" w:hint="default"/>
          <w:spacing w:val="-2"/>
        </w:rPr>
        <w:t>ERP</w:t>
      </w:r>
      <w:r>
        <w:rPr>
          <w:spacing w:val="-2"/>
        </w:rPr>
        <w:t>管理系统；实现</w:t>
      </w:r>
      <w:r>
        <w:rPr/>
        <w:t> </w:t>
      </w:r>
      <w:r>
        <w:rPr>
          <w:spacing w:val="-2"/>
        </w:rPr>
        <w:t>规划集成、电控标准化；实现办公、财务软件标准化；持续推进股权激励政策，完善人才激励和约束机制；修订和完善公司</w:t>
      </w:r>
      <w:r>
        <w:rPr>
          <w:spacing w:val="-68"/>
        </w:rPr>
        <w:t> </w:t>
      </w:r>
      <w:r>
        <w:rPr>
          <w:spacing w:val="-68"/>
        </w:rPr>
      </w:r>
      <w:r>
        <w:rPr/>
        <w:t>的权限体系，优化公司的治理机制。</w:t>
      </w:r>
    </w:p>
    <w:p>
      <w:pPr>
        <w:spacing w:line="240" w:lineRule="auto" w:before="7"/>
        <w:rPr>
          <w:rFonts w:ascii="宋体" w:hAnsi="宋体" w:cs="宋体" w:eastAsia="宋体" w:hint="default"/>
          <w:sz w:val="17"/>
          <w:szCs w:val="17"/>
        </w:rPr>
      </w:pPr>
    </w:p>
    <w:p>
      <w:pPr>
        <w:pStyle w:val="Heading4"/>
        <w:spacing w:line="240" w:lineRule="auto"/>
        <w:ind w:right="1115"/>
        <w:jc w:val="left"/>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675"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92"/>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http://irm.p5w.net</w:t>
              </w:r>
            </w:hyperlink>
            <w:r>
              <w:rPr>
                <w:rFonts w:ascii="宋体" w:hAnsi="宋体" w:cs="宋体" w:eastAsia="宋体" w:hint="default"/>
                <w:spacing w:val="-1"/>
                <w:sz w:val="18"/>
                <w:szCs w:val="18"/>
              </w:rPr>
              <w:t>）投资者关系活动</w:t>
            </w:r>
            <w:r>
              <w:rPr>
                <w:rFonts w:ascii="宋体" w:hAnsi="宋体" w:cs="宋体" w:eastAsia="宋体" w:hint="default"/>
                <w:spacing w:val="-79"/>
                <w:sz w:val="18"/>
                <w:szCs w:val="18"/>
              </w:rPr>
              <w:t> </w:t>
            </w:r>
            <w:r>
              <w:rPr>
                <w:rFonts w:ascii="宋体" w:hAnsi="宋体" w:cs="宋体" w:eastAsia="宋体" w:hint="default"/>
                <w:sz w:val="18"/>
                <w:szCs w:val="18"/>
              </w:rPr>
              <w:t>记录表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2018-001</w:t>
            </w:r>
          </w:p>
        </w:tc>
      </w:tr>
      <w:tr>
        <w:trPr>
          <w:trHeight w:val="102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92"/>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http://irm.p5w.net</w:t>
              </w:r>
            </w:hyperlink>
            <w:r>
              <w:rPr>
                <w:rFonts w:ascii="宋体" w:hAnsi="宋体" w:cs="宋体" w:eastAsia="宋体" w:hint="default"/>
                <w:spacing w:val="-1"/>
                <w:sz w:val="18"/>
                <w:szCs w:val="18"/>
              </w:rPr>
              <w:t>）投资者关系活动</w:t>
            </w:r>
            <w:r>
              <w:rPr>
                <w:rFonts w:ascii="宋体" w:hAnsi="宋体" w:cs="宋体" w:eastAsia="宋体" w:hint="default"/>
                <w:spacing w:val="-79"/>
                <w:sz w:val="18"/>
                <w:szCs w:val="18"/>
              </w:rPr>
              <w:t> </w:t>
            </w:r>
            <w:r>
              <w:rPr>
                <w:rFonts w:ascii="宋体" w:hAnsi="宋体" w:cs="宋体" w:eastAsia="宋体" w:hint="default"/>
                <w:sz w:val="18"/>
                <w:szCs w:val="18"/>
              </w:rPr>
              <w:t>记录表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2018-002</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91"/>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http://irm.p5w.net</w:t>
              </w:r>
            </w:hyperlink>
            <w:r>
              <w:rPr>
                <w:rFonts w:ascii="宋体" w:hAnsi="宋体" w:cs="宋体" w:eastAsia="宋体" w:hint="default"/>
                <w:spacing w:val="-1"/>
                <w:sz w:val="18"/>
                <w:szCs w:val="18"/>
              </w:rPr>
              <w:t>）投资者关系活动</w:t>
            </w:r>
            <w:r>
              <w:rPr>
                <w:rFonts w:ascii="宋体" w:hAnsi="宋体" w:cs="宋体" w:eastAsia="宋体" w:hint="default"/>
                <w:spacing w:val="-79"/>
                <w:sz w:val="18"/>
                <w:szCs w:val="18"/>
              </w:rPr>
              <w:t> </w:t>
            </w:r>
            <w:r>
              <w:rPr>
                <w:rFonts w:ascii="宋体" w:hAnsi="宋体" w:cs="宋体" w:eastAsia="宋体" w:hint="default"/>
                <w:sz w:val="18"/>
                <w:szCs w:val="18"/>
              </w:rPr>
              <w:t>记录表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2018-003</w:t>
            </w:r>
          </w:p>
        </w:tc>
      </w:tr>
      <w:tr>
        <w:trPr>
          <w:trHeight w:val="102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92"/>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http://irm.p5w.net</w:t>
              </w:r>
            </w:hyperlink>
            <w:r>
              <w:rPr>
                <w:rFonts w:ascii="宋体" w:hAnsi="宋体" w:cs="宋体" w:eastAsia="宋体" w:hint="default"/>
                <w:spacing w:val="-1"/>
                <w:sz w:val="18"/>
                <w:szCs w:val="18"/>
              </w:rPr>
              <w:t>）投资者关系活动</w:t>
            </w:r>
            <w:r>
              <w:rPr>
                <w:rFonts w:ascii="宋体" w:hAnsi="宋体" w:cs="宋体" w:eastAsia="宋体" w:hint="default"/>
                <w:spacing w:val="-79"/>
                <w:sz w:val="18"/>
                <w:szCs w:val="18"/>
              </w:rPr>
              <w:t> </w:t>
            </w:r>
            <w:r>
              <w:rPr>
                <w:rFonts w:ascii="宋体" w:hAnsi="宋体" w:cs="宋体" w:eastAsia="宋体" w:hint="default"/>
                <w:sz w:val="18"/>
                <w:szCs w:val="18"/>
              </w:rPr>
              <w:t>记录表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2018-004</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7"/>
              <w:ind w:left="23" w:right="92"/>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http://irm.p5w.net</w:t>
              </w:r>
            </w:hyperlink>
            <w:r>
              <w:rPr>
                <w:rFonts w:ascii="宋体" w:hAnsi="宋体" w:cs="宋体" w:eastAsia="宋体" w:hint="default"/>
                <w:spacing w:val="-1"/>
                <w:sz w:val="18"/>
                <w:szCs w:val="18"/>
              </w:rPr>
              <w:t>）投资者关系活动</w:t>
            </w:r>
            <w:r>
              <w:rPr>
                <w:rFonts w:ascii="宋体" w:hAnsi="宋体" w:cs="宋体" w:eastAsia="宋体" w:hint="default"/>
                <w:spacing w:val="-79"/>
                <w:sz w:val="18"/>
                <w:szCs w:val="18"/>
              </w:rPr>
              <w:t> </w:t>
            </w:r>
            <w:r>
              <w:rPr>
                <w:rFonts w:ascii="宋体" w:hAnsi="宋体" w:cs="宋体" w:eastAsia="宋体" w:hint="default"/>
                <w:sz w:val="18"/>
                <w:szCs w:val="18"/>
              </w:rPr>
              <w:t>记录表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2018-005</w:t>
            </w:r>
          </w:p>
        </w:tc>
      </w:tr>
    </w:tbl>
    <w:p>
      <w:pPr>
        <w:spacing w:after="0" w:line="30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8.66301pt;margin-top:693.219971pt;width:316.3pt;height:19.6pt;mso-position-horizontal-relative:page;mso-position-vertical-relative:page;z-index:-894304" type="#_x0000_t202" filled="false" stroked="false">
            <v:textbox inset="0,0,0,0">
              <w:txbxContent>
                <w:p>
                  <w:pPr>
                    <w:pStyle w:val="BodyText"/>
                    <w:spacing w:line="240" w:lineRule="auto" w:before="49"/>
                    <w:ind w:left="0" w:right="0"/>
                    <w:jc w:val="left"/>
                  </w:pPr>
                  <w:r>
                    <w:rPr/>
                    <w:t>（元）</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1109"/>
        <w:jc w:val="center"/>
        <w:rPr>
          <w:b w:val="0"/>
          <w:bCs w:val="0"/>
        </w:rPr>
      </w:pPr>
      <w:bookmarkStart w:name="_TOC_250007"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1115"/>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报告期内普通股利润分配政策，特别是现金分红政策的制定、执行或调整情况</w:t>
      </w:r>
    </w:p>
    <w:p>
      <w:pPr>
        <w:pStyle w:val="BodyText"/>
        <w:spacing w:line="412" w:lineRule="auto" w:before="117"/>
        <w:ind w:left="513" w:right="1115"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公司严格按照《公司章程》相关利润分配政策和审议程序实施利润分配方案，分红标准和分红比例明确清晰，相关的决</w:t>
      </w:r>
    </w:p>
    <w:p>
      <w:pPr>
        <w:pStyle w:val="BodyText"/>
        <w:spacing w:line="477" w:lineRule="auto" w:before="103"/>
        <w:ind w:right="1034"/>
        <w:jc w:val="left"/>
      </w:pPr>
      <w:r>
        <w:rPr/>
        <w:t>策程序和机制完备。公司利润分配方案须经由董事会、监事会审议通过，提交股东大会审议，并由独立董事发表独立意见， 审议通过后在规定时间内进行实施，切实保证了全体股东的利益。报告期内，公司实施了</w:t>
      </w:r>
      <w:r>
        <w:rPr>
          <w:rFonts w:ascii="Times New Roman" w:hAnsi="Times New Roman" w:cs="Times New Roman" w:eastAsia="Times New Roman" w:hint="default"/>
        </w:rPr>
        <w:t>2017</w:t>
      </w:r>
      <w:r>
        <w:rPr/>
        <w:t>年度利润分配方案。</w:t>
      </w:r>
    </w:p>
    <w:p>
      <w:pPr>
        <w:pStyle w:val="BodyText"/>
        <w:spacing w:line="451" w:lineRule="auto" w:before="22"/>
        <w:ind w:right="1040" w:firstLine="360"/>
        <w:jc w:val="left"/>
      </w:pPr>
      <w:r>
        <w:rPr/>
        <w:pict>
          <v:shape style="position:absolute;margin-left:56.400002pt;margin-top:66.991684pt;width:479.3pt;height:172.4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spacing w:val="-2"/>
        </w:rPr>
        <w:t>2017</w:t>
      </w:r>
      <w:r>
        <w:rPr>
          <w:spacing w:val="-2"/>
        </w:rPr>
        <w:t>年年度利润分配方案为：以公司总股本</w:t>
      </w:r>
      <w:r>
        <w:rPr>
          <w:rFonts w:ascii="Times New Roman" w:hAnsi="Times New Roman" w:cs="Times New Roman" w:eastAsia="Times New Roman" w:hint="default"/>
          <w:spacing w:val="-2"/>
        </w:rPr>
        <w:t>154,029,600</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3</w:t>
      </w:r>
      <w:r>
        <w:rPr>
          <w:spacing w:val="-2"/>
        </w:rPr>
        <w:t>元（含税），</w:t>
      </w:r>
      <w:r>
        <w:rPr/>
        <w:t> 合计派发现金</w:t>
      </w:r>
      <w:r>
        <w:rPr>
          <w:rFonts w:ascii="Times New Roman" w:hAnsi="Times New Roman" w:cs="Times New Roman" w:eastAsia="Times New Roman" w:hint="default"/>
        </w:rPr>
        <w:t>46,208,880.00</w:t>
      </w:r>
      <w:r>
        <w:rPr/>
        <w:t>元（含税），不送红股；同时，以资本公积金转增股本，每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股，合计转增</w:t>
      </w:r>
      <w:r>
        <w:rPr>
          <w:rFonts w:ascii="Times New Roman" w:hAnsi="Times New Roman" w:cs="Times New Roman" w:eastAsia="Times New Roman" w:hint="default"/>
        </w:rPr>
        <w:t>123,223,680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股。详见巨潮资讯网《</w:t>
      </w:r>
      <w:r>
        <w:rPr>
          <w:rFonts w:ascii="Times New Roman" w:hAnsi="Times New Roman" w:cs="Times New Roman" w:eastAsia="Times New Roman" w:hint="default"/>
        </w:rPr>
        <w:t>2017</w:t>
      </w:r>
      <w:r>
        <w:rPr/>
        <w:t>年年度权益分派实施的公告》（公告编号：</w:t>
      </w:r>
      <w:r>
        <w:rPr>
          <w:rFonts w:ascii="Times New Roman" w:hAnsi="Times New Roman" w:cs="Times New Roman" w:eastAsia="Times New Roman" w:hint="default"/>
        </w:rPr>
        <w:t>2018-032</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44"/>
        <w:ind w:right="1115"/>
        <w:jc w:val="left"/>
      </w:pPr>
      <w:r>
        <w:rPr/>
        <w:t>公司报告期利润分配预案及资本公积金转增股本预案与公司章程和分红管理办法等的相关规定一致</w:t>
      </w:r>
    </w:p>
    <w:p>
      <w:pPr>
        <w:pStyle w:val="BodyText"/>
        <w:spacing w:line="350"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275,034,744</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16,502,084.64</w:t>
            </w:r>
          </w:p>
        </w:tc>
      </w:tr>
      <w:tr>
        <w:trPr>
          <w:trHeight w:val="402" w:hRule="exact"/>
        </w:trPr>
        <w:tc>
          <w:tcPr>
            <w:tcW w:w="371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2"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16,502,084.64</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223,354,023.50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before="44"/>
        <w:ind w:right="1138"/>
        <w:jc w:val="right"/>
      </w:pPr>
      <w:r>
        <w:rPr/>
        <w:pict>
          <v:shape style="position:absolute;margin-left:56.400002pt;margin-top:-170.908295pt;width:479.3pt;height:241.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8"/>
                    <w:gridCol w:w="5863"/>
                  </w:tblGrid>
                  <w:tr>
                    <w:trPr>
                      <w:trHeight w:val="71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900"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both"/>
                          <w:rPr>
                            <w:rFonts w:ascii="宋体" w:hAnsi="宋体" w:cs="宋体" w:eastAsia="宋体" w:hint="default"/>
                            <w:sz w:val="18"/>
                            <w:szCs w:val="18"/>
                          </w:rPr>
                        </w:pPr>
                        <w:r>
                          <w:rPr>
                            <w:rFonts w:ascii="宋体" w:hAnsi="宋体" w:cs="宋体" w:eastAsia="宋体" w:hint="default"/>
                            <w:sz w:val="18"/>
                            <w:szCs w:val="18"/>
                          </w:rPr>
                          <w:t>经立信会计师事务所（特殊普通合伙）审计，截至</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日，公司可供分配利润为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223,354,023.50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元，资本公</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积余额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221,862,833.43</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年度利润分配拟以截至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日公司股本总数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277,253,280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扣除拟回购</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24" w:right="77"/>
                          <w:jc w:val="both"/>
                          <w:rPr>
                            <w:rFonts w:ascii="宋体" w:hAnsi="宋体" w:cs="宋体" w:eastAsia="宋体" w:hint="default"/>
                            <w:sz w:val="18"/>
                            <w:szCs w:val="18"/>
                          </w:rPr>
                        </w:pPr>
                        <w:r>
                          <w:rPr>
                            <w:rFonts w:ascii="宋体" w:hAnsi="宋体" w:cs="宋体" w:eastAsia="宋体" w:hint="default"/>
                            <w:sz w:val="18"/>
                            <w:szCs w:val="18"/>
                          </w:rPr>
                          <w:t>注销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名激励对象合计持有的已授予尚未解锁的限制性股票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2,218,536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股后的总股本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275,034,744 </w:t>
                        </w:r>
                        <w:r>
                          <w:rPr>
                            <w:rFonts w:ascii="宋体" w:hAnsi="宋体" w:cs="宋体" w:eastAsia="宋体" w:hint="default"/>
                            <w:sz w:val="18"/>
                            <w:szCs w:val="18"/>
                          </w:rPr>
                          <w:t>股为基数，向全体股东 每</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股派送现金股利人民币</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pacing w:val="-21"/>
                            <w:sz w:val="18"/>
                            <w:szCs w:val="18"/>
                          </w:rPr>
                          <w:t>元（含税），</w:t>
                        </w:r>
                        <w:r>
                          <w:rPr>
                            <w:rFonts w:ascii="宋体" w:hAnsi="宋体" w:cs="宋体" w:eastAsia="宋体" w:hint="default"/>
                            <w:spacing w:val="-20"/>
                            <w:sz w:val="18"/>
                            <w:szCs w:val="18"/>
                          </w:rPr>
                          <w:t> </w:t>
                        </w:r>
                        <w:r>
                          <w:rPr>
                            <w:rFonts w:ascii="宋体" w:hAnsi="宋体" w:cs="宋体" w:eastAsia="宋体" w:hint="default"/>
                            <w:spacing w:val="-1"/>
                            <w:sz w:val="18"/>
                            <w:szCs w:val="18"/>
                          </w:rPr>
                          <w:t>合计派发现金股利</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16,502,084.64</w:t>
                        </w:r>
                        <w:r>
                          <w:rPr>
                            <w:rFonts w:ascii="Times New Roman" w:hAnsi="Times New Roman" w:cs="Times New Roman" w:eastAsia="Times New Roman" w:hint="default"/>
                            <w:spacing w:val="8"/>
                            <w:sz w:val="18"/>
                            <w:szCs w:val="18"/>
                          </w:rPr>
                          <w:t> </w:t>
                        </w:r>
                        <w:r>
                          <w:rPr>
                            <w:rFonts w:ascii="宋体" w:hAnsi="宋体" w:cs="宋体" w:eastAsia="宋体" w:hint="default"/>
                            <w:spacing w:val="-9"/>
                            <w:sz w:val="18"/>
                            <w:szCs w:val="18"/>
                          </w:rPr>
                          <w:t>元（含税），剩余未分配利润结转以后年度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本年度不转增股本，不送红股。 本预案需提交公司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年度股东大会审议批准后方可实施，若未来在权益分派实施时 发生总股本变动的情况，则以分配总额不变的原则按比例进行调整。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right="1115"/>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240" w:lineRule="auto" w:before="9"/>
        <w:rPr>
          <w:rFonts w:ascii="宋体" w:hAnsi="宋体" w:cs="宋体" w:eastAsia="宋体" w:hint="default"/>
          <w:sz w:val="19"/>
          <w:szCs w:val="19"/>
        </w:rPr>
      </w:pPr>
    </w:p>
    <w:p>
      <w:pPr>
        <w:pStyle w:val="BodyText"/>
        <w:spacing w:line="451" w:lineRule="auto"/>
        <w:ind w:right="1129" w:firstLine="360"/>
        <w:jc w:val="both"/>
      </w:pPr>
      <w:r>
        <w:rPr>
          <w:rFonts w:ascii="Times New Roman" w:hAnsi="Times New Roman" w:cs="Times New Roman" w:eastAsia="Times New Roman" w:hint="default"/>
          <w:spacing w:val="-2"/>
        </w:rPr>
        <w:t>2016</w:t>
      </w:r>
      <w:r>
        <w:rPr>
          <w:spacing w:val="-2"/>
        </w:rPr>
        <w:t>年度利润分配方案：以总股本</w:t>
      </w:r>
      <w:r>
        <w:rPr>
          <w:rFonts w:ascii="Times New Roman" w:hAnsi="Times New Roman" w:cs="Times New Roman" w:eastAsia="Times New Roman" w:hint="default"/>
          <w:spacing w:val="-2"/>
        </w:rPr>
        <w:t>84,000,000</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6</w:t>
      </w:r>
      <w:r>
        <w:rPr>
          <w:spacing w:val="-2"/>
        </w:rPr>
        <w:t>元（含税），合计派发现</w:t>
      </w:r>
      <w:r>
        <w:rPr/>
        <w:t> 金</w:t>
      </w:r>
      <w:r>
        <w:rPr>
          <w:rFonts w:ascii="Times New Roman" w:hAnsi="Times New Roman" w:cs="Times New Roman" w:eastAsia="Times New Roman" w:hint="default"/>
        </w:rPr>
        <w:t>50,400,000.00</w:t>
      </w:r>
      <w:r>
        <w:rPr/>
        <w:t>元（含税），不送红股，以资本公积转增股本，每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8 </w:t>
      </w:r>
      <w:r>
        <w:rPr/>
        <w:t>股，合计转增</w:t>
      </w:r>
      <w:r>
        <w:rPr>
          <w:spacing w:val="-46"/>
        </w:rPr>
        <w:t> </w:t>
      </w:r>
      <w:r>
        <w:rPr>
          <w:rFonts w:ascii="Times New Roman" w:hAnsi="Times New Roman" w:cs="Times New Roman" w:eastAsia="Times New Roman" w:hint="default"/>
        </w:rPr>
        <w:t>67,200,000</w:t>
      </w:r>
      <w:r>
        <w:rPr/>
        <w:t>股。该利润分配方 案已实施完毕。</w:t>
      </w:r>
    </w:p>
    <w:p>
      <w:pPr>
        <w:pStyle w:val="BodyText"/>
        <w:spacing w:line="451" w:lineRule="auto" w:before="74"/>
        <w:ind w:right="1033" w:firstLine="360"/>
        <w:jc w:val="left"/>
      </w:pPr>
      <w:r>
        <w:rPr>
          <w:rFonts w:ascii="Times New Roman" w:hAnsi="Times New Roman" w:cs="Times New Roman" w:eastAsia="Times New Roman" w:hint="default"/>
        </w:rPr>
        <w:t>2017</w:t>
      </w:r>
      <w:r>
        <w:rPr/>
        <w:t>年度利润分配方案：以总股本</w:t>
      </w:r>
      <w:r>
        <w:rPr>
          <w:rFonts w:ascii="Times New Roman" w:hAnsi="Times New Roman" w:cs="Times New Roman" w:eastAsia="Times New Roman" w:hint="default"/>
        </w:rPr>
        <w:t>154,029,600 </w:t>
      </w:r>
      <w:r>
        <w:rPr/>
        <w:t>股为基数，向全体股东每 </w:t>
      </w:r>
      <w:r>
        <w:rPr>
          <w:rFonts w:ascii="Times New Roman" w:hAnsi="Times New Roman" w:cs="Times New Roman" w:eastAsia="Times New Roman" w:hint="default"/>
        </w:rPr>
        <w:t>10 </w:t>
      </w:r>
      <w:r>
        <w:rPr/>
        <w:t>股派送现金股利人民币 </w:t>
      </w:r>
      <w:r>
        <w:rPr>
          <w:rFonts w:ascii="Times New Roman" w:hAnsi="Times New Roman" w:cs="Times New Roman" w:eastAsia="Times New Roman" w:hint="default"/>
        </w:rPr>
        <w:t>3 </w:t>
      </w:r>
      <w:r>
        <w:rPr>
          <w:spacing w:val="-5"/>
        </w:rPr>
        <w:t>元（含税），</w:t>
      </w:r>
      <w:r>
        <w:rPr>
          <w:spacing w:val="-10"/>
        </w:rPr>
        <w:t> </w:t>
      </w:r>
      <w:r>
        <w:rPr/>
        <w:t>合</w:t>
      </w:r>
      <w:r>
        <w:rPr/>
        <w:t> 计派发现金股利</w:t>
      </w:r>
      <w:r>
        <w:rPr>
          <w:rFonts w:ascii="Times New Roman" w:hAnsi="Times New Roman" w:cs="Times New Roman" w:eastAsia="Times New Roman" w:hint="default"/>
        </w:rPr>
        <w:t>46,208,880.00</w:t>
      </w:r>
      <w:r>
        <w:rPr/>
        <w:t>元（含税），不送红股，以资本公积转增股本，每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8 </w:t>
      </w:r>
      <w:r>
        <w:rPr/>
        <w:t>股，合计转增</w:t>
      </w:r>
      <w:r>
        <w:rPr>
          <w:spacing w:val="-44"/>
        </w:rPr>
        <w:t> </w:t>
      </w:r>
      <w:r>
        <w:rPr>
          <w:rFonts w:ascii="Times New Roman" w:hAnsi="Times New Roman" w:cs="Times New Roman" w:eastAsia="Times New Roman" w:hint="default"/>
        </w:rPr>
        <w:t>123,223,680</w:t>
      </w:r>
      <w:r>
        <w:rPr/>
        <w:t>股。 该利润分配方案已实施完毕。</w:t>
      </w:r>
    </w:p>
    <w:p>
      <w:pPr>
        <w:pStyle w:val="BodyText"/>
        <w:spacing w:line="451" w:lineRule="auto" w:before="74"/>
        <w:ind w:right="1121" w:firstLine="360"/>
        <w:jc w:val="left"/>
      </w:pPr>
      <w:r>
        <w:rPr>
          <w:rFonts w:ascii="Times New Roman" w:hAnsi="Times New Roman" w:cs="Times New Roman" w:eastAsia="Times New Roman" w:hint="default"/>
        </w:rPr>
        <w:t>2018</w:t>
      </w:r>
      <w:r>
        <w:rPr/>
        <w:t>年度利润分配预案：以截至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日公司股本总数</w:t>
      </w:r>
      <w:r>
        <w:rPr>
          <w:rFonts w:ascii="Times New Roman" w:hAnsi="Times New Roman" w:cs="Times New Roman" w:eastAsia="Times New Roman" w:hint="default"/>
        </w:rPr>
        <w:t>277,253,280</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扣除拟回购注销</w:t>
      </w:r>
      <w:r>
        <w:rPr>
          <w:rFonts w:ascii="Times New Roman" w:hAnsi="Times New Roman" w:cs="Times New Roman" w:eastAsia="Times New Roman" w:hint="default"/>
        </w:rPr>
        <w:t>88</w:t>
      </w:r>
      <w:r>
        <w:rPr/>
        <w:t>名激励对象合计持有的 </w:t>
      </w:r>
      <w:r>
        <w:rPr>
          <w:spacing w:val="-2"/>
        </w:rPr>
        <w:t>已授予尚未解锁的限制性股票</w:t>
      </w:r>
      <w:r>
        <w:rPr>
          <w:rFonts w:ascii="Times New Roman" w:hAnsi="Times New Roman" w:cs="Times New Roman" w:eastAsia="Times New Roman" w:hint="default"/>
          <w:spacing w:val="-2"/>
        </w:rPr>
        <w:t>2,218,536</w:t>
      </w:r>
      <w:r>
        <w:rPr>
          <w:spacing w:val="-2"/>
        </w:rPr>
        <w:t>股后的总股本</w:t>
      </w:r>
      <w:r>
        <w:rPr>
          <w:rFonts w:ascii="Times New Roman" w:hAnsi="Times New Roman" w:cs="Times New Roman" w:eastAsia="Times New Roman" w:hint="default"/>
          <w:spacing w:val="-2"/>
        </w:rPr>
        <w:t>275,034,744</w:t>
      </w:r>
      <w:r>
        <w:rPr>
          <w:spacing w:val="-2"/>
        </w:rPr>
        <w:t>股为基数，向全体股东每</w:t>
      </w:r>
      <w:r>
        <w:rPr>
          <w:rFonts w:ascii="Times New Roman" w:hAnsi="Times New Roman" w:cs="Times New Roman" w:eastAsia="Times New Roman" w:hint="default"/>
          <w:spacing w:val="-2"/>
        </w:rPr>
        <w:t>10</w:t>
      </w:r>
      <w:r>
        <w:rPr>
          <w:spacing w:val="-2"/>
        </w:rPr>
        <w:t>股派送现金股利人民币</w:t>
      </w:r>
      <w:r>
        <w:rPr>
          <w:rFonts w:ascii="Times New Roman" w:hAnsi="Times New Roman" w:cs="Times New Roman" w:eastAsia="Times New Roman" w:hint="default"/>
          <w:spacing w:val="-2"/>
        </w:rPr>
        <w:t>0.6</w:t>
      </w:r>
      <w:r>
        <w:rPr>
          <w:spacing w:val="-2"/>
        </w:rPr>
        <w:t>元（含</w:t>
      </w:r>
      <w:r>
        <w:rPr>
          <w:spacing w:val="-88"/>
        </w:rPr>
        <w:t> </w:t>
      </w:r>
      <w:r>
        <w:rPr>
          <w:spacing w:val="-88"/>
        </w:rPr>
      </w:r>
      <w:r>
        <w:rPr/>
        <w:t>税），</w:t>
      </w:r>
      <w:r>
        <w:rPr>
          <w:spacing w:val="-21"/>
        </w:rPr>
        <w:t> </w:t>
      </w:r>
      <w:r>
        <w:rPr/>
        <w:t>合计派发现金股利</w:t>
      </w:r>
      <w:r>
        <w:rPr>
          <w:rFonts w:ascii="Times New Roman" w:hAnsi="Times New Roman" w:cs="Times New Roman" w:eastAsia="Times New Roman" w:hint="default"/>
        </w:rPr>
        <w:t>16,502,084.64</w:t>
      </w:r>
      <w:r>
        <w:rPr/>
        <w:t>元（含税），剩余未分配利润结转以后年度。本年度不转增股本，不送红股。本预 案需提交公司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年度股东大会审议批准后方可实施。</w:t>
      </w:r>
    </w:p>
    <w:p>
      <w:pPr>
        <w:pStyle w:val="BodyText"/>
        <w:spacing w:line="240" w:lineRule="auto" w:before="5"/>
        <w:ind w:left="513" w:right="1115"/>
        <w:jc w:val="left"/>
      </w:pPr>
      <w:r>
        <w:rPr/>
        <w:t>公司近三年（包括本报告期）普通股现金分红情况表</w:t>
      </w:r>
    </w:p>
    <w:p>
      <w:pPr>
        <w:pStyle w:val="BodyText"/>
        <w:spacing w:line="240" w:lineRule="auto" w:before="115"/>
        <w:ind w:right="1131"/>
        <w:jc w:val="right"/>
      </w:pPr>
      <w:r>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7"/>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7"/>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16,502,084.64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18,219,848.27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16,502,084.64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90.57%</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46,208,880.00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93,204,793.30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46,208,880.00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433.481018pt;margin-top:387.289978pt;width:48.3pt;height:331.75pt;mso-position-horizontal-relative:page;mso-position-vertical-relative:page;z-index:-8942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240" w:lineRule="auto"/>
                    <w:ind w:left="0" w:right="0"/>
                    <w:jc w:val="left"/>
                  </w:pPr>
                  <w:r>
                    <w:rPr/>
                    <w:t>。</w:t>
                  </w:r>
                </w:p>
              </w:txbxContent>
            </v:textbox>
            <w10:wrap type="none"/>
          </v:shape>
        </w:pict>
      </w:r>
      <w:r>
        <w:rPr/>
        <w:pict>
          <v:group style="position:absolute;margin-left:439.75pt;margin-top:387.289978pt;width:42.05pt;height:331.75pt;mso-position-horizontal-relative:page;mso-position-vertical-relative:page;z-index:-894208" coordorigin="8795,7746" coordsize="841,6635">
            <v:group style="position:absolute;left:8795;top:7746;width:841;height:6635" coordorigin="8795,7746" coordsize="841,6635">
              <v:shape style="position:absolute;left:8795;top:7746;width:841;height:6635" coordorigin="8795,7746" coordsize="841,6635" path="m8795,14380l9635,14380,9635,7746,8795,7746,8795,14380xe" filled="true" fillcolor="#ffffff" stroked="false">
                <v:path arrowok="t"/>
                <v:fill type="solid"/>
              </v:shape>
            </v:group>
            <v:group style="position:absolute;left:8819;top:10710;width:795;height:353" coordorigin="8819,10710" coordsize="795,353">
              <v:shape style="position:absolute;left:8819;top:10710;width:795;height:353" coordorigin="8819,10710" coordsize="795,353" path="m8819,11063l9614,11063,9614,10710,8819,10710,8819,11063xe" filled="true" fillcolor="#ffffff" stroked="false">
                <v:path arrowok="t"/>
                <v:fill type="solid"/>
              </v:shape>
            </v:group>
            <v:group style="position:absolute;left:8819;top:11063;width:795;height:353" coordorigin="8819,11063" coordsize="795,353">
              <v:shape style="position:absolute;left:8819;top:11063;width:795;height:353" coordorigin="8819,11063" coordsize="795,353" path="m8819,11416l9614,11416,9614,11063,8819,11063,8819,1141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50,400,000.00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54,640,292.85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92.24%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8"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50,400,000.00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92.24%</w:t>
            </w:r>
          </w:p>
        </w:tc>
      </w:tr>
    </w:tbl>
    <w:p>
      <w:pPr>
        <w:pStyle w:val="BodyText"/>
        <w:spacing w:line="240" w:lineRule="auto" w:before="49"/>
        <w:ind w:right="1115"/>
        <w:jc w:val="left"/>
      </w:pPr>
      <w:r>
        <w:rPr/>
        <w:t>公司报告期内盈利且母公司可供普通股股东分配利润为正但未提出普通股现金红利分配预案</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115"/>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5"/>
        <w:spacing w:line="256" w:lineRule="auto"/>
        <w:ind w:right="1115"/>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59"/>
        <w:gridCol w:w="2401"/>
        <w:gridCol w:w="718"/>
        <w:gridCol w:w="2979"/>
        <w:gridCol w:w="850"/>
        <w:gridCol w:w="566"/>
        <w:gridCol w:w="494"/>
      </w:tblGrid>
      <w:tr>
        <w:trPr>
          <w:trHeight w:val="161"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24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66" w:right="79"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297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4" w:hRule="exact"/>
        </w:trPr>
        <w:tc>
          <w:tcPr>
            <w:tcW w:w="1559" w:type="dxa"/>
            <w:vMerge/>
            <w:tcBorders>
              <w:left w:val="single" w:sz="4" w:space="0" w:color="000000"/>
              <w:right w:val="single" w:sz="4" w:space="0" w:color="000000"/>
            </w:tcBorders>
            <w:shd w:val="clear" w:color="auto" w:fill="D2D2D2"/>
          </w:tcPr>
          <w:p>
            <w:pPr/>
          </w:p>
        </w:tc>
        <w:tc>
          <w:tcPr>
            <w:tcW w:w="2401" w:type="dxa"/>
            <w:vMerge/>
            <w:tcBorders>
              <w:left w:val="single" w:sz="4" w:space="0" w:color="000000"/>
              <w:right w:val="single" w:sz="4" w:space="0" w:color="000000"/>
            </w:tcBorders>
            <w:shd w:val="clear" w:color="auto" w:fill="D2D2D2"/>
          </w:tcPr>
          <w:p>
            <w:pPr/>
          </w:p>
        </w:tc>
        <w:tc>
          <w:tcPr>
            <w:tcW w:w="718"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r>
      <w:tr>
        <w:trPr>
          <w:trHeight w:val="161"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2401" w:type="dxa"/>
            <w:vMerge/>
            <w:tcBorders>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r>
      <w:tr>
        <w:trPr>
          <w:trHeight w:val="2273"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26"/>
              <w:jc w:val="left"/>
              <w:rPr>
                <w:rFonts w:ascii="宋体" w:hAnsi="宋体" w:cs="宋体" w:eastAsia="宋体" w:hint="default"/>
                <w:sz w:val="18"/>
                <w:szCs w:val="18"/>
              </w:rPr>
            </w:pPr>
            <w:r>
              <w:rPr>
                <w:rFonts w:ascii="宋体" w:hAnsi="宋体" w:cs="宋体" w:eastAsia="宋体" w:hint="default"/>
                <w:sz w:val="18"/>
                <w:szCs w:val="18"/>
              </w:rPr>
              <w:t>邵健伟、邵健锋、深圳市华锐 丰投资合伙企业（有限合伙）</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6" w:right="139"/>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自今天国际股票上市之日起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1"/>
                <w:sz w:val="18"/>
                <w:szCs w:val="18"/>
              </w:rPr>
              <w:t>内，本人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企业不转让或者委托他人管</w:t>
            </w:r>
            <w:r>
              <w:rPr>
                <w:rFonts w:ascii="宋体" w:hAnsi="宋体" w:cs="宋体" w:eastAsia="宋体" w:hint="default"/>
                <w:spacing w:val="-84"/>
                <w:sz w:val="18"/>
                <w:szCs w:val="18"/>
              </w:rPr>
              <w:t> </w:t>
            </w:r>
            <w:r>
              <w:rPr>
                <w:rFonts w:ascii="宋体" w:hAnsi="宋体" w:cs="宋体" w:eastAsia="宋体" w:hint="default"/>
                <w:sz w:val="18"/>
                <w:szCs w:val="18"/>
              </w:rPr>
              <w:t>理本人</w:t>
            </w:r>
            <w:r>
              <w:rPr>
                <w:rFonts w:ascii="Times New Roman" w:hAnsi="Times New Roman" w:cs="Times New Roman" w:eastAsia="Times New Roman" w:hint="default"/>
                <w:sz w:val="18"/>
                <w:szCs w:val="18"/>
              </w:rPr>
              <w:t>/</w:t>
            </w:r>
            <w:r>
              <w:rPr>
                <w:rFonts w:ascii="宋体" w:hAnsi="宋体" w:cs="宋体" w:eastAsia="宋体" w:hint="default"/>
                <w:sz w:val="18"/>
                <w:szCs w:val="18"/>
              </w:rPr>
              <w:t>企业直接或间接持有的今天 国际在首次公开发行前已发行的股 </w:t>
            </w:r>
            <w:r>
              <w:rPr>
                <w:rFonts w:ascii="宋体" w:hAnsi="宋体" w:cs="宋体" w:eastAsia="宋体" w:hint="default"/>
                <w:spacing w:val="-1"/>
                <w:sz w:val="18"/>
                <w:szCs w:val="18"/>
              </w:rPr>
              <w:t>份，也不由今天国际回购本人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企业直</w:t>
            </w:r>
            <w:r>
              <w:rPr>
                <w:rFonts w:ascii="宋体" w:hAnsi="宋体" w:cs="宋体" w:eastAsia="宋体" w:hint="default"/>
                <w:spacing w:val="-83"/>
                <w:sz w:val="18"/>
                <w:szCs w:val="18"/>
              </w:rPr>
              <w:t> </w:t>
            </w:r>
            <w:r>
              <w:rPr>
                <w:rFonts w:ascii="宋体" w:hAnsi="宋体" w:cs="宋体" w:eastAsia="宋体" w:hint="default"/>
                <w:sz w:val="18"/>
                <w:szCs w:val="18"/>
              </w:rPr>
              <w:t>接或间接持有的今天国际在首次公开 发行前已发行的股份。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3"/>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98"/>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6644" w:hRule="exact"/>
        </w:trPr>
        <w:tc>
          <w:tcPr>
            <w:tcW w:w="1559" w:type="dxa"/>
            <w:vMerge/>
            <w:tcBorders>
              <w:left w:val="single" w:sz="4" w:space="0" w:color="000000"/>
              <w:right w:val="single" w:sz="4" w:space="0" w:color="000000"/>
            </w:tcBorders>
            <w:shd w:val="clear" w:color="auto" w:fill="D2D2D2"/>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邵健伟、邵健锋</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6" w:right="139"/>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对于本人在本次发行前持有的公司股 份，本人将严格遵守已做出的关于所 持公司股份流通限制及自愿锁定的承 诺，在限售期内，不出售本次发行前 持有的公司股份。限售期届满后的两 年内，本人将根据自身需要选择集中 竞价、大宗交易及协议转让等法律、 法规规定的方式减持，每年减持的比 例不超过本人持有公司股份总数的 </w:t>
            </w:r>
            <w:r>
              <w:rPr>
                <w:rFonts w:ascii="Times New Roman" w:hAnsi="Times New Roman" w:cs="Times New Roman" w:eastAsia="Times New Roman" w:hint="default"/>
                <w:sz w:val="18"/>
                <w:szCs w:val="18"/>
              </w:rPr>
              <w:t>20%</w:t>
            </w:r>
            <w:r>
              <w:rPr>
                <w:rFonts w:ascii="宋体" w:hAnsi="宋体" w:cs="宋体" w:eastAsia="宋体" w:hint="default"/>
                <w:sz w:val="18"/>
                <w:szCs w:val="18"/>
              </w:rPr>
              <w:t>，减持价格不低于本次发行时的 发行价格（公司上市后发生除权除息 </w:t>
            </w:r>
            <w:r>
              <w:rPr>
                <w:rFonts w:ascii="宋体" w:hAnsi="宋体" w:cs="宋体" w:eastAsia="宋体" w:hint="default"/>
                <w:spacing w:val="-9"/>
                <w:sz w:val="18"/>
                <w:szCs w:val="18"/>
              </w:rPr>
              <w:t>事项的，减持价格做相应调整，下同）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今天国际上市后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个月内，如今天国</w:t>
            </w:r>
          </w:p>
          <w:p>
            <w:pPr>
              <w:pStyle w:val="TableParagraph"/>
              <w:spacing w:line="309" w:lineRule="auto"/>
              <w:ind w:left="23" w:right="60"/>
              <w:jc w:val="left"/>
              <w:rPr>
                <w:rFonts w:ascii="宋体" w:hAnsi="宋体" w:cs="宋体" w:eastAsia="宋体" w:hint="default"/>
                <w:sz w:val="18"/>
                <w:szCs w:val="18"/>
              </w:rPr>
            </w:pPr>
            <w:r>
              <w:rPr>
                <w:rFonts w:ascii="宋体" w:hAnsi="宋体" w:cs="宋体" w:eastAsia="宋体" w:hint="default"/>
                <w:sz w:val="18"/>
                <w:szCs w:val="18"/>
              </w:rPr>
              <w:t>际股票连续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 低于首次公开发行的发行价，或者上 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个月期末收盘价低于首次公开 发行的发行价，本人持有的今天国际 首次公开发行股票前已发行的股票将 在上述锁定期限届满后自动延长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月的锁定期。本人不会因职务变更、 离职等原因而放弃履行上述承诺。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00" w:lineRule="auto"/>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986"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陈伟国</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6" w:right="139"/>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对于本人在本次发行前持有的公司股 份，本人将严格遵守已做出的关于所 持公司股份流通限制及自愿锁定的承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97" w:lineRule="auto"/>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正在 履行</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21.779999pt;margin-top:708.096008pt;width:68.7pt;height:50.8pt;mso-position-horizontal-relative:page;mso-position-vertical-relative:page;z-index:-894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仪春燕、</w:t>
                  </w:r>
                </w:p>
              </w:txbxContent>
            </v:textbox>
            <w10:wrap type="none"/>
          </v:shape>
        </w:pict>
      </w:r>
      <w:r>
        <w:rPr/>
        <w:pict>
          <v:group style="position:absolute;margin-left:255.050003pt;margin-top:708.096008pt;width:35.4pt;height:50.8pt;mso-position-horizontal-relative:page;mso-position-vertical-relative:page;z-index:-894160" coordorigin="5101,14162" coordsize="708,1016">
            <v:group style="position:absolute;left:5101;top:14162;width:708;height:1016" coordorigin="5101,14162" coordsize="708,1016">
              <v:shape style="position:absolute;left:5101;top:14162;width:708;height:1016" coordorigin="5101,14162" coordsize="708,1016" path="m5101,15177l5809,15177,5809,14162,5101,14162,5101,15177xe" filled="true" fillcolor="#ffffff" stroked="false">
                <v:path arrowok="t"/>
                <v:fill type="solid"/>
              </v:shape>
            </v:group>
            <v:group style="position:absolute;left:5125;top:14318;width:660;height:353" coordorigin="5125,14318" coordsize="660,353">
              <v:shape style="position:absolute;left:5125;top:14318;width:660;height:353" coordorigin="5125,14318" coordsize="660,353" path="m5125,14671l5785,14671,5785,14318,5125,14318,5125,14671xe" filled="true" fillcolor="#ffffff" stroked="false">
                <v:path arrowok="t"/>
                <v:fill type="solid"/>
              </v:shape>
            </v:group>
            <v:group style="position:absolute;left:5125;top:14671;width:660;height:351" coordorigin="5125,14671" coordsize="660,351">
              <v:shape style="position:absolute;left:5125;top:14671;width:660;height:351" coordorigin="5125,14671" coordsize="660,351" path="m5125,15021l5785,15021,5785,14671,5125,14671,5125,1502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59"/>
        <w:gridCol w:w="2401"/>
        <w:gridCol w:w="718"/>
        <w:gridCol w:w="2979"/>
        <w:gridCol w:w="850"/>
        <w:gridCol w:w="566"/>
        <w:gridCol w:w="494"/>
      </w:tblGrid>
      <w:tr>
        <w:trPr>
          <w:trHeight w:val="315" w:hRule="exact"/>
        </w:trPr>
        <w:tc>
          <w:tcPr>
            <w:tcW w:w="1559" w:type="dxa"/>
            <w:vMerge w:val="restart"/>
            <w:tcBorders>
              <w:top w:val="single" w:sz="4" w:space="0" w:color="000000"/>
              <w:left w:val="single" w:sz="4" w:space="0" w:color="000000"/>
              <w:right w:val="single" w:sz="4" w:space="0" w:color="000000"/>
            </w:tcBorders>
            <w:shd w:val="clear" w:color="auto" w:fill="D2D2D2"/>
          </w:tcPr>
          <w:p>
            <w:pPr/>
          </w:p>
        </w:tc>
        <w:tc>
          <w:tcPr>
            <w:tcW w:w="2401" w:type="dxa"/>
            <w:vMerge w:val="restart"/>
            <w:tcBorders>
              <w:top w:val="single" w:sz="4" w:space="0" w:color="000000"/>
              <w:left w:val="single" w:sz="4" w:space="0" w:color="000000"/>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29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诺，在限售期内，不出售本次发行前</w:t>
            </w:r>
          </w:p>
        </w:tc>
        <w:tc>
          <w:tcPr>
            <w:tcW w:w="85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94" w:type="dxa"/>
            <w:vMerge w:val="restart"/>
            <w:tcBorders>
              <w:top w:val="single" w:sz="4" w:space="0" w:color="000000"/>
              <w:left w:val="single" w:sz="4" w:space="0" w:color="000000"/>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持有的公司股份。限售期届满后的两</w:t>
            </w: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年内，本人将根据自身需要选择集中</w:t>
            </w: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竞价、大宗交易及协议转让等法律、</w:t>
            </w: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法规规定的方式减持，每年减持的比</w:t>
            </w: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例不超过本人持有公司股份总数的</w:t>
            </w: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559" w:type="dxa"/>
            <w:vMerge/>
            <w:tcBorders>
              <w:left w:val="single" w:sz="4" w:space="0" w:color="000000"/>
              <w:right w:val="single" w:sz="4" w:space="0" w:color="000000"/>
            </w:tcBorders>
            <w:shd w:val="clear" w:color="auto" w:fill="D2D2D2"/>
          </w:tcPr>
          <w:p>
            <w:pPr/>
          </w:p>
        </w:tc>
        <w:tc>
          <w:tcPr>
            <w:tcW w:w="2401"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，减持价格不低于本次发行时的</w:t>
            </w: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559" w:type="dxa"/>
            <w:vMerge/>
            <w:tcBorders>
              <w:left w:val="single" w:sz="4" w:space="0" w:color="000000"/>
              <w:right w:val="single" w:sz="4" w:space="0" w:color="000000"/>
            </w:tcBorders>
            <w:shd w:val="clear" w:color="auto" w:fill="D2D2D2"/>
          </w:tcPr>
          <w:p>
            <w:pPr/>
          </w:p>
        </w:tc>
        <w:tc>
          <w:tcPr>
            <w:tcW w:w="2401"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发行价格。公司上市后发生除权除息</w:t>
            </w: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60" w:hRule="exact"/>
        </w:trPr>
        <w:tc>
          <w:tcPr>
            <w:tcW w:w="1559" w:type="dxa"/>
            <w:vMerge/>
            <w:tcBorders>
              <w:left w:val="single" w:sz="4" w:space="0" w:color="000000"/>
              <w:right w:val="single" w:sz="4" w:space="0" w:color="000000"/>
            </w:tcBorders>
            <w:shd w:val="clear" w:color="auto" w:fill="D2D2D2"/>
          </w:tcPr>
          <w:p>
            <w:pPr/>
          </w:p>
        </w:tc>
        <w:tc>
          <w:tcPr>
            <w:tcW w:w="2401"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事项的，减持价格做相应调整。</w:t>
            </w:r>
          </w:p>
        </w:tc>
        <w:tc>
          <w:tcPr>
            <w:tcW w:w="85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r>
        <w:trPr>
          <w:trHeight w:val="355" w:hRule="exact"/>
        </w:trPr>
        <w:tc>
          <w:tcPr>
            <w:tcW w:w="1559" w:type="dxa"/>
            <w:vMerge/>
            <w:tcBorders>
              <w:left w:val="single" w:sz="4" w:space="0" w:color="000000"/>
              <w:right w:val="single" w:sz="4" w:space="0" w:color="000000"/>
            </w:tcBorders>
            <w:shd w:val="clear" w:color="auto" w:fill="D2D2D2"/>
          </w:tcPr>
          <w:p>
            <w:pPr/>
          </w:p>
        </w:tc>
        <w:tc>
          <w:tcPr>
            <w:tcW w:w="2401"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29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本人及本人控制的其它企业目前未从</w:t>
            </w: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事与公司有竞争或可能构成竞争的任</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何业务。本人及本人控制的其它企业</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不会直接或间接从事与公司的产品或</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业务相竞争或可能构成竞争的任何活</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动。对于本人及本人控制的其它企业</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6" w:right="139"/>
              <w:jc w:val="both"/>
              <w:rPr>
                <w:rFonts w:ascii="宋体" w:hAnsi="宋体" w:cs="宋体" w:eastAsia="宋体" w:hint="default"/>
                <w:sz w:val="18"/>
                <w:szCs w:val="18"/>
              </w:rPr>
            </w:pPr>
            <w:r>
              <w:rPr>
                <w:rFonts w:ascii="宋体" w:hAnsi="宋体" w:cs="宋体" w:eastAsia="宋体" w:hint="default"/>
                <w:sz w:val="18"/>
                <w:szCs w:val="18"/>
              </w:rPr>
              <w:t>避免同 业竞争 的承诺</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3"/>
              <w:jc w:val="both"/>
              <w:rPr>
                <w:rFonts w:ascii="宋体" w:hAnsi="宋体" w:cs="宋体" w:eastAsia="宋体" w:hint="default"/>
                <w:sz w:val="18"/>
                <w:szCs w:val="18"/>
              </w:rPr>
            </w:pPr>
            <w:r>
              <w:rPr>
                <w:rFonts w:ascii="宋体" w:hAnsi="宋体" w:cs="宋体" w:eastAsia="宋体" w:hint="default"/>
                <w:sz w:val="18"/>
                <w:szCs w:val="18"/>
              </w:rPr>
              <w:t>将来以收购、兼并或其他方式增加的 与公司的产品或业务相竞争或可能构 成竞争的任何资产、业务，公司有优 先购买该等资产、业务的权益。本人</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7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98"/>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及本人控制的其它企业拟出售或转让</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其任何与公司的产品或业务相关的任</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何资产、业务时，公司有优先购买该</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等资产、业务的权益。如违反上述承</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诺，本人同意承担给公司造成的全部</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559" w:type="dxa"/>
            <w:vMerge/>
            <w:tcBorders>
              <w:left w:val="single" w:sz="4" w:space="0" w:color="000000"/>
              <w:right w:val="single" w:sz="4" w:space="0" w:color="000000"/>
            </w:tcBorders>
            <w:shd w:val="clear" w:color="auto" w:fill="D2D2D2"/>
          </w:tcPr>
          <w:p>
            <w:pPr/>
          </w:p>
        </w:tc>
        <w:tc>
          <w:tcPr>
            <w:tcW w:w="2401"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29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如本人在上述锁定期届满后两年内减</w:t>
            </w: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持今天国际首次公开发行股票前已发</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行的股票，减持价格不低于首次公开</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发行的发行价（今天国际上市后发生</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除权、除息事项的，发行价格作相应</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24"/>
                <w:sz w:val="18"/>
                <w:szCs w:val="18"/>
              </w:rPr>
              <w:t>，</w:t>
            </w:r>
            <w:r>
              <w:rPr>
                <w:rFonts w:ascii="宋体" w:hAnsi="宋体" w:cs="宋体" w:eastAsia="宋体" w:hint="default"/>
                <w:sz w:val="18"/>
                <w:szCs w:val="18"/>
              </w:rPr>
              <w:t>下同</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今天国际上市后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26"/>
              <w:jc w:val="left"/>
              <w:rPr>
                <w:rFonts w:ascii="宋体" w:hAnsi="宋体" w:cs="宋体" w:eastAsia="宋体" w:hint="default"/>
                <w:sz w:val="18"/>
                <w:szCs w:val="18"/>
              </w:rPr>
            </w:pPr>
            <w:r>
              <w:rPr>
                <w:rFonts w:ascii="宋体" w:hAnsi="宋体" w:cs="宋体" w:eastAsia="宋体" w:hint="default"/>
                <w:sz w:val="18"/>
                <w:szCs w:val="18"/>
              </w:rPr>
              <w:t>张小麒、梁建平、徐峰、张永 清、刘成凯</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6" w:right="139"/>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3" w:right="21"/>
              <w:jc w:val="both"/>
              <w:rPr>
                <w:rFonts w:ascii="宋体" w:hAnsi="宋体" w:cs="宋体" w:eastAsia="宋体" w:hint="default"/>
                <w:sz w:val="18"/>
                <w:szCs w:val="18"/>
              </w:rPr>
            </w:pPr>
            <w:r>
              <w:rPr>
                <w:rFonts w:ascii="宋体" w:hAnsi="宋体" w:cs="宋体" w:eastAsia="宋体" w:hint="default"/>
                <w:spacing w:val="-5"/>
                <w:sz w:val="18"/>
                <w:szCs w:val="18"/>
              </w:rPr>
              <w:t>内，如今天国际股票连续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的收盘价均低于首次公开发行的发行 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00" w:lineRule="auto" w:before="161"/>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494"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98"/>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307"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于首次公开发行的发行价，本人持有</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的今天国际首次公开发行股票前已发</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行的股票将在上述锁定期限届满后自</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动延长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个月的锁定期。本人不会因</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职务变更、离职等原因而放弃履行上</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5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述承诺。</w:t>
            </w: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邵健伟、张小麒、梁建平、徐 </w:t>
            </w:r>
            <w:r>
              <w:rPr>
                <w:rFonts w:ascii="宋体" w:hAnsi="宋体" w:cs="宋体" w:eastAsia="宋体" w:hint="default"/>
                <w:spacing w:val="-6"/>
                <w:sz w:val="18"/>
                <w:szCs w:val="18"/>
              </w:rPr>
              <w:t>峰、金春保、冯文学、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邵健锋、张永清、刘成凯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39"/>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63"/>
              <w:jc w:val="both"/>
              <w:rPr>
                <w:rFonts w:ascii="宋体" w:hAnsi="宋体" w:cs="宋体" w:eastAsia="宋体" w:hint="default"/>
                <w:sz w:val="18"/>
                <w:szCs w:val="18"/>
              </w:rPr>
            </w:pPr>
            <w:r>
              <w:rPr>
                <w:rFonts w:ascii="宋体" w:hAnsi="宋体" w:cs="宋体" w:eastAsia="宋体" w:hint="default"/>
                <w:sz w:val="18"/>
                <w:szCs w:val="18"/>
              </w:rPr>
              <w:t>除上述锁定期的承诺外，在本人担任 今天国际董事、监事、高级管理人员 期间，本人每年各自转让的股份不超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正在 履行</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16.606995pt;margin-top:277.829987pt;width:165.2pt;height:425.25pt;mso-position-horizontal-relative:page;mso-position-vertical-relative:page;z-index:-8941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公司将依法赔偿投资者的损失。</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59"/>
        <w:gridCol w:w="2401"/>
        <w:gridCol w:w="718"/>
        <w:gridCol w:w="2979"/>
        <w:gridCol w:w="850"/>
        <w:gridCol w:w="566"/>
        <w:gridCol w:w="494"/>
      </w:tblGrid>
      <w:tr>
        <w:trPr>
          <w:trHeight w:val="4107" w:hRule="exact"/>
        </w:trPr>
        <w:tc>
          <w:tcPr>
            <w:tcW w:w="1559" w:type="dxa"/>
            <w:vMerge w:val="restart"/>
            <w:tcBorders>
              <w:top w:val="single" w:sz="4" w:space="0" w:color="000000"/>
              <w:left w:val="single" w:sz="4" w:space="0" w:color="000000"/>
              <w:right w:val="single" w:sz="4" w:space="0" w:color="000000"/>
            </w:tcBorders>
            <w:shd w:val="clear" w:color="auto" w:fill="D2D2D2"/>
          </w:tcPr>
          <w:p>
            <w:pPr/>
          </w:p>
        </w:tc>
        <w:tc>
          <w:tcPr>
            <w:tcW w:w="240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2"/>
              <w:jc w:val="left"/>
              <w:rPr>
                <w:rFonts w:ascii="宋体" w:hAnsi="宋体" w:cs="宋体" w:eastAsia="宋体" w:hint="default"/>
                <w:sz w:val="18"/>
                <w:szCs w:val="18"/>
              </w:rPr>
            </w:pPr>
            <w:r>
              <w:rPr>
                <w:rFonts w:ascii="宋体" w:hAnsi="宋体" w:cs="宋体" w:eastAsia="宋体" w:hint="default"/>
                <w:sz w:val="18"/>
                <w:szCs w:val="18"/>
              </w:rPr>
              <w:t>过自身直接或间接持有今天国际股份 总数的百分之二十五；在今天国际股 票上市之日起六个月内申报离职的， 自申报离职之日起十八个月内不转让 直接或间接持有的今天国际股份；在 今天国际股票上市之日起第七个月至 第十二个月之间申报离职的，自申报 离职之日起十二个月内不转让直接或 间接持有的今天国际股份；在今天国 际股票上市之日起十二个月后申报离 职的，自申报离职之日起六个月内不 转让直接或间接持有的今天国际股 份。</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8514"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6" w:right="139"/>
              <w:jc w:val="both"/>
              <w:rPr>
                <w:rFonts w:ascii="宋体" w:hAnsi="宋体" w:cs="宋体" w:eastAsia="宋体" w:hint="default"/>
                <w:sz w:val="18"/>
                <w:szCs w:val="18"/>
              </w:rPr>
            </w:pPr>
            <w:r>
              <w:rPr>
                <w:rFonts w:ascii="宋体" w:hAnsi="宋体" w:cs="宋体" w:eastAsia="宋体" w:hint="default"/>
                <w:sz w:val="18"/>
                <w:szCs w:val="18"/>
              </w:rPr>
              <w:t>依法赔 偿和回 购承诺</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tabs>
                <w:tab w:pos="2767" w:val="left" w:leader="none"/>
              </w:tabs>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如《招股说明书》存在虚假记载、误 导性陈述或者重大遗漏，致使投资者 在买卖公司股票的证券交易中遭受损 失的， 具体措施为：在中国证监会对公司作 出正式的行政处罚决定书并认定公司 存在上述违法行为后，公司将对提出 索赔要求的公众投资者进行登记，并 在查实其主体资格及损失金额后及时 支付赔偿金。</w:t>
              <w:tab/>
              <w:t>如</w:t>
            </w:r>
          </w:p>
          <w:p>
            <w:pPr>
              <w:pStyle w:val="TableParagraph"/>
              <w:spacing w:line="316" w:lineRule="auto" w:before="19"/>
              <w:ind w:left="23" w:right="19"/>
              <w:jc w:val="both"/>
              <w:rPr>
                <w:rFonts w:ascii="宋体" w:hAnsi="宋体" w:cs="宋体" w:eastAsia="宋体" w:hint="default"/>
                <w:sz w:val="18"/>
                <w:szCs w:val="18"/>
              </w:rPr>
            </w:pPr>
            <w:r>
              <w:rPr>
                <w:rFonts w:ascii="宋体" w:hAnsi="宋体" w:cs="宋体" w:eastAsia="宋体" w:hint="default"/>
                <w:sz w:val="18"/>
                <w:szCs w:val="18"/>
              </w:rPr>
              <w:t>《招股说明书》存在虚假记载、误导 性陈述或者重大遗漏，并对判断公司 是否符合法律、法规、规范性文件规 定的首次公开发行股票并上市的发行 条件构成重大、实质影响的，公司将 依法回购首次公开发行的全部新股。 具体措施为：在中国证监会对公司作 出正式的行政处罚决定书并认定公司 存在上述违法行为后的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天内，公司</w:t>
            </w:r>
            <w:r>
              <w:rPr>
                <w:rFonts w:ascii="宋体" w:hAnsi="宋体" w:cs="宋体" w:eastAsia="宋体" w:hint="default"/>
                <w:sz w:val="18"/>
                <w:szCs w:val="18"/>
              </w:rPr>
              <w:t> 将依法启动回购股份的程序，回购价 格按首次公开发行的发行价格并加算 银行同期存款利息确定，回购股份数 按首次公开发行的新股数量确定，并 按法律、法规、规范性文件的相关规 定办理手续。公司上市后发生除权除 息事项的，上述回购价格及回购股份 的数量将做相应调整。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850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9"/>
                <w:sz w:val="20"/>
                <w:szCs w:val="20"/>
              </w:rPr>
              <w:pict>
                <v:group style="width:42.05pt;height:425.25pt;mso-position-horizontal-relative:char;mso-position-vertical-relative:line" coordorigin="0,0" coordsize="841,8505">
                  <v:group style="position:absolute;left:0;top:0;width:841;height:8505" coordorigin="0,0" coordsize="841,8505">
                    <v:shape style="position:absolute;left:0;top:0;width:841;height:8505" coordorigin="0,0" coordsize="841,8505" path="m0,8505l840,8505,840,0,0,0,0,8505xe" filled="true" fillcolor="#ffffff" stroked="false">
                      <v:path arrowok="t"/>
                      <v:fill type="solid"/>
                    </v:shape>
                  </v:group>
                  <v:group style="position:absolute;left:24;top:3901;width:795;height:353" coordorigin="24,3901" coordsize="795,353">
                    <v:shape style="position:absolute;left:24;top:3901;width:795;height:353" coordorigin="24,3901" coordsize="795,353" path="m24,4254l819,4254,819,3901,24,3901,24,4254xe" filled="true" fillcolor="#ffffff" stroked="false">
                      <v:path arrowok="t"/>
                      <v:fill type="solid"/>
                    </v:shape>
                  </v:group>
                  <v:group style="position:absolute;left:24;top:4254;width:795;height:351" coordorigin="24,4254" coordsize="795,351">
                    <v:shape style="position:absolute;left:24;top:4254;width:795;height:351" coordorigin="24,4254" coordsize="795,351" path="m24,4604l819,4604,819,4254,24,4254,24,4604xe" filled="true" fillcolor="#ffffff" stroked="false">
                      <v:path arrowok="t"/>
                      <v:fill type="solid"/>
                    </v:shape>
                  </v:group>
                </v:group>
              </w:pict>
            </w:r>
            <w:r>
              <w:rPr>
                <w:rFonts w:ascii="Times New Roman" w:hAnsi="Times New Roman" w:cs="Times New Roman" w:eastAsia="Times New Roman" w:hint="default"/>
                <w:position w:val="-169"/>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1298"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张永清、梁建平、徐峰</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部分董 </w:t>
            </w:r>
            <w:r>
              <w:rPr>
                <w:rFonts w:ascii="宋体" w:hAnsi="宋体" w:cs="宋体" w:eastAsia="宋体" w:hint="default"/>
                <w:spacing w:val="-15"/>
                <w:sz w:val="18"/>
                <w:szCs w:val="18"/>
              </w:rPr>
              <w:t>事、高管</w:t>
            </w:r>
            <w:r>
              <w:rPr>
                <w:rFonts w:ascii="宋体" w:hAnsi="宋体" w:cs="宋体" w:eastAsia="宋体" w:hint="default"/>
                <w:sz w:val="18"/>
                <w:szCs w:val="18"/>
              </w:rPr>
              <w:t> 承诺不 减持公</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3" w:right="63"/>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 减持其获授的公司股权激励股份。如 在上述期间违反承诺，则减持股份所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4"/>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98"/>
              <w:jc w:val="left"/>
              <w:rPr>
                <w:rFonts w:ascii="宋体" w:hAnsi="宋体" w:cs="宋体" w:eastAsia="宋体" w:hint="default"/>
                <w:sz w:val="18"/>
                <w:szCs w:val="18"/>
              </w:rPr>
            </w:pPr>
            <w:r>
              <w:rPr>
                <w:rFonts w:ascii="宋体" w:hAnsi="宋体" w:cs="宋体" w:eastAsia="宋体" w:hint="default"/>
                <w:sz w:val="18"/>
                <w:szCs w:val="18"/>
              </w:rPr>
              <w:t>正在 履行</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59"/>
        <w:gridCol w:w="2401"/>
        <w:gridCol w:w="718"/>
        <w:gridCol w:w="2979"/>
        <w:gridCol w:w="850"/>
        <w:gridCol w:w="566"/>
        <w:gridCol w:w="494"/>
      </w:tblGrid>
      <w:tr>
        <w:trPr>
          <w:trHeight w:val="987"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39"/>
              <w:jc w:val="both"/>
              <w:rPr>
                <w:rFonts w:ascii="宋体" w:hAnsi="宋体" w:cs="宋体" w:eastAsia="宋体" w:hint="default"/>
                <w:sz w:val="18"/>
                <w:szCs w:val="18"/>
              </w:rPr>
            </w:pPr>
            <w:r>
              <w:rPr>
                <w:rFonts w:ascii="宋体" w:hAnsi="宋体" w:cs="宋体" w:eastAsia="宋体" w:hint="default"/>
                <w:sz w:val="18"/>
                <w:szCs w:val="18"/>
              </w:rPr>
              <w:t>司股权 激励股 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得的全部收益归公司所有。</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22" w:right="84"/>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139"/>
              <w:jc w:val="left"/>
              <w:rPr>
                <w:rFonts w:ascii="宋体" w:hAnsi="宋体" w:cs="宋体" w:eastAsia="宋体" w:hint="default"/>
                <w:sz w:val="18"/>
                <w:szCs w:val="18"/>
              </w:rPr>
            </w:pPr>
            <w:r>
              <w:rPr>
                <w:rFonts w:ascii="宋体" w:hAnsi="宋体" w:cs="宋体" w:eastAsia="宋体" w:hint="default"/>
                <w:sz w:val="18"/>
                <w:szCs w:val="18"/>
              </w:rPr>
              <w:t>社保承 诺</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若公司及其子公司将来被所在地社保 主管部门追缴全部或部分应缴未缴的 社会保险费用和</w:t>
            </w:r>
            <w:r>
              <w:rPr>
                <w:rFonts w:ascii="Times New Roman" w:hAnsi="Times New Roman" w:cs="Times New Roman" w:eastAsia="Times New Roman" w:hint="default"/>
                <w:sz w:val="18"/>
                <w:szCs w:val="18"/>
              </w:rPr>
              <w:t>/</w:t>
            </w:r>
            <w:r>
              <w:rPr>
                <w:rFonts w:ascii="宋体" w:hAnsi="宋体" w:cs="宋体" w:eastAsia="宋体" w:hint="default"/>
                <w:sz w:val="18"/>
                <w:szCs w:val="18"/>
              </w:rPr>
              <w:t>或因此受到任何处 罚、损失，本人将连带承担由此产生 的全部费用，在公司及其子公司必须 先行支付相关费用的情况下，本人将 及时向公司及其子公司给予全额补 偿，以确保公司及其子公司不会因此 遭受任何损失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7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98"/>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2588"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26"/>
              <w:jc w:val="left"/>
              <w:rPr>
                <w:rFonts w:ascii="宋体" w:hAnsi="宋体" w:cs="宋体" w:eastAsia="宋体" w:hint="default"/>
                <w:sz w:val="18"/>
                <w:szCs w:val="18"/>
              </w:rPr>
            </w:pPr>
            <w:r>
              <w:rPr>
                <w:rFonts w:ascii="宋体" w:hAnsi="宋体" w:cs="宋体" w:eastAsia="宋体" w:hint="default"/>
                <w:sz w:val="18"/>
                <w:szCs w:val="18"/>
              </w:rPr>
              <w:t>曲水新智丰创业投资管理合伙 企业（有限合伙）</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6" w:right="139"/>
              <w:jc w:val="left"/>
              <w:rPr>
                <w:rFonts w:ascii="宋体" w:hAnsi="宋体" w:cs="宋体" w:eastAsia="宋体" w:hint="default"/>
                <w:sz w:val="18"/>
                <w:szCs w:val="18"/>
              </w:rPr>
            </w:pPr>
            <w:r>
              <w:rPr>
                <w:rFonts w:ascii="宋体" w:hAnsi="宋体" w:cs="宋体" w:eastAsia="宋体" w:hint="default"/>
                <w:sz w:val="18"/>
                <w:szCs w:val="18"/>
              </w:rPr>
              <w:t>股东减 持承诺</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3"/>
              <w:jc w:val="both"/>
              <w:rPr>
                <w:rFonts w:ascii="宋体" w:hAnsi="宋体" w:cs="宋体" w:eastAsia="宋体" w:hint="default"/>
                <w:sz w:val="18"/>
                <w:szCs w:val="18"/>
              </w:rPr>
            </w:pPr>
            <w:r>
              <w:rPr>
                <w:rFonts w:ascii="宋体" w:hAnsi="宋体" w:cs="宋体" w:eastAsia="宋体" w:hint="default"/>
                <w:sz w:val="18"/>
                <w:szCs w:val="18"/>
              </w:rPr>
              <w:t>承诺自发布《关于股东股份减持计划 </w:t>
            </w:r>
            <w:r>
              <w:rPr>
                <w:rFonts w:ascii="宋体" w:hAnsi="宋体" w:cs="宋体" w:eastAsia="宋体" w:hint="default"/>
                <w:spacing w:val="-7"/>
                <w:sz w:val="18"/>
                <w:szCs w:val="18"/>
              </w:rPr>
              <w:t>实施完毕的公告》（公告编号：</w:t>
            </w:r>
          </w:p>
          <w:p>
            <w:pPr>
              <w:pStyle w:val="TableParagraph"/>
              <w:spacing w:line="240" w:lineRule="auto" w:before="17"/>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2018-038</w:t>
            </w:r>
            <w:r>
              <w:rPr>
                <w:rFonts w:ascii="宋体" w:hAnsi="宋体" w:cs="宋体" w:eastAsia="宋体" w:hint="default"/>
                <w:sz w:val="18"/>
                <w:szCs w:val="18"/>
              </w:rPr>
              <w:t>）之日（即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314" w:lineRule="auto" w:before="63"/>
              <w:ind w:left="23" w:right="63"/>
              <w:jc w:val="both"/>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个月内不转让或者委托他人 管理其直接持有的今天国际在首次公 开发行前已发行的股份，也不由今天 国际回购其直接持有的今天国际在首 次公开发行前已发行的股份。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98"/>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2"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both"/>
              <w:rPr>
                <w:rFonts w:ascii="宋体" w:hAnsi="宋体" w:cs="宋体" w:eastAsia="宋体" w:hint="default"/>
                <w:sz w:val="18"/>
                <w:szCs w:val="18"/>
              </w:rPr>
            </w:pPr>
            <w:r>
              <w:rPr>
                <w:rFonts w:ascii="宋体" w:hAnsi="宋体" w:cs="宋体" w:eastAsia="宋体" w:hint="default"/>
                <w:sz w:val="18"/>
                <w:szCs w:val="18"/>
              </w:rPr>
              <w:t>如承诺超期未履行 完毕的，应当详细 说明未完成履行的 具体原因及下一步 的工作计划</w:t>
            </w:r>
          </w:p>
        </w:tc>
        <w:tc>
          <w:tcPr>
            <w:tcW w:w="800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8"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6"/>
        <w:ind w:right="1115"/>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115"/>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4"/>
        <w:spacing w:line="240" w:lineRule="auto"/>
        <w:ind w:right="1115"/>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998"/>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115"/>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BodyText"/>
        <w:spacing w:line="451" w:lineRule="auto"/>
        <w:ind w:right="1036" w:firstLine="480"/>
        <w:jc w:val="left"/>
      </w:pPr>
      <w:r>
        <w:rPr>
          <w:spacing w:val="-1"/>
        </w:rPr>
        <w:t>财政部于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06</w:t>
      </w:r>
      <w:r>
        <w:rPr>
          <w:spacing w:val="-1"/>
        </w:rPr>
        <w:t>月</w:t>
      </w:r>
      <w:r>
        <w:rPr>
          <w:rFonts w:ascii="Times New Roman" w:hAnsi="Times New Roman" w:cs="Times New Roman" w:eastAsia="Times New Roman" w:hint="default"/>
          <w:spacing w:val="-1"/>
        </w:rPr>
        <w:t>15</w:t>
      </w:r>
      <w:r>
        <w:rPr>
          <w:spacing w:val="-1"/>
        </w:rPr>
        <w:t>日发布了《关于修订印发</w:t>
      </w:r>
      <w:r>
        <w:rPr>
          <w:rFonts w:ascii="Times New Roman" w:hAnsi="Times New Roman" w:cs="Times New Roman" w:eastAsia="Times New Roman" w:hint="default"/>
          <w:spacing w:val="-1"/>
        </w:rPr>
        <w:t>2018</w:t>
      </w:r>
      <w:r>
        <w:rPr>
          <w:spacing w:val="-1"/>
        </w:rPr>
        <w:t>年度一般企业财务报表格式的通知》（财会</w:t>
      </w:r>
      <w:r>
        <w:rPr>
          <w:rFonts w:ascii="Times New Roman" w:hAnsi="Times New Roman" w:cs="Times New Roman" w:eastAsia="Times New Roman" w:hint="default"/>
          <w:spacing w:val="-1"/>
        </w:rPr>
        <w:t>[2018]15</w:t>
      </w:r>
      <w:r>
        <w:rPr>
          <w:spacing w:val="-1"/>
        </w:rPr>
        <w:t>号）的规定，</w:t>
      </w:r>
      <w:r>
        <w:rPr/>
        <w:t> 对一般企业财务报表格式进行了修订，适用于</w:t>
      </w:r>
      <w:r>
        <w:rPr>
          <w:rFonts w:ascii="Times New Roman" w:hAnsi="Times New Roman" w:cs="Times New Roman" w:eastAsia="Times New Roman" w:hint="default"/>
        </w:rPr>
        <w:t>2018</w:t>
      </w:r>
      <w:r>
        <w:rPr/>
        <w:t>年度及以后期间的财务报表。</w:t>
      </w:r>
    </w:p>
    <w:p>
      <w:pPr>
        <w:pStyle w:val="BodyText"/>
        <w:spacing w:line="240" w:lineRule="auto" w:before="43"/>
        <w:ind w:left="633" w:right="1115"/>
        <w:jc w:val="left"/>
      </w:pPr>
      <w:r>
        <w:rPr/>
        <w:t>公司根据上述规则的变化对相应的会计政策做了调整，主要影响如下：</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4364"/>
        <w:gridCol w:w="4160"/>
      </w:tblGrid>
      <w:tr>
        <w:trPr>
          <w:trHeight w:val="497"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9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04"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471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451" w:lineRule="auto"/>
              <w:ind w:left="7" w:right="-8"/>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）资产负债表中</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合并列示为</w:t>
            </w:r>
            <w:r>
              <w:rPr>
                <w:rFonts w:ascii="宋体" w:hAnsi="宋体" w:cs="宋体" w:eastAsia="宋体" w:hint="default"/>
                <w:spacing w:val="-67"/>
                <w:sz w:val="18"/>
                <w:szCs w:val="18"/>
              </w:rPr>
              <w:t>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应收票据及应收账款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w:t>
            </w:r>
            <w:r>
              <w:rPr>
                <w:rFonts w:ascii="宋体" w:hAnsi="宋体" w:cs="宋体" w:eastAsia="宋体" w:hint="default"/>
                <w:spacing w:val="-73"/>
                <w:sz w:val="18"/>
                <w:szCs w:val="18"/>
              </w:rPr>
              <w:t> </w:t>
            </w:r>
            <w:r>
              <w:rPr>
                <w:rFonts w:ascii="宋体" w:hAnsi="宋体" w:cs="宋体" w:eastAsia="宋体" w:hint="default"/>
                <w:spacing w:val="6"/>
                <w:sz w:val="18"/>
                <w:szCs w:val="18"/>
              </w:rPr>
              <w:t>列示为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应付票据及应付账款</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应收利息</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和</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应收股</w:t>
            </w:r>
            <w:r>
              <w:rPr>
                <w:rFonts w:ascii="宋体" w:hAnsi="宋体" w:cs="宋体" w:eastAsia="宋体" w:hint="default"/>
                <w:spacing w:val="-79"/>
                <w:sz w:val="18"/>
                <w:szCs w:val="18"/>
              </w:rPr>
              <w:t> </w:t>
            </w:r>
            <w:r>
              <w:rPr>
                <w:rFonts w:ascii="宋体" w:hAnsi="宋体" w:cs="宋体" w:eastAsia="宋体" w:hint="default"/>
                <w:sz w:val="18"/>
                <w:szCs w:val="18"/>
              </w:rPr>
              <w:t>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 </w:t>
            </w:r>
            <w:r>
              <w:rPr>
                <w:rFonts w:ascii="宋体" w:hAnsi="宋体" w:cs="宋体" w:eastAsia="宋体" w:hint="default"/>
                <w:spacing w:val="2"/>
                <w:sz w:val="18"/>
                <w:szCs w:val="18"/>
              </w:rPr>
              <w:t>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固定资产清理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固定资产</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0"/>
                <w:sz w:val="18"/>
                <w:szCs w:val="18"/>
              </w:rPr>
              <w:t> </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工程物资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在建工程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专项应付款</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99"/>
              <w:ind w:left="4" w:right="2"/>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应收票据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和</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应收账款</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合并列示为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应收票据及应</w:t>
            </w:r>
            <w:r>
              <w:rPr>
                <w:rFonts w:ascii="宋体" w:hAnsi="宋体" w:cs="宋体" w:eastAsia="宋体" w:hint="default"/>
                <w:sz w:val="18"/>
                <w:szCs w:val="18"/>
              </w:rPr>
              <w:t> </w:t>
            </w:r>
            <w:r>
              <w:rPr>
                <w:rFonts w:ascii="宋体" w:hAnsi="宋体" w:cs="宋体" w:eastAsia="宋体" w:hint="default"/>
                <w:spacing w:val="18"/>
                <w:sz w:val="18"/>
                <w:szCs w:val="18"/>
              </w:rPr>
              <w:t>收账款</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z w:val="18"/>
                <w:szCs w:val="18"/>
              </w:rPr>
              <w:t>本</w:t>
            </w:r>
            <w:r>
              <w:rPr>
                <w:rFonts w:ascii="宋体" w:hAnsi="宋体" w:cs="宋体" w:eastAsia="宋体" w:hint="default"/>
                <w:spacing w:val="-65"/>
                <w:sz w:val="18"/>
                <w:szCs w:val="18"/>
              </w:rPr>
              <w:t> </w:t>
            </w:r>
            <w:r>
              <w:rPr>
                <w:rFonts w:ascii="宋体" w:hAnsi="宋体" w:cs="宋体" w:eastAsia="宋体" w:hint="default"/>
                <w:sz w:val="18"/>
                <w:szCs w:val="18"/>
              </w:rPr>
              <w:t>期</w:t>
            </w:r>
            <w:r>
              <w:rPr>
                <w:rFonts w:ascii="宋体" w:hAnsi="宋体" w:cs="宋体" w:eastAsia="宋体" w:hint="default"/>
                <w:spacing w:val="-63"/>
                <w:sz w:val="18"/>
                <w:szCs w:val="18"/>
              </w:rPr>
              <w:t> </w:t>
            </w: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z w:val="18"/>
                <w:szCs w:val="18"/>
              </w:rPr>
              <w:t>额</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509,028,360.17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上</w:t>
            </w:r>
            <w:r>
              <w:rPr>
                <w:rFonts w:ascii="宋体" w:hAnsi="宋体" w:cs="宋体" w:eastAsia="宋体" w:hint="default"/>
                <w:spacing w:val="-63"/>
                <w:sz w:val="18"/>
                <w:szCs w:val="18"/>
              </w:rPr>
              <w:t> </w:t>
            </w:r>
            <w:r>
              <w:rPr>
                <w:rFonts w:ascii="宋体" w:hAnsi="宋体" w:cs="宋体" w:eastAsia="宋体" w:hint="default"/>
                <w:sz w:val="18"/>
                <w:szCs w:val="18"/>
              </w:rPr>
              <w:t>期</w:t>
            </w:r>
            <w:r>
              <w:rPr>
                <w:rFonts w:ascii="宋体" w:hAnsi="宋体" w:cs="宋体" w:eastAsia="宋体" w:hint="default"/>
                <w:spacing w:val="-65"/>
                <w:sz w:val="18"/>
                <w:szCs w:val="18"/>
              </w:rPr>
              <w:t> </w:t>
            </w:r>
            <w:r>
              <w:rPr>
                <w:rFonts w:ascii="宋体" w:hAnsi="宋体" w:cs="宋体" w:eastAsia="宋体" w:hint="default"/>
                <w:sz w:val="18"/>
                <w:szCs w:val="18"/>
              </w:rPr>
              <w:t>金</w:t>
            </w:r>
            <w:r>
              <w:rPr>
                <w:rFonts w:ascii="宋体" w:hAnsi="宋体" w:cs="宋体" w:eastAsia="宋体" w:hint="default"/>
                <w:spacing w:val="-63"/>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Times New Roman" w:hAnsi="Times New Roman" w:cs="Times New Roman" w:eastAsia="Times New Roman" w:hint="default"/>
                <w:sz w:val="18"/>
                <w:szCs w:val="18"/>
              </w:rPr>
              <w:t>521,718,720.50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 </w:t>
            </w:r>
            <w:r>
              <w:rPr>
                <w:rFonts w:ascii="宋体" w:hAnsi="宋体" w:cs="宋体" w:eastAsia="宋体" w:hint="default"/>
                <w:spacing w:val="4"/>
                <w:sz w:val="18"/>
                <w:szCs w:val="18"/>
              </w:rPr>
              <w:t>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应付票据及应付账款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，本期金额</w:t>
            </w:r>
            <w:r>
              <w:rPr>
                <w:rFonts w:ascii="Times New Roman" w:hAnsi="Times New Roman" w:cs="Times New Roman" w:eastAsia="Times New Roman" w:hint="default"/>
                <w:spacing w:val="4"/>
                <w:sz w:val="18"/>
                <w:szCs w:val="18"/>
              </w:rPr>
              <w:t>258,944,180.29</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pacing w:val="-1"/>
                <w:sz w:val="18"/>
                <w:szCs w:val="18"/>
              </w:rPr>
              <w:t>元，上期金额</w:t>
            </w:r>
            <w:r>
              <w:rPr>
                <w:rFonts w:ascii="Times New Roman" w:hAnsi="Times New Roman" w:cs="Times New Roman" w:eastAsia="Times New Roman" w:hint="default"/>
                <w:spacing w:val="-1"/>
                <w:sz w:val="18"/>
                <w:szCs w:val="18"/>
              </w:rPr>
              <w:t>203,641,340.14</w:t>
            </w:r>
            <w:r>
              <w:rPr>
                <w:rFonts w:ascii="宋体" w:hAnsi="宋体" w:cs="宋体" w:eastAsia="宋体" w:hint="default"/>
                <w:spacing w:val="-1"/>
                <w:sz w:val="18"/>
                <w:szCs w:val="18"/>
              </w:rPr>
              <w:t>元；调增</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其他应收款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w:t>
            </w:r>
            <w:r>
              <w:rPr>
                <w:rFonts w:ascii="宋体" w:hAnsi="宋体" w:cs="宋体" w:eastAsia="宋体" w:hint="default"/>
                <w:sz w:val="18"/>
                <w:szCs w:val="18"/>
              </w:rPr>
              <w:t> </w:t>
            </w:r>
            <w:r>
              <w:rPr>
                <w:rFonts w:ascii="宋体" w:hAnsi="宋体" w:cs="宋体" w:eastAsia="宋体" w:hint="default"/>
                <w:spacing w:val="3"/>
                <w:sz w:val="18"/>
                <w:szCs w:val="18"/>
              </w:rPr>
              <w:t>期金额</w:t>
            </w:r>
            <w:r>
              <w:rPr>
                <w:rFonts w:ascii="Times New Roman" w:hAnsi="Times New Roman" w:cs="Times New Roman" w:eastAsia="Times New Roman" w:hint="default"/>
                <w:spacing w:val="3"/>
                <w:sz w:val="18"/>
                <w:szCs w:val="18"/>
              </w:rPr>
              <w:t>0.00</w:t>
            </w:r>
            <w:r>
              <w:rPr>
                <w:rFonts w:ascii="宋体" w:hAnsi="宋体" w:cs="宋体" w:eastAsia="宋体" w:hint="default"/>
                <w:spacing w:val="3"/>
                <w:sz w:val="18"/>
                <w:szCs w:val="18"/>
              </w:rPr>
              <w:t>元，上期金额</w:t>
            </w:r>
            <w:r>
              <w:rPr>
                <w:rFonts w:ascii="Times New Roman" w:hAnsi="Times New Roman" w:cs="Times New Roman" w:eastAsia="Times New Roman" w:hint="default"/>
                <w:spacing w:val="3"/>
                <w:sz w:val="18"/>
                <w:szCs w:val="18"/>
              </w:rPr>
              <w:t>0.00</w:t>
            </w:r>
            <w:r>
              <w:rPr>
                <w:rFonts w:ascii="宋体" w:hAnsi="宋体" w:cs="宋体" w:eastAsia="宋体" w:hint="default"/>
                <w:spacing w:val="3"/>
                <w:sz w:val="18"/>
                <w:szCs w:val="18"/>
              </w:rPr>
              <w:t>元；调增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其他应付款</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130,334.72</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固定</w:t>
            </w:r>
            <w:r>
              <w:rPr>
                <w:rFonts w:ascii="宋体" w:hAnsi="宋体" w:cs="宋体" w:eastAsia="宋体" w:hint="default"/>
                <w:spacing w:val="-46"/>
                <w:sz w:val="18"/>
                <w:szCs w:val="18"/>
              </w:rPr>
              <w:t> </w:t>
            </w:r>
            <w:r>
              <w:rPr>
                <w:rFonts w:ascii="宋体" w:hAnsi="宋体" w:cs="宋体" w:eastAsia="宋体" w:hint="default"/>
                <w:spacing w:val="-3"/>
                <w:sz w:val="18"/>
                <w:szCs w:val="18"/>
              </w:rPr>
              <w:t>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本期金额</w:t>
            </w:r>
            <w:r>
              <w:rPr>
                <w:rFonts w:ascii="Times New Roman" w:hAnsi="Times New Roman" w:cs="Times New Roman" w:eastAsia="Times New Roman" w:hint="default"/>
                <w:spacing w:val="-3"/>
                <w:sz w:val="18"/>
                <w:szCs w:val="18"/>
              </w:rPr>
              <w:t>0.00</w:t>
            </w:r>
            <w:r>
              <w:rPr>
                <w:rFonts w:ascii="宋体" w:hAnsi="宋体" w:cs="宋体" w:eastAsia="宋体" w:hint="default"/>
                <w:spacing w:val="-3"/>
                <w:sz w:val="18"/>
                <w:szCs w:val="18"/>
              </w:rPr>
              <w:t>元，上期金额</w:t>
            </w:r>
            <w:r>
              <w:rPr>
                <w:rFonts w:ascii="Times New Roman" w:hAnsi="Times New Roman" w:cs="Times New Roman" w:eastAsia="Times New Roman" w:hint="default"/>
                <w:spacing w:val="-3"/>
                <w:sz w:val="18"/>
                <w:szCs w:val="18"/>
              </w:rPr>
              <w:t>0.00</w:t>
            </w:r>
            <w:r>
              <w:rPr>
                <w:rFonts w:ascii="宋体" w:hAnsi="宋体" w:cs="宋体" w:eastAsia="宋体" w:hint="default"/>
                <w:spacing w:val="-3"/>
                <w:sz w:val="18"/>
                <w:szCs w:val="18"/>
              </w:rPr>
              <w:t>元；调增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在建工</w:t>
            </w:r>
            <w:r>
              <w:rPr>
                <w:rFonts w:ascii="宋体" w:hAnsi="宋体" w:cs="宋体" w:eastAsia="宋体" w:hint="default"/>
                <w:spacing w:val="-78"/>
                <w:sz w:val="18"/>
                <w:szCs w:val="18"/>
              </w:rPr>
              <w:t> </w:t>
            </w:r>
            <w:r>
              <w:rPr>
                <w:rFonts w:ascii="宋体" w:hAnsi="宋体" w:cs="宋体" w:eastAsia="宋体" w:hint="default"/>
                <w:spacing w:val="-3"/>
                <w:sz w:val="18"/>
                <w:szCs w:val="18"/>
              </w:rPr>
              <w:t>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本期金额</w:t>
            </w:r>
            <w:r>
              <w:rPr>
                <w:rFonts w:ascii="Times New Roman" w:hAnsi="Times New Roman" w:cs="Times New Roman" w:eastAsia="Times New Roman" w:hint="default"/>
                <w:spacing w:val="-3"/>
                <w:sz w:val="18"/>
                <w:szCs w:val="18"/>
              </w:rPr>
              <w:t>0.00</w:t>
            </w:r>
            <w:r>
              <w:rPr>
                <w:rFonts w:ascii="宋体" w:hAnsi="宋体" w:cs="宋体" w:eastAsia="宋体" w:hint="default"/>
                <w:spacing w:val="-3"/>
                <w:sz w:val="18"/>
                <w:szCs w:val="18"/>
              </w:rPr>
              <w:t>元，上期金额</w:t>
            </w:r>
            <w:r>
              <w:rPr>
                <w:rFonts w:ascii="Times New Roman" w:hAnsi="Times New Roman" w:cs="Times New Roman" w:eastAsia="Times New Roman" w:hint="default"/>
                <w:spacing w:val="-3"/>
                <w:sz w:val="18"/>
                <w:szCs w:val="18"/>
              </w:rPr>
              <w:t>0.00</w:t>
            </w:r>
            <w:r>
              <w:rPr>
                <w:rFonts w:ascii="宋体" w:hAnsi="宋体" w:cs="宋体" w:eastAsia="宋体" w:hint="default"/>
                <w:spacing w:val="-3"/>
                <w:sz w:val="18"/>
                <w:szCs w:val="18"/>
              </w:rPr>
              <w:t>元；调增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长期应付</w:t>
            </w:r>
          </w:p>
          <w:p>
            <w:pPr>
              <w:pStyle w:val="TableParagraph"/>
              <w:spacing w:line="240" w:lineRule="auto" w:before="43"/>
              <w:ind w:left="4" w:right="0"/>
              <w:jc w:val="both"/>
              <w:rPr>
                <w:rFonts w:ascii="宋体" w:hAnsi="宋体" w:cs="宋体" w:eastAsia="宋体"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r>
        <w:trPr>
          <w:trHeight w:val="190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97"/>
              <w:ind w:left="7" w:right="-3"/>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）在利润表中新增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项目，将原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管理费用</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中的研发费用重分类至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单独列示；在利润表</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中财务费用项下新增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w:t>
            </w:r>
            <w:r>
              <w:rPr>
                <w:rFonts w:ascii="宋体" w:hAnsi="宋体" w:cs="宋体" w:eastAsia="宋体" w:hint="default"/>
                <w:spacing w:val="-41"/>
                <w:sz w:val="18"/>
                <w:szCs w:val="18"/>
              </w:rPr>
              <w:t> </w:t>
            </w:r>
            <w:r>
              <w:rPr>
                <w:rFonts w:ascii="宋体" w:hAnsi="宋体" w:cs="宋体" w:eastAsia="宋体" w:hint="default"/>
                <w:sz w:val="18"/>
                <w:szCs w:val="18"/>
              </w:rPr>
              <w:t>目。比较数据相应调整。</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42,594,346.93</w:t>
            </w:r>
            <w:r>
              <w:rPr>
                <w:rFonts w:ascii="宋体" w:hAnsi="宋体" w:cs="宋体" w:eastAsia="宋体" w:hint="default"/>
                <w:sz w:val="18"/>
                <w:szCs w:val="18"/>
              </w:rPr>
              <w:t>元，上期金额</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30,669,901.75</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8"/>
        <w:ind w:left="513" w:right="1115"/>
        <w:jc w:val="left"/>
      </w:pPr>
      <w:r>
        <w:rPr/>
        <w:t>除上述外，本次修订对公司无其他重大影响。</w:t>
      </w:r>
    </w:p>
    <w:p>
      <w:pPr>
        <w:spacing w:line="240" w:lineRule="auto" w:before="4"/>
        <w:rPr>
          <w:rFonts w:ascii="宋体" w:hAnsi="宋体" w:cs="宋体" w:eastAsia="宋体" w:hint="default"/>
          <w:sz w:val="25"/>
          <w:szCs w:val="25"/>
        </w:rPr>
      </w:pPr>
    </w:p>
    <w:p>
      <w:pPr>
        <w:pStyle w:val="Heading4"/>
        <w:spacing w:line="240" w:lineRule="auto"/>
        <w:ind w:right="1115"/>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15"/>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5"/>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崔岩、徐冬冬</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15"/>
        <w:jc w:val="left"/>
      </w:pPr>
      <w:r>
        <w:rPr/>
        <w:t>是否改聘会计师事务所</w:t>
      </w:r>
    </w:p>
    <w:p>
      <w:pPr>
        <w:pStyle w:val="BodyText"/>
        <w:spacing w:line="338" w:lineRule="auto" w:before="117"/>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3"/>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115"/>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4"/>
        <w:spacing w:line="240" w:lineRule="auto"/>
        <w:ind w:right="1115"/>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4"/>
        <w:spacing w:line="240" w:lineRule="auto"/>
        <w:ind w:right="1115"/>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6"/>
        <w:rPr>
          <w:rFonts w:ascii="宋体" w:hAnsi="宋体" w:cs="宋体" w:eastAsia="宋体" w:hint="default"/>
          <w:sz w:val="19"/>
          <w:szCs w:val="19"/>
        </w:rPr>
      </w:pPr>
    </w:p>
    <w:p>
      <w:pPr>
        <w:pStyle w:val="Heading4"/>
        <w:spacing w:line="240" w:lineRule="auto"/>
        <w:ind w:right="1115"/>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4"/>
        <w:spacing w:line="240" w:lineRule="auto"/>
        <w:ind w:right="1115"/>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2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公司实际控制人邵健伟先生诚实守信，不存在未履行法院生效判决、所负数额较大的债务到期未清偿等情况。</w:t>
      </w:r>
    </w:p>
    <w:p>
      <w:pPr>
        <w:spacing w:after="0" w:line="338"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15"/>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3"/>
          <w:szCs w:val="13"/>
        </w:rPr>
      </w:pPr>
    </w:p>
    <w:p>
      <w:pPr>
        <w:pStyle w:val="BodyText"/>
        <w:spacing w:line="451" w:lineRule="auto"/>
        <w:ind w:right="1119" w:firstLine="432"/>
        <w:jc w:val="both"/>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日召开的第三届董事会第十三次会议审议通过了《关于调整公司</w:t>
      </w:r>
      <w:r>
        <w:rPr>
          <w:rFonts w:ascii="Times New Roman" w:hAnsi="Times New Roman" w:cs="Times New Roman" w:eastAsia="Times New Roman" w:hint="default"/>
          <w:spacing w:val="-2"/>
        </w:rPr>
        <w:t>2017</w:t>
      </w:r>
      <w:r>
        <w:rPr>
          <w:spacing w:val="-2"/>
        </w:rPr>
        <w:t>年限制性股票激励计划相关事</w:t>
      </w:r>
      <w:r>
        <w:rPr/>
        <w:t> </w:t>
      </w:r>
      <w:r>
        <w:rPr>
          <w:spacing w:val="-2"/>
        </w:rPr>
        <w:t>项的议案》、《关于公司</w:t>
      </w:r>
      <w:r>
        <w:rPr>
          <w:rFonts w:ascii="Times New Roman" w:hAnsi="Times New Roman" w:cs="Times New Roman" w:eastAsia="Times New Roman" w:hint="default"/>
          <w:spacing w:val="-2"/>
        </w:rPr>
        <w:t>2017</w:t>
      </w:r>
      <w:r>
        <w:rPr>
          <w:spacing w:val="-2"/>
        </w:rPr>
        <w:t>年限制性股票激励计划首次授予第一个限售期可解除限售的议案》，详见巨潮资讯网《第三届</w:t>
      </w:r>
      <w:r>
        <w:rPr>
          <w:spacing w:val="-64"/>
        </w:rPr>
        <w:t> </w:t>
      </w:r>
      <w:r>
        <w:rPr>
          <w:spacing w:val="-64"/>
        </w:rPr>
      </w:r>
      <w:r>
        <w:rPr>
          <w:spacing w:val="-4"/>
        </w:rPr>
        <w:t>董事会第十三次会议决议公告》（公告编号：</w:t>
      </w:r>
      <w:r>
        <w:rPr>
          <w:rFonts w:ascii="Times New Roman" w:hAnsi="Times New Roman" w:cs="Times New Roman" w:eastAsia="Times New Roman" w:hint="default"/>
          <w:spacing w:val="-4"/>
        </w:rPr>
        <w:t>2018-033</w:t>
      </w:r>
      <w:r>
        <w:rPr>
          <w:spacing w:val="-4"/>
        </w:rPr>
        <w:t>）、《关于调整公司</w:t>
      </w:r>
      <w:r>
        <w:rPr>
          <w:rFonts w:ascii="Times New Roman" w:hAnsi="Times New Roman" w:cs="Times New Roman" w:eastAsia="Times New Roman" w:hint="default"/>
          <w:spacing w:val="-4"/>
        </w:rPr>
        <w:t>2017</w:t>
      </w:r>
      <w:r>
        <w:rPr>
          <w:spacing w:val="-4"/>
        </w:rPr>
        <w:t>年限制性股票激励计划相关事项的公告》（公</w:t>
      </w:r>
      <w:r>
        <w:rPr>
          <w:spacing w:val="-84"/>
        </w:rPr>
        <w:t> </w:t>
      </w:r>
      <w:r>
        <w:rPr>
          <w:spacing w:val="-84"/>
        </w:rPr>
      </w:r>
      <w:r>
        <w:rPr>
          <w:spacing w:val="-11"/>
        </w:rPr>
        <w:t>告编号：</w:t>
      </w:r>
      <w:r>
        <w:rPr>
          <w:rFonts w:ascii="Times New Roman" w:hAnsi="Times New Roman" w:cs="Times New Roman" w:eastAsia="Times New Roman" w:hint="default"/>
          <w:spacing w:val="-11"/>
        </w:rPr>
        <w:t>2018-035</w:t>
      </w:r>
      <w:r>
        <w:rPr>
          <w:spacing w:val="-11"/>
        </w:rPr>
        <w:t>）、《关于公司</w:t>
      </w:r>
      <w:r>
        <w:rPr>
          <w:rFonts w:ascii="Times New Roman" w:hAnsi="Times New Roman" w:cs="Times New Roman" w:eastAsia="Times New Roman" w:hint="default"/>
          <w:spacing w:val="-11"/>
        </w:rPr>
        <w:t>2017</w:t>
      </w:r>
      <w:r>
        <w:rPr>
          <w:spacing w:val="-11"/>
        </w:rPr>
        <w:t>年限制性股票激励计划首次授予第一个限售期可解除限售的公告》（公告编号：</w:t>
      </w:r>
      <w:r>
        <w:rPr>
          <w:rFonts w:ascii="Times New Roman" w:hAnsi="Times New Roman" w:cs="Times New Roman" w:eastAsia="Times New Roman" w:hint="default"/>
          <w:spacing w:val="-11"/>
        </w:rPr>
        <w:t>2018-036</w:t>
      </w:r>
      <w:r>
        <w:rPr>
          <w:spacing w:val="-11"/>
        </w:rPr>
        <w:t>）。</w:t>
      </w:r>
      <w:r>
        <w:rPr>
          <w:spacing w:val="-82"/>
        </w:rPr>
        <w:t> </w:t>
      </w:r>
      <w:r>
        <w:rPr/>
        <w:t>经调整，首次授予限制性股票数量为</w:t>
      </w:r>
      <w:r>
        <w:rPr>
          <w:rFonts w:ascii="Times New Roman" w:hAnsi="Times New Roman" w:cs="Times New Roman" w:eastAsia="Times New Roman" w:hint="default"/>
        </w:rPr>
        <w:t>5,093,280</w:t>
      </w:r>
      <w:r>
        <w:rPr/>
        <w:t>股，预留授予限制性股票数量为</w:t>
      </w:r>
      <w:r>
        <w:rPr>
          <w:rFonts w:ascii="Times New Roman" w:hAnsi="Times New Roman" w:cs="Times New Roman" w:eastAsia="Times New Roman" w:hint="default"/>
        </w:rPr>
        <w:t>972,000</w:t>
      </w:r>
      <w:r>
        <w:rPr/>
        <w:t>股，预留限制性股票失效。</w:t>
      </w:r>
    </w:p>
    <w:p>
      <w:pPr>
        <w:pStyle w:val="BodyText"/>
        <w:spacing w:line="451" w:lineRule="auto" w:before="43"/>
        <w:ind w:right="1129" w:firstLine="432"/>
        <w:jc w:val="both"/>
      </w:pPr>
      <w:r>
        <w:rPr>
          <w:spacing w:val="-2"/>
        </w:rPr>
        <w:t>公司</w:t>
      </w:r>
      <w:r>
        <w:rPr>
          <w:rFonts w:ascii="Times New Roman" w:hAnsi="Times New Roman" w:cs="Times New Roman" w:eastAsia="Times New Roman" w:hint="default"/>
          <w:spacing w:val="-2"/>
        </w:rPr>
        <w:t>2017</w:t>
      </w:r>
      <w:r>
        <w:rPr>
          <w:spacing w:val="-2"/>
        </w:rPr>
        <w:t>年限制性股票激励计划首次授予的第一个限售期解除限售股份的上市流通日为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日，本次解除限售</w:t>
      </w:r>
      <w:r>
        <w:rPr/>
        <w:t> </w:t>
      </w:r>
      <w:r>
        <w:rPr>
          <w:spacing w:val="-2"/>
        </w:rPr>
        <w:t>的股数为</w:t>
      </w:r>
      <w:r>
        <w:rPr>
          <w:rFonts w:ascii="Times New Roman" w:hAnsi="Times New Roman" w:cs="Times New Roman" w:eastAsia="Times New Roman" w:hint="default"/>
          <w:spacing w:val="-2"/>
        </w:rPr>
        <w:t>1,015,416</w:t>
      </w:r>
      <w:r>
        <w:rPr>
          <w:spacing w:val="-2"/>
        </w:rPr>
        <w:t>股，申请解除限售的激励对象为</w:t>
      </w:r>
      <w:r>
        <w:rPr>
          <w:rFonts w:ascii="Times New Roman" w:hAnsi="Times New Roman" w:cs="Times New Roman" w:eastAsia="Times New Roman" w:hint="default"/>
          <w:spacing w:val="-2"/>
        </w:rPr>
        <w:t>87</w:t>
      </w:r>
      <w:r>
        <w:rPr>
          <w:spacing w:val="-2"/>
        </w:rPr>
        <w:t>名首次授予激励对象。详见巨潮资讯网《关于</w:t>
      </w:r>
      <w:r>
        <w:rPr>
          <w:rFonts w:ascii="Times New Roman" w:hAnsi="Times New Roman" w:cs="Times New Roman" w:eastAsia="Times New Roman" w:hint="default"/>
          <w:spacing w:val="-2"/>
        </w:rPr>
        <w:t>2017</w:t>
      </w:r>
      <w:r>
        <w:rPr>
          <w:spacing w:val="-2"/>
        </w:rPr>
        <w:t>年限制性股票激励计</w:t>
      </w:r>
      <w:r>
        <w:rPr>
          <w:spacing w:val="-54"/>
        </w:rPr>
        <w:t> </w:t>
      </w:r>
      <w:r>
        <w:rPr>
          <w:spacing w:val="-54"/>
        </w:rPr>
      </w:r>
      <w:r>
        <w:rPr/>
        <w:t>划第一期解锁股份上市流通的提示性公告》（公告编号：</w:t>
      </w:r>
      <w:r>
        <w:rPr>
          <w:rFonts w:ascii="Times New Roman" w:hAnsi="Times New Roman" w:cs="Times New Roman" w:eastAsia="Times New Roman" w:hint="default"/>
        </w:rPr>
        <w:t>2018-041</w:t>
      </w:r>
      <w:r>
        <w:rPr/>
        <w:t>）。</w:t>
      </w:r>
    </w:p>
    <w:p>
      <w:pPr>
        <w:pStyle w:val="BodyText"/>
        <w:spacing w:line="451" w:lineRule="auto" w:before="43"/>
        <w:ind w:right="1131" w:firstLine="360"/>
        <w:jc w:val="both"/>
      </w:pPr>
      <w:r>
        <w:rPr>
          <w:spacing w:val="-1"/>
        </w:rPr>
        <w:t>公司报告期内计提的股权激励费用为</w:t>
      </w:r>
      <w:r>
        <w:rPr>
          <w:rFonts w:ascii="Times New Roman" w:hAnsi="Times New Roman" w:cs="Times New Roman" w:eastAsia="Times New Roman" w:hint="default"/>
          <w:spacing w:val="-1"/>
        </w:rPr>
        <w:t>206.03</w:t>
      </w:r>
      <w:r>
        <w:rPr>
          <w:spacing w:val="-1"/>
        </w:rPr>
        <w:t>万元，占公司当期净利润的</w:t>
      </w:r>
      <w:r>
        <w:rPr>
          <w:rFonts w:ascii="Times New Roman" w:hAnsi="Times New Roman" w:cs="Times New Roman" w:eastAsia="Times New Roman" w:hint="default"/>
          <w:spacing w:val="-1"/>
        </w:rPr>
        <w:t>11.31%</w:t>
      </w:r>
      <w:r>
        <w:rPr>
          <w:spacing w:val="-1"/>
        </w:rPr>
        <w:t>，其中核心技术人员的股权激励费用占当</w:t>
      </w:r>
      <w:r>
        <w:rPr/>
        <w:t> 期股权激励费用的比例为</w:t>
      </w:r>
      <w:r>
        <w:rPr>
          <w:rFonts w:ascii="Times New Roman" w:hAnsi="Times New Roman" w:cs="Times New Roman" w:eastAsia="Times New Roman" w:hint="default"/>
        </w:rPr>
        <w:t>40.11%</w:t>
      </w:r>
      <w:r>
        <w:rPr/>
        <w:t>。</w:t>
      </w:r>
    </w:p>
    <w:p>
      <w:pPr>
        <w:spacing w:line="240" w:lineRule="auto" w:before="9"/>
        <w:rPr>
          <w:rFonts w:ascii="宋体" w:hAnsi="宋体" w:cs="宋体" w:eastAsia="宋体" w:hint="default"/>
          <w:sz w:val="16"/>
          <w:szCs w:val="16"/>
        </w:rPr>
      </w:pPr>
    </w:p>
    <w:p>
      <w:pPr>
        <w:pStyle w:val="Heading4"/>
        <w:spacing w:line="240" w:lineRule="auto"/>
        <w:ind w:right="1115"/>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67"/>
        <w:gridCol w:w="910"/>
        <w:gridCol w:w="509"/>
        <w:gridCol w:w="710"/>
        <w:gridCol w:w="709"/>
        <w:gridCol w:w="566"/>
        <w:gridCol w:w="708"/>
        <w:gridCol w:w="852"/>
        <w:gridCol w:w="703"/>
        <w:gridCol w:w="674"/>
        <w:gridCol w:w="463"/>
        <w:gridCol w:w="884"/>
        <w:gridCol w:w="535"/>
        <w:gridCol w:w="991"/>
      </w:tblGrid>
      <w:tr>
        <w:trPr>
          <w:trHeight w:val="1337"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8" w:right="96"/>
              <w:jc w:val="both"/>
              <w:rPr>
                <w:rFonts w:ascii="宋体" w:hAnsi="宋体" w:cs="宋体" w:eastAsia="宋体" w:hint="default"/>
                <w:sz w:val="18"/>
                <w:szCs w:val="18"/>
              </w:rPr>
            </w:pPr>
            <w:r>
              <w:rPr>
                <w:rFonts w:ascii="宋体" w:hAnsi="宋体" w:cs="宋体" w:eastAsia="宋体" w:hint="default"/>
                <w:sz w:val="18"/>
                <w:szCs w:val="18"/>
              </w:rPr>
              <w:t>关联 交易 方</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9" w:right="79"/>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7"/>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8" w:right="96"/>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7"/>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7"/>
              <w:ind w:left="23" w:right="-46"/>
              <w:jc w:val="left"/>
              <w:rPr>
                <w:rFonts w:ascii="宋体" w:hAnsi="宋体" w:cs="宋体" w:eastAsia="宋体" w:hint="default"/>
                <w:sz w:val="18"/>
                <w:szCs w:val="18"/>
              </w:rPr>
            </w:pPr>
            <w:r>
              <w:rPr>
                <w:rFonts w:ascii="宋体" w:hAnsi="宋体" w:cs="宋体" w:eastAsia="宋体" w:hint="default"/>
                <w:sz w:val="18"/>
                <w:szCs w:val="18"/>
              </w:rPr>
              <w:t>（万元）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9" w:right="60"/>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3"/>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5"/>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3" w:right="79"/>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4" w:right="171"/>
              <w:jc w:val="left"/>
              <w:rPr>
                <w:rFonts w:ascii="宋体" w:hAnsi="宋体" w:cs="宋体" w:eastAsia="宋体" w:hint="default"/>
                <w:sz w:val="18"/>
                <w:szCs w:val="18"/>
              </w:rPr>
            </w:pPr>
            <w:r>
              <w:rPr>
                <w:rFonts w:ascii="宋体" w:hAnsi="宋体" w:cs="宋体" w:eastAsia="宋体" w:hint="default"/>
                <w:sz w:val="18"/>
                <w:szCs w:val="18"/>
              </w:rPr>
              <w:t>陈茂 清</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53"/>
              <w:jc w:val="both"/>
              <w:rPr>
                <w:rFonts w:ascii="宋体" w:hAnsi="宋体" w:cs="宋体" w:eastAsia="宋体" w:hint="default"/>
                <w:sz w:val="18"/>
                <w:szCs w:val="18"/>
              </w:rPr>
            </w:pPr>
            <w:r>
              <w:rPr>
                <w:rFonts w:ascii="宋体" w:hAnsi="宋体" w:cs="宋体" w:eastAsia="宋体" w:hint="default"/>
                <w:sz w:val="18"/>
                <w:szCs w:val="18"/>
              </w:rPr>
              <w:t>实际控制 人邵健伟 的母亲</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4" w:right="113"/>
              <w:jc w:val="left"/>
              <w:rPr>
                <w:rFonts w:ascii="宋体" w:hAnsi="宋体" w:cs="宋体" w:eastAsia="宋体" w:hint="default"/>
                <w:sz w:val="18"/>
                <w:szCs w:val="18"/>
              </w:rPr>
            </w:pPr>
            <w:r>
              <w:rPr>
                <w:rFonts w:ascii="宋体" w:hAnsi="宋体" w:cs="宋体" w:eastAsia="宋体" w:hint="default"/>
                <w:sz w:val="18"/>
                <w:szCs w:val="18"/>
              </w:rPr>
              <w:t>租入 资产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34"/>
              <w:jc w:val="both"/>
              <w:rPr>
                <w:rFonts w:ascii="宋体" w:hAnsi="宋体" w:cs="宋体" w:eastAsia="宋体" w:hint="default"/>
                <w:sz w:val="18"/>
                <w:szCs w:val="18"/>
              </w:rPr>
            </w:pPr>
            <w:r>
              <w:rPr>
                <w:rFonts w:ascii="宋体" w:hAnsi="宋体" w:cs="宋体" w:eastAsia="宋体" w:hint="default"/>
                <w:sz w:val="18"/>
                <w:szCs w:val="18"/>
              </w:rPr>
              <w:t>参照市 场价格 的协议 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z w:val="18"/>
              </w:rPr>
              <w:t>80.58</w:t>
            </w:r>
          </w:p>
          <w:p>
            <w:pPr>
              <w:pStyle w:val="TableParagraph"/>
              <w:spacing w:line="300" w:lineRule="auto" w:before="60"/>
              <w:ind w:left="23" w:right="120"/>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 方米</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75-115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4" w:lineRule="auto" w:before="74"/>
              <w:ind w:left="23" w:right="18"/>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年度日常关 联交易预计 </w:t>
            </w:r>
            <w:r>
              <w:rPr>
                <w:rFonts w:ascii="宋体" w:hAnsi="宋体" w:cs="宋体" w:eastAsia="宋体" w:hint="default"/>
                <w:spacing w:val="-25"/>
                <w:sz w:val="18"/>
                <w:szCs w:val="18"/>
              </w:rPr>
              <w:t>的公告》（公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Times New Roman" w:hAnsi="Times New Roman" w:cs="Times New Roman" w:eastAsia="Times New Roman" w:hint="default"/>
                <w:sz w:val="18"/>
                <w:szCs w:val="18"/>
              </w:rPr>
              <w:t>2018-015</w:t>
            </w:r>
            <w:r>
              <w:rPr>
                <w:rFonts w:ascii="宋体" w:hAnsi="宋体" w:cs="宋体" w:eastAsia="宋体" w:hint="default"/>
                <w:sz w:val="18"/>
                <w:szCs w:val="18"/>
              </w:rPr>
              <w:t>）</w:t>
            </w:r>
          </w:p>
        </w:tc>
      </w:tr>
      <w:tr>
        <w:trPr>
          <w:trHeight w:val="227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171"/>
              <w:jc w:val="left"/>
              <w:rPr>
                <w:rFonts w:ascii="宋体" w:hAnsi="宋体" w:cs="宋体" w:eastAsia="宋体" w:hint="default"/>
                <w:sz w:val="18"/>
                <w:szCs w:val="18"/>
              </w:rPr>
            </w:pPr>
            <w:r>
              <w:rPr>
                <w:rFonts w:ascii="宋体" w:hAnsi="宋体" w:cs="宋体" w:eastAsia="宋体" w:hint="default"/>
                <w:sz w:val="18"/>
                <w:szCs w:val="18"/>
              </w:rPr>
              <w:t>邵健 锋</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153"/>
              <w:jc w:val="left"/>
              <w:rPr>
                <w:rFonts w:ascii="宋体" w:hAnsi="宋体" w:cs="宋体" w:eastAsia="宋体" w:hint="default"/>
                <w:sz w:val="18"/>
                <w:szCs w:val="18"/>
              </w:rPr>
            </w:pPr>
            <w:r>
              <w:rPr>
                <w:rFonts w:ascii="宋体" w:hAnsi="宋体" w:cs="宋体" w:eastAsia="宋体" w:hint="default"/>
                <w:sz w:val="18"/>
                <w:szCs w:val="18"/>
              </w:rPr>
              <w:t>上市公司 高管</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113"/>
              <w:jc w:val="left"/>
              <w:rPr>
                <w:rFonts w:ascii="宋体" w:hAnsi="宋体" w:cs="宋体" w:eastAsia="宋体" w:hint="default"/>
                <w:sz w:val="18"/>
                <w:szCs w:val="18"/>
              </w:rPr>
            </w:pPr>
            <w:r>
              <w:rPr>
                <w:rFonts w:ascii="宋体" w:hAnsi="宋体" w:cs="宋体" w:eastAsia="宋体" w:hint="default"/>
                <w:sz w:val="18"/>
                <w:szCs w:val="18"/>
              </w:rPr>
              <w:t>租入 资产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参照市 场价格 的协议 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z w:val="18"/>
              </w:rPr>
              <w:t>78.91</w:t>
            </w:r>
          </w:p>
          <w:p>
            <w:pPr>
              <w:pStyle w:val="TableParagraph"/>
              <w:spacing w:line="300" w:lineRule="auto" w:before="63"/>
              <w:ind w:left="23" w:right="120"/>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 方米</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75-115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4" w:lineRule="auto" w:before="76"/>
              <w:ind w:left="23" w:right="18"/>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年度日常关 联交易预计 </w:t>
            </w:r>
            <w:r>
              <w:rPr>
                <w:rFonts w:ascii="宋体" w:hAnsi="宋体" w:cs="宋体" w:eastAsia="宋体" w:hint="default"/>
                <w:spacing w:val="-25"/>
                <w:sz w:val="18"/>
                <w:szCs w:val="18"/>
              </w:rPr>
              <w:t>的公告》（公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Times New Roman" w:hAnsi="Times New Roman" w:cs="Times New Roman" w:eastAsia="Times New Roman" w:hint="default"/>
                <w:sz w:val="18"/>
                <w:szCs w:val="18"/>
              </w:rPr>
              <w:t>2018-015</w:t>
            </w:r>
            <w:r>
              <w:rPr>
                <w:rFonts w:ascii="宋体" w:hAnsi="宋体" w:cs="宋体" w:eastAsia="宋体" w:hint="default"/>
                <w:sz w:val="18"/>
                <w:szCs w:val="18"/>
              </w:rPr>
              <w:t>）</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邵健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实际控制</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为上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为上市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无偿</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无偿</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1"/>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67"/>
        <w:gridCol w:w="910"/>
        <w:gridCol w:w="509"/>
        <w:gridCol w:w="710"/>
        <w:gridCol w:w="709"/>
        <w:gridCol w:w="566"/>
        <w:gridCol w:w="708"/>
        <w:gridCol w:w="852"/>
        <w:gridCol w:w="703"/>
        <w:gridCol w:w="674"/>
        <w:gridCol w:w="463"/>
        <w:gridCol w:w="884"/>
        <w:gridCol w:w="535"/>
        <w:gridCol w:w="991"/>
      </w:tblGrid>
      <w:tr>
        <w:trPr>
          <w:trHeight w:val="192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0"/>
              <w:jc w:val="left"/>
              <w:rPr>
                <w:rFonts w:ascii="宋体" w:hAnsi="宋体" w:cs="宋体" w:eastAsia="宋体" w:hint="default"/>
                <w:sz w:val="18"/>
                <w:szCs w:val="18"/>
              </w:rPr>
            </w:pPr>
            <w:r>
              <w:rPr>
                <w:rFonts w:ascii="宋体" w:hAnsi="宋体" w:cs="宋体" w:eastAsia="宋体" w:hint="default"/>
                <w:spacing w:val="-10"/>
                <w:sz w:val="18"/>
                <w:szCs w:val="18"/>
              </w:rPr>
              <w:t>伟、马</w:t>
            </w:r>
            <w:r>
              <w:rPr>
                <w:rFonts w:ascii="宋体" w:hAnsi="宋体" w:cs="宋体" w:eastAsia="宋体" w:hint="default"/>
                <w:sz w:val="18"/>
                <w:szCs w:val="18"/>
              </w:rPr>
              <w:t> 琳</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53"/>
              <w:jc w:val="left"/>
              <w:rPr>
                <w:rFonts w:ascii="宋体" w:hAnsi="宋体" w:cs="宋体" w:eastAsia="宋体" w:hint="default"/>
                <w:sz w:val="18"/>
                <w:szCs w:val="18"/>
              </w:rPr>
            </w:pPr>
            <w:r>
              <w:rPr>
                <w:rFonts w:ascii="宋体" w:hAnsi="宋体" w:cs="宋体" w:eastAsia="宋体" w:hint="default"/>
                <w:sz w:val="18"/>
                <w:szCs w:val="18"/>
              </w:rPr>
              <w:t>人及其配 偶</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3"/>
              <w:jc w:val="both"/>
              <w:rPr>
                <w:rFonts w:ascii="宋体" w:hAnsi="宋体" w:cs="宋体" w:eastAsia="宋体" w:hint="default"/>
                <w:sz w:val="18"/>
                <w:szCs w:val="18"/>
              </w:rPr>
            </w:pPr>
            <w:r>
              <w:rPr>
                <w:rFonts w:ascii="宋体" w:hAnsi="宋体" w:cs="宋体" w:eastAsia="宋体" w:hint="default"/>
                <w:sz w:val="18"/>
                <w:szCs w:val="18"/>
              </w:rPr>
              <w:t>市公 司提 供担 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34"/>
              <w:jc w:val="left"/>
              <w:rPr>
                <w:rFonts w:ascii="宋体" w:hAnsi="宋体" w:cs="宋体" w:eastAsia="宋体" w:hint="default"/>
                <w:sz w:val="18"/>
                <w:szCs w:val="18"/>
              </w:rPr>
            </w:pPr>
            <w:r>
              <w:rPr>
                <w:rFonts w:ascii="宋体" w:hAnsi="宋体" w:cs="宋体" w:eastAsia="宋体" w:hint="default"/>
                <w:sz w:val="18"/>
                <w:szCs w:val="18"/>
              </w:rPr>
              <w:t>公司提 供担保</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8"/>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年度日常关 联交易预计 </w:t>
            </w:r>
            <w:r>
              <w:rPr>
                <w:rFonts w:ascii="宋体" w:hAnsi="宋体" w:cs="宋体" w:eastAsia="宋体" w:hint="default"/>
                <w:spacing w:val="-25"/>
                <w:sz w:val="18"/>
                <w:szCs w:val="18"/>
              </w:rPr>
              <w:t>的公告》（公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Times New Roman" w:hAnsi="Times New Roman" w:cs="Times New Roman" w:eastAsia="Times New Roman" w:hint="default"/>
                <w:sz w:val="18"/>
                <w:szCs w:val="18"/>
              </w:rPr>
              <w:t>2018-015</w:t>
            </w:r>
            <w:r>
              <w:rPr>
                <w:rFonts w:ascii="宋体" w:hAnsi="宋体" w:cs="宋体" w:eastAsia="宋体" w:hint="default"/>
                <w:sz w:val="18"/>
                <w:szCs w:val="18"/>
              </w:rPr>
              <w:t>）</w:t>
            </w:r>
          </w:p>
        </w:tc>
      </w:tr>
      <w:tr>
        <w:trPr>
          <w:trHeight w:val="227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71"/>
              <w:jc w:val="left"/>
              <w:rPr>
                <w:rFonts w:ascii="宋体" w:hAnsi="宋体" w:cs="宋体" w:eastAsia="宋体" w:hint="default"/>
                <w:sz w:val="18"/>
                <w:szCs w:val="18"/>
              </w:rPr>
            </w:pPr>
            <w:r>
              <w:rPr>
                <w:rFonts w:ascii="宋体" w:hAnsi="宋体" w:cs="宋体" w:eastAsia="宋体" w:hint="default"/>
                <w:sz w:val="18"/>
                <w:szCs w:val="18"/>
              </w:rPr>
              <w:t>邵建 莲</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53"/>
              <w:jc w:val="both"/>
              <w:rPr>
                <w:rFonts w:ascii="宋体" w:hAnsi="宋体" w:cs="宋体" w:eastAsia="宋体" w:hint="default"/>
                <w:sz w:val="18"/>
                <w:szCs w:val="18"/>
              </w:rPr>
            </w:pPr>
            <w:r>
              <w:rPr>
                <w:rFonts w:ascii="宋体" w:hAnsi="宋体" w:cs="宋体" w:eastAsia="宋体" w:hint="default"/>
                <w:sz w:val="18"/>
                <w:szCs w:val="18"/>
              </w:rPr>
              <w:t>实际控制 人邵健伟 的妹妹</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13"/>
              <w:jc w:val="left"/>
              <w:rPr>
                <w:rFonts w:ascii="宋体" w:hAnsi="宋体" w:cs="宋体" w:eastAsia="宋体" w:hint="default"/>
                <w:sz w:val="18"/>
                <w:szCs w:val="18"/>
              </w:rPr>
            </w:pPr>
            <w:r>
              <w:rPr>
                <w:rFonts w:ascii="宋体" w:hAnsi="宋体" w:cs="宋体" w:eastAsia="宋体" w:hint="default"/>
                <w:sz w:val="18"/>
                <w:szCs w:val="18"/>
              </w:rPr>
              <w:t>租入 资产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34"/>
              <w:jc w:val="both"/>
              <w:rPr>
                <w:rFonts w:ascii="宋体" w:hAnsi="宋体" w:cs="宋体" w:eastAsia="宋体" w:hint="default"/>
                <w:sz w:val="18"/>
                <w:szCs w:val="18"/>
              </w:rPr>
            </w:pPr>
            <w:r>
              <w:rPr>
                <w:rFonts w:ascii="宋体" w:hAnsi="宋体" w:cs="宋体" w:eastAsia="宋体" w:hint="default"/>
                <w:sz w:val="18"/>
                <w:szCs w:val="18"/>
              </w:rPr>
              <w:t>参照市 场价格 的协议 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z w:val="18"/>
              </w:rPr>
              <w:t>91.63</w:t>
            </w:r>
          </w:p>
          <w:p>
            <w:pPr>
              <w:pStyle w:val="TableParagraph"/>
              <w:spacing w:line="300" w:lineRule="auto" w:before="63"/>
              <w:ind w:left="23" w:right="120"/>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 方米</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3.49%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转账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75-115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4" w:lineRule="auto" w:before="76"/>
              <w:ind w:left="23" w:right="18"/>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年度日常关 联交易预计 </w:t>
            </w:r>
            <w:r>
              <w:rPr>
                <w:rFonts w:ascii="宋体" w:hAnsi="宋体" w:cs="宋体" w:eastAsia="宋体" w:hint="default"/>
                <w:spacing w:val="-25"/>
                <w:sz w:val="18"/>
                <w:szCs w:val="18"/>
              </w:rPr>
              <w:t>的公告》（公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Times New Roman" w:hAnsi="Times New Roman" w:cs="Times New Roman" w:eastAsia="Times New Roman" w:hint="default"/>
                <w:sz w:val="18"/>
                <w:szCs w:val="18"/>
              </w:rPr>
              <w:t>2018-015</w:t>
            </w:r>
            <w:r>
              <w:rPr>
                <w:rFonts w:ascii="宋体" w:hAnsi="宋体" w:cs="宋体" w:eastAsia="宋体" w:hint="default"/>
                <w:sz w:val="18"/>
                <w:szCs w:val="18"/>
              </w:rPr>
              <w:t>）</w:t>
            </w:r>
          </w:p>
        </w:tc>
      </w:tr>
      <w:tr>
        <w:trPr>
          <w:trHeight w:val="404" w:hRule="exact"/>
        </w:trPr>
        <w:tc>
          <w:tcPr>
            <w:tcW w:w="26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77.1</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77.1</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6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708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26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 </w:t>
            </w:r>
            <w:r>
              <w:rPr>
                <w:rFonts w:ascii="宋体" w:hAnsi="宋体" w:cs="宋体" w:eastAsia="宋体" w:hint="default"/>
                <w:spacing w:val="-5"/>
                <w:sz w:val="18"/>
                <w:szCs w:val="18"/>
              </w:rPr>
              <w:t>交易进行总金额预计的，在报告期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内的实际履行情况（如有）</w:t>
            </w:r>
          </w:p>
        </w:tc>
        <w:tc>
          <w:tcPr>
            <w:tcW w:w="708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6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 大的原因（如适用）</w:t>
            </w:r>
          </w:p>
        </w:tc>
        <w:tc>
          <w:tcPr>
            <w:tcW w:w="708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5"/>
        <w:spacing w:line="240" w:lineRule="auto"/>
        <w:ind w:right="1115"/>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5"/>
        <w:spacing w:line="240" w:lineRule="auto"/>
        <w:ind w:right="1115"/>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6"/>
        <w:rPr>
          <w:rFonts w:ascii="宋体" w:hAnsi="宋体" w:cs="宋体" w:eastAsia="宋体" w:hint="default"/>
          <w:sz w:val="21"/>
          <w:szCs w:val="21"/>
        </w:rPr>
      </w:pPr>
    </w:p>
    <w:p>
      <w:pPr>
        <w:pStyle w:val="Heading5"/>
        <w:spacing w:line="240" w:lineRule="auto"/>
        <w:ind w:right="1115"/>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38"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15"/>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8"/>
        <w:rPr>
          <w:rFonts w:ascii="宋体" w:hAnsi="宋体" w:cs="宋体" w:eastAsia="宋体" w:hint="default"/>
          <w:sz w:val="21"/>
          <w:szCs w:val="21"/>
        </w:rPr>
      </w:pPr>
    </w:p>
    <w:p>
      <w:pPr>
        <w:pStyle w:val="Heading5"/>
        <w:spacing w:line="240" w:lineRule="auto"/>
        <w:ind w:right="1115"/>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租赁情况说明</w:t>
      </w:r>
    </w:p>
    <w:p>
      <w:pPr>
        <w:pStyle w:val="BodyText"/>
        <w:spacing w:line="240" w:lineRule="auto" w:before="118"/>
        <w:ind w:left="513" w:right="1115"/>
        <w:jc w:val="left"/>
      </w:pPr>
      <w:r>
        <w:rPr/>
        <w:t>公司及附属子公司生产经营租用的房产具体情况如下：</w:t>
      </w:r>
    </w:p>
    <w:p>
      <w:pPr>
        <w:spacing w:line="240" w:lineRule="auto" w:before="12"/>
        <w:rPr>
          <w:rFonts w:ascii="宋体" w:hAnsi="宋体" w:cs="宋体" w:eastAsia="宋体" w:hint="default"/>
          <w:sz w:val="20"/>
          <w:szCs w:val="20"/>
        </w:rPr>
      </w:pPr>
    </w:p>
    <w:p>
      <w:pPr>
        <w:pStyle w:val="BodyText"/>
        <w:spacing w:line="240" w:lineRule="auto"/>
        <w:ind w:left="513" w:right="998"/>
        <w:jc w:val="left"/>
        <w:rPr>
          <w:rFonts w:ascii="Times New Roman" w:hAnsi="Times New Roman" w:cs="Times New Roman" w:eastAsia="Times New Roman" w:hint="default"/>
        </w:rPr>
      </w:pPr>
      <w:r>
        <w:rPr>
          <w:rFonts w:ascii="Times New Roman" w:hAnsi="Times New Roman" w:cs="Times New Roman" w:eastAsia="Times New Roman" w:hint="default"/>
          <w:spacing w:val="-4"/>
        </w:rPr>
        <w:t>1</w:t>
      </w:r>
      <w:r>
        <w:rPr>
          <w:spacing w:val="-4"/>
        </w:rPr>
        <w:t>、向邵健锋租赁其位于罗湖区笋岗东路宝安广场</w:t>
      </w:r>
      <w:r>
        <w:rPr>
          <w:rFonts w:ascii="Times New Roman" w:hAnsi="Times New Roman" w:cs="Times New Roman" w:eastAsia="Times New Roman" w:hint="default"/>
          <w:spacing w:val="-4"/>
        </w:rPr>
        <w:t>A</w:t>
      </w:r>
      <w:r>
        <w:rPr>
          <w:spacing w:val="-4"/>
        </w:rPr>
        <w:t>座</w:t>
      </w:r>
      <w:r>
        <w:rPr>
          <w:rFonts w:ascii="Times New Roman" w:hAnsi="Times New Roman" w:cs="Times New Roman" w:eastAsia="Times New Roman" w:hint="default"/>
          <w:spacing w:val="-4"/>
        </w:rPr>
        <w:t>9A</w:t>
      </w:r>
      <w:r>
        <w:rPr>
          <w:spacing w:val="-4"/>
        </w:rPr>
        <w:t>、</w:t>
      </w:r>
      <w:r>
        <w:rPr>
          <w:rFonts w:ascii="Times New Roman" w:hAnsi="Times New Roman" w:cs="Times New Roman" w:eastAsia="Times New Roman" w:hint="default"/>
          <w:spacing w:val="-4"/>
        </w:rPr>
        <w:t>10C\D</w:t>
      </w:r>
      <w:r>
        <w:rPr>
          <w:spacing w:val="-4"/>
        </w:rPr>
        <w:t>的房产用于公司办公，建筑面积</w:t>
      </w:r>
      <w:r>
        <w:rPr>
          <w:rFonts w:ascii="Times New Roman" w:hAnsi="Times New Roman" w:cs="Times New Roman" w:eastAsia="Times New Roman" w:hint="default"/>
          <w:spacing w:val="-4"/>
        </w:rPr>
        <w:t>304.14</w:t>
      </w:r>
      <w:r>
        <w:rPr>
          <w:spacing w:val="-4"/>
        </w:rPr>
        <w:t>㎡，有效期至</w:t>
      </w:r>
      <w:r>
        <w:rPr>
          <w:rFonts w:ascii="Times New Roman" w:hAnsi="Times New Roman" w:cs="Times New Roman" w:eastAsia="Times New Roman" w:hint="default"/>
          <w:spacing w:val="-4"/>
        </w:rPr>
        <w:t>2019</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5"/>
        <w:jc w:val="left"/>
      </w:pP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日，租金</w:t>
      </w:r>
      <w:r>
        <w:rPr>
          <w:rFonts w:ascii="Times New Roman" w:hAnsi="Times New Roman" w:cs="Times New Roman" w:eastAsia="Times New Roman" w:hint="default"/>
        </w:rPr>
        <w:t>24,000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998"/>
        <w:jc w:val="left"/>
      </w:pPr>
      <w:r>
        <w:rPr>
          <w:rFonts w:ascii="Times New Roman" w:hAnsi="Times New Roman" w:cs="Times New Roman" w:eastAsia="Times New Roman" w:hint="default"/>
        </w:rPr>
        <w:t>2</w:t>
      </w:r>
      <w:r>
        <w:rPr/>
        <w:t>、向陈茂清租赁其位于罗湖区笋岗东路宝安广场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10E</w:t>
      </w:r>
      <w:r>
        <w:rPr/>
        <w:t>的房产用于公司办公，建筑面积</w:t>
      </w:r>
      <w:r>
        <w:rPr>
          <w:rFonts w:ascii="Times New Roman" w:hAnsi="Times New Roman" w:cs="Times New Roman" w:eastAsia="Times New Roman" w:hint="default"/>
        </w:rPr>
        <w:t>98.22</w:t>
      </w:r>
      <w:r>
        <w:rPr/>
        <w:t>㎡，有效期至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p>
    <w:p>
      <w:pPr>
        <w:spacing w:line="240" w:lineRule="auto" w:before="9"/>
        <w:rPr>
          <w:rFonts w:ascii="宋体" w:hAnsi="宋体" w:cs="宋体" w:eastAsia="宋体" w:hint="default"/>
          <w:sz w:val="16"/>
          <w:szCs w:val="16"/>
        </w:rPr>
      </w:pPr>
    </w:p>
    <w:p>
      <w:pPr>
        <w:pStyle w:val="BodyText"/>
        <w:spacing w:line="240" w:lineRule="auto"/>
        <w:ind w:right="1115"/>
        <w:jc w:val="left"/>
      </w:pPr>
      <w:r>
        <w:rPr>
          <w:rFonts w:ascii="Times New Roman" w:hAnsi="Times New Roman" w:cs="Times New Roman" w:eastAsia="Times New Roman" w:hint="default"/>
        </w:rPr>
        <w:t>23</w:t>
      </w:r>
      <w:r>
        <w:rPr/>
        <w:t>日，租金</w:t>
      </w:r>
      <w:r>
        <w:rPr>
          <w:rFonts w:ascii="Times New Roman" w:hAnsi="Times New Roman" w:cs="Times New Roman" w:eastAsia="Times New Roman" w:hint="default"/>
        </w:rPr>
        <w:t>8,000</w:t>
      </w:r>
      <w:r>
        <w:rPr/>
        <w:t>元</w:t>
      </w:r>
      <w:r>
        <w:rPr>
          <w:rFonts w:ascii="Times New Roman" w:hAnsi="Times New Roman" w:cs="Times New Roman" w:eastAsia="Times New Roman" w:hint="default"/>
        </w:rPr>
        <w:t>/</w:t>
      </w:r>
      <w:r>
        <w:rPr/>
        <w:t>月；</w:t>
      </w:r>
    </w:p>
    <w:p>
      <w:pPr>
        <w:spacing w:line="240" w:lineRule="auto" w:before="10"/>
        <w:rPr>
          <w:rFonts w:ascii="宋体" w:hAnsi="宋体" w:cs="宋体" w:eastAsia="宋体" w:hint="default"/>
          <w:sz w:val="16"/>
          <w:szCs w:val="16"/>
        </w:rPr>
      </w:pPr>
    </w:p>
    <w:p>
      <w:pPr>
        <w:pStyle w:val="BodyText"/>
        <w:spacing w:line="240" w:lineRule="auto"/>
        <w:ind w:left="513" w:right="998"/>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、向陈茂清租赁其位于罗湖区笋岗东路宝安广场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10F\G\H</w:t>
      </w:r>
      <w:r>
        <w:rPr/>
        <w:t>的房产用于公司办公，建筑面积</w:t>
      </w:r>
      <w:r>
        <w:rPr>
          <w:rFonts w:ascii="Times New Roman" w:hAnsi="Times New Roman" w:cs="Times New Roman" w:eastAsia="Times New Roman" w:hint="default"/>
        </w:rPr>
        <w:t>298.89</w:t>
      </w:r>
      <w:r>
        <w:rPr/>
        <w:t>㎡，有效期至</w:t>
      </w:r>
      <w:r>
        <w:rPr>
          <w:rFonts w:ascii="Times New Roman" w:hAnsi="Times New Roman" w:cs="Times New Roman" w:eastAsia="Times New Roman" w:hint="default"/>
        </w:rPr>
        <w:t>2019</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5"/>
        <w:jc w:val="left"/>
      </w:pP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日，租金</w:t>
      </w:r>
      <w:r>
        <w:rPr>
          <w:rFonts w:ascii="Times New Roman" w:hAnsi="Times New Roman" w:cs="Times New Roman" w:eastAsia="Times New Roman" w:hint="default"/>
        </w:rPr>
        <w:t>24,000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998"/>
        <w:jc w:val="left"/>
        <w:rPr>
          <w:rFonts w:ascii="Times New Roman" w:hAnsi="Times New Roman" w:cs="Times New Roman" w:eastAsia="Times New Roman" w:hint="default"/>
        </w:rPr>
      </w:pPr>
      <w:r>
        <w:rPr>
          <w:rFonts w:ascii="Times New Roman" w:hAnsi="Times New Roman" w:cs="Times New Roman" w:eastAsia="Times New Roman" w:hint="default"/>
        </w:rPr>
        <w:t>4</w:t>
      </w:r>
      <w:r>
        <w:rPr/>
        <w:t>、向邵建莲租赁其位于罗湖区笋岗东路宝安广场</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23E</w:t>
      </w:r>
      <w:r>
        <w:rPr/>
        <w:t>的房产用于公司办公</w:t>
      </w:r>
      <w:r>
        <w:rPr>
          <w:rFonts w:ascii="Times New Roman" w:hAnsi="Times New Roman" w:cs="Times New Roman" w:eastAsia="Times New Roman" w:hint="default"/>
        </w:rPr>
        <w:t>,</w:t>
      </w:r>
      <w:r>
        <w:rPr/>
        <w:t>建筑面积</w:t>
      </w:r>
      <w:r>
        <w:rPr>
          <w:rFonts w:ascii="Times New Roman" w:hAnsi="Times New Roman" w:cs="Times New Roman" w:eastAsia="Times New Roman" w:hint="default"/>
        </w:rPr>
        <w:t>98.22</w:t>
      </w:r>
      <w:r>
        <w:rPr/>
        <w:t>㎡，有效期至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5"/>
        <w:jc w:val="left"/>
      </w:pPr>
      <w:r>
        <w:rPr/>
        <w:t>日，租金</w:t>
      </w:r>
      <w:r>
        <w:rPr>
          <w:rFonts w:ascii="Times New Roman" w:hAnsi="Times New Roman" w:cs="Times New Roman" w:eastAsia="Times New Roman" w:hint="default"/>
        </w:rPr>
        <w:t>9000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998"/>
        <w:jc w:val="left"/>
        <w:rPr>
          <w:rFonts w:ascii="Times New Roman" w:hAnsi="Times New Roman" w:cs="Times New Roman" w:eastAsia="Times New Roman" w:hint="default"/>
        </w:rPr>
      </w:pPr>
      <w:r>
        <w:rPr>
          <w:rFonts w:ascii="Times New Roman" w:hAnsi="Times New Roman" w:cs="Times New Roman" w:eastAsia="Times New Roman" w:hint="default"/>
        </w:rPr>
        <w:t>5</w:t>
      </w:r>
      <w:r>
        <w:rPr/>
        <w:t>、向邵建莲租赁其位于罗湖区笋岗东路宝安广场</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23E</w:t>
      </w:r>
      <w:r>
        <w:rPr/>
        <w:t>的房产用于公司办公</w:t>
      </w:r>
      <w:r>
        <w:rPr>
          <w:rFonts w:ascii="Times New Roman" w:hAnsi="Times New Roman" w:cs="Times New Roman" w:eastAsia="Times New Roman" w:hint="default"/>
        </w:rPr>
        <w:t>,</w:t>
      </w:r>
      <w:r>
        <w:rPr/>
        <w:t>建筑面积</w:t>
      </w:r>
      <w:r>
        <w:rPr>
          <w:rFonts w:ascii="Times New Roman" w:hAnsi="Times New Roman" w:cs="Times New Roman" w:eastAsia="Times New Roman" w:hint="default"/>
        </w:rPr>
        <w:t>98.22</w:t>
      </w:r>
      <w:r>
        <w:rPr/>
        <w:t>㎡，有效期至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5"/>
        <w:jc w:val="left"/>
      </w:pPr>
      <w:r>
        <w:rPr/>
        <w:t>日，租金</w:t>
      </w:r>
      <w:r>
        <w:rPr>
          <w:rFonts w:ascii="Times New Roman" w:hAnsi="Times New Roman" w:cs="Times New Roman" w:eastAsia="Times New Roman" w:hint="default"/>
        </w:rPr>
        <w:t>9000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998"/>
        <w:jc w:val="left"/>
        <w:rPr>
          <w:rFonts w:ascii="Times New Roman" w:hAnsi="Times New Roman" w:cs="Times New Roman" w:eastAsia="Times New Roman" w:hint="default"/>
        </w:rPr>
      </w:pPr>
      <w:r>
        <w:rPr>
          <w:rFonts w:ascii="Times New Roman" w:hAnsi="Times New Roman" w:cs="Times New Roman" w:eastAsia="Times New Roman" w:hint="default"/>
        </w:rPr>
        <w:t>6</w:t>
      </w:r>
      <w:r>
        <w:rPr/>
        <w:t>、向何娟租赁其位于罗湖区笋岗东路宝安广场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16A</w:t>
      </w:r>
      <w:r>
        <w:rPr/>
        <w:t>的房产用于公司办公，建筑面积</w:t>
      </w:r>
      <w:r>
        <w:rPr>
          <w:rFonts w:ascii="Times New Roman" w:hAnsi="Times New Roman" w:cs="Times New Roman" w:eastAsia="Times New Roman" w:hint="default"/>
        </w:rPr>
        <w:t>98.2</w:t>
      </w:r>
      <w:r>
        <w:rPr/>
        <w:t>㎡，有效期至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5"/>
        <w:jc w:val="left"/>
      </w:pPr>
      <w:r>
        <w:rPr/>
        <w:t>日，租金</w:t>
      </w:r>
      <w:r>
        <w:rPr>
          <w:rFonts w:ascii="Times New Roman" w:hAnsi="Times New Roman" w:cs="Times New Roman" w:eastAsia="Times New Roman" w:hint="default"/>
        </w:rPr>
        <w:t>9,500</w:t>
      </w:r>
      <w:r>
        <w:rPr/>
        <w:t>元</w:t>
      </w:r>
      <w:r>
        <w:rPr>
          <w:rFonts w:ascii="Times New Roman" w:hAnsi="Times New Roman" w:cs="Times New Roman" w:eastAsia="Times New Roman" w:hint="default"/>
        </w:rPr>
        <w:t>/</w:t>
      </w:r>
      <w:r>
        <w:rPr/>
        <w:t>月；</w:t>
      </w:r>
    </w:p>
    <w:p>
      <w:pPr>
        <w:spacing w:line="240" w:lineRule="auto" w:before="10"/>
        <w:rPr>
          <w:rFonts w:ascii="宋体" w:hAnsi="宋体" w:cs="宋体" w:eastAsia="宋体" w:hint="default"/>
          <w:sz w:val="16"/>
          <w:szCs w:val="16"/>
        </w:rPr>
      </w:pPr>
    </w:p>
    <w:p>
      <w:pPr>
        <w:pStyle w:val="BodyText"/>
        <w:spacing w:line="240" w:lineRule="auto"/>
        <w:ind w:left="513" w:right="1115"/>
        <w:jc w:val="left"/>
        <w:rPr>
          <w:rFonts w:ascii="Times New Roman" w:hAnsi="Times New Roman" w:cs="Times New Roman" w:eastAsia="Times New Roman" w:hint="default"/>
        </w:rPr>
      </w:pPr>
      <w:r>
        <w:rPr>
          <w:rFonts w:ascii="Times New Roman" w:hAnsi="Times New Roman" w:cs="Times New Roman" w:eastAsia="Times New Roman" w:hint="default"/>
        </w:rPr>
        <w:t>7</w:t>
      </w:r>
      <w:r>
        <w:rPr/>
        <w:t>、向余惜妹租赁其位于罗湖区笋岗东路宝安广场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16F</w:t>
      </w:r>
      <w:r>
        <w:rPr/>
        <w:t>的房产用于公司办公，建筑面积</w:t>
      </w:r>
      <w:r>
        <w:rPr>
          <w:rFonts w:ascii="Times New Roman" w:hAnsi="Times New Roman" w:cs="Times New Roman" w:eastAsia="Times New Roman" w:hint="default"/>
        </w:rPr>
        <w:t>100.42</w:t>
      </w:r>
      <w:r>
        <w:rPr/>
        <w:t>㎡，有效期至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5"/>
        <w:jc w:val="left"/>
      </w:pPr>
      <w:r>
        <w:rPr/>
        <w:t>月</w:t>
      </w:r>
      <w:r>
        <w:rPr>
          <w:rFonts w:ascii="Times New Roman" w:hAnsi="Times New Roman" w:cs="Times New Roman" w:eastAsia="Times New Roman" w:hint="default"/>
        </w:rPr>
        <w:t>31</w:t>
      </w:r>
      <w:r>
        <w:rPr/>
        <w:t>日，租金</w:t>
      </w:r>
      <w:r>
        <w:rPr>
          <w:rFonts w:ascii="Times New Roman" w:hAnsi="Times New Roman" w:cs="Times New Roman" w:eastAsia="Times New Roman" w:hint="default"/>
        </w:rPr>
        <w:t>8,500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998"/>
        <w:jc w:val="left"/>
      </w:pPr>
      <w:r>
        <w:rPr>
          <w:rFonts w:ascii="Times New Roman" w:hAnsi="Times New Roman" w:cs="Times New Roman" w:eastAsia="Times New Roman" w:hint="default"/>
        </w:rPr>
        <w:t>8</w:t>
      </w:r>
      <w:r>
        <w:rPr/>
        <w:t>、向罗玉琼租赁其位于罗湖区笋岗东路宝安广场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16E</w:t>
      </w:r>
      <w:r>
        <w:rPr/>
        <w:t>的房产用于公司办公，建筑面积</w:t>
      </w:r>
      <w:r>
        <w:rPr>
          <w:rFonts w:ascii="Times New Roman" w:hAnsi="Times New Roman" w:cs="Times New Roman" w:eastAsia="Times New Roman" w:hint="default"/>
        </w:rPr>
        <w:t>98.22</w:t>
      </w:r>
      <w:r>
        <w:rPr/>
        <w:t>㎡，有效期至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p>
    <w:p>
      <w:pPr>
        <w:spacing w:line="240" w:lineRule="auto" w:before="9"/>
        <w:rPr>
          <w:rFonts w:ascii="宋体" w:hAnsi="宋体" w:cs="宋体" w:eastAsia="宋体" w:hint="default"/>
          <w:sz w:val="16"/>
          <w:szCs w:val="16"/>
        </w:rPr>
      </w:pPr>
    </w:p>
    <w:p>
      <w:pPr>
        <w:pStyle w:val="BodyText"/>
        <w:spacing w:line="240" w:lineRule="auto"/>
        <w:ind w:right="1115"/>
        <w:jc w:val="left"/>
      </w:pPr>
      <w:r>
        <w:rPr>
          <w:rFonts w:ascii="Times New Roman" w:hAnsi="Times New Roman" w:cs="Times New Roman" w:eastAsia="Times New Roman" w:hint="default"/>
        </w:rPr>
        <w:t>28</w:t>
      </w:r>
      <w:r>
        <w:rPr/>
        <w:t>日，租金</w:t>
      </w:r>
      <w:r>
        <w:rPr>
          <w:rFonts w:ascii="Times New Roman" w:hAnsi="Times New Roman" w:cs="Times New Roman" w:eastAsia="Times New Roman" w:hint="default"/>
        </w:rPr>
        <w:t>9,600</w:t>
      </w:r>
      <w:r>
        <w:rPr/>
        <w:t>元</w:t>
      </w:r>
      <w:r>
        <w:rPr>
          <w:rFonts w:ascii="Times New Roman" w:hAnsi="Times New Roman" w:cs="Times New Roman" w:eastAsia="Times New Roman" w:hint="default"/>
        </w:rPr>
        <w:t>/</w:t>
      </w:r>
      <w:r>
        <w:rPr/>
        <w:t>月；</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604" w:right="1115"/>
        <w:jc w:val="left"/>
        <w:rPr>
          <w:rFonts w:ascii="Times New Roman" w:hAnsi="Times New Roman" w:cs="Times New Roman" w:eastAsia="Times New Roman" w:hint="default"/>
        </w:rPr>
      </w:pPr>
      <w:r>
        <w:rPr>
          <w:rFonts w:ascii="Times New Roman" w:hAnsi="Times New Roman" w:cs="Times New Roman" w:eastAsia="Times New Roman" w:hint="default"/>
        </w:rPr>
        <w:t>9</w:t>
      </w:r>
      <w:r>
        <w:rPr/>
        <w:t>、向罗玉琼租赁其位于罗湖区笋岗东路宝安广场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16E</w:t>
      </w:r>
      <w:r>
        <w:rPr/>
        <w:t>的房产用于公司办公，建筑面积</w:t>
      </w:r>
      <w:r>
        <w:rPr>
          <w:rFonts w:ascii="Times New Roman" w:hAnsi="Times New Roman" w:cs="Times New Roman" w:eastAsia="Times New Roman" w:hint="default"/>
        </w:rPr>
        <w:t>98.22</w:t>
      </w:r>
      <w:r>
        <w:rPr/>
        <w:t>㎡，有效期至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p>
    <w:p>
      <w:pPr>
        <w:spacing w:line="240" w:lineRule="auto" w:before="1"/>
        <w:rPr>
          <w:rFonts w:ascii="Times New Roman" w:hAnsi="Times New Roman" w:cs="Times New Roman" w:eastAsia="Times New Roman" w:hint="default"/>
          <w:sz w:val="19"/>
          <w:szCs w:val="19"/>
        </w:rPr>
      </w:pPr>
    </w:p>
    <w:p>
      <w:pPr>
        <w:pStyle w:val="BodyText"/>
        <w:spacing w:line="240" w:lineRule="auto"/>
        <w:ind w:right="1115"/>
        <w:jc w:val="left"/>
      </w:pPr>
      <w:r>
        <w:rPr/>
        <w:t>月</w:t>
      </w:r>
      <w:r>
        <w:rPr>
          <w:rFonts w:ascii="Times New Roman" w:hAnsi="Times New Roman" w:cs="Times New Roman" w:eastAsia="Times New Roman" w:hint="default"/>
        </w:rPr>
        <w:t>28</w:t>
      </w:r>
      <w:r>
        <w:rPr/>
        <w:t>日，租金</w:t>
      </w:r>
      <w:r>
        <w:rPr>
          <w:rFonts w:ascii="Times New Roman" w:hAnsi="Times New Roman" w:cs="Times New Roman" w:eastAsia="Times New Roman" w:hint="default"/>
        </w:rPr>
        <w:t>9,600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1115"/>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、向龙美琦租赁其位于罗湖区笋岗东路宝安广场</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16C</w:t>
      </w:r>
      <w:r>
        <w:rPr/>
        <w:t>的房产用于公司办公</w:t>
      </w:r>
      <w:r>
        <w:rPr>
          <w:rFonts w:ascii="Times New Roman" w:hAnsi="Times New Roman" w:cs="Times New Roman" w:eastAsia="Times New Roman" w:hint="default"/>
        </w:rPr>
        <w:t>,</w:t>
      </w:r>
      <w:r>
        <w:rPr/>
        <w:t>建筑面积</w:t>
      </w:r>
      <w:r>
        <w:rPr>
          <w:rFonts w:ascii="Times New Roman" w:hAnsi="Times New Roman" w:cs="Times New Roman" w:eastAsia="Times New Roman" w:hint="default"/>
        </w:rPr>
        <w:t>100.42</w:t>
      </w:r>
      <w:r>
        <w:rPr/>
        <w:t>㎡，有效期至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5"/>
        <w:jc w:val="left"/>
      </w:pPr>
      <w:r>
        <w:rPr/>
        <w:t>月</w:t>
      </w:r>
      <w:r>
        <w:rPr>
          <w:rFonts w:ascii="Times New Roman" w:hAnsi="Times New Roman" w:cs="Times New Roman" w:eastAsia="Times New Roman" w:hint="default"/>
        </w:rPr>
        <w:t>28</w:t>
      </w:r>
      <w:r>
        <w:rPr/>
        <w:t>日，租金</w:t>
      </w:r>
      <w:r>
        <w:rPr>
          <w:rFonts w:ascii="Times New Roman" w:hAnsi="Times New Roman" w:cs="Times New Roman" w:eastAsia="Times New Roman" w:hint="default"/>
        </w:rPr>
        <w:t>11000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1115"/>
        <w:jc w:val="left"/>
        <w:rPr>
          <w:rFonts w:ascii="Times New Roman" w:hAnsi="Times New Roman" w:cs="Times New Roman" w:eastAsia="Times New Roman" w:hint="default"/>
        </w:rPr>
      </w:pPr>
      <w:r>
        <w:rPr>
          <w:rFonts w:ascii="Times New Roman" w:hAnsi="Times New Roman" w:cs="Times New Roman" w:eastAsia="Times New Roman" w:hint="default"/>
        </w:rPr>
        <w:t>11</w:t>
      </w:r>
      <w:r>
        <w:rPr/>
        <w:t>、向龙美琦租赁其位于罗湖区笋岗东路宝安广场</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16C</w:t>
      </w:r>
      <w:r>
        <w:rPr/>
        <w:t>的房产用于公司办公</w:t>
      </w:r>
      <w:r>
        <w:rPr>
          <w:rFonts w:ascii="Times New Roman" w:hAnsi="Times New Roman" w:cs="Times New Roman" w:eastAsia="Times New Roman" w:hint="default"/>
        </w:rPr>
        <w:t>,</w:t>
      </w:r>
      <w:r>
        <w:rPr/>
        <w:t>建筑面积</w:t>
      </w:r>
      <w:r>
        <w:rPr>
          <w:rFonts w:ascii="Times New Roman" w:hAnsi="Times New Roman" w:cs="Times New Roman" w:eastAsia="Times New Roman" w:hint="default"/>
        </w:rPr>
        <w:t>100.42</w:t>
      </w:r>
      <w:r>
        <w:rPr/>
        <w:t>㎡，有效期至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5"/>
        <w:jc w:val="left"/>
      </w:pPr>
      <w:r>
        <w:rPr/>
        <w:t>月</w:t>
      </w:r>
      <w:r>
        <w:rPr>
          <w:rFonts w:ascii="Times New Roman" w:hAnsi="Times New Roman" w:cs="Times New Roman" w:eastAsia="Times New Roman" w:hint="default"/>
        </w:rPr>
        <w:t>28</w:t>
      </w:r>
      <w:r>
        <w:rPr/>
        <w:t>日，租金</w:t>
      </w:r>
      <w:r>
        <w:rPr>
          <w:rFonts w:ascii="Times New Roman" w:hAnsi="Times New Roman" w:cs="Times New Roman" w:eastAsia="Times New Roman" w:hint="default"/>
        </w:rPr>
        <w:t>11000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998"/>
        <w:jc w:val="left"/>
        <w:rPr>
          <w:rFonts w:ascii="Times New Roman" w:hAnsi="Times New Roman" w:cs="Times New Roman" w:eastAsia="Times New Roman" w:hint="default"/>
        </w:rPr>
      </w:pPr>
      <w:r>
        <w:rPr>
          <w:rFonts w:ascii="Times New Roman" w:hAnsi="Times New Roman" w:cs="Times New Roman" w:eastAsia="Times New Roman" w:hint="default"/>
        </w:rPr>
        <w:t>12</w:t>
      </w:r>
      <w:r>
        <w:rPr/>
        <w:t>、向方凌艳租赁其位于罗湖区笋岗东路宝安广场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23F</w:t>
      </w:r>
      <w:r>
        <w:rPr/>
        <w:t>的房产用于公司办公，建筑面积</w:t>
      </w:r>
      <w:r>
        <w:rPr>
          <w:rFonts w:ascii="Times New Roman" w:hAnsi="Times New Roman" w:cs="Times New Roman" w:eastAsia="Times New Roman" w:hint="default"/>
        </w:rPr>
        <w:t>100.42</w:t>
      </w:r>
      <w:r>
        <w:rPr/>
        <w:t>㎡，有效期至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5"/>
        <w:jc w:val="left"/>
      </w:pPr>
      <w:r>
        <w:rPr/>
        <w:t>月</w:t>
      </w:r>
      <w:r>
        <w:rPr>
          <w:rFonts w:ascii="Times New Roman" w:hAnsi="Times New Roman" w:cs="Times New Roman" w:eastAsia="Times New Roman" w:hint="default"/>
        </w:rPr>
        <w:t>31</w:t>
      </w:r>
      <w:r>
        <w:rPr/>
        <w:t>日，租金</w:t>
      </w:r>
      <w:r>
        <w:rPr>
          <w:rFonts w:ascii="Times New Roman" w:hAnsi="Times New Roman" w:cs="Times New Roman" w:eastAsia="Times New Roman" w:hint="default"/>
        </w:rPr>
        <w:t>9000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998"/>
        <w:jc w:val="left"/>
        <w:rPr>
          <w:rFonts w:ascii="Times New Roman" w:hAnsi="Times New Roman" w:cs="Times New Roman" w:eastAsia="Times New Roman" w:hint="default"/>
        </w:rPr>
      </w:pPr>
      <w:r>
        <w:rPr>
          <w:rFonts w:ascii="Times New Roman" w:hAnsi="Times New Roman" w:cs="Times New Roman" w:eastAsia="Times New Roman" w:hint="default"/>
        </w:rPr>
        <w:t>13</w:t>
      </w:r>
      <w:r>
        <w:rPr/>
        <w:t>、向方凌艳租赁其位于罗湖区笋岗东路宝安广场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23F</w:t>
      </w:r>
      <w:r>
        <w:rPr/>
        <w:t>的房产用于公司办公，建筑面积</w:t>
      </w:r>
      <w:r>
        <w:rPr>
          <w:rFonts w:ascii="Times New Roman" w:hAnsi="Times New Roman" w:cs="Times New Roman" w:eastAsia="Times New Roman" w:hint="default"/>
        </w:rPr>
        <w:t>100.42</w:t>
      </w:r>
      <w:r>
        <w:rPr/>
        <w:t>㎡，有效期至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p>
    <w:p>
      <w:pPr>
        <w:spacing w:line="240" w:lineRule="auto" w:before="1"/>
        <w:rPr>
          <w:rFonts w:ascii="Times New Roman" w:hAnsi="Times New Roman" w:cs="Times New Roman" w:eastAsia="Times New Roman" w:hint="default"/>
          <w:sz w:val="19"/>
          <w:szCs w:val="19"/>
        </w:rPr>
      </w:pPr>
    </w:p>
    <w:p>
      <w:pPr>
        <w:pStyle w:val="BodyText"/>
        <w:spacing w:line="240" w:lineRule="auto"/>
        <w:ind w:right="1115"/>
        <w:jc w:val="left"/>
      </w:pPr>
      <w:r>
        <w:rPr/>
        <w:t>月</w:t>
      </w:r>
      <w:r>
        <w:rPr>
          <w:rFonts w:ascii="Times New Roman" w:hAnsi="Times New Roman" w:cs="Times New Roman" w:eastAsia="Times New Roman" w:hint="default"/>
        </w:rPr>
        <w:t>31</w:t>
      </w:r>
      <w:r>
        <w:rPr/>
        <w:t>日，租金</w:t>
      </w:r>
      <w:r>
        <w:rPr>
          <w:rFonts w:ascii="Times New Roman" w:hAnsi="Times New Roman" w:cs="Times New Roman" w:eastAsia="Times New Roman" w:hint="default"/>
        </w:rPr>
        <w:t>9300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998"/>
        <w:jc w:val="left"/>
        <w:rPr>
          <w:rFonts w:ascii="Times New Roman" w:hAnsi="Times New Roman" w:cs="Times New Roman" w:eastAsia="Times New Roman" w:hint="default"/>
        </w:rPr>
      </w:pPr>
      <w:r>
        <w:rPr>
          <w:rFonts w:ascii="Times New Roman" w:hAnsi="Times New Roman" w:cs="Times New Roman" w:eastAsia="Times New Roman" w:hint="default"/>
          <w:spacing w:val="1"/>
        </w:rPr>
        <w:t>14</w:t>
      </w:r>
      <w:r>
        <w:rPr>
          <w:spacing w:val="-70"/>
        </w:rPr>
        <w:t>、</w:t>
      </w:r>
      <w:r>
        <w:rPr/>
        <w:t>向全记有限公司租赁其位</w:t>
      </w:r>
      <w:r>
        <w:rPr>
          <w:spacing w:val="-3"/>
        </w:rPr>
        <w:t>于</w:t>
      </w:r>
      <w:r>
        <w:rPr/>
        <w:t>罗湖区笋岗东路宝安广场</w:t>
      </w:r>
      <w:r>
        <w:rPr>
          <w:rFonts w:ascii="Times New Roman" w:hAnsi="Times New Roman" w:cs="Times New Roman" w:eastAsia="Times New Roman" w:hint="default"/>
          <w:spacing w:val="-3"/>
          <w:w w:val="99"/>
        </w:rPr>
        <w:t>A</w:t>
      </w:r>
      <w:r>
        <w:rPr/>
        <w:t>座</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1"/>
          <w:w w:val="99"/>
        </w:rPr>
        <w:t>D</w:t>
      </w:r>
      <w:r>
        <w:rPr/>
        <w:t>的房产用于公司办公</w:t>
      </w:r>
      <w:r>
        <w:rPr>
          <w:spacing w:val="-70"/>
        </w:rPr>
        <w:t>，</w:t>
      </w:r>
      <w:r>
        <w:rPr/>
        <w:t>建筑面积</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t>㎡</w:t>
      </w:r>
      <w:r>
        <w:rPr>
          <w:spacing w:val="-70"/>
        </w:rPr>
        <w:t>，</w:t>
      </w:r>
      <w:r>
        <w:rPr/>
        <w:t>有效期至</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5"/>
        <w:jc w:val="left"/>
      </w:pP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日，租金</w:t>
      </w:r>
      <w:r>
        <w:rPr>
          <w:rFonts w:ascii="Times New Roman" w:hAnsi="Times New Roman" w:cs="Times New Roman" w:eastAsia="Times New Roman" w:hint="default"/>
        </w:rPr>
        <w:t>8800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rFonts w:ascii="Times New Roman" w:hAnsi="Times New Roman" w:cs="Times New Roman" w:eastAsia="Times New Roman" w:hint="default"/>
        </w:rPr>
        <w:t>15</w:t>
      </w:r>
      <w:r>
        <w:rPr/>
        <w:t>、向李莉租赁其位于罗湖区笋岗东路宝安广场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22E</w:t>
      </w:r>
      <w:r>
        <w:rPr/>
        <w:t>的房产用于公司办公，建筑面积</w:t>
      </w:r>
      <w:r>
        <w:rPr>
          <w:rFonts w:ascii="Times New Roman" w:hAnsi="Times New Roman" w:cs="Times New Roman" w:eastAsia="Times New Roman" w:hint="default"/>
        </w:rPr>
        <w:t>98.22</w:t>
      </w:r>
      <w:r>
        <w:rPr/>
        <w:t>㎡，有效期至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p>
    <w:p>
      <w:pPr>
        <w:spacing w:line="240" w:lineRule="auto" w:before="9"/>
        <w:rPr>
          <w:rFonts w:ascii="宋体" w:hAnsi="宋体" w:cs="宋体" w:eastAsia="宋体" w:hint="default"/>
          <w:sz w:val="16"/>
          <w:szCs w:val="16"/>
        </w:rPr>
      </w:pPr>
    </w:p>
    <w:p>
      <w:pPr>
        <w:pStyle w:val="BodyText"/>
        <w:spacing w:line="240" w:lineRule="auto"/>
        <w:ind w:right="1115"/>
        <w:jc w:val="left"/>
      </w:pPr>
      <w:r>
        <w:rPr>
          <w:rFonts w:ascii="Times New Roman" w:hAnsi="Times New Roman" w:cs="Times New Roman" w:eastAsia="Times New Roman" w:hint="default"/>
        </w:rPr>
        <w:t>31</w:t>
      </w:r>
      <w:r>
        <w:rPr/>
        <w:t>日，</w:t>
      </w:r>
      <w:r>
        <w:rPr>
          <w:spacing w:val="-19"/>
        </w:rPr>
        <w:t> </w:t>
      </w:r>
      <w:r>
        <w:rPr/>
        <w:t>租金</w:t>
      </w:r>
      <w:r>
        <w:rPr>
          <w:rFonts w:ascii="Times New Roman" w:hAnsi="Times New Roman" w:cs="Times New Roman" w:eastAsia="Times New Roman" w:hint="default"/>
        </w:rPr>
        <w:t>9500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998"/>
        <w:jc w:val="left"/>
        <w:rPr>
          <w:rFonts w:ascii="Times New Roman" w:hAnsi="Times New Roman" w:cs="Times New Roman" w:eastAsia="Times New Roman" w:hint="default"/>
        </w:rPr>
      </w:pPr>
      <w:r>
        <w:rPr>
          <w:rFonts w:ascii="Times New Roman" w:hAnsi="Times New Roman" w:cs="Times New Roman" w:eastAsia="Times New Roman" w:hint="default"/>
          <w:spacing w:val="1"/>
        </w:rPr>
        <w:t>16</w:t>
      </w:r>
      <w:r>
        <w:rPr>
          <w:spacing w:val="-82"/>
        </w:rPr>
        <w:t>、</w:t>
      </w:r>
      <w:r>
        <w:rPr/>
        <w:t>向严小铅租赁其位于罗湖</w:t>
      </w:r>
      <w:r>
        <w:rPr>
          <w:spacing w:val="-3"/>
        </w:rPr>
        <w:t>区</w:t>
      </w:r>
      <w:r>
        <w:rPr/>
        <w:t>笋岗东路宝安广场</w:t>
      </w:r>
      <w:r>
        <w:rPr>
          <w:rFonts w:ascii="Times New Roman" w:hAnsi="Times New Roman" w:cs="Times New Roman" w:eastAsia="Times New Roman" w:hint="default"/>
          <w:spacing w:val="-3"/>
          <w:w w:val="99"/>
        </w:rPr>
        <w:t>A</w:t>
      </w:r>
      <w:r>
        <w:rPr/>
        <w:t>栋</w:t>
      </w:r>
      <w:r>
        <w:rPr>
          <w:rFonts w:ascii="Times New Roman" w:hAnsi="Times New Roman" w:cs="Times New Roman" w:eastAsia="Times New Roman" w:hint="default"/>
          <w:spacing w:val="1"/>
        </w:rPr>
        <w:t>15</w:t>
      </w:r>
      <w:r>
        <w:rPr>
          <w:rFonts w:ascii="Times New Roman" w:hAnsi="Times New Roman" w:cs="Times New Roman" w:eastAsia="Times New Roman" w:hint="default"/>
        </w:rPr>
        <w:t>E</w:t>
      </w:r>
      <w:r>
        <w:rPr>
          <w:rFonts w:ascii="Times New Roman" w:hAnsi="Times New Roman" w:cs="Times New Roman" w:eastAsia="Times New Roman" w:hint="default"/>
          <w:spacing w:val="-2"/>
        </w:rPr>
        <w:t>\</w:t>
      </w:r>
      <w:r>
        <w:rPr>
          <w:rFonts w:ascii="Times New Roman" w:hAnsi="Times New Roman" w:cs="Times New Roman" w:eastAsia="Times New Roman" w:hint="default"/>
          <w:w w:val="99"/>
        </w:rPr>
        <w:t>F</w:t>
      </w:r>
      <w:r>
        <w:rPr>
          <w:rFonts w:ascii="Times New Roman" w:hAnsi="Times New Roman" w:cs="Times New Roman" w:eastAsia="Times New Roman" w:hint="default"/>
        </w:rPr>
        <w:t>\</w:t>
      </w:r>
      <w:r>
        <w:rPr>
          <w:rFonts w:ascii="Times New Roman" w:hAnsi="Times New Roman" w:cs="Times New Roman" w:eastAsia="Times New Roman" w:hint="default"/>
          <w:spacing w:val="-1"/>
          <w:w w:val="99"/>
        </w:rPr>
        <w:t>G</w:t>
      </w:r>
      <w:r>
        <w:rPr>
          <w:rFonts w:ascii="Times New Roman" w:hAnsi="Times New Roman" w:cs="Times New Roman" w:eastAsia="Times New Roman" w:hint="default"/>
        </w:rPr>
        <w:t>\</w:t>
      </w:r>
      <w:r>
        <w:rPr>
          <w:rFonts w:ascii="Times New Roman" w:hAnsi="Times New Roman" w:cs="Times New Roman" w:eastAsia="Times New Roman" w:hint="default"/>
          <w:spacing w:val="-1"/>
          <w:w w:val="99"/>
        </w:rPr>
        <w:t>H</w:t>
      </w:r>
      <w:r>
        <w:rPr/>
        <w:t>的房产用于公司办公</w:t>
      </w:r>
      <w:r>
        <w:rPr>
          <w:spacing w:val="-82"/>
        </w:rPr>
        <w:t>，</w:t>
      </w:r>
      <w:r>
        <w:rPr/>
        <w:t>建筑面积</w:t>
      </w:r>
      <w:r>
        <w:rPr>
          <w:rFonts w:ascii="Times New Roman" w:hAnsi="Times New Roman" w:cs="Times New Roman" w:eastAsia="Times New Roman" w:hint="default"/>
          <w:spacing w:val="1"/>
        </w:rPr>
        <w:t>39</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2"/>
        </w:rPr>
        <w:t>1</w:t>
      </w:r>
      <w:r>
        <w:rPr/>
        <w:t>㎡</w:t>
      </w:r>
      <w:r>
        <w:rPr>
          <w:spacing w:val="-82"/>
        </w:rPr>
        <w:t>，</w:t>
      </w:r>
      <w:r>
        <w:rPr/>
        <w:t>有效期</w:t>
      </w:r>
      <w:r>
        <w:rPr>
          <w:spacing w:val="-3"/>
        </w:rPr>
        <w:t>至</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5"/>
        <w:jc w:val="left"/>
      </w:pP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日，租金</w:t>
      </w:r>
      <w:r>
        <w:rPr>
          <w:rFonts w:ascii="Times New Roman" w:hAnsi="Times New Roman" w:cs="Times New Roman" w:eastAsia="Times New Roman" w:hint="default"/>
        </w:rPr>
        <w:t>37725.45</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1115"/>
        <w:jc w:val="left"/>
        <w:rPr>
          <w:rFonts w:ascii="Times New Roman" w:hAnsi="Times New Roman" w:cs="Times New Roman" w:eastAsia="Times New Roman" w:hint="default"/>
        </w:rPr>
      </w:pPr>
      <w:r>
        <w:rPr>
          <w:rFonts w:ascii="Times New Roman" w:hAnsi="Times New Roman" w:cs="Times New Roman" w:eastAsia="Times New Roman" w:hint="default"/>
        </w:rPr>
        <w:t>17</w:t>
      </w:r>
      <w:r>
        <w:rPr/>
        <w:t>、向罗国斌租赁其位于罗湖区笋岗东路宝安广场</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15D</w:t>
      </w:r>
      <w:r>
        <w:rPr/>
        <w:t>的房产用于公司办公，建筑面积</w:t>
      </w:r>
      <w:r>
        <w:rPr>
          <w:rFonts w:ascii="Times New Roman" w:hAnsi="Times New Roman" w:cs="Times New Roman" w:eastAsia="Times New Roman" w:hint="default"/>
        </w:rPr>
        <w:t>105.5</w:t>
      </w:r>
      <w:r>
        <w:rPr/>
        <w:t>㎡，有效期至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p>
    <w:p>
      <w:pPr>
        <w:spacing w:line="240" w:lineRule="auto" w:before="1"/>
        <w:rPr>
          <w:rFonts w:ascii="Times New Roman" w:hAnsi="Times New Roman" w:cs="Times New Roman" w:eastAsia="Times New Roman" w:hint="default"/>
          <w:sz w:val="19"/>
          <w:szCs w:val="19"/>
        </w:rPr>
      </w:pPr>
    </w:p>
    <w:p>
      <w:pPr>
        <w:pStyle w:val="BodyText"/>
        <w:spacing w:line="240" w:lineRule="auto"/>
        <w:ind w:right="1115"/>
        <w:jc w:val="left"/>
      </w:pPr>
      <w:r>
        <w:rPr/>
        <w:t>月</w:t>
      </w:r>
      <w:r>
        <w:rPr>
          <w:rFonts w:ascii="Times New Roman" w:hAnsi="Times New Roman" w:cs="Times New Roman" w:eastAsia="Times New Roman" w:hint="default"/>
        </w:rPr>
        <w:t>24</w:t>
      </w:r>
      <w:r>
        <w:rPr/>
        <w:t>日，租金</w:t>
      </w:r>
      <w:r>
        <w:rPr>
          <w:rFonts w:ascii="Times New Roman" w:hAnsi="Times New Roman" w:cs="Times New Roman" w:eastAsia="Times New Roman" w:hint="default"/>
        </w:rPr>
        <w:t>10,450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998"/>
        <w:jc w:val="left"/>
        <w:rPr>
          <w:rFonts w:ascii="Times New Roman" w:hAnsi="Times New Roman" w:cs="Times New Roman" w:eastAsia="Times New Roman" w:hint="default"/>
        </w:rPr>
      </w:pPr>
      <w:r>
        <w:rPr>
          <w:rFonts w:ascii="Times New Roman" w:hAnsi="Times New Roman" w:cs="Times New Roman" w:eastAsia="Times New Roman" w:hint="default"/>
        </w:rPr>
        <w:t>18</w:t>
      </w:r>
      <w:r>
        <w:rPr/>
        <w:t>、向郭奇艳租赁其位于罗湖区笋岗东路宝安广场</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20C</w:t>
      </w:r>
      <w:r>
        <w:rPr/>
        <w:t>的房产用于公司办公，建筑面积</w:t>
      </w:r>
      <w:r>
        <w:rPr>
          <w:rFonts w:ascii="Times New Roman" w:hAnsi="Times New Roman" w:cs="Times New Roman" w:eastAsia="Times New Roman" w:hint="default"/>
        </w:rPr>
        <w:t>100.42</w:t>
      </w:r>
      <w:r>
        <w:rPr/>
        <w:t>㎡，有效期至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5"/>
        <w:jc w:val="left"/>
      </w:pPr>
      <w:r>
        <w:rPr/>
        <w:t>月</w:t>
      </w:r>
      <w:r>
        <w:rPr>
          <w:rFonts w:ascii="Times New Roman" w:hAnsi="Times New Roman" w:cs="Times New Roman" w:eastAsia="Times New Roman" w:hint="default"/>
        </w:rPr>
        <w:t>9</w:t>
      </w:r>
      <w:r>
        <w:rPr/>
        <w:t>日，租金</w:t>
      </w:r>
      <w:r>
        <w:rPr>
          <w:rFonts w:ascii="Times New Roman" w:hAnsi="Times New Roman" w:cs="Times New Roman" w:eastAsia="Times New Roman" w:hint="default"/>
        </w:rPr>
        <w:t>10,000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998"/>
        <w:jc w:val="left"/>
      </w:pPr>
      <w:r>
        <w:rPr>
          <w:rFonts w:ascii="Times New Roman" w:hAnsi="Times New Roman" w:cs="Times New Roman" w:eastAsia="Times New Roman" w:hint="default"/>
        </w:rPr>
        <w:t>19</w:t>
      </w:r>
      <w:r>
        <w:rPr/>
        <w:t>、向高良伟租赁其位于罗湖区笋岗东路宝安广场</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6G</w:t>
      </w:r>
      <w:r>
        <w:rPr/>
        <w:t>的房产用于公司办公</w:t>
      </w:r>
      <w:r>
        <w:rPr>
          <w:rFonts w:ascii="Times New Roman" w:hAnsi="Times New Roman" w:cs="Times New Roman" w:eastAsia="Times New Roman" w:hint="default"/>
        </w:rPr>
        <w:t>,</w:t>
      </w:r>
      <w:r>
        <w:rPr/>
        <w:t>建筑面积</w:t>
      </w:r>
      <w:r>
        <w:rPr>
          <w:rFonts w:ascii="Times New Roman" w:hAnsi="Times New Roman" w:cs="Times New Roman" w:eastAsia="Times New Roman" w:hint="default"/>
        </w:rPr>
        <w:t>100.42</w:t>
      </w:r>
      <w:r>
        <w:rPr/>
        <w:t>㎡，有效期至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p>
    <w:p>
      <w:pPr>
        <w:spacing w:line="240" w:lineRule="auto" w:before="9"/>
        <w:rPr>
          <w:rFonts w:ascii="宋体" w:hAnsi="宋体" w:cs="宋体" w:eastAsia="宋体" w:hint="default"/>
          <w:sz w:val="16"/>
          <w:szCs w:val="16"/>
        </w:rPr>
      </w:pPr>
    </w:p>
    <w:p>
      <w:pPr>
        <w:pStyle w:val="BodyText"/>
        <w:spacing w:line="240" w:lineRule="auto"/>
        <w:ind w:right="1115"/>
        <w:jc w:val="left"/>
      </w:pPr>
      <w:r>
        <w:rPr>
          <w:rFonts w:ascii="Times New Roman" w:hAnsi="Times New Roman" w:cs="Times New Roman" w:eastAsia="Times New Roman" w:hint="default"/>
        </w:rPr>
        <w:t>31</w:t>
      </w:r>
      <w:r>
        <w:rPr/>
        <w:t>日，租金</w:t>
      </w:r>
      <w:r>
        <w:rPr>
          <w:rFonts w:ascii="Times New Roman" w:hAnsi="Times New Roman" w:cs="Times New Roman" w:eastAsia="Times New Roman" w:hint="default"/>
        </w:rPr>
        <w:t>9000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998"/>
        <w:jc w:val="left"/>
        <w:rPr>
          <w:rFonts w:ascii="Times New Roman" w:hAnsi="Times New Roman" w:cs="Times New Roman" w:eastAsia="Times New Roman" w:hint="default"/>
        </w:rPr>
      </w:pPr>
      <w:r>
        <w:rPr>
          <w:rFonts w:ascii="Times New Roman" w:hAnsi="Times New Roman" w:cs="Times New Roman" w:eastAsia="Times New Roman" w:hint="default"/>
        </w:rPr>
        <w:t>20</w:t>
      </w:r>
      <w:r>
        <w:rPr/>
        <w:t>、向高良伟租赁其位于罗湖区笋岗东路宝安广场</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6H</w:t>
      </w:r>
      <w:r>
        <w:rPr/>
        <w:t>的房产用于公司办公</w:t>
      </w:r>
      <w:r>
        <w:rPr>
          <w:rFonts w:ascii="Times New Roman" w:hAnsi="Times New Roman" w:cs="Times New Roman" w:eastAsia="Times New Roman" w:hint="default"/>
        </w:rPr>
        <w:t>,</w:t>
      </w:r>
      <w:r>
        <w:rPr/>
        <w:t>建筑面积</w:t>
      </w:r>
      <w:r>
        <w:rPr>
          <w:rFonts w:ascii="Times New Roman" w:hAnsi="Times New Roman" w:cs="Times New Roman" w:eastAsia="Times New Roman" w:hint="default"/>
        </w:rPr>
        <w:t>98.05</w:t>
      </w:r>
      <w:r>
        <w:rPr/>
        <w:t>㎡，有效期至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5"/>
        <w:jc w:val="left"/>
      </w:pPr>
      <w:r>
        <w:rPr/>
        <w:t>日，租金</w:t>
      </w:r>
      <w:r>
        <w:rPr>
          <w:rFonts w:ascii="Times New Roman" w:hAnsi="Times New Roman" w:cs="Times New Roman" w:eastAsia="Times New Roman" w:hint="default"/>
        </w:rPr>
        <w:t>9000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998"/>
        <w:jc w:val="left"/>
        <w:rPr>
          <w:rFonts w:ascii="Times New Roman" w:hAnsi="Times New Roman" w:cs="Times New Roman" w:eastAsia="Times New Roman" w:hint="default"/>
        </w:rPr>
      </w:pPr>
      <w:r>
        <w:rPr>
          <w:rFonts w:ascii="Times New Roman" w:hAnsi="Times New Roman" w:cs="Times New Roman" w:eastAsia="Times New Roman" w:hint="default"/>
        </w:rPr>
        <w:t>21</w:t>
      </w:r>
      <w:r>
        <w:rPr/>
        <w:t>、向陈振兴租赁其位于罗湖区笋岗东路宝安广场</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23H</w:t>
      </w:r>
      <w:r>
        <w:rPr/>
        <w:t>的房产用于公司办公</w:t>
      </w:r>
      <w:r>
        <w:rPr>
          <w:rFonts w:ascii="Times New Roman" w:hAnsi="Times New Roman" w:cs="Times New Roman" w:eastAsia="Times New Roman" w:hint="default"/>
        </w:rPr>
        <w:t>,</w:t>
      </w:r>
      <w:r>
        <w:rPr/>
        <w:t>建筑面积</w:t>
      </w:r>
      <w:r>
        <w:rPr>
          <w:rFonts w:ascii="Times New Roman" w:hAnsi="Times New Roman" w:cs="Times New Roman" w:eastAsia="Times New Roman" w:hint="default"/>
        </w:rPr>
        <w:t>98.5</w:t>
      </w:r>
      <w:r>
        <w:rPr/>
        <w:t>㎡，有效期至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p>
    <w:p>
      <w:pPr>
        <w:spacing w:line="240" w:lineRule="auto" w:before="1"/>
        <w:rPr>
          <w:rFonts w:ascii="Times New Roman" w:hAnsi="Times New Roman" w:cs="Times New Roman" w:eastAsia="Times New Roman" w:hint="default"/>
          <w:sz w:val="19"/>
          <w:szCs w:val="19"/>
        </w:rPr>
      </w:pPr>
    </w:p>
    <w:p>
      <w:pPr>
        <w:pStyle w:val="BodyText"/>
        <w:spacing w:line="240" w:lineRule="auto"/>
        <w:ind w:right="1115"/>
        <w:jc w:val="left"/>
      </w:pPr>
      <w:r>
        <w:rPr/>
        <w:t>日，租金</w:t>
      </w:r>
      <w:r>
        <w:rPr>
          <w:rFonts w:ascii="Times New Roman" w:hAnsi="Times New Roman" w:cs="Times New Roman" w:eastAsia="Times New Roman" w:hint="default"/>
        </w:rPr>
        <w:t>8500</w:t>
      </w:r>
      <w:r>
        <w:rPr/>
        <w:t>元</w:t>
      </w:r>
      <w:r>
        <w:rPr>
          <w:rFonts w:ascii="Times New Roman" w:hAnsi="Times New Roman" w:cs="Times New Roman" w:eastAsia="Times New Roman" w:hint="default"/>
        </w:rPr>
        <w:t>/</w:t>
      </w:r>
      <w:r>
        <w:rPr/>
        <w:t>月。</w:t>
      </w:r>
    </w:p>
    <w:p>
      <w:pPr>
        <w:spacing w:line="240" w:lineRule="auto" w:before="9"/>
        <w:rPr>
          <w:rFonts w:ascii="宋体" w:hAnsi="宋体" w:cs="宋体" w:eastAsia="宋体" w:hint="default"/>
          <w:sz w:val="16"/>
          <w:szCs w:val="16"/>
        </w:rPr>
      </w:pPr>
    </w:p>
    <w:p>
      <w:pPr>
        <w:pStyle w:val="BodyText"/>
        <w:spacing w:line="240" w:lineRule="auto"/>
        <w:ind w:left="513" w:right="998"/>
        <w:jc w:val="left"/>
        <w:rPr>
          <w:rFonts w:ascii="Times New Roman" w:hAnsi="Times New Roman" w:cs="Times New Roman" w:eastAsia="Times New Roman" w:hint="default"/>
        </w:rPr>
      </w:pPr>
      <w:r>
        <w:rPr>
          <w:rFonts w:ascii="Times New Roman" w:hAnsi="Times New Roman" w:cs="Times New Roman" w:eastAsia="Times New Roman" w:hint="default"/>
        </w:rPr>
        <w:t>22</w:t>
      </w:r>
      <w:r>
        <w:rPr/>
        <w:t>、向陈振兴租赁其位于罗湖区笋岗东路宝安广场</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23H</w:t>
      </w:r>
      <w:r>
        <w:rPr/>
        <w:t>的房产用于公司办公</w:t>
      </w:r>
      <w:r>
        <w:rPr>
          <w:rFonts w:ascii="Times New Roman" w:hAnsi="Times New Roman" w:cs="Times New Roman" w:eastAsia="Times New Roman" w:hint="default"/>
        </w:rPr>
        <w:t>,</w:t>
      </w:r>
      <w:r>
        <w:rPr/>
        <w:t>建筑面积</w:t>
      </w:r>
      <w:r>
        <w:rPr>
          <w:rFonts w:ascii="Times New Roman" w:hAnsi="Times New Roman" w:cs="Times New Roman" w:eastAsia="Times New Roman" w:hint="default"/>
        </w:rPr>
        <w:t>98.5</w:t>
      </w:r>
      <w:r>
        <w:rPr/>
        <w:t>㎡，有效期至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5"/>
        <w:jc w:val="left"/>
      </w:pPr>
      <w:r>
        <w:rPr/>
        <w:t>日，租金</w:t>
      </w:r>
      <w:r>
        <w:rPr>
          <w:rFonts w:ascii="Times New Roman" w:hAnsi="Times New Roman" w:cs="Times New Roman" w:eastAsia="Times New Roman" w:hint="default"/>
        </w:rPr>
        <w:t>8800</w:t>
      </w:r>
      <w:r>
        <w:rPr/>
        <w:t>元</w:t>
      </w:r>
      <w:r>
        <w:rPr>
          <w:rFonts w:ascii="Times New Roman" w:hAnsi="Times New Roman" w:cs="Times New Roman" w:eastAsia="Times New Roman" w:hint="default"/>
        </w:rPr>
        <w:t>/</w:t>
      </w:r>
      <w:r>
        <w:rPr/>
        <w:t>月。</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513" w:right="1115"/>
        <w:jc w:val="left"/>
      </w:pPr>
      <w:r>
        <w:rPr/>
        <w:t>公司对外出租的房产情况如下：</w:t>
      </w:r>
    </w:p>
    <w:p>
      <w:pPr>
        <w:spacing w:line="240" w:lineRule="auto" w:before="10"/>
        <w:rPr>
          <w:rFonts w:ascii="宋体" w:hAnsi="宋体" w:cs="宋体" w:eastAsia="宋体" w:hint="default"/>
          <w:sz w:val="17"/>
          <w:szCs w:val="17"/>
        </w:rPr>
      </w:pPr>
    </w:p>
    <w:p>
      <w:pPr>
        <w:pStyle w:val="BodyText"/>
        <w:spacing w:line="451" w:lineRule="auto"/>
        <w:ind w:right="998" w:firstLine="360"/>
        <w:jc w:val="left"/>
      </w:pPr>
      <w:r>
        <w:rPr>
          <w:rFonts w:ascii="Times New Roman" w:hAnsi="Times New Roman" w:cs="Times New Roman" w:eastAsia="Times New Roman" w:hint="default"/>
          <w:spacing w:val="-2"/>
        </w:rPr>
        <w:t>1</w:t>
      </w:r>
      <w:r>
        <w:rPr>
          <w:spacing w:val="-2"/>
        </w:rPr>
        <w:t>、将公司龙城街道黄阁路</w:t>
      </w:r>
      <w:r>
        <w:rPr>
          <w:rFonts w:ascii="Times New Roman" w:hAnsi="Times New Roman" w:cs="Times New Roman" w:eastAsia="Times New Roman" w:hint="default"/>
          <w:spacing w:val="-2"/>
        </w:rPr>
        <w:t>441</w:t>
      </w:r>
      <w:r>
        <w:rPr>
          <w:spacing w:val="-2"/>
        </w:rPr>
        <w:t>号龙岗天安数码创新园三号厂房</w:t>
      </w:r>
      <w:r>
        <w:rPr>
          <w:rFonts w:ascii="Times New Roman" w:hAnsi="Times New Roman" w:cs="Times New Roman" w:eastAsia="Times New Roman" w:hint="default"/>
          <w:spacing w:val="-2"/>
        </w:rPr>
        <w:t>A1202</w:t>
      </w:r>
      <w:r>
        <w:rPr>
          <w:spacing w:val="-2"/>
        </w:rPr>
        <w:t>、</w:t>
      </w:r>
      <w:r>
        <w:rPr>
          <w:rFonts w:ascii="Times New Roman" w:hAnsi="Times New Roman" w:cs="Times New Roman" w:eastAsia="Times New Roman" w:hint="default"/>
          <w:spacing w:val="-2"/>
        </w:rPr>
        <w:t>A1203</w:t>
      </w:r>
      <w:r>
        <w:rPr>
          <w:spacing w:val="-2"/>
        </w:rPr>
        <w:t>单元，租赁给广东都市丽人实业有限公司，</w:t>
      </w:r>
      <w:r>
        <w:rPr/>
        <w:t> 租赁面积</w:t>
      </w:r>
      <w:r>
        <w:rPr>
          <w:rFonts w:ascii="Times New Roman" w:hAnsi="Times New Roman" w:cs="Times New Roman" w:eastAsia="Times New Roman" w:hint="default"/>
        </w:rPr>
        <w:t>1,062.85</w:t>
      </w:r>
      <w:r>
        <w:rPr/>
        <w:t>㎡，租赁期限截止至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451" w:lineRule="auto" w:before="43"/>
        <w:ind w:right="1134" w:firstLine="360"/>
        <w:jc w:val="left"/>
      </w:pPr>
      <w:r>
        <w:rPr>
          <w:rFonts w:ascii="Times New Roman" w:hAnsi="Times New Roman" w:cs="Times New Roman" w:eastAsia="Times New Roman" w:hint="default"/>
        </w:rPr>
        <w:t>2</w:t>
      </w:r>
      <w:r>
        <w:rPr/>
        <w:t>、将公司龙城街道黄阁路</w:t>
      </w:r>
      <w:r>
        <w:rPr>
          <w:rFonts w:ascii="Times New Roman" w:hAnsi="Times New Roman" w:cs="Times New Roman" w:eastAsia="Times New Roman" w:hint="default"/>
        </w:rPr>
        <w:t>441</w:t>
      </w:r>
      <w:r>
        <w:rPr/>
        <w:t>号龙岗天安数码创新园三号厂房</w:t>
      </w:r>
      <w:r>
        <w:rPr>
          <w:rFonts w:ascii="Times New Roman" w:hAnsi="Times New Roman" w:cs="Times New Roman" w:eastAsia="Times New Roman" w:hint="default"/>
        </w:rPr>
        <w:t>A1201</w:t>
      </w:r>
      <w:r>
        <w:rPr/>
        <w:t>、</w:t>
      </w:r>
      <w:r>
        <w:rPr>
          <w:rFonts w:ascii="Times New Roman" w:hAnsi="Times New Roman" w:cs="Times New Roman" w:eastAsia="Times New Roman" w:hint="default"/>
        </w:rPr>
        <w:t>A1204</w:t>
      </w:r>
      <w:r>
        <w:rPr/>
        <w:t>单元，租赁给天津都市俪人电子商务有限 公司，租赁面积</w:t>
      </w:r>
      <w:r>
        <w:rPr>
          <w:rFonts w:ascii="Times New Roman" w:hAnsi="Times New Roman" w:cs="Times New Roman" w:eastAsia="Times New Roman" w:hint="default"/>
        </w:rPr>
        <w:t>708.1</w:t>
      </w:r>
      <w:r>
        <w:rPr/>
        <w:t>㎡，租赁期限截止至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w:t>
      </w:r>
    </w:p>
    <w:p>
      <w:pPr>
        <w:pStyle w:val="BodyText"/>
        <w:spacing w:line="451" w:lineRule="auto" w:before="43"/>
        <w:ind w:right="1134" w:firstLine="360"/>
        <w:jc w:val="left"/>
      </w:pPr>
      <w:r>
        <w:rPr>
          <w:rFonts w:ascii="Times New Roman" w:hAnsi="Times New Roman" w:cs="Times New Roman" w:eastAsia="Times New Roman" w:hint="default"/>
        </w:rPr>
        <w:t>3</w:t>
      </w:r>
      <w:r>
        <w:rPr/>
        <w:t>、将公司龙城街道黄阁路</w:t>
      </w:r>
      <w:r>
        <w:rPr>
          <w:rFonts w:ascii="Times New Roman" w:hAnsi="Times New Roman" w:cs="Times New Roman" w:eastAsia="Times New Roman" w:hint="default"/>
        </w:rPr>
        <w:t>441</w:t>
      </w:r>
      <w:r>
        <w:rPr/>
        <w:t>号龙岗天安数码创新园三号厂房</w:t>
      </w:r>
      <w:r>
        <w:rPr>
          <w:rFonts w:ascii="Times New Roman" w:hAnsi="Times New Roman" w:cs="Times New Roman" w:eastAsia="Times New Roman" w:hint="default"/>
        </w:rPr>
        <w:t>A1201</w:t>
      </w:r>
      <w:r>
        <w:rPr/>
        <w:t>、</w:t>
      </w:r>
      <w:r>
        <w:rPr>
          <w:rFonts w:ascii="Times New Roman" w:hAnsi="Times New Roman" w:cs="Times New Roman" w:eastAsia="Times New Roman" w:hint="default"/>
        </w:rPr>
        <w:t>A1204</w:t>
      </w:r>
      <w:r>
        <w:rPr/>
        <w:t>单元，租赁给天津都市俪人电子商务有限 公司，租赁面积</w:t>
      </w:r>
      <w:r>
        <w:rPr>
          <w:rFonts w:ascii="Times New Roman" w:hAnsi="Times New Roman" w:cs="Times New Roman" w:eastAsia="Times New Roman" w:hint="default"/>
        </w:rPr>
        <w:t>708.1</w:t>
      </w:r>
      <w:r>
        <w:rPr/>
        <w:t>㎡，租赁期限截止至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BodyText"/>
        <w:spacing w:line="240" w:lineRule="auto"/>
        <w:ind w:right="1115"/>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2"/>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15"/>
        <w:jc w:val="left"/>
      </w:pPr>
      <w:r>
        <w:rPr/>
        <w:t>公司报告期不存在为公司带来的损益达到公司报告期利润总额</w:t>
      </w:r>
      <w:r>
        <w:rPr>
          <w:spacing w:val="-44"/>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7"/>
        <w:rPr>
          <w:rFonts w:ascii="宋体" w:hAnsi="宋体" w:cs="宋体" w:eastAsia="宋体" w:hint="default"/>
          <w:sz w:val="21"/>
          <w:szCs w:val="21"/>
        </w:rPr>
      </w:pPr>
    </w:p>
    <w:p>
      <w:pPr>
        <w:pStyle w:val="Heading5"/>
        <w:spacing w:line="240" w:lineRule="auto"/>
        <w:ind w:right="1115"/>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70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700" w:left="980" w:right="0"/>
        </w:sectPr>
      </w:pPr>
    </w:p>
    <w:p>
      <w:pPr>
        <w:pStyle w:val="BodyText"/>
        <w:spacing w:line="240" w:lineRule="auto" w:before="44"/>
        <w:ind w:right="-20"/>
        <w:jc w:val="left"/>
      </w:pPr>
      <w:r>
        <w:rPr/>
        <w:t>单项金额重大或安全性较低、流动性较差、不保本的高风险委托理财具体情况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700" w:left="980" w:right="0"/>
          <w:cols w:num="2" w:equalWidth="0">
            <w:col w:w="6273" w:space="2467"/>
            <w:col w:w="219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0"/>
        <w:gridCol w:w="590"/>
        <w:gridCol w:w="607"/>
        <w:gridCol w:w="574"/>
        <w:gridCol w:w="562"/>
        <w:gridCol w:w="559"/>
        <w:gridCol w:w="562"/>
        <w:gridCol w:w="562"/>
        <w:gridCol w:w="562"/>
        <w:gridCol w:w="560"/>
        <w:gridCol w:w="562"/>
        <w:gridCol w:w="562"/>
        <w:gridCol w:w="562"/>
        <w:gridCol w:w="547"/>
        <w:gridCol w:w="548"/>
        <w:gridCol w:w="547"/>
        <w:gridCol w:w="538"/>
      </w:tblGrid>
      <w:tr>
        <w:trPr>
          <w:trHeight w:val="2276" w:hRule="exact"/>
        </w:trPr>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9" w:right="99"/>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99" w:right="99"/>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24"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6"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5"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5" w:right="93"/>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6"/>
              <w:jc w:val="both"/>
              <w:rPr>
                <w:rFonts w:ascii="宋体" w:hAnsi="宋体" w:cs="宋体" w:eastAsia="宋体" w:hint="default"/>
                <w:sz w:val="18"/>
                <w:szCs w:val="18"/>
              </w:rPr>
            </w:pPr>
            <w:r>
              <w:rPr>
                <w:rFonts w:ascii="宋体" w:hAnsi="宋体" w:cs="宋体" w:eastAsia="宋体" w:hint="default"/>
                <w:sz w:val="18"/>
                <w:szCs w:val="18"/>
              </w:rPr>
              <w:t>（如 有）</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88" w:right="87"/>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bl>
    <w:p>
      <w:pPr>
        <w:spacing w:after="0" w:line="316" w:lineRule="auto"/>
        <w:jc w:val="center"/>
        <w:rPr>
          <w:rFonts w:ascii="宋体" w:hAnsi="宋体" w:cs="宋体" w:eastAsia="宋体" w:hint="default"/>
          <w:sz w:val="18"/>
          <w:szCs w:val="18"/>
        </w:rPr>
        <w:sectPr>
          <w:type w:val="continuous"/>
          <w:pgSz w:w="11910" w:h="16840"/>
          <w:pgMar w:top="1060" w:bottom="7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7"/>
        <w:gridCol w:w="548"/>
        <w:gridCol w:w="547"/>
        <w:gridCol w:w="538"/>
      </w:tblGrid>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平安 银行 深圳 南海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18.87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18.87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中国 银行 深圳 市分 </w:t>
            </w:r>
            <w:r>
              <w:rPr>
                <w:rFonts w:ascii="宋体" w:hAnsi="宋体" w:cs="宋体" w:eastAsia="宋体" w:hint="default"/>
                <w:spacing w:val="-8"/>
                <w:sz w:val="18"/>
                <w:szCs w:val="18"/>
              </w:rPr>
              <w:t>行（文</w:t>
            </w:r>
            <w:r>
              <w:rPr>
                <w:rFonts w:ascii="宋体" w:hAnsi="宋体" w:cs="宋体" w:eastAsia="宋体" w:hint="default"/>
                <w:sz w:val="18"/>
                <w:szCs w:val="18"/>
              </w:rPr>
              <w:t> 锦广 场支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z w:val="18"/>
              </w:rPr>
              <w:t>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3"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62" w:right="0"/>
              <w:jc w:val="left"/>
              <w:rPr>
                <w:rFonts w:ascii="Times New Roman" w:hAnsi="Times New Roman" w:cs="Times New Roman" w:eastAsia="Times New Roman" w:hint="default"/>
                <w:sz w:val="18"/>
                <w:szCs w:val="18"/>
              </w:rPr>
            </w:pPr>
            <w:r>
              <w:rPr>
                <w:rFonts w:ascii="Times New Roman"/>
                <w:sz w:val="18"/>
              </w:rPr>
              <w:t>3.30%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99" w:right="0"/>
              <w:jc w:val="center"/>
              <w:rPr>
                <w:rFonts w:ascii="Times New Roman" w:hAnsi="Times New Roman" w:cs="Times New Roman" w:eastAsia="Times New Roman" w:hint="default"/>
                <w:sz w:val="18"/>
                <w:szCs w:val="18"/>
              </w:rPr>
            </w:pPr>
            <w:r>
              <w:rPr>
                <w:rFonts w:ascii="Times New Roman"/>
                <w:sz w:val="18"/>
              </w:rPr>
              <w:t>16.82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99" w:right="0"/>
              <w:jc w:val="center"/>
              <w:rPr>
                <w:rFonts w:ascii="Times New Roman" w:hAnsi="Times New Roman" w:cs="Times New Roman" w:eastAsia="Times New Roman" w:hint="default"/>
                <w:sz w:val="18"/>
                <w:szCs w:val="18"/>
              </w:rPr>
            </w:pPr>
            <w:r>
              <w:rPr>
                <w:rFonts w:ascii="Times New Roman"/>
                <w:sz w:val="18"/>
              </w:rPr>
              <w:t>16.82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184" w:right="95" w:hanging="89"/>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5"/>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平安 银行 深圳 南海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17.72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17.72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中国 银行 深圳 市分 </w:t>
            </w:r>
            <w:r>
              <w:rPr>
                <w:rFonts w:ascii="宋体" w:hAnsi="宋体" w:cs="宋体" w:eastAsia="宋体" w:hint="default"/>
                <w:spacing w:val="-8"/>
                <w:sz w:val="18"/>
                <w:szCs w:val="18"/>
              </w:rPr>
              <w:t>行（文</w:t>
            </w:r>
            <w:r>
              <w:rPr>
                <w:rFonts w:ascii="宋体" w:hAnsi="宋体" w:cs="宋体" w:eastAsia="宋体" w:hint="default"/>
                <w:sz w:val="18"/>
                <w:szCs w:val="18"/>
              </w:rPr>
              <w:t> 锦广 场支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z w:val="18"/>
              </w:rPr>
              <w:t>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3"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62" w:right="0"/>
              <w:jc w:val="left"/>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99" w:right="0"/>
              <w:jc w:val="center"/>
              <w:rPr>
                <w:rFonts w:ascii="Times New Roman" w:hAnsi="Times New Roman" w:cs="Times New Roman" w:eastAsia="Times New Roman" w:hint="default"/>
                <w:sz w:val="18"/>
                <w:szCs w:val="18"/>
              </w:rPr>
            </w:pPr>
            <w:r>
              <w:rPr>
                <w:rFonts w:ascii="Times New Roman"/>
                <w:sz w:val="18"/>
              </w:rPr>
              <w:t>23.08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99" w:right="0"/>
              <w:jc w:val="center"/>
              <w:rPr>
                <w:rFonts w:ascii="Times New Roman" w:hAnsi="Times New Roman" w:cs="Times New Roman" w:eastAsia="Times New Roman" w:hint="default"/>
                <w:sz w:val="18"/>
                <w:szCs w:val="18"/>
              </w:rPr>
            </w:pPr>
            <w:r>
              <w:rPr>
                <w:rFonts w:ascii="Times New Roman"/>
                <w:sz w:val="18"/>
              </w:rPr>
              <w:t>23.08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184" w:right="95" w:hanging="89"/>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5"/>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平安 银行 深圳 南海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17.03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17.03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78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8"/>
              <w:ind w:left="24" w:right="176"/>
              <w:jc w:val="both"/>
              <w:rPr>
                <w:rFonts w:ascii="宋体" w:hAnsi="宋体" w:cs="宋体" w:eastAsia="宋体" w:hint="default"/>
                <w:sz w:val="18"/>
                <w:szCs w:val="18"/>
              </w:rPr>
            </w:pPr>
            <w:r>
              <w:rPr>
                <w:rFonts w:ascii="宋体" w:hAnsi="宋体" w:cs="宋体" w:eastAsia="宋体" w:hint="default"/>
                <w:sz w:val="18"/>
                <w:szCs w:val="18"/>
              </w:rPr>
              <w:t>平安 银行 深圳 南海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20.38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20.38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75"/>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平安 银行 深圳 南海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184" w:right="95" w:hanging="89"/>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7"/>
        <w:gridCol w:w="548"/>
        <w:gridCol w:w="547"/>
        <w:gridCol w:w="538"/>
      </w:tblGrid>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交通 银行 深圳 罗湖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中国 银行 深圳 市分 </w:t>
            </w:r>
            <w:r>
              <w:rPr>
                <w:rFonts w:ascii="宋体" w:hAnsi="宋体" w:cs="宋体" w:eastAsia="宋体" w:hint="default"/>
                <w:spacing w:val="-8"/>
                <w:sz w:val="18"/>
                <w:szCs w:val="18"/>
              </w:rPr>
              <w:t>行（文</w:t>
            </w:r>
            <w:r>
              <w:rPr>
                <w:rFonts w:ascii="宋体" w:hAnsi="宋体" w:cs="宋体" w:eastAsia="宋体" w:hint="default"/>
                <w:sz w:val="18"/>
                <w:szCs w:val="18"/>
              </w:rPr>
              <w:t> 锦广 场支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3"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62" w:right="0"/>
              <w:jc w:val="left"/>
              <w:rPr>
                <w:rFonts w:ascii="Times New Roman" w:hAnsi="Times New Roman" w:cs="Times New Roman" w:eastAsia="Times New Roman" w:hint="default"/>
                <w:sz w:val="18"/>
                <w:szCs w:val="18"/>
              </w:rPr>
            </w:pPr>
            <w:r>
              <w:rPr>
                <w:rFonts w:ascii="Times New Roman"/>
                <w:sz w:val="18"/>
              </w:rPr>
              <w:t>3.45%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99" w:right="0"/>
              <w:jc w:val="center"/>
              <w:rPr>
                <w:rFonts w:ascii="Times New Roman" w:hAnsi="Times New Roman" w:cs="Times New Roman" w:eastAsia="Times New Roman" w:hint="default"/>
                <w:sz w:val="18"/>
                <w:szCs w:val="18"/>
              </w:rPr>
            </w:pPr>
            <w:r>
              <w:rPr>
                <w:rFonts w:ascii="Times New Roman"/>
                <w:sz w:val="18"/>
              </w:rPr>
              <w:t>17.96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99" w:right="0"/>
              <w:jc w:val="center"/>
              <w:rPr>
                <w:rFonts w:ascii="Times New Roman" w:hAnsi="Times New Roman" w:cs="Times New Roman" w:eastAsia="Times New Roman" w:hint="default"/>
                <w:sz w:val="18"/>
                <w:szCs w:val="18"/>
              </w:rPr>
            </w:pPr>
            <w:r>
              <w:rPr>
                <w:rFonts w:ascii="Times New Roman"/>
                <w:sz w:val="18"/>
              </w:rPr>
              <w:t>17.96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5"/>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平安 银行 深圳 南海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7.52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7.52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交通 银行 深圳 罗湖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18.96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18.96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工商 银行 深圳 宝湖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8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61"/>
              <w:ind w:left="24" w:right="176"/>
              <w:jc w:val="both"/>
              <w:rPr>
                <w:rFonts w:ascii="宋体" w:hAnsi="宋体" w:cs="宋体" w:eastAsia="宋体" w:hint="default"/>
                <w:sz w:val="18"/>
                <w:szCs w:val="18"/>
              </w:rPr>
            </w:pPr>
            <w:r>
              <w:rPr>
                <w:rFonts w:ascii="宋体" w:hAnsi="宋体" w:cs="宋体" w:eastAsia="宋体" w:hint="default"/>
                <w:sz w:val="18"/>
                <w:szCs w:val="18"/>
              </w:rPr>
              <w:t>平安 银行 深圳 南海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79" w:right="0"/>
              <w:jc w:val="center"/>
              <w:rPr>
                <w:rFonts w:ascii="Times New Roman" w:hAnsi="Times New Roman" w:cs="Times New Roman" w:eastAsia="Times New Roman" w:hint="default"/>
                <w:sz w:val="18"/>
                <w:szCs w:val="18"/>
              </w:rPr>
            </w:pPr>
            <w:r>
              <w:rPr>
                <w:rFonts w:ascii="Times New Roman"/>
                <w:sz w:val="18"/>
              </w:rPr>
              <w:t>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79" w:right="0"/>
              <w:jc w:val="center"/>
              <w:rPr>
                <w:rFonts w:ascii="Times New Roman" w:hAnsi="Times New Roman" w:cs="Times New Roman" w:eastAsia="Times New Roman" w:hint="default"/>
                <w:sz w:val="18"/>
                <w:szCs w:val="18"/>
              </w:rPr>
            </w:pPr>
            <w:r>
              <w:rPr>
                <w:rFonts w:ascii="Times New Roman"/>
                <w:sz w:val="18"/>
              </w:rPr>
              <w:t>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中国 银行 深圳 市分 </w:t>
            </w:r>
            <w:r>
              <w:rPr>
                <w:rFonts w:ascii="宋体" w:hAnsi="宋体" w:cs="宋体" w:eastAsia="宋体" w:hint="default"/>
                <w:spacing w:val="-8"/>
                <w:sz w:val="18"/>
                <w:szCs w:val="18"/>
              </w:rPr>
              <w:t>行（文</w:t>
            </w:r>
            <w:r>
              <w:rPr>
                <w:rFonts w:ascii="宋体" w:hAnsi="宋体" w:cs="宋体" w:eastAsia="宋体" w:hint="default"/>
                <w:sz w:val="18"/>
                <w:szCs w:val="18"/>
              </w:rPr>
              <w:t> 锦广 场支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62" w:right="0"/>
              <w:jc w:val="left"/>
              <w:rPr>
                <w:rFonts w:ascii="Times New Roman" w:hAnsi="Times New Roman" w:cs="Times New Roman" w:eastAsia="Times New Roman" w:hint="default"/>
                <w:sz w:val="18"/>
                <w:szCs w:val="18"/>
              </w:rPr>
            </w:pPr>
            <w:r>
              <w:rPr>
                <w:rFonts w:ascii="Times New Roman"/>
                <w:sz w:val="18"/>
              </w:rPr>
              <w:t>2.80%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90" w:right="0"/>
              <w:jc w:val="center"/>
              <w:rPr>
                <w:rFonts w:ascii="Times New Roman" w:hAnsi="Times New Roman" w:cs="Times New Roman" w:eastAsia="Times New Roman" w:hint="default"/>
                <w:sz w:val="18"/>
                <w:szCs w:val="18"/>
              </w:rPr>
            </w:pPr>
            <w:r>
              <w:rPr>
                <w:rFonts w:ascii="Times New Roman"/>
                <w:sz w:val="18"/>
              </w:rPr>
              <w:t>5.36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90" w:right="0"/>
              <w:jc w:val="center"/>
              <w:rPr>
                <w:rFonts w:ascii="Times New Roman" w:hAnsi="Times New Roman" w:cs="Times New Roman" w:eastAsia="Times New Roman" w:hint="default"/>
                <w:sz w:val="18"/>
                <w:szCs w:val="18"/>
              </w:rPr>
            </w:pPr>
            <w:r>
              <w:rPr>
                <w:rFonts w:ascii="Times New Roman"/>
                <w:sz w:val="18"/>
              </w:rPr>
              <w:t>5.36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75"/>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7"/>
        <w:gridCol w:w="548"/>
        <w:gridCol w:w="547"/>
        <w:gridCol w:w="538"/>
      </w:tblGrid>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交通 银行 深圳 罗湖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27.62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平安 银行 深圳 南海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9.68</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交通 银行 深圳 罗湖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57.99</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81,000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9" w:right="0"/>
              <w:jc w:val="center"/>
              <w:rPr>
                <w:rFonts w:ascii="Times New Roman" w:hAnsi="Times New Roman" w:cs="Times New Roman" w:eastAsia="Times New Roman" w:hint="default"/>
                <w:sz w:val="18"/>
                <w:szCs w:val="18"/>
              </w:rPr>
            </w:pPr>
            <w:r>
              <w:rPr>
                <w:rFonts w:ascii="Times New Roman"/>
                <w:sz w:val="18"/>
              </w:rPr>
              <w:t>291.7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224.03</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06"/>
              <w:jc w:val="right"/>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委托理财出现预期无法收回本金或存在其他可能导致减值的情形</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5"/>
        <w:spacing w:line="240" w:lineRule="auto"/>
        <w:ind w:right="1115"/>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227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9"/>
              <w:ind w:left="24" w:right="22"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9"/>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96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0"/>
              <w:jc w:val="both"/>
              <w:rPr>
                <w:rFonts w:ascii="宋体" w:hAnsi="宋体" w:cs="宋体" w:eastAsia="宋体" w:hint="default"/>
                <w:sz w:val="18"/>
                <w:szCs w:val="18"/>
              </w:rPr>
            </w:pPr>
            <w:r>
              <w:rPr>
                <w:rFonts w:ascii="宋体" w:hAnsi="宋体" w:cs="宋体" w:eastAsia="宋体" w:hint="default"/>
                <w:sz w:val="18"/>
                <w:szCs w:val="18"/>
              </w:rPr>
              <w:t>深圳市 今天国 际物流 技术股 份有限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2"/>
              <w:jc w:val="both"/>
              <w:rPr>
                <w:rFonts w:ascii="宋体" w:hAnsi="宋体" w:cs="宋体" w:eastAsia="宋体" w:hint="default"/>
                <w:sz w:val="18"/>
                <w:szCs w:val="18"/>
              </w:rPr>
            </w:pPr>
            <w:r>
              <w:rPr>
                <w:rFonts w:ascii="宋体" w:hAnsi="宋体" w:cs="宋体" w:eastAsia="宋体" w:hint="default"/>
                <w:sz w:val="18"/>
                <w:szCs w:val="18"/>
              </w:rPr>
              <w:t>中国银 行股份 有限公 司深圳 东门支 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65"/>
              <w:jc w:val="left"/>
              <w:rPr>
                <w:rFonts w:ascii="宋体" w:hAnsi="宋体" w:cs="宋体" w:eastAsia="宋体" w:hint="default"/>
                <w:sz w:val="18"/>
                <w:szCs w:val="18"/>
              </w:rPr>
            </w:pPr>
            <w:r>
              <w:rPr>
                <w:rFonts w:ascii="宋体" w:hAnsi="宋体" w:cs="宋体" w:eastAsia="宋体" w:hint="default"/>
                <w:sz w:val="18"/>
                <w:szCs w:val="18"/>
              </w:rPr>
              <w:t>授信额 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63"/>
              <w:jc w:val="left"/>
              <w:rPr>
                <w:rFonts w:ascii="宋体" w:hAnsi="宋体" w:cs="宋体" w:eastAsia="宋体" w:hint="default"/>
                <w:sz w:val="18"/>
                <w:szCs w:val="18"/>
              </w:rPr>
            </w:pPr>
            <w:r>
              <w:rPr>
                <w:rFonts w:ascii="宋体" w:hAnsi="宋体" w:cs="宋体" w:eastAsia="宋体" w:hint="default"/>
                <w:sz w:val="18"/>
                <w:szCs w:val="18"/>
              </w:rPr>
              <w:t>正在履 行</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60"/>
              <w:jc w:val="left"/>
              <w:rPr>
                <w:rFonts w:ascii="宋体" w:hAnsi="宋体" w:cs="宋体" w:eastAsia="宋体" w:hint="default"/>
                <w:sz w:val="18"/>
                <w:szCs w:val="18"/>
              </w:rPr>
            </w:pPr>
            <w:r>
              <w:rPr>
                <w:rFonts w:ascii="宋体" w:hAnsi="宋体" w:cs="宋体" w:eastAsia="宋体" w:hint="default"/>
                <w:sz w:val="18"/>
                <w:szCs w:val="18"/>
              </w:rPr>
              <w:t>深圳市 今天国</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62"/>
              <w:jc w:val="left"/>
              <w:rPr>
                <w:rFonts w:ascii="宋体" w:hAnsi="宋体" w:cs="宋体" w:eastAsia="宋体" w:hint="default"/>
                <w:sz w:val="18"/>
                <w:szCs w:val="18"/>
              </w:rPr>
            </w:pPr>
            <w:r>
              <w:rPr>
                <w:rFonts w:ascii="宋体" w:hAnsi="宋体" w:cs="宋体" w:eastAsia="宋体" w:hint="default"/>
                <w:sz w:val="18"/>
                <w:szCs w:val="18"/>
              </w:rPr>
              <w:t>中国工 商银行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授信额 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正在履 行</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1299"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60"/>
              <w:jc w:val="both"/>
              <w:rPr>
                <w:rFonts w:ascii="宋体" w:hAnsi="宋体" w:cs="宋体" w:eastAsia="宋体" w:hint="default"/>
                <w:sz w:val="18"/>
                <w:szCs w:val="18"/>
              </w:rPr>
            </w:pPr>
            <w:r>
              <w:rPr>
                <w:rFonts w:ascii="宋体" w:hAnsi="宋体" w:cs="宋体" w:eastAsia="宋体" w:hint="default"/>
                <w:sz w:val="18"/>
                <w:szCs w:val="18"/>
              </w:rPr>
              <w:t>际物流 技术股 份有限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62"/>
              <w:jc w:val="both"/>
              <w:rPr>
                <w:rFonts w:ascii="宋体" w:hAnsi="宋体" w:cs="宋体" w:eastAsia="宋体" w:hint="default"/>
                <w:sz w:val="18"/>
                <w:szCs w:val="18"/>
              </w:rPr>
            </w:pPr>
            <w:r>
              <w:rPr>
                <w:rFonts w:ascii="宋体" w:hAnsi="宋体" w:cs="宋体" w:eastAsia="宋体" w:hint="default"/>
                <w:sz w:val="18"/>
                <w:szCs w:val="18"/>
              </w:rPr>
              <w:t>股份有 限公司 深圳罗 湖支行</w:t>
            </w: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both"/>
              <w:rPr>
                <w:rFonts w:ascii="宋体" w:hAnsi="宋体" w:cs="宋体" w:eastAsia="宋体" w:hint="default"/>
                <w:sz w:val="18"/>
                <w:szCs w:val="18"/>
              </w:rPr>
            </w:pPr>
            <w:r>
              <w:rPr>
                <w:rFonts w:ascii="宋体" w:hAnsi="宋体" w:cs="宋体" w:eastAsia="宋体" w:hint="default"/>
                <w:sz w:val="18"/>
                <w:szCs w:val="18"/>
              </w:rPr>
              <w:t>深圳市 今天国 际物流 技术股 份有限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招商银 行股份 有限公 司深圳 新洲支 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授信额 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63"/>
              <w:jc w:val="left"/>
              <w:rPr>
                <w:rFonts w:ascii="宋体" w:hAnsi="宋体" w:cs="宋体" w:eastAsia="宋体" w:hint="default"/>
                <w:sz w:val="18"/>
                <w:szCs w:val="18"/>
              </w:rPr>
            </w:pPr>
            <w:r>
              <w:rPr>
                <w:rFonts w:ascii="宋体" w:hAnsi="宋体" w:cs="宋体" w:eastAsia="宋体" w:hint="default"/>
                <w:sz w:val="18"/>
                <w:szCs w:val="18"/>
              </w:rPr>
              <w:t>正在履 行</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0"/>
              <w:jc w:val="both"/>
              <w:rPr>
                <w:rFonts w:ascii="宋体" w:hAnsi="宋体" w:cs="宋体" w:eastAsia="宋体" w:hint="default"/>
                <w:sz w:val="18"/>
                <w:szCs w:val="18"/>
              </w:rPr>
            </w:pPr>
            <w:r>
              <w:rPr>
                <w:rFonts w:ascii="宋体" w:hAnsi="宋体" w:cs="宋体" w:eastAsia="宋体" w:hint="default"/>
                <w:sz w:val="18"/>
                <w:szCs w:val="18"/>
              </w:rPr>
              <w:t>深圳市 今天国 际物流 技术股 份有限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中国建 设银行 股份有 限公司 深圳市 分行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65"/>
              <w:jc w:val="left"/>
              <w:rPr>
                <w:rFonts w:ascii="宋体" w:hAnsi="宋体" w:cs="宋体" w:eastAsia="宋体" w:hint="default"/>
                <w:sz w:val="18"/>
                <w:szCs w:val="18"/>
              </w:rPr>
            </w:pPr>
            <w:r>
              <w:rPr>
                <w:rFonts w:ascii="宋体" w:hAnsi="宋体" w:cs="宋体" w:eastAsia="宋体" w:hint="default"/>
                <w:sz w:val="18"/>
                <w:szCs w:val="18"/>
              </w:rPr>
              <w:t>授信额 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63"/>
              <w:jc w:val="left"/>
              <w:rPr>
                <w:rFonts w:ascii="宋体" w:hAnsi="宋体" w:cs="宋体" w:eastAsia="宋体" w:hint="default"/>
                <w:sz w:val="18"/>
                <w:szCs w:val="18"/>
              </w:rPr>
            </w:pPr>
            <w:r>
              <w:rPr>
                <w:rFonts w:ascii="宋体" w:hAnsi="宋体" w:cs="宋体" w:eastAsia="宋体" w:hint="default"/>
                <w:sz w:val="18"/>
                <w:szCs w:val="18"/>
              </w:rPr>
              <w:t>正在履 行</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both"/>
              <w:rPr>
                <w:rFonts w:ascii="宋体" w:hAnsi="宋体" w:cs="宋体" w:eastAsia="宋体" w:hint="default"/>
                <w:sz w:val="18"/>
                <w:szCs w:val="18"/>
              </w:rPr>
            </w:pPr>
            <w:r>
              <w:rPr>
                <w:rFonts w:ascii="宋体" w:hAnsi="宋体" w:cs="宋体" w:eastAsia="宋体" w:hint="default"/>
                <w:sz w:val="18"/>
                <w:szCs w:val="18"/>
              </w:rPr>
              <w:t>深圳市 今天国 际物流 技术股 份有限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62"/>
              <w:jc w:val="both"/>
              <w:rPr>
                <w:rFonts w:ascii="宋体" w:hAnsi="宋体" w:cs="宋体" w:eastAsia="宋体" w:hint="default"/>
                <w:sz w:val="18"/>
                <w:szCs w:val="18"/>
              </w:rPr>
            </w:pPr>
            <w:r>
              <w:rPr>
                <w:rFonts w:ascii="宋体" w:hAnsi="宋体" w:cs="宋体" w:eastAsia="宋体" w:hint="default"/>
                <w:sz w:val="18"/>
                <w:szCs w:val="18"/>
              </w:rPr>
              <w:t>中国华 西企业 有限公 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工程施 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7,260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63"/>
              <w:jc w:val="left"/>
              <w:rPr>
                <w:rFonts w:ascii="宋体" w:hAnsi="宋体" w:cs="宋体" w:eastAsia="宋体" w:hint="default"/>
                <w:sz w:val="18"/>
                <w:szCs w:val="18"/>
              </w:rPr>
            </w:pPr>
            <w:r>
              <w:rPr>
                <w:rFonts w:ascii="宋体" w:hAnsi="宋体" w:cs="宋体" w:eastAsia="宋体" w:hint="default"/>
                <w:sz w:val="18"/>
                <w:szCs w:val="18"/>
              </w:rPr>
              <w:t>正在履 行</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4"/>
        <w:spacing w:line="240" w:lineRule="auto" w:before="26"/>
        <w:ind w:right="1115"/>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34" w:firstLine="360"/>
        <w:jc w:val="both"/>
      </w:pPr>
      <w:r>
        <w:rPr>
          <w:spacing w:val="-2"/>
        </w:rPr>
        <w:t>报告期内，公司积极履行社会责任，在追求自身发展的同时，注重社会责任，坚持经济效益与社会效益、自身发展与社</w:t>
      </w:r>
      <w:r>
        <w:rPr/>
        <w:t> </w:t>
      </w:r>
      <w:r>
        <w:rPr>
          <w:spacing w:val="-2"/>
        </w:rPr>
        <w:t>会发展并重，努力建设成为一个员工热爱、客户信赖、社会尊重的优秀企业，实现企业、投资者、员工与社会共同成长、和</w:t>
      </w:r>
      <w:r>
        <w:rPr>
          <w:spacing w:val="-73"/>
        </w:rPr>
        <w:t> </w:t>
      </w:r>
      <w:r>
        <w:rPr>
          <w:spacing w:val="-73"/>
        </w:rPr>
      </w:r>
      <w:r>
        <w:rPr/>
        <w:t>谐发展。</w:t>
      </w:r>
    </w:p>
    <w:p>
      <w:pPr>
        <w:pStyle w:val="BodyText"/>
        <w:spacing w:line="451" w:lineRule="auto" w:before="54"/>
        <w:ind w:left="513" w:right="998"/>
        <w:jc w:val="left"/>
      </w:pPr>
      <w:r>
        <w:rPr>
          <w:rFonts w:ascii="Times New Roman" w:hAnsi="Times New Roman" w:cs="Times New Roman" w:eastAsia="Times New Roman" w:hint="default"/>
        </w:rPr>
        <w:t>1</w:t>
      </w:r>
      <w:r>
        <w:rPr/>
        <w:t>、投资者权益保护 </w:t>
      </w:r>
      <w:r>
        <w:rPr>
          <w:spacing w:val="-4"/>
        </w:rPr>
        <w:t>公司严格遵照相关法律、法规，及时有效、真实准确地进行信息披露，确保所有股东与投资者以平等机会获取公司信息，</w:t>
      </w:r>
    </w:p>
    <w:p>
      <w:pPr>
        <w:pStyle w:val="BodyText"/>
        <w:spacing w:line="240" w:lineRule="auto" w:before="74"/>
        <w:ind w:right="1115"/>
        <w:jc w:val="left"/>
      </w:pPr>
      <w:r>
        <w:rPr/>
        <w:t>保障全体股东及投资者的合法权益。通过互动平台、电话、邮件等方式认真解答投资者疑问。</w:t>
      </w:r>
    </w:p>
    <w:p>
      <w:pPr>
        <w:spacing w:line="240" w:lineRule="auto" w:before="11"/>
        <w:rPr>
          <w:rFonts w:ascii="宋体" w:hAnsi="宋体" w:cs="宋体" w:eastAsia="宋体" w:hint="default"/>
          <w:sz w:val="17"/>
          <w:szCs w:val="17"/>
        </w:rPr>
      </w:pPr>
    </w:p>
    <w:p>
      <w:pPr>
        <w:pStyle w:val="BodyText"/>
        <w:spacing w:line="451" w:lineRule="auto"/>
        <w:ind w:left="513" w:right="1115"/>
        <w:jc w:val="left"/>
      </w:pPr>
      <w:r>
        <w:rPr>
          <w:rFonts w:ascii="Times New Roman" w:hAnsi="Times New Roman" w:cs="Times New Roman" w:eastAsia="Times New Roman" w:hint="default"/>
        </w:rPr>
        <w:t>2</w:t>
      </w:r>
      <w:r>
        <w:rPr/>
        <w:t>、构建和谐的劳动关系 </w:t>
      </w:r>
      <w:r>
        <w:rPr>
          <w:spacing w:val="-2"/>
        </w:rPr>
        <w:t>公司严格遵守国家《劳动法》、《劳动合同法》等法律法规，充分保障员工平等劳动、休息休假的合法权益，劳动合同</w:t>
      </w:r>
    </w:p>
    <w:p>
      <w:pPr>
        <w:pStyle w:val="BodyText"/>
        <w:spacing w:line="240" w:lineRule="auto" w:before="74"/>
        <w:ind w:right="1115"/>
        <w:jc w:val="left"/>
      </w:pPr>
      <w:r>
        <w:rPr/>
        <w:t>签订率</w:t>
      </w:r>
      <w:r>
        <w:rPr>
          <w:rFonts w:ascii="Times New Roman" w:hAnsi="Times New Roman" w:cs="Times New Roman" w:eastAsia="Times New Roman" w:hint="default"/>
        </w:rPr>
        <w:t>100%</w:t>
      </w:r>
      <w:r>
        <w:rPr/>
        <w:t>；开展多种形式和方式的员工沟通，完善员工建议和诉求的反馈渠道，及时帮助员工疏导工作压力。</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rFonts w:ascii="Times New Roman" w:hAnsi="Times New Roman" w:cs="Times New Roman" w:eastAsia="Times New Roman" w:hint="default"/>
        </w:rPr>
        <w:t>3</w:t>
      </w:r>
      <w:r>
        <w:rPr/>
        <w:t>、获得多项资质荣誉，塑造良好社会形象</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rFonts w:ascii="Times New Roman" w:hAnsi="Times New Roman" w:cs="Times New Roman" w:eastAsia="Times New Roman" w:hint="default"/>
        </w:rPr>
        <w:t>2018</w:t>
      </w:r>
      <w:r>
        <w:rPr/>
        <w:t>年度公司获得荣誉如下：</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513" w:right="1115"/>
        <w:jc w:val="left"/>
      </w:pPr>
      <w:r>
        <w:rPr/>
        <w:t>（</w:t>
      </w:r>
      <w:r>
        <w:rPr>
          <w:rFonts w:ascii="Times New Roman" w:hAnsi="Times New Roman" w:cs="Times New Roman" w:eastAsia="Times New Roman" w:hint="default"/>
        </w:rPr>
        <w:t>1</w:t>
      </w:r>
      <w:r>
        <w:rPr/>
        <w:t>）公司成为第十六届深圳企业创新纪录自主创新领航企业；</w:t>
      </w:r>
    </w:p>
    <w:p>
      <w:pPr>
        <w:spacing w:line="240" w:lineRule="auto" w:before="10"/>
        <w:rPr>
          <w:rFonts w:ascii="宋体" w:hAnsi="宋体" w:cs="宋体" w:eastAsia="宋体" w:hint="default"/>
          <w:sz w:val="16"/>
          <w:szCs w:val="16"/>
        </w:rPr>
      </w:pPr>
    </w:p>
    <w:p>
      <w:pPr>
        <w:pStyle w:val="BodyText"/>
        <w:spacing w:line="240" w:lineRule="auto"/>
        <w:ind w:left="513" w:right="1115"/>
        <w:jc w:val="left"/>
      </w:pPr>
      <w:r>
        <w:rPr/>
        <w:t>（</w:t>
      </w:r>
      <w:r>
        <w:rPr>
          <w:rFonts w:ascii="Times New Roman" w:hAnsi="Times New Roman" w:cs="Times New Roman" w:eastAsia="Times New Roman" w:hint="default"/>
        </w:rPr>
        <w:t>2</w:t>
      </w:r>
      <w:r>
        <w:rPr/>
        <w:t>）公司成为中国移动机器人（</w:t>
      </w:r>
      <w:r>
        <w:rPr>
          <w:rFonts w:ascii="Times New Roman" w:hAnsi="Times New Roman" w:cs="Times New Roman" w:eastAsia="Times New Roman" w:hint="default"/>
        </w:rPr>
        <w:t>AGV</w:t>
      </w:r>
      <w:r>
        <w:rPr/>
        <w:t>）产业联盟副理事长单位；</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t>（</w:t>
      </w:r>
      <w:r>
        <w:rPr>
          <w:rFonts w:ascii="Times New Roman" w:hAnsi="Times New Roman" w:cs="Times New Roman" w:eastAsia="Times New Roman" w:hint="default"/>
        </w:rPr>
        <w:t>3</w:t>
      </w:r>
      <w:r>
        <w:rPr/>
        <w:t>）成为</w:t>
      </w:r>
      <w:r>
        <w:rPr>
          <w:rFonts w:ascii="Times New Roman" w:hAnsi="Times New Roman" w:cs="Times New Roman" w:eastAsia="Times New Roman" w:hint="default"/>
        </w:rPr>
        <w:t>2018</w:t>
      </w:r>
      <w:r>
        <w:rPr/>
        <w:t>年物流技术装备推荐品牌；</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t>（</w:t>
      </w:r>
      <w:r>
        <w:rPr>
          <w:rFonts w:ascii="Times New Roman" w:hAnsi="Times New Roman" w:cs="Times New Roman" w:eastAsia="Times New Roman" w:hint="default"/>
        </w:rPr>
        <w:t>4</w:t>
      </w:r>
      <w:r>
        <w:rPr/>
        <w:t>）获得深圳知名品牌称号；</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t>（</w:t>
      </w:r>
      <w:r>
        <w:rPr>
          <w:rFonts w:ascii="Times New Roman" w:hAnsi="Times New Roman" w:cs="Times New Roman" w:eastAsia="Times New Roman" w:hint="default"/>
        </w:rPr>
        <w:t>5</w:t>
      </w:r>
      <w:r>
        <w:rPr/>
        <w:t>）成为深圳市智能制造产业促进会理事单位；</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t>（</w:t>
      </w:r>
      <w:r>
        <w:rPr>
          <w:rFonts w:ascii="Times New Roman" w:hAnsi="Times New Roman" w:cs="Times New Roman" w:eastAsia="Times New Roman" w:hint="default"/>
        </w:rPr>
        <w:t>6</w:t>
      </w:r>
      <w:r>
        <w:rPr/>
        <w:t>）荣获</w:t>
      </w:r>
      <w:r>
        <w:rPr>
          <w:rFonts w:ascii="Times New Roman" w:hAnsi="Times New Roman" w:cs="Times New Roman" w:eastAsia="Times New Roman" w:hint="default"/>
        </w:rPr>
        <w:t>2018</w:t>
      </w:r>
      <w:r>
        <w:rPr/>
        <w:t>上市企业董事会治理十佳；</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t>（</w:t>
      </w:r>
      <w:r>
        <w:rPr>
          <w:rFonts w:ascii="Times New Roman" w:hAnsi="Times New Roman" w:cs="Times New Roman" w:eastAsia="Times New Roman" w:hint="default"/>
        </w:rPr>
        <w:t>7</w:t>
      </w:r>
      <w:r>
        <w:rPr/>
        <w:t>）成为</w:t>
      </w:r>
      <w:r>
        <w:rPr>
          <w:rFonts w:ascii="Times New Roman" w:hAnsi="Times New Roman" w:cs="Times New Roman" w:eastAsia="Times New Roman" w:hint="default"/>
        </w:rPr>
        <w:t>2017-2018</w:t>
      </w:r>
      <w:r>
        <w:rPr/>
        <w:t>中国冷链产业金链奖十佳仓储设备供应商；</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t>（</w:t>
      </w:r>
      <w:r>
        <w:rPr>
          <w:rFonts w:ascii="Times New Roman" w:hAnsi="Times New Roman" w:cs="Times New Roman" w:eastAsia="Times New Roman" w:hint="default"/>
        </w:rPr>
        <w:t>8</w:t>
      </w:r>
      <w:r>
        <w:rPr/>
        <w:t>）成为</w:t>
      </w:r>
      <w:r>
        <w:rPr>
          <w:rFonts w:ascii="Times New Roman" w:hAnsi="Times New Roman" w:cs="Times New Roman" w:eastAsia="Times New Roman" w:hint="default"/>
        </w:rPr>
        <w:t>2018</w:t>
      </w:r>
      <w:r>
        <w:rPr/>
        <w:t>中国锂电池辅助设备十大品牌；</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t>（</w:t>
      </w:r>
      <w:r>
        <w:rPr>
          <w:rFonts w:ascii="Times New Roman" w:hAnsi="Times New Roman" w:cs="Times New Roman" w:eastAsia="Times New Roman" w:hint="default"/>
        </w:rPr>
        <w:t>9</w:t>
      </w:r>
      <w:r>
        <w:rPr/>
        <w:t>）成为致敬改革开放</w:t>
      </w:r>
      <w:r>
        <w:rPr>
          <w:rFonts w:ascii="Times New Roman" w:hAnsi="Times New Roman" w:cs="Times New Roman" w:eastAsia="Times New Roman" w:hint="default"/>
        </w:rPr>
        <w:t>40</w:t>
      </w:r>
      <w:r>
        <w:rPr/>
        <w:t>周年物流装备技术应用标杆示范项目；</w:t>
      </w:r>
    </w:p>
    <w:p>
      <w:pPr>
        <w:spacing w:line="240" w:lineRule="auto" w:before="10"/>
        <w:rPr>
          <w:rFonts w:ascii="宋体" w:hAnsi="宋体" w:cs="宋体" w:eastAsia="宋体" w:hint="default"/>
          <w:sz w:val="16"/>
          <w:szCs w:val="16"/>
        </w:rPr>
      </w:pPr>
    </w:p>
    <w:p>
      <w:pPr>
        <w:pStyle w:val="BodyText"/>
        <w:spacing w:line="240" w:lineRule="auto"/>
        <w:ind w:left="513" w:right="1115"/>
        <w:jc w:val="left"/>
      </w:pPr>
      <w:r>
        <w:rPr/>
        <w:t>（</w:t>
      </w:r>
      <w:r>
        <w:rPr>
          <w:rFonts w:ascii="Times New Roman" w:hAnsi="Times New Roman" w:cs="Times New Roman" w:eastAsia="Times New Roman" w:hint="default"/>
        </w:rPr>
        <w:t>10</w:t>
      </w:r>
      <w:r>
        <w:rPr/>
        <w:t>）成为致敬改革开放</w:t>
      </w:r>
      <w:r>
        <w:rPr>
          <w:rFonts w:ascii="Times New Roman" w:hAnsi="Times New Roman" w:cs="Times New Roman" w:eastAsia="Times New Roman" w:hint="default"/>
        </w:rPr>
        <w:t>40</w:t>
      </w:r>
      <w:r>
        <w:rPr/>
        <w:t>周年物流装备产业领先品牌；</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t>（</w:t>
      </w:r>
      <w:r>
        <w:rPr>
          <w:rFonts w:ascii="Times New Roman" w:hAnsi="Times New Roman" w:cs="Times New Roman" w:eastAsia="Times New Roman" w:hint="default"/>
        </w:rPr>
        <w:t>11</w:t>
      </w:r>
      <w:r>
        <w:rPr/>
        <w:t>）获得第</w:t>
      </w:r>
      <w:r>
        <w:rPr>
          <w:rFonts w:ascii="Times New Roman" w:hAnsi="Times New Roman" w:cs="Times New Roman" w:eastAsia="Times New Roman" w:hint="default"/>
        </w:rPr>
        <w:t>7</w:t>
      </w:r>
      <w:r>
        <w:rPr/>
        <w:t>届</w:t>
      </w:r>
      <w:r>
        <w:rPr>
          <w:rFonts w:ascii="Times New Roman" w:hAnsi="Times New Roman" w:cs="Times New Roman" w:eastAsia="Times New Roman" w:hint="default"/>
        </w:rPr>
        <w:t>LT</w:t>
      </w:r>
      <w:r>
        <w:rPr/>
        <w:t>中国物流技术奖创新产品奖；</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t>（</w:t>
      </w:r>
      <w:r>
        <w:rPr>
          <w:rFonts w:ascii="Times New Roman" w:hAnsi="Times New Roman" w:cs="Times New Roman" w:eastAsia="Times New Roman" w:hint="default"/>
        </w:rPr>
        <w:t>12</w:t>
      </w:r>
      <w:r>
        <w:rPr/>
        <w:t>）中车智能仓储系统项目获中国制造业优秀物流工程奖、物流装备技术应用标杆示范项目；</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t>（</w:t>
      </w:r>
      <w:r>
        <w:rPr>
          <w:rFonts w:ascii="Times New Roman" w:hAnsi="Times New Roman" w:cs="Times New Roman" w:eastAsia="Times New Roman" w:hint="default"/>
        </w:rPr>
        <w:t>13</w:t>
      </w:r>
      <w:r>
        <w:rPr/>
        <w:t>）成为</w:t>
      </w:r>
      <w:r>
        <w:rPr>
          <w:spacing w:val="-22"/>
        </w:rPr>
        <w:t> </w:t>
      </w:r>
      <w:r>
        <w:rPr>
          <w:rFonts w:ascii="Times New Roman" w:hAnsi="Times New Roman" w:cs="Times New Roman" w:eastAsia="Times New Roman" w:hint="default"/>
        </w:rPr>
        <w:t>2018</w:t>
      </w:r>
      <w:r>
        <w:rPr/>
        <w:t>年中国物流系统集成知名品牌；</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t>（</w:t>
      </w:r>
      <w:r>
        <w:rPr>
          <w:rFonts w:ascii="Times New Roman" w:hAnsi="Times New Roman" w:cs="Times New Roman" w:eastAsia="Times New Roman" w:hint="default"/>
        </w:rPr>
        <w:t>14</w:t>
      </w:r>
      <w:r>
        <w:rPr/>
        <w:t>）成为深物联</w:t>
      </w:r>
      <w:r>
        <w:rPr>
          <w:rFonts w:ascii="Times New Roman" w:hAnsi="Times New Roman" w:cs="Times New Roman" w:eastAsia="Times New Roman" w:hint="default"/>
        </w:rPr>
        <w:t>-</w:t>
      </w:r>
      <w:r>
        <w:rPr/>
        <w:t>联席会长单位；</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t>（</w:t>
      </w:r>
      <w:r>
        <w:rPr>
          <w:rFonts w:ascii="Times New Roman" w:hAnsi="Times New Roman" w:cs="Times New Roman" w:eastAsia="Times New Roman" w:hint="default"/>
        </w:rPr>
        <w:t>15</w:t>
      </w:r>
      <w:r>
        <w:rPr/>
        <w:t>）获得深物联</w:t>
      </w:r>
      <w:r>
        <w:rPr>
          <w:rFonts w:ascii="Times New Roman" w:hAnsi="Times New Roman" w:cs="Times New Roman" w:eastAsia="Times New Roman" w:hint="default"/>
        </w:rPr>
        <w:t>-</w:t>
      </w:r>
      <w:r>
        <w:rPr/>
        <w:t>产业领航企业奖；</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t>（</w:t>
      </w:r>
      <w:r>
        <w:rPr>
          <w:rFonts w:ascii="Times New Roman" w:hAnsi="Times New Roman" w:cs="Times New Roman" w:eastAsia="Times New Roman" w:hint="default"/>
        </w:rPr>
        <w:t>16</w:t>
      </w:r>
      <w:r>
        <w:rPr/>
        <w:t>）获得</w:t>
      </w:r>
      <w:r>
        <w:rPr>
          <w:rFonts w:ascii="Times New Roman" w:hAnsi="Times New Roman" w:cs="Times New Roman" w:eastAsia="Times New Roman" w:hint="default"/>
        </w:rPr>
        <w:t>2018</w:t>
      </w:r>
      <w:r>
        <w:rPr/>
        <w:t>中国物联产业领航与应用评选产业领航企业奖；</w:t>
      </w:r>
    </w:p>
    <w:p>
      <w:pPr>
        <w:spacing w:line="240" w:lineRule="auto" w:before="9"/>
        <w:rPr>
          <w:rFonts w:ascii="宋体" w:hAnsi="宋体" w:cs="宋体" w:eastAsia="宋体" w:hint="default"/>
          <w:sz w:val="16"/>
          <w:szCs w:val="16"/>
        </w:rPr>
      </w:pPr>
    </w:p>
    <w:p>
      <w:pPr>
        <w:pStyle w:val="BodyText"/>
        <w:spacing w:line="240" w:lineRule="auto"/>
        <w:ind w:right="1115" w:firstLine="360"/>
        <w:jc w:val="left"/>
      </w:pPr>
      <w:r>
        <w:rPr/>
        <w:t>（</w:t>
      </w:r>
      <w:r>
        <w:rPr>
          <w:rFonts w:ascii="Times New Roman" w:hAnsi="Times New Roman" w:cs="Times New Roman" w:eastAsia="Times New Roman" w:hint="default"/>
        </w:rPr>
        <w:t>17</w:t>
      </w:r>
      <w:r>
        <w:rPr/>
        <w:t>）获得</w:t>
      </w:r>
      <w:r>
        <w:rPr>
          <w:rFonts w:ascii="Times New Roman" w:hAnsi="Times New Roman" w:cs="Times New Roman" w:eastAsia="Times New Roman" w:hint="default"/>
        </w:rPr>
        <w:t>CMMI-5</w:t>
      </w:r>
      <w:r>
        <w:rPr/>
        <w:t>证书。</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spacing w:line="520" w:lineRule="auto" w:before="0"/>
        <w:ind w:left="152" w:right="26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公司报告年度暂未开展精准扶贫工作，未来将积极参与精准扶贫工作。</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pStyle w:val="BodyText"/>
        <w:spacing w:line="357" w:lineRule="auto" w:before="72"/>
        <w:ind w:right="5714"/>
        <w:jc w:val="left"/>
      </w:pPr>
      <w:r>
        <w:rPr/>
        <w:t>上市公司及其子公司是否属于环境保护部门公布的重点排污单位 否</w:t>
      </w:r>
    </w:p>
    <w:p>
      <w:pPr>
        <w:pStyle w:val="BodyText"/>
        <w:spacing w:line="240" w:lineRule="auto" w:before="29"/>
        <w:ind w:right="1115"/>
        <w:jc w:val="left"/>
      </w:pPr>
      <w:r>
        <w:rPr/>
        <w:t>本公司及其子公司从事业务主要为软件和信息技术服务，不会造成环境污染。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right="1115"/>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15"/>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3" w:right="1115"/>
        <w:jc w:val="left"/>
        <w:rPr>
          <w:b w:val="0"/>
          <w:bCs w:val="0"/>
        </w:rPr>
      </w:pPr>
      <w:bookmarkStart w:name="_TOC_250006" w:id="6"/>
      <w:r>
        <w:rPr/>
        <w:t>第六节</w:t>
      </w:r>
      <w:r>
        <w:rPr>
          <w:spacing w:val="-5"/>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1115"/>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3"/>
        <w:gridCol w:w="795"/>
        <w:gridCol w:w="792"/>
      </w:tblGrid>
      <w:tr>
        <w:trPr>
          <w:trHeight w:val="40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7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49"/>
              <w:ind w:left="225" w:right="134"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82"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795"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88,135,380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5"/>
                <w:sz w:val="14"/>
              </w:rPr>
              <w:t>57.22%</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Times New Roman" w:hAnsi="Times New Roman" w:cs="Times New Roman" w:eastAsia="Times New Roman" w:hint="default"/>
                <w:sz w:val="14"/>
                <w:szCs w:val="14"/>
              </w:rPr>
            </w:pPr>
            <w:r>
              <w:rPr>
                <w:rFonts w:ascii="Times New Roman"/>
                <w:w w:val="95"/>
                <w:sz w:val="14"/>
              </w:rPr>
              <w:t>70,508,304</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-1,015,416</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Times New Roman" w:hAnsi="Times New Roman" w:cs="Times New Roman" w:eastAsia="Times New Roman" w:hint="default"/>
                <w:sz w:val="14"/>
                <w:szCs w:val="14"/>
              </w:rPr>
            </w:pPr>
            <w:r>
              <w:rPr>
                <w:rFonts w:ascii="Times New Roman"/>
                <w:w w:val="95"/>
                <w:sz w:val="14"/>
              </w:rPr>
              <w:t>69,492,888</w:t>
            </w:r>
            <w:r>
              <w:rPr>
                <w:rFonts w:ascii="Times New Roman"/>
                <w:sz w:val="14"/>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5"/>
              <w:jc w:val="right"/>
              <w:rPr>
                <w:rFonts w:ascii="Times New Roman" w:hAnsi="Times New Roman" w:cs="Times New Roman" w:eastAsia="Times New Roman" w:hint="default"/>
                <w:sz w:val="14"/>
                <w:szCs w:val="14"/>
              </w:rPr>
            </w:pPr>
            <w:r>
              <w:rPr>
                <w:rFonts w:ascii="Times New Roman"/>
                <w:w w:val="95"/>
                <w:sz w:val="14"/>
              </w:rPr>
              <w:t>157,628,268</w:t>
            </w:r>
            <w:r>
              <w:rPr>
                <w:rFonts w:ascii="Times New Roman"/>
                <w:sz w:val="14"/>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5"/>
                <w:sz w:val="14"/>
              </w:rPr>
              <w:t>56.85%</w:t>
            </w:r>
            <w:r>
              <w:rPr>
                <w:rFonts w:ascii="Times New Roman"/>
                <w:sz w:val="14"/>
              </w:rPr>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5"/>
                <w:sz w:val="14"/>
              </w:rPr>
              <w:t>0.00%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5"/>
                <w:sz w:val="14"/>
              </w:rPr>
              <w:t>0.00%</w:t>
            </w:r>
            <w:r>
              <w:rPr>
                <w:rFonts w:ascii="Times New Roman"/>
                <w:sz w:val="14"/>
              </w:rPr>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5"/>
                <w:sz w:val="14"/>
              </w:rPr>
              <w:t>0.00%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5"/>
                <w:sz w:val="14"/>
              </w:rPr>
              <w:t>0.00%</w:t>
            </w:r>
            <w:r>
              <w:rPr>
                <w:rFonts w:ascii="Times New Roman"/>
                <w:sz w:val="14"/>
              </w:rPr>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14"/>
                <w:szCs w:val="14"/>
              </w:rPr>
            </w:pPr>
            <w:r>
              <w:rPr>
                <w:rFonts w:ascii="Times New Roman"/>
                <w:w w:val="95"/>
                <w:sz w:val="14"/>
              </w:rPr>
              <w:t>87,739,380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5"/>
                <w:sz w:val="14"/>
              </w:rPr>
              <w:t>56.96%</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4"/>
              <w:jc w:val="right"/>
              <w:rPr>
                <w:rFonts w:ascii="Times New Roman" w:hAnsi="Times New Roman" w:cs="Times New Roman" w:eastAsia="Times New Roman" w:hint="default"/>
                <w:sz w:val="14"/>
                <w:szCs w:val="14"/>
              </w:rPr>
            </w:pPr>
            <w:r>
              <w:rPr>
                <w:rFonts w:ascii="Times New Roman"/>
                <w:w w:val="95"/>
                <w:sz w:val="14"/>
              </w:rPr>
              <w:t>70,191,504</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14"/>
                <w:szCs w:val="14"/>
              </w:rPr>
            </w:pPr>
            <w:r>
              <w:rPr>
                <w:rFonts w:ascii="Times New Roman"/>
                <w:w w:val="95"/>
                <w:sz w:val="14"/>
              </w:rPr>
              <w:t>-872,856</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4"/>
              <w:jc w:val="right"/>
              <w:rPr>
                <w:rFonts w:ascii="Times New Roman" w:hAnsi="Times New Roman" w:cs="Times New Roman" w:eastAsia="Times New Roman" w:hint="default"/>
                <w:sz w:val="14"/>
                <w:szCs w:val="14"/>
              </w:rPr>
            </w:pPr>
            <w:r>
              <w:rPr>
                <w:rFonts w:ascii="Times New Roman"/>
                <w:w w:val="95"/>
                <w:sz w:val="14"/>
              </w:rPr>
              <w:t>69,318,648</w:t>
            </w:r>
            <w:r>
              <w:rPr>
                <w:rFonts w:ascii="Times New Roman"/>
                <w:sz w:val="14"/>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5"/>
              <w:jc w:val="right"/>
              <w:rPr>
                <w:rFonts w:ascii="Times New Roman" w:hAnsi="Times New Roman" w:cs="Times New Roman" w:eastAsia="Times New Roman" w:hint="default"/>
                <w:sz w:val="14"/>
                <w:szCs w:val="14"/>
              </w:rPr>
            </w:pPr>
            <w:r>
              <w:rPr>
                <w:rFonts w:ascii="Times New Roman"/>
                <w:w w:val="95"/>
                <w:sz w:val="14"/>
              </w:rPr>
              <w:t>157,058,028</w:t>
            </w:r>
            <w:r>
              <w:rPr>
                <w:rFonts w:ascii="Times New Roman"/>
                <w:sz w:val="14"/>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5"/>
                <w:sz w:val="14"/>
              </w:rPr>
              <w:t>56.64%</w:t>
            </w:r>
            <w:r>
              <w:rPr>
                <w:rFonts w:ascii="Times New Roman"/>
                <w:sz w:val="14"/>
              </w:rPr>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4"/>
                <w:szCs w:val="14"/>
              </w:rPr>
            </w:pPr>
            <w:r>
              <w:rPr>
                <w:rFonts w:ascii="Times New Roman"/>
                <w:w w:val="95"/>
                <w:sz w:val="14"/>
              </w:rPr>
              <w:t>4,757,040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5"/>
                <w:sz w:val="14"/>
              </w:rPr>
              <w:t>3.09%</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3,805,632</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3,805,632</w:t>
            </w:r>
            <w:r>
              <w:rPr>
                <w:rFonts w:ascii="Times New Roman"/>
                <w:sz w:val="14"/>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8,562,672</w:t>
            </w:r>
            <w:r>
              <w:rPr>
                <w:rFonts w:ascii="Times New Roman"/>
                <w:sz w:val="14"/>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5"/>
                <w:sz w:val="14"/>
              </w:rPr>
              <w:t>3.09%</w:t>
            </w:r>
            <w:r>
              <w:rPr>
                <w:rFonts w:ascii="Times New Roman"/>
                <w:sz w:val="14"/>
              </w:rPr>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14"/>
                <w:szCs w:val="14"/>
              </w:rPr>
            </w:pPr>
            <w:r>
              <w:rPr>
                <w:rFonts w:ascii="Times New Roman"/>
                <w:w w:val="95"/>
                <w:sz w:val="14"/>
              </w:rPr>
              <w:t>82,982,340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5"/>
                <w:sz w:val="14"/>
              </w:rPr>
              <w:t>53.87%</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4"/>
              <w:jc w:val="right"/>
              <w:rPr>
                <w:rFonts w:ascii="Times New Roman" w:hAnsi="Times New Roman" w:cs="Times New Roman" w:eastAsia="Times New Roman" w:hint="default"/>
                <w:sz w:val="14"/>
                <w:szCs w:val="14"/>
              </w:rPr>
            </w:pPr>
            <w:r>
              <w:rPr>
                <w:rFonts w:ascii="Times New Roman"/>
                <w:w w:val="95"/>
                <w:sz w:val="14"/>
              </w:rPr>
              <w:t>66,385,872</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14"/>
                <w:szCs w:val="14"/>
              </w:rPr>
            </w:pPr>
            <w:r>
              <w:rPr>
                <w:rFonts w:ascii="Times New Roman"/>
                <w:w w:val="95"/>
                <w:sz w:val="14"/>
              </w:rPr>
              <w:t>-872,856</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4"/>
              <w:jc w:val="right"/>
              <w:rPr>
                <w:rFonts w:ascii="Times New Roman" w:hAnsi="Times New Roman" w:cs="Times New Roman" w:eastAsia="Times New Roman" w:hint="default"/>
                <w:sz w:val="14"/>
                <w:szCs w:val="14"/>
              </w:rPr>
            </w:pPr>
            <w:r>
              <w:rPr>
                <w:rFonts w:ascii="Times New Roman"/>
                <w:w w:val="95"/>
                <w:sz w:val="14"/>
              </w:rPr>
              <w:t>65,513,016</w:t>
            </w:r>
            <w:r>
              <w:rPr>
                <w:rFonts w:ascii="Times New Roman"/>
                <w:sz w:val="14"/>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5"/>
              <w:jc w:val="right"/>
              <w:rPr>
                <w:rFonts w:ascii="Times New Roman" w:hAnsi="Times New Roman" w:cs="Times New Roman" w:eastAsia="Times New Roman" w:hint="default"/>
                <w:sz w:val="14"/>
                <w:szCs w:val="14"/>
              </w:rPr>
            </w:pPr>
            <w:r>
              <w:rPr>
                <w:rFonts w:ascii="Times New Roman"/>
                <w:w w:val="95"/>
                <w:sz w:val="14"/>
              </w:rPr>
              <w:t>148,495,356</w:t>
            </w:r>
            <w:r>
              <w:rPr>
                <w:rFonts w:ascii="Times New Roman"/>
                <w:sz w:val="14"/>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5"/>
                <w:sz w:val="14"/>
              </w:rPr>
              <w:t>53.56%</w:t>
            </w:r>
            <w:r>
              <w:rPr>
                <w:rFonts w:ascii="Times New Roman"/>
                <w:sz w:val="14"/>
              </w:rPr>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396,000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5"/>
                <w:sz w:val="14"/>
              </w:rPr>
              <w:t>0.26%</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Times New Roman" w:hAnsi="Times New Roman" w:cs="Times New Roman" w:eastAsia="Times New Roman" w:hint="default"/>
                <w:sz w:val="14"/>
                <w:szCs w:val="14"/>
              </w:rPr>
            </w:pPr>
            <w:r>
              <w:rPr>
                <w:rFonts w:ascii="Times New Roman"/>
                <w:w w:val="95"/>
                <w:sz w:val="14"/>
              </w:rPr>
              <w:t>316,800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-142,560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Times New Roman" w:hAnsi="Times New Roman" w:cs="Times New Roman" w:eastAsia="Times New Roman" w:hint="default"/>
                <w:sz w:val="14"/>
                <w:szCs w:val="14"/>
              </w:rPr>
            </w:pPr>
            <w:r>
              <w:rPr>
                <w:rFonts w:ascii="Times New Roman"/>
                <w:w w:val="95"/>
                <w:sz w:val="14"/>
              </w:rPr>
              <w:t>174,240</w:t>
            </w:r>
            <w:r>
              <w:rPr>
                <w:rFonts w:ascii="Times New Roman"/>
                <w:sz w:val="14"/>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Times New Roman" w:hAnsi="Times New Roman" w:cs="Times New Roman" w:eastAsia="Times New Roman" w:hint="default"/>
                <w:sz w:val="14"/>
                <w:szCs w:val="14"/>
              </w:rPr>
            </w:pPr>
            <w:r>
              <w:rPr>
                <w:rFonts w:ascii="Times New Roman"/>
                <w:w w:val="95"/>
                <w:sz w:val="14"/>
              </w:rPr>
              <w:t>570,240</w:t>
            </w:r>
            <w:r>
              <w:rPr>
                <w:rFonts w:ascii="Times New Roman"/>
                <w:sz w:val="14"/>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5"/>
                <w:sz w:val="14"/>
              </w:rPr>
              <w:t>0.21%</w:t>
            </w:r>
            <w:r>
              <w:rPr>
                <w:rFonts w:ascii="Times New Roman"/>
                <w:sz w:val="14"/>
              </w:rPr>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5"/>
                <w:sz w:val="14"/>
              </w:rPr>
              <w:t>0.00%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5"/>
                <w:sz w:val="14"/>
              </w:rPr>
              <w:t>0.00%</w:t>
            </w:r>
            <w:r>
              <w:rPr>
                <w:rFonts w:ascii="Times New Roman"/>
                <w:sz w:val="14"/>
              </w:rPr>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396,000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5"/>
                <w:sz w:val="14"/>
              </w:rPr>
              <w:t>0.26%</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Times New Roman" w:hAnsi="Times New Roman" w:cs="Times New Roman" w:eastAsia="Times New Roman" w:hint="default"/>
                <w:sz w:val="14"/>
                <w:szCs w:val="14"/>
              </w:rPr>
            </w:pPr>
            <w:r>
              <w:rPr>
                <w:rFonts w:ascii="Times New Roman"/>
                <w:w w:val="95"/>
                <w:sz w:val="14"/>
              </w:rPr>
              <w:t>316,800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-142,560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Times New Roman" w:hAnsi="Times New Roman" w:cs="Times New Roman" w:eastAsia="Times New Roman" w:hint="default"/>
                <w:sz w:val="14"/>
                <w:szCs w:val="14"/>
              </w:rPr>
            </w:pPr>
            <w:r>
              <w:rPr>
                <w:rFonts w:ascii="Times New Roman"/>
                <w:w w:val="95"/>
                <w:sz w:val="14"/>
              </w:rPr>
              <w:t>174,240</w:t>
            </w:r>
            <w:r>
              <w:rPr>
                <w:rFonts w:ascii="Times New Roman"/>
                <w:sz w:val="14"/>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Times New Roman" w:hAnsi="Times New Roman" w:cs="Times New Roman" w:eastAsia="Times New Roman" w:hint="default"/>
                <w:sz w:val="14"/>
                <w:szCs w:val="14"/>
              </w:rPr>
            </w:pPr>
            <w:r>
              <w:rPr>
                <w:rFonts w:ascii="Times New Roman"/>
                <w:w w:val="95"/>
                <w:sz w:val="14"/>
              </w:rPr>
              <w:t>570,240</w:t>
            </w:r>
            <w:r>
              <w:rPr>
                <w:rFonts w:ascii="Times New Roman"/>
                <w:sz w:val="14"/>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5"/>
                <w:sz w:val="14"/>
              </w:rPr>
              <w:t>0.21%</w:t>
            </w:r>
            <w:r>
              <w:rPr>
                <w:rFonts w:ascii="Times New Roman"/>
                <w:sz w:val="14"/>
              </w:rPr>
            </w: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14"/>
                <w:szCs w:val="14"/>
              </w:rPr>
            </w:pPr>
            <w:r>
              <w:rPr>
                <w:rFonts w:ascii="Times New Roman"/>
                <w:w w:val="95"/>
                <w:sz w:val="14"/>
              </w:rPr>
              <w:t>65,894,220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4"/>
                <w:szCs w:val="14"/>
              </w:rPr>
            </w:pPr>
            <w:r>
              <w:rPr>
                <w:rFonts w:ascii="Times New Roman"/>
                <w:w w:val="95"/>
                <w:sz w:val="14"/>
              </w:rPr>
              <w:t>42.78%</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Times New Roman" w:hAnsi="Times New Roman" w:cs="Times New Roman" w:eastAsia="Times New Roman" w:hint="default"/>
                <w:sz w:val="14"/>
                <w:szCs w:val="14"/>
              </w:rPr>
            </w:pPr>
            <w:r>
              <w:rPr>
                <w:rFonts w:ascii="Times New Roman"/>
                <w:w w:val="95"/>
                <w:sz w:val="14"/>
              </w:rPr>
              <w:t>52,715,376</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4"/>
                <w:szCs w:val="14"/>
              </w:rPr>
            </w:pPr>
            <w:r>
              <w:rPr>
                <w:rFonts w:ascii="Times New Roman"/>
                <w:w w:val="95"/>
                <w:sz w:val="14"/>
              </w:rPr>
              <w:t>1,015,416</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Times New Roman" w:hAnsi="Times New Roman" w:cs="Times New Roman" w:eastAsia="Times New Roman" w:hint="default"/>
                <w:sz w:val="14"/>
                <w:szCs w:val="14"/>
              </w:rPr>
            </w:pPr>
            <w:r>
              <w:rPr>
                <w:rFonts w:ascii="Times New Roman"/>
                <w:w w:val="95"/>
                <w:sz w:val="14"/>
              </w:rPr>
              <w:t>53,730,792</w:t>
            </w:r>
            <w:r>
              <w:rPr>
                <w:rFonts w:ascii="Times New Roman"/>
                <w:sz w:val="14"/>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5"/>
              <w:jc w:val="right"/>
              <w:rPr>
                <w:rFonts w:ascii="Times New Roman" w:hAnsi="Times New Roman" w:cs="Times New Roman" w:eastAsia="Times New Roman" w:hint="default"/>
                <w:sz w:val="14"/>
                <w:szCs w:val="14"/>
              </w:rPr>
            </w:pPr>
            <w:r>
              <w:rPr>
                <w:rFonts w:ascii="Times New Roman"/>
                <w:spacing w:val="-1"/>
                <w:sz w:val="14"/>
              </w:rPr>
              <w:t>119,625,012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4"/>
                <w:szCs w:val="14"/>
              </w:rPr>
            </w:pPr>
            <w:r>
              <w:rPr>
                <w:rFonts w:ascii="Times New Roman"/>
                <w:w w:val="95"/>
                <w:sz w:val="14"/>
              </w:rPr>
              <w:t>43.15%</w:t>
            </w:r>
            <w:r>
              <w:rPr>
                <w:rFonts w:ascii="Times New Roman"/>
                <w:sz w:val="14"/>
              </w:rPr>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65,894,220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5"/>
                <w:sz w:val="14"/>
              </w:rPr>
              <w:t>42.78%</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Times New Roman" w:hAnsi="Times New Roman" w:cs="Times New Roman" w:eastAsia="Times New Roman" w:hint="default"/>
                <w:sz w:val="14"/>
                <w:szCs w:val="14"/>
              </w:rPr>
            </w:pPr>
            <w:r>
              <w:rPr>
                <w:rFonts w:ascii="Times New Roman"/>
                <w:w w:val="95"/>
                <w:sz w:val="14"/>
              </w:rPr>
              <w:t>52,715,376</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5"/>
                <w:sz w:val="14"/>
              </w:rPr>
              <w:t>1,015,416</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Times New Roman" w:hAnsi="Times New Roman" w:cs="Times New Roman" w:eastAsia="Times New Roman" w:hint="default"/>
                <w:sz w:val="14"/>
                <w:szCs w:val="14"/>
              </w:rPr>
            </w:pPr>
            <w:r>
              <w:rPr>
                <w:rFonts w:ascii="Times New Roman"/>
                <w:w w:val="95"/>
                <w:sz w:val="14"/>
              </w:rPr>
              <w:t>53,730,792</w:t>
            </w:r>
            <w:r>
              <w:rPr>
                <w:rFonts w:ascii="Times New Roman"/>
                <w:sz w:val="14"/>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5"/>
              <w:jc w:val="right"/>
              <w:rPr>
                <w:rFonts w:ascii="Times New Roman" w:hAnsi="Times New Roman" w:cs="Times New Roman" w:eastAsia="Times New Roman" w:hint="default"/>
                <w:sz w:val="14"/>
                <w:szCs w:val="14"/>
              </w:rPr>
            </w:pPr>
            <w:r>
              <w:rPr>
                <w:rFonts w:ascii="Times New Roman"/>
                <w:spacing w:val="-1"/>
                <w:sz w:val="14"/>
              </w:rPr>
              <w:t>119,625,012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5"/>
                <w:sz w:val="14"/>
              </w:rPr>
              <w:t>43.15%</w:t>
            </w:r>
            <w:r>
              <w:rPr>
                <w:rFonts w:ascii="Times New Roman"/>
                <w:sz w:val="14"/>
              </w:rPr>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5"/>
                <w:sz w:val="14"/>
              </w:rPr>
              <w:t>0.00%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5"/>
                <w:sz w:val="14"/>
              </w:rPr>
              <w:t>0.00%</w:t>
            </w:r>
            <w:r>
              <w:rPr>
                <w:rFonts w:ascii="Times New Roman"/>
                <w:sz w:val="14"/>
              </w:rPr>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5"/>
                <w:sz w:val="14"/>
              </w:rPr>
              <w:t>0.00%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5"/>
                <w:sz w:val="14"/>
              </w:rPr>
              <w:t>0.00%</w:t>
            </w:r>
            <w:r>
              <w:rPr>
                <w:rFonts w:ascii="Times New Roman"/>
                <w:sz w:val="14"/>
              </w:rPr>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5"/>
                <w:sz w:val="14"/>
              </w:rPr>
              <w:t>0.00%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4"/>
                <w:szCs w:val="14"/>
              </w:rPr>
            </w:pPr>
            <w:r>
              <w:rPr>
                <w:rFonts w:ascii="Times New Roman"/>
                <w:w w:val="95"/>
                <w:sz w:val="14"/>
              </w:rPr>
              <w:t>0.00%</w:t>
            </w:r>
            <w:r>
              <w:rPr>
                <w:rFonts w:ascii="Times New Roman"/>
                <w:sz w:val="14"/>
              </w:rPr>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154,029,600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Times New Roman" w:hAnsi="Times New Roman" w:cs="Times New Roman" w:eastAsia="Times New Roman" w:hint="default"/>
                <w:sz w:val="14"/>
                <w:szCs w:val="14"/>
              </w:rPr>
            </w:pPr>
            <w:r>
              <w:rPr>
                <w:rFonts w:ascii="Times New Roman"/>
                <w:w w:val="95"/>
                <w:sz w:val="14"/>
              </w:rPr>
              <w:t>123,223,680</w:t>
            </w:r>
            <w:r>
              <w:rPr>
                <w:rFonts w:ascii="Times New Roman"/>
                <w:sz w:val="1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Times New Roman" w:hAnsi="Times New Roman" w:cs="Times New Roman" w:eastAsia="Times New Roman" w:hint="default"/>
                <w:sz w:val="14"/>
                <w:szCs w:val="14"/>
              </w:rPr>
            </w:pPr>
            <w:r>
              <w:rPr>
                <w:rFonts w:ascii="Times New Roman"/>
                <w:w w:val="95"/>
                <w:sz w:val="14"/>
              </w:rPr>
              <w:t>123,223,680</w:t>
            </w:r>
            <w:r>
              <w:rPr>
                <w:rFonts w:ascii="Times New Roman"/>
                <w:sz w:val="14"/>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5"/>
              <w:jc w:val="right"/>
              <w:rPr>
                <w:rFonts w:ascii="Times New Roman" w:hAnsi="Times New Roman" w:cs="Times New Roman" w:eastAsia="Times New Roman" w:hint="default"/>
                <w:sz w:val="14"/>
                <w:szCs w:val="14"/>
              </w:rPr>
            </w:pPr>
            <w:r>
              <w:rPr>
                <w:rFonts w:ascii="Times New Roman"/>
                <w:w w:val="95"/>
                <w:sz w:val="14"/>
              </w:rPr>
              <w:t>277,253,280</w:t>
            </w:r>
            <w:r>
              <w:rPr>
                <w:rFonts w:ascii="Times New Roman"/>
                <w:sz w:val="14"/>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r>
    </w:tbl>
    <w:p>
      <w:pPr>
        <w:pStyle w:val="BodyText"/>
        <w:spacing w:line="240" w:lineRule="auto" w:before="49"/>
        <w:ind w:right="1115"/>
        <w:jc w:val="left"/>
      </w:pPr>
      <w:r>
        <w:rPr/>
        <w:t>股份变动的原因</w:t>
      </w:r>
    </w:p>
    <w:p>
      <w:pPr>
        <w:pStyle w:val="BodyText"/>
        <w:spacing w:line="415" w:lineRule="auto" w:before="115"/>
        <w:ind w:left="513" w:right="1115"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根据公司</w:t>
      </w:r>
      <w:r>
        <w:rPr>
          <w:rFonts w:ascii="Times New Roman" w:hAnsi="Times New Roman" w:cs="Times New Roman" w:eastAsia="Times New Roman" w:hint="default"/>
          <w:spacing w:val="-2"/>
        </w:rPr>
        <w:t>2017</w:t>
      </w:r>
      <w:r>
        <w:rPr>
          <w:spacing w:val="-2"/>
        </w:rPr>
        <w:t>年年度利润分配预案，公司以截至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日公司股本总数</w:t>
      </w:r>
      <w:r>
        <w:rPr>
          <w:rFonts w:ascii="Times New Roman" w:hAnsi="Times New Roman" w:cs="Times New Roman" w:eastAsia="Times New Roman" w:hint="default"/>
          <w:spacing w:val="-2"/>
        </w:rPr>
        <w:t>154,029,600</w:t>
      </w:r>
      <w:r>
        <w:rPr>
          <w:spacing w:val="-2"/>
        </w:rPr>
        <w:t>股为基数，以资本公积金转增</w:t>
      </w:r>
    </w:p>
    <w:p>
      <w:pPr>
        <w:pStyle w:val="BodyText"/>
        <w:spacing w:line="451" w:lineRule="auto" w:before="73"/>
        <w:ind w:right="1124"/>
        <w:jc w:val="left"/>
      </w:pPr>
      <w:r>
        <w:rPr/>
        <w:t>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股，合计转增</w:t>
      </w:r>
      <w:r>
        <w:rPr>
          <w:rFonts w:ascii="Times New Roman" w:hAnsi="Times New Roman" w:cs="Times New Roman" w:eastAsia="Times New Roman" w:hint="default"/>
        </w:rPr>
        <w:t>123,223,680</w:t>
      </w:r>
      <w:r>
        <w:rPr/>
        <w:t>股，本次资本公积金转增股本完成后，公司股本总数增至</w:t>
      </w:r>
      <w:r>
        <w:rPr>
          <w:rFonts w:ascii="Times New Roman" w:hAnsi="Times New Roman" w:cs="Times New Roman" w:eastAsia="Times New Roman" w:hint="default"/>
        </w:rPr>
        <w:t>277,253,280</w:t>
      </w:r>
      <w:r>
        <w:rPr/>
        <w:t>股。公司 股本总数发生变动。</w:t>
      </w:r>
    </w:p>
    <w:p>
      <w:pPr>
        <w:pStyle w:val="BodyText"/>
        <w:spacing w:line="451" w:lineRule="auto" w:before="112"/>
        <w:ind w:right="1128" w:firstLine="360"/>
        <w:jc w:val="both"/>
      </w:pPr>
      <w:r>
        <w:rPr/>
        <w:t>根据《上市公司股权激励管理办法》、公司《</w:t>
      </w:r>
      <w:r>
        <w:rPr>
          <w:rFonts w:ascii="Times New Roman" w:hAnsi="Times New Roman" w:cs="Times New Roman" w:eastAsia="Times New Roman" w:hint="default"/>
        </w:rPr>
        <w:t>2017</w:t>
      </w:r>
      <w:r>
        <w:rPr>
          <w:rFonts w:ascii="Times New Roman" w:hAnsi="Times New Roman" w:cs="Times New Roman" w:eastAsia="Times New Roman" w:hint="default"/>
          <w:spacing w:val="26"/>
        </w:rPr>
        <w:t> </w:t>
      </w:r>
      <w:r>
        <w:rPr/>
        <w:t>年限制性股票激励计划（草案）》等相关规定，在权益分派方案实 </w:t>
      </w:r>
      <w:r>
        <w:rPr>
          <w:spacing w:val="-2"/>
        </w:rPr>
        <w:t>施后，对限制性股票权益数量和首次授予价格进行相应调整，调整后首次授予限制性股票数量为</w:t>
      </w:r>
      <w:r>
        <w:rPr>
          <w:rFonts w:ascii="Times New Roman" w:hAnsi="Times New Roman" w:cs="Times New Roman" w:eastAsia="Times New Roman" w:hint="default"/>
          <w:spacing w:val="-2"/>
        </w:rPr>
        <w:t>5,093,280</w:t>
      </w:r>
      <w:r>
        <w:rPr>
          <w:spacing w:val="-2"/>
        </w:rPr>
        <w:t>股，预留授予限制</w:t>
      </w:r>
      <w:r>
        <w:rPr>
          <w:spacing w:val="-55"/>
        </w:rPr>
        <w:t> </w:t>
      </w:r>
      <w:r>
        <w:rPr>
          <w:spacing w:val="-55"/>
        </w:rPr>
      </w:r>
      <w:r>
        <w:rPr/>
        <w:t>性股票数量为</w:t>
      </w:r>
      <w:r>
        <w:rPr>
          <w:rFonts w:ascii="Times New Roman" w:hAnsi="Times New Roman" w:cs="Times New Roman" w:eastAsia="Times New Roman" w:hint="default"/>
        </w:rPr>
        <w:t>972,000</w:t>
      </w:r>
      <w:r>
        <w:rPr/>
        <w:t>股，首次授予限制性股票的授予价格亦进行了调整。公司限制性股票数量发生变动。</w:t>
      </w:r>
    </w:p>
    <w:p>
      <w:pPr>
        <w:spacing w:after="0" w:line="451"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1128" w:firstLine="360"/>
        <w:jc w:val="both"/>
      </w:pPr>
      <w:r>
        <w:rPr>
          <w:spacing w:val="-2"/>
        </w:rPr>
        <w:t>根据公司《</w:t>
      </w:r>
      <w:r>
        <w:rPr>
          <w:rFonts w:ascii="Times New Roman" w:hAnsi="Times New Roman" w:cs="Times New Roman" w:eastAsia="Times New Roman" w:hint="default"/>
          <w:spacing w:val="-2"/>
        </w:rPr>
        <w:t>2017</w:t>
      </w:r>
      <w:r>
        <w:rPr>
          <w:spacing w:val="-2"/>
        </w:rPr>
        <w:t>年限制性股票激励计划（草案）》，限制性股票激励计划第一个解除限售期为自首次授予日起</w:t>
      </w:r>
      <w:r>
        <w:rPr>
          <w:rFonts w:ascii="Times New Roman" w:hAnsi="Times New Roman" w:cs="Times New Roman" w:eastAsia="Times New Roman" w:hint="default"/>
          <w:spacing w:val="-2"/>
        </w:rPr>
        <w:t>12</w:t>
      </w:r>
      <w:r>
        <w:rPr>
          <w:spacing w:val="-2"/>
        </w:rPr>
        <w:t>个月后</w:t>
      </w:r>
      <w:r>
        <w:rPr/>
        <w:t> 的首个交易日起至首次授予日起</w:t>
      </w:r>
      <w:r>
        <w:rPr>
          <w:rFonts w:ascii="Times New Roman" w:hAnsi="Times New Roman" w:cs="Times New Roman" w:eastAsia="Times New Roman" w:hint="default"/>
        </w:rPr>
        <w:t>24</w:t>
      </w:r>
      <w:r>
        <w:rPr/>
        <w:t>个月内最后一个交易日止，解除限售数量为获授限制性股票总数的</w:t>
      </w:r>
      <w:r>
        <w:rPr>
          <w:rFonts w:ascii="Times New Roman" w:hAnsi="Times New Roman" w:cs="Times New Roman" w:eastAsia="Times New Roman" w:hint="default"/>
        </w:rPr>
        <w:t>20%</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 </w:t>
      </w:r>
      <w:r>
        <w:rPr>
          <w:spacing w:val="-2"/>
        </w:rPr>
        <w:t>月</w:t>
      </w:r>
      <w:r>
        <w:rPr>
          <w:rFonts w:ascii="Times New Roman" w:hAnsi="Times New Roman" w:cs="Times New Roman" w:eastAsia="Times New Roman" w:hint="default"/>
          <w:spacing w:val="-2"/>
        </w:rPr>
        <w:t>10</w:t>
      </w:r>
      <w:r>
        <w:rPr>
          <w:spacing w:val="-2"/>
        </w:rPr>
        <w:t>日召开的第三届董事会第十三次会议，董事会审议通过了《关于公司</w:t>
      </w:r>
      <w:r>
        <w:rPr>
          <w:rFonts w:ascii="Times New Roman" w:hAnsi="Times New Roman" w:cs="Times New Roman" w:eastAsia="Times New Roman" w:hint="default"/>
          <w:spacing w:val="-2"/>
        </w:rPr>
        <w:t>2017</w:t>
      </w:r>
      <w:r>
        <w:rPr>
          <w:spacing w:val="-2"/>
        </w:rPr>
        <w:t>年限制性股票激励计划首次授予第一个限售期</w:t>
      </w:r>
      <w:r>
        <w:rPr>
          <w:spacing w:val="-61"/>
        </w:rPr>
        <w:t> </w:t>
      </w:r>
      <w:r>
        <w:rPr>
          <w:spacing w:val="-61"/>
        </w:rPr>
      </w:r>
      <w:r>
        <w:rPr/>
        <w:t>可解除限售的议案》，董事会认为公司</w:t>
      </w:r>
      <w:r>
        <w:rPr>
          <w:rFonts w:ascii="Times New Roman" w:hAnsi="Times New Roman" w:cs="Times New Roman" w:eastAsia="Times New Roman" w:hint="default"/>
        </w:rPr>
        <w:t>2017</w:t>
      </w:r>
      <w:r>
        <w:rPr/>
        <w:t>年限制性股票激励计划首次授予部分，除</w:t>
      </w:r>
      <w:r>
        <w:rPr>
          <w:rFonts w:ascii="Times New Roman" w:hAnsi="Times New Roman" w:cs="Times New Roman" w:eastAsia="Times New Roman" w:hint="default"/>
        </w:rPr>
        <w:t>1</w:t>
      </w:r>
      <w:r>
        <w:rPr/>
        <w:t>名员工离职不满足解锁条件外，其余 </w:t>
      </w:r>
      <w:r>
        <w:rPr>
          <w:spacing w:val="-2"/>
        </w:rPr>
        <w:t>激励对象第一个限售期解除条件已满足，同意公司按照相关规定为上述</w:t>
      </w:r>
      <w:r>
        <w:rPr>
          <w:rFonts w:ascii="Times New Roman" w:hAnsi="Times New Roman" w:cs="Times New Roman" w:eastAsia="Times New Roman" w:hint="default"/>
          <w:spacing w:val="-2"/>
        </w:rPr>
        <w:t>87</w:t>
      </w:r>
      <w:r>
        <w:rPr>
          <w:spacing w:val="-2"/>
        </w:rPr>
        <w:t>名激励对象办理限制性股票解除限售相关事宜。本</w:t>
      </w:r>
      <w:r>
        <w:rPr>
          <w:spacing w:val="-62"/>
        </w:rPr>
        <w:t> </w:t>
      </w:r>
      <w:r>
        <w:rPr>
          <w:spacing w:val="-62"/>
        </w:rPr>
      </w:r>
      <w:r>
        <w:rPr/>
        <w:t>次解除限售股份上市流通日为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日（星期一），解除限售的股数为</w:t>
      </w:r>
      <w:r>
        <w:rPr>
          <w:rFonts w:ascii="Times New Roman" w:hAnsi="Times New Roman" w:cs="Times New Roman" w:eastAsia="Times New Roman" w:hint="default"/>
        </w:rPr>
        <w:t>1,015,416</w:t>
      </w:r>
      <w:r>
        <w:rPr/>
        <w:t>股，占股权激励计划授予限制性股票 总数的</w:t>
      </w:r>
      <w:r>
        <w:rPr>
          <w:rFonts w:ascii="Times New Roman" w:hAnsi="Times New Roman" w:cs="Times New Roman" w:eastAsia="Times New Roman" w:hint="default"/>
        </w:rPr>
        <w:t>20%</w:t>
      </w:r>
      <w:r>
        <w:rPr/>
        <w:t>，占公司目前总股本的</w:t>
      </w:r>
      <w:r>
        <w:rPr>
          <w:rFonts w:ascii="Times New Roman" w:hAnsi="Times New Roman" w:cs="Times New Roman" w:eastAsia="Times New Roman" w:hint="default"/>
        </w:rPr>
        <w:t>0.3662%</w:t>
      </w:r>
      <w:r>
        <w:rPr/>
        <w:t>。</w:t>
      </w:r>
    </w:p>
    <w:p>
      <w:pPr>
        <w:pStyle w:val="BodyText"/>
        <w:spacing w:line="240" w:lineRule="auto" w:before="5"/>
        <w:ind w:right="1115"/>
        <w:jc w:val="left"/>
      </w:pPr>
      <w:r>
        <w:rPr/>
        <w:t>股份变动的批准情况</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415" w:lineRule="auto" w:before="104"/>
        <w:ind w:left="513" w:right="112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、资本公积转增资本导致股份变动</w:t>
      </w:r>
      <w:r>
        <w:rPr>
          <w:rFonts w:ascii="宋体" w:hAnsi="宋体" w:cs="宋体" w:eastAsia="宋体" w:hint="default"/>
          <w:b/>
          <w:bCs/>
          <w:w w:val="99"/>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年年度利润分配预案已获</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年年度股东大会审议通过，详见巨潮资讯网《</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w:t>
      </w:r>
    </w:p>
    <w:p>
      <w:pPr>
        <w:pStyle w:val="BodyText"/>
        <w:spacing w:line="451" w:lineRule="auto" w:before="73"/>
        <w:ind w:right="1115"/>
        <w:jc w:val="left"/>
      </w:pPr>
      <w:r>
        <w:rPr>
          <w:spacing w:val="-1"/>
        </w:rPr>
        <w:t>股东大会决议公告》（公告编号：</w:t>
      </w:r>
      <w:r>
        <w:rPr>
          <w:rFonts w:ascii="Times New Roman" w:hAnsi="Times New Roman" w:cs="Times New Roman" w:eastAsia="Times New Roman" w:hint="default"/>
          <w:spacing w:val="-1"/>
        </w:rPr>
        <w:t>2018-025</w:t>
      </w:r>
      <w:r>
        <w:rPr>
          <w:spacing w:val="-1"/>
        </w:rPr>
        <w:t>）。公司以截至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日公司股本总数</w:t>
      </w:r>
      <w:r>
        <w:rPr>
          <w:rFonts w:ascii="Times New Roman" w:hAnsi="Times New Roman" w:cs="Times New Roman" w:eastAsia="Times New Roman" w:hint="default"/>
          <w:spacing w:val="-1"/>
        </w:rPr>
        <w:t>154,029,600</w:t>
      </w:r>
      <w:r>
        <w:rPr>
          <w:spacing w:val="-1"/>
        </w:rPr>
        <w:t>股为基数，以资本公积</w:t>
      </w:r>
      <w:r>
        <w:rPr>
          <w:spacing w:val="-85"/>
        </w:rPr>
        <w:t> </w:t>
      </w:r>
      <w:r>
        <w:rPr>
          <w:spacing w:val="-85"/>
        </w:rPr>
      </w:r>
      <w:r>
        <w:rPr/>
        <w:t>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股，合计转增</w:t>
      </w:r>
      <w:r>
        <w:rPr>
          <w:rFonts w:ascii="Times New Roman" w:hAnsi="Times New Roman" w:cs="Times New Roman" w:eastAsia="Times New Roman" w:hint="default"/>
        </w:rPr>
        <w:t>123,223,680</w:t>
      </w:r>
      <w:r>
        <w:rPr/>
        <w:t>股，公司股本总数增至</w:t>
      </w:r>
      <w:r>
        <w:rPr>
          <w:rFonts w:ascii="Times New Roman" w:hAnsi="Times New Roman" w:cs="Times New Roman" w:eastAsia="Times New Roman" w:hint="default"/>
        </w:rPr>
        <w:t>277,253,280</w:t>
      </w:r>
      <w:r>
        <w:rPr/>
        <w:t>股。</w:t>
      </w:r>
    </w:p>
    <w:p>
      <w:pPr>
        <w:pStyle w:val="BodyText"/>
        <w:spacing w:line="451" w:lineRule="auto" w:before="82"/>
        <w:ind w:right="1134" w:firstLine="360"/>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日召开的</w:t>
      </w:r>
      <w:r>
        <w:rPr>
          <w:rFonts w:ascii="Times New Roman" w:hAnsi="Times New Roman" w:cs="Times New Roman" w:eastAsia="Times New Roman" w:hint="default"/>
        </w:rPr>
        <w:t>2018</w:t>
      </w:r>
      <w:r>
        <w:rPr/>
        <w:t>年第一次临时股东大会审议通过了《关于变更公司注册资本的议案》，详见巨潮资讯 网《</w:t>
      </w:r>
      <w:r>
        <w:rPr>
          <w:rFonts w:ascii="Times New Roman" w:hAnsi="Times New Roman" w:cs="Times New Roman" w:eastAsia="Times New Roman" w:hint="default"/>
        </w:rPr>
        <w:t>2018</w:t>
      </w:r>
      <w:r>
        <w:rPr/>
        <w:t>年第一次临时股东大会决议公告》（公告编号：</w:t>
      </w:r>
      <w:r>
        <w:rPr>
          <w:rFonts w:ascii="Times New Roman" w:hAnsi="Times New Roman" w:cs="Times New Roman" w:eastAsia="Times New Roman" w:hint="default"/>
        </w:rPr>
        <w:t>2018-044</w:t>
      </w:r>
      <w:r>
        <w:rPr/>
        <w:t>）。</w:t>
      </w:r>
    </w:p>
    <w:p>
      <w:pPr>
        <w:spacing w:line="415" w:lineRule="auto" w:before="5"/>
        <w:ind w:left="513" w:right="112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、限制性股票激励计划首期解除限售导致限制性股票数量发生变动</w:t>
      </w:r>
      <w:r>
        <w:rPr>
          <w:rFonts w:ascii="宋体" w:hAnsi="宋体" w:cs="宋体" w:eastAsia="宋体" w:hint="default"/>
          <w:b/>
          <w:bCs/>
          <w:w w:val="99"/>
          <w:sz w:val="18"/>
          <w:szCs w:val="18"/>
        </w:rPr>
        <w:t> </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日实施了权益分派，根据《上市公司股权激励管理办法》、公司《</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年限制性股票激励计划（草</w:t>
      </w:r>
    </w:p>
    <w:p>
      <w:pPr>
        <w:pStyle w:val="BodyText"/>
        <w:spacing w:line="516" w:lineRule="auto" w:before="73"/>
        <w:ind w:left="513" w:right="1123" w:hanging="361"/>
        <w:jc w:val="left"/>
      </w:pPr>
      <w:r>
        <w:rPr/>
        <w:t>案）》等相关规定，在权益分派方案实施后，对限制性股票权益数量和首次授予价格进行相应调整。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日召开的第三届董事会第十三次会议审议通过了《关于调整公司</w:t>
      </w:r>
      <w:r>
        <w:rPr>
          <w:rFonts w:ascii="Times New Roman" w:hAnsi="Times New Roman" w:cs="Times New Roman" w:eastAsia="Times New Roman" w:hint="default"/>
        </w:rPr>
        <w:t>2017</w:t>
      </w:r>
      <w:r>
        <w:rPr/>
        <w:t>年限制性股票激励计划相关事</w:t>
      </w:r>
    </w:p>
    <w:p>
      <w:pPr>
        <w:pStyle w:val="BodyText"/>
        <w:spacing w:line="451" w:lineRule="auto"/>
        <w:ind w:right="1109"/>
        <w:jc w:val="right"/>
      </w:pPr>
      <w:r>
        <w:rPr>
          <w:spacing w:val="-2"/>
        </w:rPr>
        <w:t>项的议案》、《关于公司</w:t>
      </w:r>
      <w:r>
        <w:rPr>
          <w:rFonts w:ascii="Times New Roman" w:hAnsi="Times New Roman" w:cs="Times New Roman" w:eastAsia="Times New Roman" w:hint="default"/>
          <w:spacing w:val="-2"/>
        </w:rPr>
        <w:t>2017</w:t>
      </w:r>
      <w:r>
        <w:rPr>
          <w:spacing w:val="-2"/>
        </w:rPr>
        <w:t>年限制性股票激励计划首次授予第一个限售期可解除限售的议案》，详见巨潮资讯网《第三届</w:t>
      </w:r>
      <w:r>
        <w:rPr/>
        <w:t> </w:t>
      </w:r>
      <w:r>
        <w:rPr>
          <w:spacing w:val="-4"/>
        </w:rPr>
        <w:t>董事会第十三次会议决议公告》（公告编号：</w:t>
      </w:r>
      <w:r>
        <w:rPr>
          <w:rFonts w:ascii="Times New Roman" w:hAnsi="Times New Roman" w:cs="Times New Roman" w:eastAsia="Times New Roman" w:hint="default"/>
          <w:spacing w:val="-4"/>
        </w:rPr>
        <w:t>2018-033</w:t>
      </w:r>
      <w:r>
        <w:rPr>
          <w:spacing w:val="-4"/>
        </w:rPr>
        <w:t>）、《关于调整公司</w:t>
      </w:r>
      <w:r>
        <w:rPr>
          <w:rFonts w:ascii="Times New Roman" w:hAnsi="Times New Roman" w:cs="Times New Roman" w:eastAsia="Times New Roman" w:hint="default"/>
          <w:spacing w:val="-4"/>
        </w:rPr>
        <w:t>2017</w:t>
      </w:r>
      <w:r>
        <w:rPr>
          <w:spacing w:val="-4"/>
        </w:rPr>
        <w:t>年限制性股票激励计划相关事项的公告》（公</w:t>
      </w:r>
      <w:r>
        <w:rPr/>
        <w:t> </w:t>
      </w:r>
      <w:r>
        <w:rPr>
          <w:spacing w:val="-9"/>
        </w:rPr>
        <w:t>告编号：</w:t>
      </w:r>
      <w:r>
        <w:rPr>
          <w:rFonts w:ascii="Times New Roman" w:hAnsi="Times New Roman" w:cs="Times New Roman" w:eastAsia="Times New Roman" w:hint="default"/>
          <w:spacing w:val="-9"/>
        </w:rPr>
        <w:t>2018-035</w:t>
      </w:r>
      <w:r>
        <w:rPr>
          <w:spacing w:val="-9"/>
        </w:rPr>
        <w:t>）、《关于公司</w:t>
      </w:r>
      <w:r>
        <w:rPr>
          <w:rFonts w:ascii="Times New Roman" w:hAnsi="Times New Roman" w:cs="Times New Roman" w:eastAsia="Times New Roman" w:hint="default"/>
          <w:spacing w:val="-9"/>
        </w:rPr>
        <w:t>2017</w:t>
      </w:r>
      <w:r>
        <w:rPr>
          <w:spacing w:val="-9"/>
        </w:rPr>
        <w:t>年限制性股票激励计划首次授予第一个限售期可解除限售的公告》（公告编号</w:t>
      </w:r>
      <w:r>
        <w:rPr>
          <w:rFonts w:ascii="Times New Roman" w:hAnsi="Times New Roman" w:cs="Times New Roman" w:eastAsia="Times New Roman" w:hint="default"/>
          <w:spacing w:val="-9"/>
        </w:rPr>
        <w:t>2018-036</w:t>
      </w:r>
      <w:r>
        <w:rPr>
          <w:spacing w:val="-9"/>
        </w:rPr>
        <w:t>）。</w:t>
      </w:r>
      <w:r>
        <w:rPr/>
      </w:r>
    </w:p>
    <w:p>
      <w:pPr>
        <w:pStyle w:val="BodyText"/>
        <w:spacing w:line="451" w:lineRule="auto" w:before="84"/>
        <w:ind w:right="1043" w:firstLine="360"/>
        <w:jc w:val="left"/>
      </w:pPr>
      <w:r>
        <w:rPr/>
        <w:t>公司</w:t>
      </w:r>
      <w:r>
        <w:rPr>
          <w:rFonts w:ascii="Times New Roman" w:hAnsi="Times New Roman" w:cs="Times New Roman" w:eastAsia="Times New Roman" w:hint="default"/>
        </w:rPr>
        <w:t>2017</w:t>
      </w:r>
      <w:r>
        <w:rPr/>
        <w:t>年限制性股票激励计划首次授予第一个限售期解除限售股份上市流通日为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日，解除限售的股数为 </w:t>
      </w:r>
      <w:r>
        <w:rPr>
          <w:rFonts w:ascii="Times New Roman" w:hAnsi="Times New Roman" w:cs="Times New Roman" w:eastAsia="Times New Roman" w:hint="default"/>
        </w:rPr>
        <w:t>1,015,416</w:t>
      </w:r>
      <w:r>
        <w:rPr/>
        <w:t>股，占股权激励计划授予限制性股票总数的</w:t>
      </w:r>
      <w:r>
        <w:rPr>
          <w:rFonts w:ascii="Times New Roman" w:hAnsi="Times New Roman" w:cs="Times New Roman" w:eastAsia="Times New Roman" w:hint="default"/>
        </w:rPr>
        <w:t>20%</w:t>
      </w:r>
      <w:r>
        <w:rPr/>
        <w:t>，占公司目前总股本的</w:t>
      </w:r>
      <w:r>
        <w:rPr>
          <w:rFonts w:ascii="Times New Roman" w:hAnsi="Times New Roman" w:cs="Times New Roman" w:eastAsia="Times New Roman" w:hint="default"/>
        </w:rPr>
        <w:t>0.3662%</w:t>
      </w:r>
      <w:r>
        <w:rPr/>
        <w:t>，申请解除限售的激励对象为</w:t>
      </w:r>
      <w:r>
        <w:rPr>
          <w:rFonts w:ascii="Times New Roman" w:hAnsi="Times New Roman" w:cs="Times New Roman" w:eastAsia="Times New Roman" w:hint="default"/>
        </w:rPr>
        <w:t>87</w:t>
      </w:r>
      <w:r>
        <w:rPr/>
        <w:t>名 </w:t>
      </w:r>
      <w:r>
        <w:rPr>
          <w:spacing w:val="-4"/>
        </w:rPr>
        <w:t>首次授予激励对象。详见巨潮资讯网《关于</w:t>
      </w:r>
      <w:r>
        <w:rPr>
          <w:rFonts w:ascii="Times New Roman" w:hAnsi="Times New Roman" w:cs="Times New Roman" w:eastAsia="Times New Roman" w:hint="default"/>
          <w:spacing w:val="-4"/>
        </w:rPr>
        <w:t>2017</w:t>
      </w:r>
      <w:r>
        <w:rPr>
          <w:spacing w:val="-4"/>
        </w:rPr>
        <w:t>年限制性股票激励计划第一期解锁股份上市流通的提示性公告》（公告编号：</w:t>
      </w:r>
      <w:r>
        <w:rPr>
          <w:spacing w:val="-38"/>
        </w:rPr>
        <w:t> </w:t>
      </w:r>
      <w:r>
        <w:rPr>
          <w:spacing w:val="-38"/>
        </w:rPr>
      </w:r>
      <w:r>
        <w:rPr>
          <w:rFonts w:ascii="Times New Roman" w:hAnsi="Times New Roman" w:cs="Times New Roman" w:eastAsia="Times New Roman" w:hint="default"/>
        </w:rPr>
        <w:t>2018-041</w:t>
      </w:r>
      <w:r>
        <w:rPr/>
        <w:t>）。</w:t>
      </w:r>
    </w:p>
    <w:p>
      <w:pPr>
        <w:pStyle w:val="BodyText"/>
        <w:spacing w:line="240" w:lineRule="auto" w:before="5"/>
        <w:ind w:right="1115"/>
        <w:jc w:val="left"/>
      </w:pPr>
      <w:r>
        <w:rPr/>
        <w:t>股份变动的过户情况</w:t>
      </w:r>
    </w:p>
    <w:p>
      <w:pPr>
        <w:pStyle w:val="BodyText"/>
        <w:spacing w:line="340" w:lineRule="auto" w:before="115"/>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240" w:lineRule="auto" w:before="4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15"/>
        <w:jc w:val="left"/>
      </w:pPr>
      <w:r>
        <w:rPr/>
        <w:t>采用集中竞价方式减持回购股份的实施进展情况</w:t>
      </w:r>
    </w:p>
    <w:p>
      <w:pPr>
        <w:pStyle w:val="BodyText"/>
        <w:spacing w:line="338" w:lineRule="auto" w:before="117"/>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43"/>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729" w:right="1115"/>
        <w:jc w:val="left"/>
      </w:pPr>
      <w:r>
        <w:rPr>
          <w:rFonts w:ascii="Times New Roman" w:hAnsi="Times New Roman" w:cs="Times New Roman" w:eastAsia="Times New Roman" w:hint="default"/>
        </w:rPr>
        <w:t>1</w:t>
      </w:r>
      <w:r>
        <w:rPr/>
        <w:t>、每股收益：报告期内资本公积金转增股本，总股数增加至</w:t>
      </w:r>
      <w:r>
        <w:rPr>
          <w:rFonts w:ascii="Times New Roman" w:hAnsi="Times New Roman" w:cs="Times New Roman" w:eastAsia="Times New Roman" w:hint="default"/>
        </w:rPr>
        <w:t>277,253,280</w:t>
      </w:r>
      <w:r>
        <w:rPr/>
        <w:t>股，导致每股收益下降。</w:t>
      </w:r>
    </w:p>
    <w:p>
      <w:pPr>
        <w:pStyle w:val="BodyText"/>
        <w:spacing w:line="340" w:lineRule="auto" w:before="63"/>
        <w:ind w:right="2168" w:firstLine="576"/>
        <w:jc w:val="left"/>
      </w:pPr>
      <w:r>
        <w:rPr>
          <w:rFonts w:ascii="Times New Roman" w:hAnsi="Times New Roman" w:cs="Times New Roman" w:eastAsia="Times New Roman" w:hint="default"/>
        </w:rPr>
        <w:t>2</w:t>
      </w:r>
      <w:r>
        <w:rPr/>
        <w:t>、每股净资产：报告期内资本公积金转增股本，总股数增加至</w:t>
      </w:r>
      <w:r>
        <w:rPr>
          <w:rFonts w:ascii="Times New Roman" w:hAnsi="Times New Roman" w:cs="Times New Roman" w:eastAsia="Times New Roman" w:hint="default"/>
        </w:rPr>
        <w:t>277,253,280</w:t>
      </w:r>
      <w:r>
        <w:rPr/>
        <w:t>股，导致每股净资产下降。 公司认为必要或证券监管机构要求披露的其他内容</w:t>
      </w:r>
    </w:p>
    <w:p>
      <w:pPr>
        <w:pStyle w:val="BodyText"/>
        <w:spacing w:line="240" w:lineRule="auto" w:before="39"/>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2"/>
        <w:ind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8"/>
        <w:gridCol w:w="1369"/>
        <w:gridCol w:w="1370"/>
        <w:gridCol w:w="1368"/>
        <w:gridCol w:w="1371"/>
        <w:gridCol w:w="1361"/>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1" w:right="46"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邵健伟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71,034,660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56,827,728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127,862,388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邵健锋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9,514,080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7,611,264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17,125,344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9"/>
              <w:jc w:val="both"/>
              <w:rPr>
                <w:rFonts w:ascii="宋体" w:hAnsi="宋体" w:cs="宋体" w:eastAsia="宋体" w:hint="default"/>
                <w:sz w:val="18"/>
                <w:szCs w:val="18"/>
              </w:rPr>
            </w:pPr>
            <w:r>
              <w:rPr>
                <w:rFonts w:ascii="宋体" w:hAnsi="宋体" w:cs="宋体" w:eastAsia="宋体" w:hint="default"/>
                <w:sz w:val="18"/>
                <w:szCs w:val="18"/>
              </w:rPr>
              <w:t>深圳市华锐丰投 资合伙企业（有 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4,757,040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3,805,632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8,562,672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张小麒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110,160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440,640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5"/>
              <w:jc w:val="both"/>
              <w:rPr>
                <w:rFonts w:ascii="宋体" w:hAnsi="宋体" w:cs="宋体" w:eastAsia="宋体" w:hint="default"/>
                <w:sz w:val="18"/>
                <w:szCs w:val="18"/>
              </w:rPr>
            </w:pPr>
            <w:r>
              <w:rPr>
                <w:rFonts w:ascii="宋体" w:hAnsi="宋体" w:cs="宋体" w:eastAsia="宋体" w:hint="default"/>
                <w:sz w:val="18"/>
                <w:szCs w:val="18"/>
              </w:rPr>
              <w:t>限制性股票股权 激励计划首次授 予</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张永清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77,760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311,040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限制性股票股权 激励计划首次授 予</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刘成凯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77,760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311,040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both"/>
              <w:rPr>
                <w:rFonts w:ascii="宋体" w:hAnsi="宋体" w:cs="宋体" w:eastAsia="宋体" w:hint="default"/>
                <w:sz w:val="18"/>
                <w:szCs w:val="18"/>
              </w:rPr>
            </w:pPr>
            <w:r>
              <w:rPr>
                <w:rFonts w:ascii="宋体" w:hAnsi="宋体" w:cs="宋体" w:eastAsia="宋体" w:hint="default"/>
                <w:sz w:val="18"/>
                <w:szCs w:val="18"/>
              </w:rPr>
              <w:t>限制性股票股权 激励计划首次授 予</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梁建平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限制性股票股权 激励计划首次授 予</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徐峰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both"/>
              <w:rPr>
                <w:rFonts w:ascii="宋体" w:hAnsi="宋体" w:cs="宋体" w:eastAsia="宋体" w:hint="default"/>
                <w:sz w:val="18"/>
                <w:szCs w:val="18"/>
              </w:rPr>
            </w:pPr>
            <w:r>
              <w:rPr>
                <w:rFonts w:ascii="宋体" w:hAnsi="宋体" w:cs="宋体" w:eastAsia="宋体" w:hint="default"/>
                <w:sz w:val="18"/>
                <w:szCs w:val="18"/>
              </w:rPr>
              <w:t>限制性股票股权 激励计划首次授 予</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1,911,600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684,936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2,755,944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both"/>
              <w:rPr>
                <w:rFonts w:ascii="宋体" w:hAnsi="宋体" w:cs="宋体" w:eastAsia="宋体" w:hint="default"/>
                <w:sz w:val="18"/>
                <w:szCs w:val="18"/>
              </w:rPr>
            </w:pPr>
            <w:r>
              <w:rPr>
                <w:rFonts w:ascii="宋体" w:hAnsi="宋体" w:cs="宋体" w:eastAsia="宋体" w:hint="default"/>
                <w:sz w:val="18"/>
                <w:szCs w:val="18"/>
              </w:rPr>
              <w:t>限制性股票股权 激励计划首次授 予</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1368"/>
        <w:gridCol w:w="1369"/>
        <w:gridCol w:w="1370"/>
        <w:gridCol w:w="1370"/>
        <w:gridCol w:w="1370"/>
        <w:gridCol w:w="1361"/>
      </w:tblGrid>
      <w:tr>
        <w:trPr>
          <w:trHeight w:val="40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88,135,380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1,015,416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70,508,304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157,628,268</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4"/>
        <w:spacing w:line="240" w:lineRule="auto" w:before="26"/>
        <w:ind w:right="1115"/>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415" w:lineRule="auto"/>
        <w:ind w:left="513" w:right="1115"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根据公司</w:t>
      </w:r>
      <w:r>
        <w:rPr>
          <w:rFonts w:ascii="Times New Roman" w:hAnsi="Times New Roman" w:cs="Times New Roman" w:eastAsia="Times New Roman" w:hint="default"/>
          <w:spacing w:val="-2"/>
        </w:rPr>
        <w:t>2017</w:t>
      </w:r>
      <w:r>
        <w:rPr>
          <w:spacing w:val="-2"/>
        </w:rPr>
        <w:t>年年度利润分配预案，公司以截至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日公司股本总数</w:t>
      </w:r>
      <w:r>
        <w:rPr>
          <w:rFonts w:ascii="Times New Roman" w:hAnsi="Times New Roman" w:cs="Times New Roman" w:eastAsia="Times New Roman" w:hint="default"/>
          <w:spacing w:val="-2"/>
        </w:rPr>
        <w:t>154,029,600</w:t>
      </w:r>
      <w:r>
        <w:rPr>
          <w:spacing w:val="-2"/>
        </w:rPr>
        <w:t>股为基数，以资本公积金转增</w:t>
      </w:r>
    </w:p>
    <w:p>
      <w:pPr>
        <w:pStyle w:val="BodyText"/>
        <w:spacing w:line="451" w:lineRule="auto" w:before="74"/>
        <w:ind w:right="1124"/>
        <w:jc w:val="left"/>
      </w:pPr>
      <w:r>
        <w:rPr/>
        <w:t>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股，合计转增</w:t>
      </w:r>
      <w:r>
        <w:rPr>
          <w:rFonts w:ascii="Times New Roman" w:hAnsi="Times New Roman" w:cs="Times New Roman" w:eastAsia="Times New Roman" w:hint="default"/>
        </w:rPr>
        <w:t>123,223,680</w:t>
      </w:r>
      <w:r>
        <w:rPr/>
        <w:t>股，本次资本公积金转增股本完成后，公司股本总数增至</w:t>
      </w:r>
      <w:r>
        <w:rPr>
          <w:rFonts w:ascii="Times New Roman" w:hAnsi="Times New Roman" w:cs="Times New Roman" w:eastAsia="Times New Roman" w:hint="default"/>
        </w:rPr>
        <w:t>277,253,280</w:t>
      </w:r>
      <w:r>
        <w:rPr/>
        <w:t>股。公司 股本总数发生变动，公司注册资本发生变动。</w:t>
      </w:r>
    </w:p>
    <w:p>
      <w:pPr>
        <w:pStyle w:val="BodyText"/>
        <w:spacing w:line="451" w:lineRule="auto" w:before="115"/>
        <w:ind w:right="1128" w:firstLine="360"/>
        <w:jc w:val="both"/>
      </w:pPr>
      <w:r>
        <w:rPr/>
        <w:t>根据《上市公司股权激励管理办法》、公司《</w:t>
      </w:r>
      <w:r>
        <w:rPr>
          <w:rFonts w:ascii="Times New Roman" w:hAnsi="Times New Roman" w:cs="Times New Roman" w:eastAsia="Times New Roman" w:hint="default"/>
        </w:rPr>
        <w:t>2017</w:t>
      </w:r>
      <w:r>
        <w:rPr>
          <w:rFonts w:ascii="Times New Roman" w:hAnsi="Times New Roman" w:cs="Times New Roman" w:eastAsia="Times New Roman" w:hint="default"/>
          <w:spacing w:val="26"/>
        </w:rPr>
        <w:t> </w:t>
      </w:r>
      <w:r>
        <w:rPr/>
        <w:t>年限制性股票激励计划（草案）》等相关规定，在权益分派方案实 </w:t>
      </w:r>
      <w:r>
        <w:rPr>
          <w:spacing w:val="-2"/>
        </w:rPr>
        <w:t>施后，对限制性股票权益数量和首次授予价格进行相应调整，调整后首次授予限制性股票数量为</w:t>
      </w:r>
      <w:r>
        <w:rPr>
          <w:rFonts w:ascii="Times New Roman" w:hAnsi="Times New Roman" w:cs="Times New Roman" w:eastAsia="Times New Roman" w:hint="default"/>
          <w:spacing w:val="-2"/>
        </w:rPr>
        <w:t>5,093,280</w:t>
      </w:r>
      <w:r>
        <w:rPr>
          <w:spacing w:val="-2"/>
        </w:rPr>
        <w:t>股，预留授予限制</w:t>
      </w:r>
      <w:r>
        <w:rPr>
          <w:spacing w:val="-55"/>
        </w:rPr>
        <w:t> </w:t>
      </w:r>
      <w:r>
        <w:rPr>
          <w:spacing w:val="-55"/>
        </w:rPr>
      </w:r>
      <w:r>
        <w:rPr/>
        <w:t>性股票数量为</w:t>
      </w:r>
      <w:r>
        <w:rPr>
          <w:rFonts w:ascii="Times New Roman" w:hAnsi="Times New Roman" w:cs="Times New Roman" w:eastAsia="Times New Roman" w:hint="default"/>
        </w:rPr>
        <w:t>972,000</w:t>
      </w:r>
      <w:r>
        <w:rPr/>
        <w:t>股，首次授予限制性股票的授予价格亦进行了调整。公司限制性股票数量发生变动。公司第三届董事 </w:t>
      </w:r>
      <w:r>
        <w:rPr>
          <w:spacing w:val="-2"/>
        </w:rPr>
        <w:t>会第十三次会议审议通过了《关于公司</w:t>
      </w:r>
      <w:r>
        <w:rPr>
          <w:rFonts w:ascii="Times New Roman" w:hAnsi="Times New Roman" w:cs="Times New Roman" w:eastAsia="Times New Roman" w:hint="default"/>
          <w:spacing w:val="-2"/>
        </w:rPr>
        <w:t>2017</w:t>
      </w:r>
      <w:r>
        <w:rPr>
          <w:spacing w:val="-2"/>
        </w:rPr>
        <w:t>年限制性股票激励计划首次授予第一个限售期可解除限售的议案。公司</w:t>
      </w:r>
      <w:r>
        <w:rPr>
          <w:rFonts w:ascii="Times New Roman" w:hAnsi="Times New Roman" w:cs="Times New Roman" w:eastAsia="Times New Roman" w:hint="default"/>
          <w:spacing w:val="-2"/>
        </w:rPr>
        <w:t>2017</w:t>
      </w:r>
      <w:r>
        <w:rPr>
          <w:spacing w:val="-2"/>
        </w:rPr>
        <w:t>年限</w:t>
      </w:r>
      <w:r>
        <w:rPr>
          <w:spacing w:val="-58"/>
        </w:rPr>
        <w:t> </w:t>
      </w:r>
      <w:r>
        <w:rPr/>
        <w:t>制性股票激励计划首次授予部分，除</w:t>
      </w:r>
      <w:r>
        <w:rPr>
          <w:rFonts w:ascii="Times New Roman" w:hAnsi="Times New Roman" w:cs="Times New Roman" w:eastAsia="Times New Roman" w:hint="default"/>
        </w:rPr>
        <w:t>1</w:t>
      </w:r>
      <w:r>
        <w:rPr/>
        <w:t>名员工离职不满足解锁条件外，其余激励对象第一个限售期解除条件已满足，解除限 售的股数为</w:t>
      </w:r>
      <w:r>
        <w:rPr>
          <w:rFonts w:ascii="Times New Roman" w:hAnsi="Times New Roman" w:cs="Times New Roman" w:eastAsia="Times New Roman" w:hint="default"/>
        </w:rPr>
        <w:t>1,015,416</w:t>
      </w:r>
      <w:r>
        <w:rPr/>
        <w:t>股，占股权激励计划授予限制性股票总数的</w:t>
      </w:r>
      <w:r>
        <w:rPr>
          <w:rFonts w:ascii="Times New Roman" w:hAnsi="Times New Roman" w:cs="Times New Roman" w:eastAsia="Times New Roman" w:hint="default"/>
        </w:rPr>
        <w:t>20%</w:t>
      </w:r>
      <w:r>
        <w:rPr/>
        <w:t>，占公司目前总股本的</w:t>
      </w:r>
      <w:r>
        <w:rPr>
          <w:rFonts w:ascii="Times New Roman" w:hAnsi="Times New Roman" w:cs="Times New Roman" w:eastAsia="Times New Roman" w:hint="default"/>
        </w:rPr>
        <w:t>0.3662%</w:t>
      </w:r>
      <w:r>
        <w:rPr/>
        <w:t>。公司股东结构发生变 化。</w:t>
      </w:r>
    </w:p>
    <w:p>
      <w:pPr>
        <w:pStyle w:val="BodyText"/>
        <w:spacing w:line="451" w:lineRule="auto" w:before="112"/>
        <w:ind w:right="998" w:firstLine="360"/>
        <w:jc w:val="left"/>
      </w:pPr>
      <w:r>
        <w:rPr>
          <w:spacing w:val="-2"/>
        </w:rPr>
        <w:t>根据公司</w:t>
      </w:r>
      <w:r>
        <w:rPr>
          <w:rFonts w:ascii="Times New Roman" w:hAnsi="Times New Roman" w:cs="Times New Roman" w:eastAsia="Times New Roman" w:hint="default"/>
          <w:spacing w:val="-2"/>
        </w:rPr>
        <w:t>2016</w:t>
      </w:r>
      <w:r>
        <w:rPr>
          <w:spacing w:val="-2"/>
        </w:rPr>
        <w:t>年度利润分配及资本公积金转增股本方案，公司以截至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日公司股本总数</w:t>
      </w:r>
      <w:r>
        <w:rPr>
          <w:rFonts w:ascii="Times New Roman" w:hAnsi="Times New Roman" w:cs="Times New Roman" w:eastAsia="Times New Roman" w:hint="default"/>
          <w:spacing w:val="-2"/>
        </w:rPr>
        <w:t>84,000,000</w:t>
      </w:r>
      <w:r>
        <w:rPr>
          <w:spacing w:val="-2"/>
        </w:rPr>
        <w:t>股为基数，</w:t>
      </w:r>
      <w:r>
        <w:rPr/>
        <w:t> </w:t>
      </w:r>
      <w:r>
        <w:rPr>
          <w:spacing w:val="-2"/>
        </w:rPr>
        <w:t>以资本公积金转增股本，每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8</w:t>
      </w:r>
      <w:r>
        <w:rPr>
          <w:spacing w:val="-2"/>
        </w:rPr>
        <w:t>股，合计转增</w:t>
      </w:r>
      <w:r>
        <w:rPr>
          <w:rFonts w:ascii="Times New Roman" w:hAnsi="Times New Roman" w:cs="Times New Roman" w:eastAsia="Times New Roman" w:hint="default"/>
          <w:spacing w:val="-2"/>
        </w:rPr>
        <w:t>67,200,000</w:t>
      </w:r>
      <w:r>
        <w:rPr>
          <w:spacing w:val="-2"/>
        </w:rPr>
        <w:t>股。根据《上市公司股权激励管理办法》、公司《</w:t>
      </w:r>
      <w:r>
        <w:rPr>
          <w:rFonts w:ascii="Times New Roman" w:hAnsi="Times New Roman" w:cs="Times New Roman" w:eastAsia="Times New Roman" w:hint="default"/>
          <w:spacing w:val="-2"/>
        </w:rPr>
        <w:t>2017</w:t>
      </w:r>
      <w:r>
        <w:rPr>
          <w:spacing w:val="-2"/>
        </w:rPr>
        <w:t>年限制</w:t>
      </w:r>
      <w:r>
        <w:rPr>
          <w:spacing w:val="-59"/>
        </w:rPr>
        <w:t> </w:t>
      </w:r>
      <w:r>
        <w:rPr>
          <w:spacing w:val="-59"/>
        </w:rPr>
      </w:r>
      <w:r>
        <w:rPr>
          <w:spacing w:val="-2"/>
        </w:rPr>
        <w:t>性股票激励计划》的有关规定，公司以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日为授予日，授予</w:t>
      </w:r>
      <w:r>
        <w:rPr>
          <w:rFonts w:ascii="Times New Roman" w:hAnsi="Times New Roman" w:cs="Times New Roman" w:eastAsia="Times New Roman" w:hint="default"/>
          <w:spacing w:val="-2"/>
        </w:rPr>
        <w:t>88</w:t>
      </w:r>
      <w:r>
        <w:rPr>
          <w:spacing w:val="-2"/>
        </w:rPr>
        <w:t>名激励对象</w:t>
      </w:r>
      <w:r>
        <w:rPr>
          <w:rFonts w:ascii="Times New Roman" w:hAnsi="Times New Roman" w:cs="Times New Roman" w:eastAsia="Times New Roman" w:hint="default"/>
          <w:spacing w:val="-2"/>
        </w:rPr>
        <w:t>2,829,600</w:t>
      </w:r>
      <w:r>
        <w:rPr>
          <w:spacing w:val="-2"/>
        </w:rPr>
        <w:t>股限制性股票。公司注册资本、</w:t>
      </w:r>
      <w:r>
        <w:rPr>
          <w:spacing w:val="-52"/>
        </w:rPr>
        <w:t> </w:t>
      </w:r>
      <w:r>
        <w:rPr>
          <w:spacing w:val="-52"/>
        </w:rPr>
      </w:r>
      <w:r>
        <w:rPr/>
        <w:t>股东结构发生变动。</w:t>
      </w:r>
    </w:p>
    <w:p>
      <w:pPr>
        <w:spacing w:line="240" w:lineRule="auto" w:before="12"/>
        <w:rPr>
          <w:rFonts w:ascii="宋体" w:hAnsi="宋体" w:cs="宋体" w:eastAsia="宋体" w:hint="default"/>
          <w:sz w:val="20"/>
          <w:szCs w:val="20"/>
        </w:rPr>
      </w:pPr>
    </w:p>
    <w:p>
      <w:pPr>
        <w:pStyle w:val="Heading5"/>
        <w:spacing w:line="240" w:lineRule="auto"/>
        <w:ind w:right="1115"/>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9"/>
        <w:gridCol w:w="3848"/>
        <w:gridCol w:w="3193"/>
      </w:tblGrid>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9"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4"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5,093,280</w:t>
            </w:r>
          </w:p>
        </w:tc>
      </w:tr>
      <w:tr>
        <w:trPr>
          <w:trHeight w:val="145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7041" w:type="dxa"/>
            <w:gridSpan w:val="2"/>
            <w:tcBorders>
              <w:top w:val="single" w:sz="4" w:space="0" w:color="000000"/>
              <w:left w:val="single" w:sz="4" w:space="0" w:color="000000"/>
              <w:bottom w:val="single" w:sz="4" w:space="0" w:color="000000"/>
              <w:right w:val="single" w:sz="4" w:space="0" w:color="000000"/>
            </w:tcBorders>
          </w:tcPr>
          <w:p>
            <w:pPr>
              <w:pStyle w:val="TableParagraph"/>
              <w:spacing w:line="448" w:lineRule="auto" w:before="130"/>
              <w:ind w:left="24" w:right="18"/>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w:t>
            </w:r>
            <w:r>
              <w:rPr>
                <w:rFonts w:ascii="宋体" w:hAnsi="宋体" w:cs="宋体" w:eastAsia="宋体" w:hint="default"/>
                <w:spacing w:val="-3"/>
                <w:sz w:val="18"/>
                <w:szCs w:val="18"/>
              </w:rPr>
              <w:t>施</w:t>
            </w:r>
            <w:r>
              <w:rPr>
                <w:rFonts w:ascii="宋体" w:hAnsi="宋体" w:cs="宋体" w:eastAsia="宋体" w:hint="default"/>
                <w:sz w:val="18"/>
                <w:szCs w:val="18"/>
              </w:rPr>
              <w:t>了权益分派</w:t>
            </w:r>
            <w:r>
              <w:rPr>
                <w:rFonts w:ascii="宋体" w:hAnsi="宋体" w:cs="宋体" w:eastAsia="宋体" w:hint="default"/>
                <w:spacing w:val="-77"/>
                <w:sz w:val="18"/>
                <w:szCs w:val="18"/>
              </w:rPr>
              <w:t>，</w:t>
            </w:r>
            <w:r>
              <w:rPr>
                <w:rFonts w:ascii="宋体" w:hAnsi="宋体" w:cs="宋体" w:eastAsia="宋体" w:hint="default"/>
                <w:sz w:val="18"/>
                <w:szCs w:val="18"/>
              </w:rPr>
              <w:t>根</w:t>
            </w:r>
            <w:r>
              <w:rPr>
                <w:rFonts w:ascii="宋体" w:hAnsi="宋体" w:cs="宋体" w:eastAsia="宋体" w:hint="default"/>
                <w:spacing w:val="-77"/>
                <w:sz w:val="18"/>
                <w:szCs w:val="18"/>
              </w:rPr>
              <w:t>据</w:t>
            </w:r>
            <w:r>
              <w:rPr>
                <w:rFonts w:ascii="宋体" w:hAnsi="宋体" w:cs="宋体" w:eastAsia="宋体" w:hint="default"/>
                <w:sz w:val="18"/>
                <w:szCs w:val="18"/>
              </w:rPr>
              <w:t>《上市公司股权激励管理办法</w:t>
            </w:r>
            <w:r>
              <w:rPr>
                <w:rFonts w:ascii="宋体" w:hAnsi="宋体" w:cs="宋体" w:eastAsia="宋体" w:hint="default"/>
                <w:spacing w:val="-92"/>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公</w:t>
            </w:r>
            <w:r>
              <w:rPr>
                <w:rFonts w:ascii="宋体" w:hAnsi="宋体" w:cs="宋体" w:eastAsia="宋体" w:hint="default"/>
                <w:spacing w:val="-77"/>
                <w:sz w:val="18"/>
                <w:szCs w:val="18"/>
              </w:rPr>
              <w:t>司</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z w:val="18"/>
                <w:szCs w:val="18"/>
              </w:rPr>
              <w:t> </w:t>
            </w:r>
            <w:r>
              <w:rPr>
                <w:rFonts w:ascii="宋体" w:hAnsi="宋体" w:cs="宋体" w:eastAsia="宋体" w:hint="default"/>
                <w:sz w:val="18"/>
                <w:szCs w:val="18"/>
              </w:rPr>
              <w:t>年限制性股票激励计划（草案</w:t>
            </w:r>
            <w:r>
              <w:rPr>
                <w:rFonts w:ascii="宋体" w:hAnsi="宋体" w:cs="宋体" w:eastAsia="宋体" w:hint="default"/>
                <w:spacing w:val="-89"/>
                <w:sz w:val="18"/>
                <w:szCs w:val="18"/>
              </w:rPr>
              <w:t>）</w:t>
            </w:r>
            <w:r>
              <w:rPr>
                <w:rFonts w:ascii="宋体" w:hAnsi="宋体" w:cs="宋体" w:eastAsia="宋体" w:hint="default"/>
                <w:sz w:val="18"/>
                <w:szCs w:val="18"/>
              </w:rPr>
              <w:t>》等相关规定，在权益分派方案实施后，对限制性股票权</w:t>
            </w:r>
          </w:p>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益数量和首次授予价格进行相应调整，调整后发行的限制性股票数量为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5,093,280 </w:t>
            </w:r>
            <w:r>
              <w:rPr>
                <w:rFonts w:ascii="宋体" w:hAnsi="宋体" w:cs="宋体" w:eastAsia="宋体" w:hint="default"/>
                <w:sz w:val="18"/>
                <w:szCs w:val="18"/>
              </w:rPr>
              <w:t>股，首</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before="44"/>
        <w:ind w:right="1136"/>
        <w:jc w:val="right"/>
      </w:pPr>
      <w:r>
        <w:rPr/>
        <w:pict>
          <v:shape style="position:absolute;margin-left:56.459999pt;margin-top:-143.068268pt;width:479.2pt;height:260.4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9"/>
                    <w:gridCol w:w="7041"/>
                  </w:tblGrid>
                  <w:tr>
                    <w:trPr>
                      <w:trHeight w:val="477" w:hRule="exact"/>
                    </w:trPr>
                    <w:tc>
                      <w:tcPr>
                        <w:tcW w:w="2529" w:type="dxa"/>
                        <w:vMerge w:val="restart"/>
                        <w:tcBorders>
                          <w:top w:val="single" w:sz="4" w:space="0" w:color="000000"/>
                          <w:left w:val="single" w:sz="4" w:space="0" w:color="000000"/>
                          <w:right w:val="single" w:sz="4" w:space="0" w:color="000000"/>
                        </w:tcBorders>
                        <w:shd w:val="clear" w:color="auto" w:fill="D2D2D2"/>
                      </w:tcPr>
                      <w:p>
                        <w:pPr/>
                      </w:p>
                    </w:tc>
                    <w:tc>
                      <w:tcPr>
                        <w:tcW w:w="70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次授予价格为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9.61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日召开的第三届董事会第十三次会议审</w:t>
                        </w:r>
                      </w:p>
                    </w:tc>
                  </w:tr>
                  <w:tr>
                    <w:trPr>
                      <w:trHeight w:val="468" w:hRule="exact"/>
                    </w:trPr>
                    <w:tc>
                      <w:tcPr>
                        <w:tcW w:w="2529" w:type="dxa"/>
                        <w:vMerge/>
                        <w:tcBorders>
                          <w:left w:val="single" w:sz="4" w:space="0" w:color="000000"/>
                          <w:right w:val="single" w:sz="4" w:space="0" w:color="000000"/>
                        </w:tcBorders>
                        <w:shd w:val="clear" w:color="auto" w:fill="D2D2D2"/>
                      </w:tcPr>
                      <w:p>
                        <w:pPr/>
                      </w:p>
                    </w:tc>
                    <w:tc>
                      <w:tcPr>
                        <w:tcW w:w="7041"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议通过了《关于调整公司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年限制性股票激励计划相关事项的议案</w:t>
                        </w:r>
                        <w:r>
                          <w:rPr>
                            <w:rFonts w:ascii="宋体" w:hAnsi="宋体" w:cs="宋体" w:eastAsia="宋体" w:hint="default"/>
                            <w:spacing w:val="-92"/>
                            <w:sz w:val="18"/>
                            <w:szCs w:val="18"/>
                          </w:rPr>
                          <w:t>》、</w:t>
                        </w:r>
                        <w:r>
                          <w:rPr>
                            <w:rFonts w:ascii="宋体" w:hAnsi="宋体" w:cs="宋体" w:eastAsia="宋体" w:hint="default"/>
                            <w:sz w:val="18"/>
                            <w:szCs w:val="18"/>
                          </w:rPr>
                          <w:t>《关于公司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z w:val="18"/>
                            <w:szCs w:val="18"/>
                          </w:rPr>
                        </w:r>
                      </w:p>
                    </w:tc>
                  </w:tr>
                  <w:tr>
                    <w:trPr>
                      <w:trHeight w:val="463" w:hRule="exact"/>
                    </w:trPr>
                    <w:tc>
                      <w:tcPr>
                        <w:tcW w:w="2529" w:type="dxa"/>
                        <w:vMerge/>
                        <w:tcBorders>
                          <w:left w:val="single" w:sz="4" w:space="0" w:color="000000"/>
                          <w:right w:val="single" w:sz="4" w:space="0" w:color="000000"/>
                        </w:tcBorders>
                        <w:shd w:val="clear" w:color="auto" w:fill="D2D2D2"/>
                      </w:tcPr>
                      <w:p>
                        <w:pPr/>
                      </w:p>
                    </w:tc>
                    <w:tc>
                      <w:tcPr>
                        <w:tcW w:w="7041"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4" w:right="0"/>
                          <w:jc w:val="left"/>
                          <w:rPr>
                            <w:rFonts w:ascii="宋体" w:hAnsi="宋体" w:cs="宋体" w:eastAsia="宋体" w:hint="default"/>
                            <w:sz w:val="18"/>
                            <w:szCs w:val="18"/>
                          </w:rPr>
                        </w:pPr>
                        <w:r>
                          <w:rPr>
                            <w:rFonts w:ascii="宋体" w:hAnsi="宋体" w:cs="宋体" w:eastAsia="宋体" w:hint="default"/>
                            <w:sz w:val="18"/>
                            <w:szCs w:val="18"/>
                          </w:rPr>
                          <w:t>年限制性股票激励计划首次授予第一个限售期可解除限售的议案</w:t>
                        </w:r>
                        <w:r>
                          <w:rPr>
                            <w:rFonts w:ascii="宋体" w:hAnsi="宋体" w:cs="宋体" w:eastAsia="宋体" w:hint="default"/>
                            <w:spacing w:val="-92"/>
                            <w:sz w:val="18"/>
                            <w:szCs w:val="18"/>
                          </w:rPr>
                          <w:t>》</w:t>
                        </w:r>
                        <w:r>
                          <w:rPr>
                            <w:rFonts w:ascii="宋体" w:hAnsi="宋体" w:cs="宋体" w:eastAsia="宋体" w:hint="default"/>
                            <w:sz w:val="18"/>
                            <w:szCs w:val="18"/>
                          </w:rPr>
                          <w:t>，详见巨潮资讯网《第</w:t>
                        </w:r>
                      </w:p>
                    </w:tc>
                  </w:tr>
                  <w:tr>
                    <w:trPr>
                      <w:trHeight w:val="473" w:hRule="exact"/>
                    </w:trPr>
                    <w:tc>
                      <w:tcPr>
                        <w:tcW w:w="2529" w:type="dxa"/>
                        <w:vMerge/>
                        <w:tcBorders>
                          <w:left w:val="single" w:sz="4" w:space="0" w:color="000000"/>
                          <w:right w:val="single" w:sz="4" w:space="0" w:color="000000"/>
                        </w:tcBorders>
                        <w:shd w:val="clear" w:color="auto" w:fill="D2D2D2"/>
                      </w:tcPr>
                      <w:p>
                        <w:pPr/>
                      </w:p>
                    </w:tc>
                    <w:tc>
                      <w:tcPr>
                        <w:tcW w:w="704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三届董事会第十三次会议决议公告</w:t>
                        </w:r>
                        <w:r>
                          <w:rPr>
                            <w:rFonts w:ascii="宋体" w:hAnsi="宋体" w:cs="宋体" w:eastAsia="宋体" w:hint="default"/>
                            <w:spacing w:val="-94"/>
                            <w:sz w:val="18"/>
                            <w:szCs w:val="18"/>
                          </w:rPr>
                          <w:t>》</w:t>
                        </w:r>
                        <w:r>
                          <w:rPr>
                            <w:rFonts w:ascii="宋体" w:hAnsi="宋体" w:cs="宋体" w:eastAsia="宋体" w:hint="default"/>
                            <w:sz w:val="18"/>
                            <w:szCs w:val="18"/>
                          </w:rPr>
                          <w:t>（公告编号</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《关于调整公司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w:t>
                        </w:r>
                      </w:p>
                    </w:tc>
                  </w:tr>
                  <w:tr>
                    <w:trPr>
                      <w:trHeight w:val="468" w:hRule="exact"/>
                    </w:trPr>
                    <w:tc>
                      <w:tcPr>
                        <w:tcW w:w="2529" w:type="dxa"/>
                        <w:vMerge/>
                        <w:tcBorders>
                          <w:left w:val="single" w:sz="4" w:space="0" w:color="000000"/>
                          <w:right w:val="single" w:sz="4" w:space="0" w:color="000000"/>
                        </w:tcBorders>
                        <w:shd w:val="clear" w:color="auto" w:fill="D2D2D2"/>
                      </w:tcPr>
                      <w:p>
                        <w:pPr/>
                      </w:p>
                    </w:tc>
                    <w:tc>
                      <w:tcPr>
                        <w:tcW w:w="7041"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4" w:right="0"/>
                          <w:jc w:val="left"/>
                          <w:rPr>
                            <w:rFonts w:ascii="宋体" w:hAnsi="宋体" w:cs="宋体" w:eastAsia="宋体" w:hint="default"/>
                            <w:sz w:val="18"/>
                            <w:szCs w:val="18"/>
                          </w:rPr>
                        </w:pPr>
                        <w:r>
                          <w:rPr>
                            <w:rFonts w:ascii="宋体" w:hAnsi="宋体" w:cs="宋体" w:eastAsia="宋体" w:hint="default"/>
                            <w:sz w:val="18"/>
                            <w:szCs w:val="18"/>
                          </w:rPr>
                          <w:t>性股票激励计划相关事项的公告</w:t>
                        </w:r>
                        <w:r>
                          <w:rPr>
                            <w:rFonts w:ascii="宋体" w:hAnsi="宋体" w:cs="宋体" w:eastAsia="宋体" w:hint="default"/>
                            <w:spacing w:val="-93"/>
                            <w:sz w:val="18"/>
                            <w:szCs w:val="18"/>
                          </w:rPr>
                          <w:t>》</w:t>
                        </w:r>
                        <w:r>
                          <w:rPr>
                            <w:rFonts w:ascii="宋体" w:hAnsi="宋体" w:cs="宋体" w:eastAsia="宋体" w:hint="default"/>
                            <w:sz w:val="18"/>
                            <w:szCs w:val="18"/>
                          </w:rPr>
                          <w:t>（公告编号</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年限制性股票</w:t>
                        </w:r>
                      </w:p>
                    </w:tc>
                  </w:tr>
                  <w:tr>
                    <w:trPr>
                      <w:trHeight w:val="468" w:hRule="exact"/>
                    </w:trPr>
                    <w:tc>
                      <w:tcPr>
                        <w:tcW w:w="2529" w:type="dxa"/>
                        <w:vMerge/>
                        <w:tcBorders>
                          <w:left w:val="single" w:sz="4" w:space="0" w:color="000000"/>
                          <w:right w:val="single" w:sz="4" w:space="0" w:color="000000"/>
                        </w:tcBorders>
                        <w:shd w:val="clear" w:color="auto" w:fill="D2D2D2"/>
                      </w:tcPr>
                      <w:p>
                        <w:pPr/>
                      </w:p>
                    </w:tc>
                    <w:tc>
                      <w:tcPr>
                        <w:tcW w:w="7041"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4" w:right="0"/>
                          <w:jc w:val="left"/>
                          <w:rPr>
                            <w:rFonts w:ascii="宋体" w:hAnsi="宋体" w:cs="宋体" w:eastAsia="宋体" w:hint="default"/>
                            <w:sz w:val="18"/>
                            <w:szCs w:val="18"/>
                          </w:rPr>
                        </w:pPr>
                        <w:r>
                          <w:rPr>
                            <w:rFonts w:ascii="宋体" w:hAnsi="宋体" w:cs="宋体" w:eastAsia="宋体" w:hint="default"/>
                            <w:sz w:val="18"/>
                            <w:szCs w:val="18"/>
                          </w:rPr>
                          <w:t>激励计划首次授予第一个限售期可解除限售的公告</w:t>
                        </w:r>
                        <w:r>
                          <w:rPr>
                            <w:rFonts w:ascii="宋体" w:hAnsi="宋体" w:cs="宋体" w:eastAsia="宋体" w:hint="default"/>
                            <w:spacing w:val="-92"/>
                            <w:sz w:val="18"/>
                            <w:szCs w:val="18"/>
                          </w:rPr>
                          <w:t>》</w:t>
                        </w:r>
                        <w:r>
                          <w:rPr>
                            <w:rFonts w:ascii="宋体" w:hAnsi="宋体" w:cs="宋体" w:eastAsia="宋体" w:hint="default"/>
                            <w:sz w:val="18"/>
                            <w:szCs w:val="18"/>
                          </w:rPr>
                          <w:t>（公告</w:t>
                        </w:r>
                        <w:r>
                          <w:rPr>
                            <w:rFonts w:ascii="宋体" w:hAnsi="宋体" w:cs="宋体" w:eastAsia="宋体" w:hint="default"/>
                            <w:spacing w:val="2"/>
                            <w:sz w:val="18"/>
                            <w:szCs w:val="18"/>
                          </w:rPr>
                          <w:t>编</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68" w:hRule="exact"/>
                    </w:trPr>
                    <w:tc>
                      <w:tcPr>
                        <w:tcW w:w="2529" w:type="dxa"/>
                        <w:vMerge/>
                        <w:tcBorders>
                          <w:left w:val="single" w:sz="4" w:space="0" w:color="000000"/>
                          <w:right w:val="single" w:sz="4" w:space="0" w:color="000000"/>
                        </w:tcBorders>
                        <w:shd w:val="clear" w:color="auto" w:fill="D2D2D2"/>
                      </w:tcPr>
                      <w:p>
                        <w:pPr/>
                      </w:p>
                    </w:tc>
                    <w:tc>
                      <w:tcPr>
                        <w:tcW w:w="7041"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4" w:right="0"/>
                          <w:jc w:val="left"/>
                          <w:rPr>
                            <w:rFonts w:ascii="宋体" w:hAnsi="宋体" w:cs="宋体" w:eastAsia="宋体" w:hint="default"/>
                            <w:sz w:val="18"/>
                            <w:szCs w:val="18"/>
                          </w:rPr>
                        </w:pPr>
                        <w:r>
                          <w:rPr>
                            <w:rFonts w:ascii="宋体" w:hAnsi="宋体" w:cs="宋体" w:eastAsia="宋体" w:hint="default"/>
                            <w:sz w:val="18"/>
                            <w:szCs w:val="18"/>
                          </w:rPr>
                          <w:t>限制性股票激励计划首次授予第一个限售期解除限售股份上市流通日为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w:t>
                        </w:r>
                      </w:p>
                    </w:tc>
                  </w:tr>
                  <w:tr>
                    <w:trPr>
                      <w:trHeight w:val="468" w:hRule="exact"/>
                    </w:trPr>
                    <w:tc>
                      <w:tcPr>
                        <w:tcW w:w="2529" w:type="dxa"/>
                        <w:vMerge/>
                        <w:tcBorders>
                          <w:left w:val="single" w:sz="4" w:space="0" w:color="000000"/>
                          <w:right w:val="single" w:sz="4" w:space="0" w:color="000000"/>
                        </w:tcBorders>
                        <w:shd w:val="clear" w:color="auto" w:fill="D2D2D2"/>
                      </w:tcPr>
                      <w:p>
                        <w:pPr/>
                      </w:p>
                    </w:tc>
                    <w:tc>
                      <w:tcPr>
                        <w:tcW w:w="7041"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4" w:right="0"/>
                          <w:jc w:val="left"/>
                          <w:rPr>
                            <w:rFonts w:ascii="宋体" w:hAnsi="宋体" w:cs="宋体" w:eastAsia="宋体" w:hint="default"/>
                            <w:sz w:val="18"/>
                            <w:szCs w:val="18"/>
                          </w:rPr>
                        </w:pPr>
                        <w:r>
                          <w:rPr>
                            <w:rFonts w:ascii="宋体" w:hAnsi="宋体" w:cs="宋体" w:eastAsia="宋体" w:hint="default"/>
                            <w:sz w:val="18"/>
                            <w:szCs w:val="18"/>
                          </w:rPr>
                          <w:t>解除限售的股数为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1,015,416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股，占股权激励计划授予限制性股票总数的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，占公司目</w:t>
                        </w:r>
                      </w:p>
                    </w:tc>
                  </w:tr>
                  <w:tr>
                    <w:trPr>
                      <w:trHeight w:val="468" w:hRule="exact"/>
                    </w:trPr>
                    <w:tc>
                      <w:tcPr>
                        <w:tcW w:w="2529" w:type="dxa"/>
                        <w:vMerge/>
                        <w:tcBorders>
                          <w:left w:val="single" w:sz="4" w:space="0" w:color="000000"/>
                          <w:right w:val="single" w:sz="4" w:space="0" w:color="000000"/>
                        </w:tcBorders>
                        <w:shd w:val="clear" w:color="auto" w:fill="D2D2D2"/>
                      </w:tcPr>
                      <w:p>
                        <w:pPr/>
                      </w:p>
                    </w:tc>
                    <w:tc>
                      <w:tcPr>
                        <w:tcW w:w="7041"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4" w:right="0"/>
                          <w:jc w:val="left"/>
                          <w:rPr>
                            <w:rFonts w:ascii="宋体" w:hAnsi="宋体" w:cs="宋体" w:eastAsia="宋体" w:hint="default"/>
                            <w:sz w:val="18"/>
                            <w:szCs w:val="18"/>
                          </w:rPr>
                        </w:pPr>
                        <w:r>
                          <w:rPr>
                            <w:rFonts w:ascii="宋体" w:hAnsi="宋体" w:cs="宋体" w:eastAsia="宋体" w:hint="default"/>
                            <w:sz w:val="18"/>
                            <w:szCs w:val="18"/>
                          </w:rPr>
                          <w:t>前总股本的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0.3662%</w:t>
                        </w:r>
                        <w:r>
                          <w:rPr>
                            <w:rFonts w:ascii="宋体" w:hAnsi="宋体" w:cs="宋体" w:eastAsia="宋体" w:hint="default"/>
                            <w:sz w:val="18"/>
                            <w:szCs w:val="18"/>
                          </w:rPr>
                          <w:t>，申请解除限售的激励对象为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名首次授予激励对象。详见巨潮资</w:t>
                        </w:r>
                      </w:p>
                    </w:tc>
                  </w:tr>
                  <w:tr>
                    <w:trPr>
                      <w:trHeight w:val="468" w:hRule="exact"/>
                    </w:trPr>
                    <w:tc>
                      <w:tcPr>
                        <w:tcW w:w="2529" w:type="dxa"/>
                        <w:vMerge/>
                        <w:tcBorders>
                          <w:left w:val="single" w:sz="4" w:space="0" w:color="000000"/>
                          <w:right w:val="single" w:sz="4" w:space="0" w:color="000000"/>
                        </w:tcBorders>
                        <w:shd w:val="clear" w:color="auto" w:fill="D2D2D2"/>
                      </w:tcPr>
                      <w:p>
                        <w:pPr/>
                      </w:p>
                    </w:tc>
                    <w:tc>
                      <w:tcPr>
                        <w:tcW w:w="7041"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24" w:right="0"/>
                          <w:jc w:val="left"/>
                          <w:rPr>
                            <w:rFonts w:ascii="宋体" w:hAnsi="宋体" w:cs="宋体" w:eastAsia="宋体" w:hint="default"/>
                            <w:sz w:val="18"/>
                            <w:szCs w:val="18"/>
                          </w:rPr>
                        </w:pPr>
                        <w:r>
                          <w:rPr>
                            <w:rFonts w:ascii="宋体" w:hAnsi="宋体" w:cs="宋体" w:eastAsia="宋体" w:hint="default"/>
                            <w:sz w:val="18"/>
                            <w:szCs w:val="18"/>
                          </w:rPr>
                          <w:t>讯</w:t>
                        </w:r>
                        <w:r>
                          <w:rPr>
                            <w:rFonts w:ascii="宋体" w:hAnsi="宋体" w:cs="宋体" w:eastAsia="宋体" w:hint="default"/>
                            <w:spacing w:val="-20"/>
                            <w:sz w:val="18"/>
                            <w:szCs w:val="18"/>
                          </w:rPr>
                          <w:t>网</w:t>
                        </w:r>
                        <w:r>
                          <w:rPr>
                            <w:rFonts w:ascii="宋体" w:hAnsi="宋体" w:cs="宋体" w:eastAsia="宋体" w:hint="default"/>
                            <w:sz w:val="18"/>
                            <w:szCs w:val="18"/>
                          </w:rPr>
                          <w:t>《关于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w:t>
                        </w:r>
                        <w:r>
                          <w:rPr>
                            <w:rFonts w:ascii="宋体" w:hAnsi="宋体" w:cs="宋体" w:eastAsia="宋体" w:hint="default"/>
                            <w:spacing w:val="-3"/>
                            <w:sz w:val="18"/>
                            <w:szCs w:val="18"/>
                          </w:rPr>
                          <w:t>票</w:t>
                        </w:r>
                        <w:r>
                          <w:rPr>
                            <w:rFonts w:ascii="宋体" w:hAnsi="宋体" w:cs="宋体" w:eastAsia="宋体" w:hint="default"/>
                            <w:sz w:val="18"/>
                            <w:szCs w:val="18"/>
                          </w:rPr>
                          <w:t>激励计划第一期解锁股份上市流通的提示性公告</w:t>
                        </w:r>
                        <w:r>
                          <w:rPr>
                            <w:rFonts w:ascii="宋体" w:hAnsi="宋体" w:cs="宋体" w:eastAsia="宋体" w:hint="default"/>
                            <w:spacing w:val="-111"/>
                            <w:sz w:val="18"/>
                            <w:szCs w:val="18"/>
                          </w:rPr>
                          <w:t>》</w:t>
                        </w:r>
                        <w:r>
                          <w:rPr>
                            <w:rFonts w:ascii="宋体" w:hAnsi="宋体" w:cs="宋体" w:eastAsia="宋体" w:hint="default"/>
                            <w:sz w:val="18"/>
                            <w:szCs w:val="18"/>
                          </w:rPr>
                          <w:t>（公告编</w:t>
                        </w:r>
                      </w:p>
                    </w:tc>
                  </w:tr>
                  <w:tr>
                    <w:trPr>
                      <w:trHeight w:val="510"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70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3"/>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41</w:t>
                        </w:r>
                        <w:r>
                          <w:rPr>
                            <w:rFonts w:ascii="宋体" w:hAnsi="宋体" w:cs="宋体" w:eastAsia="宋体" w:hint="default"/>
                            <w:spacing w:val="-92"/>
                            <w:sz w:val="18"/>
                            <w:szCs w:val="18"/>
                          </w:rPr>
                          <w:t>）</w:t>
                        </w:r>
                        <w:r>
                          <w:rPr>
                            <w:rFonts w:ascii="宋体" w:hAnsi="宋体" w:cs="宋体" w:eastAsia="宋体" w:hint="default"/>
                            <w:sz w:val="18"/>
                            <w:szCs w:val="18"/>
                          </w:rPr>
                          <w:t>。截至本报告</w:t>
                        </w:r>
                        <w:r>
                          <w:rPr>
                            <w:rFonts w:ascii="宋体" w:hAnsi="宋体" w:cs="宋体" w:eastAsia="宋体" w:hint="default"/>
                            <w:spacing w:val="-3"/>
                            <w:sz w:val="18"/>
                            <w:szCs w:val="18"/>
                          </w:rPr>
                          <w:t>期</w:t>
                        </w:r>
                        <w:r>
                          <w:rPr>
                            <w:rFonts w:ascii="宋体" w:hAnsi="宋体" w:cs="宋体" w:eastAsia="宋体" w:hint="default"/>
                            <w:sz w:val="18"/>
                            <w:szCs w:val="18"/>
                          </w:rPr>
                          <w:t>末，剩余未解除限售的限制性股票数量为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26"/>
        <w:ind w:right="1115"/>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pict>
          <v:shape style="position:absolute;margin-left:449.22699pt;margin-top:19.90773pt;width:85.75pt;height:82pt;mso-position-horizontal-relative:page;mso-position-vertical-relative:paragraph;z-index:-8940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82.5pt;margin-top:19.90773pt;width:52.45pt;height:82pt;mso-position-horizontal-relative:page;mso-position-vertical-relative:paragraph;z-index:-894064" coordorigin="9650,398" coordsize="1049,1640">
            <v:group style="position:absolute;left:9650;top:398;width:1049;height:1640" coordorigin="9650,398" coordsize="1049,1640">
              <v:shape style="position:absolute;left:9650;top:398;width:1049;height:1640" coordorigin="9650,398" coordsize="1049,1640" path="m9650,2038l10699,2038,10699,398,9650,398,9650,2038xe" filled="true" fillcolor="#ffffff" stroked="false">
                <v:path arrowok="t"/>
                <v:fill type="solid"/>
              </v:shape>
            </v:group>
            <v:group style="position:absolute;left:9672;top:1022;width:1004;height:392" coordorigin="9672,1022" coordsize="1004,392">
              <v:shape style="position:absolute;left:9672;top:1022;width:1004;height:392" coordorigin="9672,1022" coordsize="1004,392" path="m9672,1414l10675,1414,10675,1022,9672,1022,9672,1414xe" filled="true" fillcolor="#ffffff" stroked="false">
                <v:path arrowok="t"/>
                <v:fill type="solid"/>
              </v:shape>
            </v:group>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62"/>
        <w:gridCol w:w="749"/>
        <w:gridCol w:w="750"/>
        <w:gridCol w:w="824"/>
        <w:gridCol w:w="334"/>
        <w:gridCol w:w="456"/>
        <w:gridCol w:w="828"/>
        <w:gridCol w:w="797"/>
        <w:gridCol w:w="311"/>
        <w:gridCol w:w="1039"/>
        <w:gridCol w:w="290"/>
        <w:gridCol w:w="501"/>
        <w:gridCol w:w="557"/>
      </w:tblGrid>
      <w:tr>
        <w:trPr>
          <w:trHeight w:val="1654"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13,498</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20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2" w:right="0"/>
              <w:jc w:val="left"/>
              <w:rPr>
                <w:rFonts w:ascii="Times New Roman" w:hAnsi="Times New Roman" w:cs="Times New Roman" w:eastAsia="Times New Roman" w:hint="default"/>
                <w:sz w:val="18"/>
                <w:szCs w:val="18"/>
              </w:rPr>
            </w:pPr>
            <w:r>
              <w:rPr>
                <w:rFonts w:ascii="Times New Roman"/>
                <w:sz w:val="18"/>
              </w:rPr>
              <w:t>10,939</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7"/>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34"/>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7"/>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1" w:type="dxa"/>
            <w:tcBorders>
              <w:top w:val="single" w:sz="4" w:space="0" w:color="000000"/>
              <w:left w:val="single" w:sz="4" w:space="0" w:color="000000"/>
              <w:bottom w:val="single" w:sz="4" w:space="0" w:color="000000"/>
              <w:right w:val="nil" w:sz="6" w:space="0" w:color="auto"/>
            </w:tcBorders>
          </w:tcPr>
          <w:p>
            <w:pPr/>
          </w:p>
        </w:tc>
        <w:tc>
          <w:tcPr>
            <w:tcW w:w="5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1"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68"/>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63" w:right="0"/>
              <w:jc w:val="center"/>
              <w:rPr>
                <w:rFonts w:ascii="Times New Roman" w:hAnsi="Times New Roman" w:cs="Times New Roman" w:eastAsia="Times New Roman" w:hint="default"/>
                <w:sz w:val="14"/>
                <w:szCs w:val="14"/>
              </w:rPr>
            </w:pPr>
            <w:r>
              <w:rPr>
                <w:rFonts w:ascii="Times New Roman"/>
                <w:sz w:val="14"/>
              </w:rPr>
              <w:t>127,862,388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3" w:right="0"/>
              <w:jc w:val="left"/>
              <w:rPr>
                <w:rFonts w:ascii="Times New Roman" w:hAnsi="Times New Roman" w:cs="Times New Roman" w:eastAsia="Times New Roman" w:hint="default"/>
                <w:sz w:val="14"/>
                <w:szCs w:val="14"/>
              </w:rPr>
            </w:pPr>
            <w:r>
              <w:rPr>
                <w:rFonts w:ascii="Times New Roman"/>
                <w:sz w:val="14"/>
              </w:rPr>
              <w:t>56827728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5"/>
              <w:jc w:val="right"/>
              <w:rPr>
                <w:rFonts w:ascii="Times New Roman" w:hAnsi="Times New Roman" w:cs="Times New Roman" w:eastAsia="Times New Roman" w:hint="default"/>
                <w:sz w:val="14"/>
                <w:szCs w:val="14"/>
              </w:rPr>
            </w:pPr>
            <w:r>
              <w:rPr>
                <w:rFonts w:ascii="Times New Roman"/>
                <w:w w:val="95"/>
                <w:sz w:val="14"/>
              </w:rPr>
              <w:t>127,862,388</w:t>
            </w:r>
            <w:r>
              <w:rPr>
                <w:rFonts w:ascii="Times New Roman"/>
                <w:sz w:val="14"/>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24,580,000</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邵健锋</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33" w:right="0"/>
              <w:jc w:val="center"/>
              <w:rPr>
                <w:rFonts w:ascii="Times New Roman" w:hAnsi="Times New Roman" w:cs="Times New Roman" w:eastAsia="Times New Roman" w:hint="default"/>
                <w:sz w:val="14"/>
                <w:szCs w:val="14"/>
              </w:rPr>
            </w:pPr>
            <w:r>
              <w:rPr>
                <w:rFonts w:ascii="Times New Roman"/>
                <w:sz w:val="14"/>
              </w:rPr>
              <w:t>17,125,344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3" w:right="0"/>
              <w:jc w:val="left"/>
              <w:rPr>
                <w:rFonts w:ascii="Times New Roman" w:hAnsi="Times New Roman" w:cs="Times New Roman" w:eastAsia="Times New Roman" w:hint="default"/>
                <w:sz w:val="14"/>
                <w:szCs w:val="14"/>
              </w:rPr>
            </w:pPr>
            <w:r>
              <w:rPr>
                <w:rFonts w:ascii="Times New Roman"/>
                <w:sz w:val="14"/>
              </w:rPr>
              <w:t>7611264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65"/>
              <w:jc w:val="right"/>
              <w:rPr>
                <w:rFonts w:ascii="Times New Roman" w:hAnsi="Times New Roman" w:cs="Times New Roman" w:eastAsia="Times New Roman" w:hint="default"/>
                <w:sz w:val="14"/>
                <w:szCs w:val="14"/>
              </w:rPr>
            </w:pPr>
            <w:r>
              <w:rPr>
                <w:rFonts w:ascii="Times New Roman"/>
                <w:w w:val="95"/>
                <w:sz w:val="14"/>
              </w:rPr>
              <w:t>17,125,344</w:t>
            </w:r>
            <w:r>
              <w:rPr>
                <w:rFonts w:ascii="Times New Roman"/>
                <w:sz w:val="14"/>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8,256,960</w:t>
            </w: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深圳市华锐丰投 </w:t>
            </w:r>
            <w:r>
              <w:rPr>
                <w:rFonts w:ascii="宋体" w:hAnsi="宋体" w:cs="宋体" w:eastAsia="宋体" w:hint="default"/>
                <w:spacing w:val="-4"/>
                <w:sz w:val="18"/>
                <w:szCs w:val="18"/>
              </w:rPr>
              <w:t>资合伙企业（有限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7" w:right="0"/>
              <w:jc w:val="center"/>
              <w:rPr>
                <w:rFonts w:ascii="Times New Roman" w:hAnsi="Times New Roman" w:cs="Times New Roman" w:eastAsia="Times New Roman" w:hint="default"/>
                <w:sz w:val="14"/>
                <w:szCs w:val="14"/>
              </w:rPr>
            </w:pPr>
            <w:r>
              <w:rPr>
                <w:rFonts w:ascii="Times New Roman"/>
                <w:sz w:val="14"/>
              </w:rPr>
              <w:t>8,562,672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4"/>
                <w:szCs w:val="14"/>
              </w:rPr>
            </w:pPr>
            <w:r>
              <w:rPr>
                <w:rFonts w:ascii="Times New Roman"/>
                <w:sz w:val="14"/>
              </w:rPr>
              <w:t>3805632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3"/>
              <w:jc w:val="right"/>
              <w:rPr>
                <w:rFonts w:ascii="Times New Roman" w:hAnsi="Times New Roman" w:cs="Times New Roman" w:eastAsia="Times New Roman" w:hint="default"/>
                <w:sz w:val="14"/>
                <w:szCs w:val="14"/>
              </w:rPr>
            </w:pPr>
            <w:r>
              <w:rPr>
                <w:rFonts w:ascii="Times New Roman"/>
                <w:w w:val="95"/>
                <w:sz w:val="14"/>
              </w:rPr>
              <w:t>8,562,672</w:t>
            </w:r>
            <w:r>
              <w:rPr>
                <w:rFonts w:ascii="Times New Roman"/>
                <w:sz w:val="14"/>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陈伟国</w:t>
            </w:r>
          </w:p>
        </w:tc>
        <w:tc>
          <w:tcPr>
            <w:tcW w:w="1412"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90" w:right="-17"/>
              <w:jc w:val="left"/>
              <w:rPr>
                <w:rFonts w:ascii="Times New Roman" w:hAnsi="Times New Roman" w:cs="Times New Roman" w:eastAsia="Times New Roman" w:hint="default"/>
                <w:sz w:val="18"/>
                <w:szCs w:val="18"/>
              </w:rPr>
            </w:pPr>
            <w:r>
              <w:rPr>
                <w:rFonts w:ascii="Times New Roman"/>
                <w:sz w:val="18"/>
              </w:rPr>
              <w:t>2.87%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231" w:right="0"/>
              <w:jc w:val="left"/>
              <w:rPr>
                <w:rFonts w:ascii="Times New Roman" w:hAnsi="Times New Roman" w:cs="Times New Roman" w:eastAsia="Times New Roman" w:hint="default"/>
                <w:sz w:val="14"/>
                <w:szCs w:val="14"/>
              </w:rPr>
            </w:pPr>
            <w:r>
              <w:rPr>
                <w:rFonts w:ascii="Times New Roman"/>
                <w:sz w:val="14"/>
              </w:rPr>
              <w:t>7,966,405</w:t>
            </w:r>
          </w:p>
        </w:tc>
        <w:tc>
          <w:tcPr>
            <w:tcW w:w="79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23" w:right="0"/>
              <w:jc w:val="left"/>
              <w:rPr>
                <w:rFonts w:ascii="Times New Roman" w:hAnsi="Times New Roman" w:cs="Times New Roman" w:eastAsia="Times New Roman" w:hint="default"/>
                <w:sz w:val="14"/>
                <w:szCs w:val="14"/>
              </w:rPr>
            </w:pPr>
            <w:r>
              <w:rPr>
                <w:rFonts w:ascii="Times New Roman"/>
                <w:sz w:val="14"/>
              </w:rPr>
              <w:t>1544401</w:t>
            </w:r>
          </w:p>
        </w:tc>
        <w:tc>
          <w:tcPr>
            <w:tcW w:w="8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62"/>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206" w:right="0"/>
              <w:jc w:val="left"/>
              <w:rPr>
                <w:rFonts w:ascii="Times New Roman" w:hAnsi="Times New Roman" w:cs="Times New Roman" w:eastAsia="Times New Roman" w:hint="default"/>
                <w:sz w:val="14"/>
                <w:szCs w:val="14"/>
              </w:rPr>
            </w:pPr>
            <w:r>
              <w:rPr>
                <w:rFonts w:ascii="Times New Roman"/>
                <w:sz w:val="14"/>
              </w:rPr>
              <w:t>7,966,405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7,706,305</w:t>
            </w:r>
          </w:p>
        </w:tc>
      </w:tr>
      <w:tr>
        <w:trPr>
          <w:trHeight w:val="403" w:hRule="exact"/>
        </w:trPr>
        <w:tc>
          <w:tcPr>
            <w:tcW w:w="1469" w:type="dxa"/>
            <w:gridSpan w:val="2"/>
            <w:vMerge/>
            <w:tcBorders>
              <w:left w:val="single" w:sz="4" w:space="0" w:color="000000"/>
              <w:bottom w:val="single" w:sz="4" w:space="0" w:color="000000"/>
              <w:right w:val="single" w:sz="4" w:space="0" w:color="000000"/>
            </w:tcBorders>
          </w:tcPr>
          <w:p>
            <w:pPr/>
          </w:p>
        </w:tc>
        <w:tc>
          <w:tcPr>
            <w:tcW w:w="1412" w:type="dxa"/>
            <w:gridSpan w:val="2"/>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0" w:type="dxa"/>
            <w:gridSpan w:val="2"/>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冻结</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7,966,405</w:t>
            </w:r>
          </w:p>
        </w:tc>
      </w:tr>
      <w:tr>
        <w:trPr>
          <w:trHeight w:val="98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中国平安人寿保 险股份有限公司</w:t>
            </w:r>
          </w:p>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－分红－个险分</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pacing w:val="-2"/>
                <w:sz w:val="18"/>
              </w:rPr>
              <w:t>2.11%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7" w:right="0"/>
              <w:jc w:val="center"/>
              <w:rPr>
                <w:rFonts w:ascii="Times New Roman" w:hAnsi="Times New Roman" w:cs="Times New Roman" w:eastAsia="Times New Roman" w:hint="default"/>
                <w:sz w:val="14"/>
                <w:szCs w:val="14"/>
              </w:rPr>
            </w:pPr>
            <w:r>
              <w:rPr>
                <w:rFonts w:ascii="Times New Roman"/>
                <w:sz w:val="14"/>
              </w:rPr>
              <w:t>5,844,293</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4"/>
                <w:szCs w:val="14"/>
              </w:rPr>
            </w:pPr>
            <w:r>
              <w:rPr>
                <w:rFonts w:ascii="Times New Roman"/>
                <w:sz w:val="14"/>
              </w:rPr>
              <w:t>5844293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62"/>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4"/>
                <w:szCs w:val="14"/>
              </w:rPr>
            </w:pPr>
            <w:r>
              <w:rPr>
                <w:rFonts w:ascii="Times New Roman"/>
                <w:w w:val="95"/>
                <w:sz w:val="14"/>
              </w:rPr>
              <w:t>5,844,293</w:t>
            </w:r>
            <w:r>
              <w:rPr>
                <w:rFonts w:ascii="Times New Roman"/>
                <w:sz w:val="14"/>
              </w:rPr>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787"/>
        <w:gridCol w:w="790"/>
        <w:gridCol w:w="785"/>
        <w:gridCol w:w="840"/>
        <w:gridCol w:w="1349"/>
        <w:gridCol w:w="1349"/>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红</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4"/>
                <w:sz w:val="18"/>
                <w:szCs w:val="18"/>
              </w:rPr>
              <w:t>皖江（芜湖）物流</w:t>
            </w:r>
            <w:r>
              <w:rPr>
                <w:rFonts w:ascii="宋体" w:hAnsi="宋体" w:cs="宋体" w:eastAsia="宋体" w:hint="default"/>
                <w:sz w:val="18"/>
                <w:szCs w:val="18"/>
              </w:rPr>
              <w:t> </w:t>
            </w:r>
            <w:r>
              <w:rPr>
                <w:rFonts w:ascii="宋体" w:hAnsi="宋体" w:cs="宋体" w:eastAsia="宋体" w:hint="default"/>
                <w:spacing w:val="-4"/>
                <w:sz w:val="18"/>
                <w:szCs w:val="18"/>
              </w:rPr>
              <w:t>产业投资基金（有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22"/>
              <w:jc w:val="right"/>
              <w:rPr>
                <w:rFonts w:ascii="Times New Roman" w:hAnsi="Times New Roman" w:cs="Times New Roman" w:eastAsia="Times New Roman" w:hint="default"/>
                <w:sz w:val="14"/>
                <w:szCs w:val="14"/>
              </w:rPr>
            </w:pPr>
            <w:r>
              <w:rPr>
                <w:rFonts w:ascii="Times New Roman"/>
                <w:spacing w:val="-1"/>
                <w:sz w:val="14"/>
              </w:rPr>
              <w:t>4,611,368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23" w:right="0"/>
              <w:jc w:val="left"/>
              <w:rPr>
                <w:rFonts w:ascii="Times New Roman" w:hAnsi="Times New Roman" w:cs="Times New Roman" w:eastAsia="Times New Roman" w:hint="default"/>
                <w:sz w:val="14"/>
                <w:szCs w:val="14"/>
              </w:rPr>
            </w:pPr>
            <w:r>
              <w:rPr>
                <w:rFonts w:ascii="Times New Roman"/>
                <w:sz w:val="14"/>
              </w:rPr>
              <w:t>509217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9"/>
              <w:jc w:val="right"/>
              <w:rPr>
                <w:rFonts w:ascii="Times New Roman" w:hAnsi="Times New Roman" w:cs="Times New Roman" w:eastAsia="Times New Roman" w:hint="default"/>
                <w:sz w:val="14"/>
                <w:szCs w:val="14"/>
              </w:rPr>
            </w:pPr>
            <w:r>
              <w:rPr>
                <w:rFonts w:ascii="Times New Roman"/>
                <w:spacing w:val="-1"/>
                <w:sz w:val="14"/>
              </w:rPr>
              <w:t>4,611,368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3,783,324</w:t>
            </w:r>
            <w:r>
              <w:rPr>
                <w:rFonts w:ascii="Times New Roman"/>
                <w:sz w:val="14"/>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3" w:right="0"/>
              <w:jc w:val="left"/>
              <w:rPr>
                <w:rFonts w:ascii="Times New Roman" w:hAnsi="Times New Roman" w:cs="Times New Roman" w:eastAsia="Times New Roman" w:hint="default"/>
                <w:sz w:val="14"/>
                <w:szCs w:val="14"/>
              </w:rPr>
            </w:pPr>
            <w:r>
              <w:rPr>
                <w:rFonts w:ascii="Times New Roman"/>
                <w:sz w:val="14"/>
              </w:rPr>
              <w:t>3783324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5"/>
                <w:sz w:val="14"/>
              </w:rPr>
              <w:t>3,783,324</w:t>
            </w:r>
            <w:r>
              <w:rPr>
                <w:rFonts w:ascii="Times New Roman"/>
                <w:sz w:val="14"/>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中国人寿保险股 份有限公司－传 统－普通保险产 品</w:t>
            </w:r>
            <w:r>
              <w:rPr>
                <w:rFonts w:ascii="Times New Roman" w:hAnsi="Times New Roman" w:cs="Times New Roman" w:eastAsia="Times New Roman" w:hint="default"/>
                <w:sz w:val="18"/>
                <w:szCs w:val="18"/>
              </w:rPr>
              <w:t>-005L-CT001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22"/>
              <w:jc w:val="right"/>
              <w:rPr>
                <w:rFonts w:ascii="Times New Roman" w:hAnsi="Times New Roman" w:cs="Times New Roman" w:eastAsia="Times New Roman" w:hint="default"/>
                <w:sz w:val="14"/>
                <w:szCs w:val="14"/>
              </w:rPr>
            </w:pPr>
            <w:r>
              <w:rPr>
                <w:rFonts w:ascii="Times New Roman"/>
                <w:w w:val="95"/>
                <w:sz w:val="14"/>
              </w:rPr>
              <w:t>3,764,901</w:t>
            </w:r>
            <w:r>
              <w:rPr>
                <w:rFonts w:ascii="Times New Roman"/>
                <w:sz w:val="14"/>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23" w:right="0"/>
              <w:jc w:val="left"/>
              <w:rPr>
                <w:rFonts w:ascii="Times New Roman" w:hAnsi="Times New Roman" w:cs="Times New Roman" w:eastAsia="Times New Roman" w:hint="default"/>
                <w:sz w:val="14"/>
                <w:szCs w:val="14"/>
              </w:rPr>
            </w:pPr>
            <w:r>
              <w:rPr>
                <w:rFonts w:ascii="Times New Roman"/>
                <w:sz w:val="14"/>
              </w:rPr>
              <w:t>3764901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9"/>
              <w:jc w:val="right"/>
              <w:rPr>
                <w:rFonts w:ascii="Times New Roman" w:hAnsi="Times New Roman" w:cs="Times New Roman" w:eastAsia="Times New Roman" w:hint="default"/>
                <w:sz w:val="14"/>
                <w:szCs w:val="14"/>
              </w:rPr>
            </w:pPr>
            <w:r>
              <w:rPr>
                <w:rFonts w:ascii="Times New Roman"/>
                <w:w w:val="95"/>
                <w:sz w:val="14"/>
              </w:rPr>
              <w:t>3,764,901</w:t>
            </w:r>
            <w:r>
              <w:rPr>
                <w:rFonts w:ascii="Times New Roman"/>
                <w:sz w:val="14"/>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曲水鹏粤创业投 资管理合伙企业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22"/>
              <w:jc w:val="right"/>
              <w:rPr>
                <w:rFonts w:ascii="Times New Roman" w:hAnsi="Times New Roman" w:cs="Times New Roman" w:eastAsia="Times New Roman" w:hint="default"/>
                <w:sz w:val="14"/>
                <w:szCs w:val="14"/>
              </w:rPr>
            </w:pPr>
            <w:r>
              <w:rPr>
                <w:rFonts w:ascii="Times New Roman"/>
                <w:w w:val="95"/>
                <w:sz w:val="14"/>
              </w:rPr>
              <w:t>3,455,720</w:t>
            </w:r>
            <w:r>
              <w:rPr>
                <w:rFonts w:ascii="Times New Roman"/>
                <w:sz w:val="14"/>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23" w:right="0"/>
              <w:jc w:val="left"/>
              <w:rPr>
                <w:rFonts w:ascii="Times New Roman" w:hAnsi="Times New Roman" w:cs="Times New Roman" w:eastAsia="Times New Roman" w:hint="default"/>
                <w:sz w:val="14"/>
                <w:szCs w:val="14"/>
              </w:rPr>
            </w:pPr>
            <w:r>
              <w:rPr>
                <w:rFonts w:ascii="Times New Roman"/>
                <w:sz w:val="14"/>
              </w:rPr>
              <w:t>1505320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9"/>
              <w:jc w:val="right"/>
              <w:rPr>
                <w:rFonts w:ascii="Times New Roman" w:hAnsi="Times New Roman" w:cs="Times New Roman" w:eastAsia="Times New Roman" w:hint="default"/>
                <w:sz w:val="14"/>
                <w:szCs w:val="14"/>
              </w:rPr>
            </w:pPr>
            <w:r>
              <w:rPr>
                <w:rFonts w:ascii="Times New Roman"/>
                <w:w w:val="95"/>
                <w:sz w:val="14"/>
              </w:rPr>
              <w:t>3,455,720</w:t>
            </w:r>
            <w:r>
              <w:rPr>
                <w:rFonts w:ascii="Times New Roman"/>
                <w:sz w:val="14"/>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巨丰企业管理咨 </w:t>
            </w:r>
            <w:r>
              <w:rPr>
                <w:rFonts w:ascii="宋体" w:hAnsi="宋体" w:cs="宋体" w:eastAsia="宋体" w:hint="default"/>
                <w:spacing w:val="-4"/>
                <w:sz w:val="18"/>
                <w:szCs w:val="18"/>
              </w:rPr>
              <w:t>询（深圳）有限公</w:t>
            </w:r>
            <w:r>
              <w:rPr>
                <w:rFonts w:ascii="宋体" w:hAnsi="宋体" w:cs="宋体" w:eastAsia="宋体" w:hint="default"/>
                <w:sz w:val="18"/>
                <w:szCs w:val="18"/>
              </w:rPr>
              <w:t> 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22"/>
              <w:jc w:val="right"/>
              <w:rPr>
                <w:rFonts w:ascii="Times New Roman" w:hAnsi="Times New Roman" w:cs="Times New Roman" w:eastAsia="Times New Roman" w:hint="default"/>
                <w:sz w:val="14"/>
                <w:szCs w:val="14"/>
              </w:rPr>
            </w:pPr>
            <w:r>
              <w:rPr>
                <w:rFonts w:ascii="Times New Roman"/>
                <w:w w:val="95"/>
                <w:sz w:val="14"/>
              </w:rPr>
              <w:t>3,425,004</w:t>
            </w:r>
            <w:r>
              <w:rPr>
                <w:rFonts w:ascii="Times New Roman"/>
                <w:sz w:val="14"/>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23" w:right="0"/>
              <w:jc w:val="left"/>
              <w:rPr>
                <w:rFonts w:ascii="Times New Roman" w:hAnsi="Times New Roman" w:cs="Times New Roman" w:eastAsia="Times New Roman" w:hint="default"/>
                <w:sz w:val="14"/>
                <w:szCs w:val="14"/>
              </w:rPr>
            </w:pPr>
            <w:r>
              <w:rPr>
                <w:rFonts w:ascii="Times New Roman"/>
                <w:sz w:val="14"/>
              </w:rPr>
              <w:t>1522224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9"/>
              <w:jc w:val="right"/>
              <w:rPr>
                <w:rFonts w:ascii="Times New Roman" w:hAnsi="Times New Roman" w:cs="Times New Roman" w:eastAsia="Times New Roman" w:hint="default"/>
                <w:sz w:val="14"/>
                <w:szCs w:val="14"/>
              </w:rPr>
            </w:pPr>
            <w:r>
              <w:rPr>
                <w:rFonts w:ascii="Times New Roman"/>
                <w:w w:val="95"/>
                <w:sz w:val="14"/>
              </w:rPr>
              <w:t>3,425,004</w:t>
            </w:r>
            <w:r>
              <w:rPr>
                <w:rFonts w:ascii="Times New Roman"/>
                <w:sz w:val="14"/>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1,606,000</w:t>
            </w: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4"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4" w:space="0" w:color="000000"/>
              <w:right w:val="single" w:sz="4" w:space="0" w:color="000000"/>
            </w:tcBorders>
          </w:tcPr>
          <w:p>
            <w:pPr>
              <w:pStyle w:val="TableParagraph"/>
              <w:spacing w:line="477" w:lineRule="auto" w:before="128"/>
              <w:ind w:left="23" w:right="20"/>
              <w:jc w:val="both"/>
              <w:rPr>
                <w:rFonts w:ascii="宋体" w:hAnsi="宋体" w:cs="宋体" w:eastAsia="宋体" w:hint="default"/>
                <w:sz w:val="18"/>
                <w:szCs w:val="18"/>
              </w:rPr>
            </w:pPr>
            <w:r>
              <w:rPr>
                <w:rFonts w:ascii="宋体" w:hAnsi="宋体" w:cs="宋体" w:eastAsia="宋体" w:hint="default"/>
                <w:spacing w:val="-1"/>
                <w:sz w:val="18"/>
                <w:szCs w:val="18"/>
              </w:rPr>
              <w:t>邵健伟与邵健锋为兄弟关系；深圳市华锐丰投资合伙企业（有限合伙）为邵健伟控制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之企业。除此之外，公司未知前十名股东之间是否存在其他关联关系，也未知其是否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属于一致行动人。</w:t>
            </w:r>
          </w:p>
        </w:tc>
      </w:tr>
      <w:tr>
        <w:trPr>
          <w:trHeight w:val="706"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4" w:space="0" w:color="000000"/>
              <w:right w:val="single" w:sz="4" w:space="0" w:color="000000"/>
            </w:tcBorders>
          </w:tcPr>
          <w:p>
            <w:pPr/>
          </w:p>
        </w:tc>
      </w:tr>
      <w:tr>
        <w:trPr>
          <w:trHeight w:val="39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4" w:space="0" w:color="000000"/>
              <w:bottom w:val="single" w:sz="4" w:space="0" w:color="000000"/>
              <w:right w:val="single" w:sz="4" w:space="0" w:color="000000"/>
            </w:tcBorders>
          </w:tcPr>
          <w:p>
            <w:pPr/>
          </w:p>
        </w:tc>
      </w:tr>
      <w:tr>
        <w:trPr>
          <w:trHeight w:val="404"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4"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陈伟国</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7,966,405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7,966,405</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中国平安人寿保险股份有限公司－ 分红－个险分红</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5,844,293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5,844,293</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4"/>
                <w:sz w:val="18"/>
                <w:szCs w:val="18"/>
              </w:rPr>
              <w:t>皖江（芜湖）物流产业投资基金（有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限合伙）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4,611,368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4,611,368</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张燕辉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3,783,324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3,783,324</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中国人寿保险股份有限公司－传统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－普通保险产品</w:t>
            </w:r>
            <w:r>
              <w:rPr>
                <w:rFonts w:ascii="Times New Roman" w:hAnsi="Times New Roman" w:cs="Times New Roman" w:eastAsia="Times New Roman" w:hint="default"/>
                <w:sz w:val="18"/>
                <w:szCs w:val="18"/>
              </w:rPr>
              <w:t>-005L-CT001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3,764,901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3,764,901</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曲水鹏粤创业投资管理合伙企业（有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限合伙）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3,455,720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3,455,720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巨丰企业管理咨询（深圳）有限公司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3,425,004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3,425,004</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曲水新智丰创业投资管理合伙企业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2,774,331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2,774,331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3989"/>
        <w:gridCol w:w="1349"/>
        <w:gridCol w:w="1349"/>
      </w:tblGrid>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颜明霞</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2,718,090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2,718,090</w:t>
            </w:r>
          </w:p>
        </w:tc>
      </w:tr>
      <w:tr>
        <w:trPr>
          <w:trHeight w:val="71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华夏人寿保险股份有限公司－自有 资金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1337"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0"/>
              <w:jc w:val="left"/>
              <w:rPr>
                <w:rFonts w:ascii="宋体" w:hAnsi="宋体" w:cs="宋体" w:eastAsia="宋体" w:hint="default"/>
                <w:sz w:val="18"/>
                <w:szCs w:val="18"/>
              </w:rPr>
            </w:pPr>
            <w:r>
              <w:rPr>
                <w:rFonts w:ascii="宋体" w:hAnsi="宋体" w:cs="宋体" w:eastAsia="宋体" w:hint="default"/>
                <w:spacing w:val="-1"/>
                <w:sz w:val="18"/>
                <w:szCs w:val="18"/>
              </w:rPr>
              <w:t>公司未知前十名无限售流通股股东之间，以及前十名无限售流通股股东与前十名股东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之间是否存在关联关系或一致行动。</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股东张燕辉通过普通证券账户持有的股份数量为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股，通过平安证券股份有限公司</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客户信用交易担保证券账户持有的股份数量为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3,782,824 </w:t>
            </w:r>
            <w:r>
              <w:rPr>
                <w:rFonts w:ascii="宋体" w:hAnsi="宋体" w:cs="宋体" w:eastAsia="宋体" w:hint="default"/>
                <w:sz w:val="18"/>
                <w:szCs w:val="18"/>
              </w:rPr>
              <w:t>股。</w:t>
            </w:r>
          </w:p>
        </w:tc>
      </w:tr>
    </w:tbl>
    <w:p>
      <w:pPr>
        <w:pStyle w:val="BodyText"/>
        <w:spacing w:line="240" w:lineRule="auto" w:before="49"/>
        <w:ind w:right="111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1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3"/>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0"/>
        <w:gridCol w:w="4119"/>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邵健伟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拥有中国香港居民身份证</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本公司董事长</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15"/>
        <w:jc w:val="left"/>
      </w:pPr>
      <w:r>
        <w:rPr/>
        <w:t>控股股东报告期内变更</w:t>
      </w:r>
    </w:p>
    <w:p>
      <w:pPr>
        <w:pStyle w:val="BodyText"/>
        <w:spacing w:line="338" w:lineRule="auto" w:before="117"/>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5"/>
        <w:spacing w:line="240" w:lineRule="auto"/>
        <w:ind w:right="1115"/>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5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921" w:right="200" w:hanging="720"/>
              <w:jc w:val="left"/>
              <w:rPr>
                <w:rFonts w:ascii="宋体" w:hAnsi="宋体" w:cs="宋体" w:eastAsia="宋体" w:hint="default"/>
                <w:sz w:val="18"/>
                <w:szCs w:val="18"/>
              </w:rPr>
            </w:pPr>
            <w:r>
              <w:rPr>
                <w:rFonts w:ascii="宋体" w:hAnsi="宋体" w:cs="宋体" w:eastAsia="宋体" w:hint="default"/>
                <w:sz w:val="18"/>
                <w:szCs w:val="18"/>
              </w:rPr>
              <w:t>是否取得其他国家或地区 居留权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邵健伟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拥有中国香港居民身份证</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邵健锋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30" w:right="22" w:hanging="807"/>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拥有中国澳门居民身份证</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邵健伟为本公司董事长，邵健锋为本公司常务副总裁。</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15"/>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2"/>
        <w:rPr>
          <w:rFonts w:ascii="宋体" w:hAnsi="宋体" w:cs="宋体" w:eastAsia="宋体" w:hint="default"/>
          <w:sz w:val="19"/>
          <w:szCs w:val="19"/>
        </w:rPr>
      </w:pPr>
    </w:p>
    <w:p>
      <w:pPr>
        <w:spacing w:line="5162" w:lineRule="exact"/>
        <w:ind w:left="153" w:right="0" w:firstLine="0"/>
        <w:rPr>
          <w:rFonts w:ascii="宋体" w:hAnsi="宋体" w:cs="宋体" w:eastAsia="宋体" w:hint="default"/>
          <w:sz w:val="20"/>
          <w:szCs w:val="20"/>
        </w:rPr>
      </w:pPr>
      <w:r>
        <w:rPr>
          <w:rFonts w:ascii="宋体" w:hAnsi="宋体" w:cs="宋体" w:eastAsia="宋体" w:hint="default"/>
          <w:position w:val="-102"/>
          <w:sz w:val="20"/>
          <w:szCs w:val="20"/>
        </w:rPr>
        <w:drawing>
          <wp:inline distT="0" distB="0" distL="0" distR="0">
            <wp:extent cx="6653322" cy="327821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6653322" cy="3278219"/>
                    </a:xfrm>
                    <a:prstGeom prst="rect">
                      <a:avLst/>
                    </a:prstGeom>
                  </pic:spPr>
                </pic:pic>
              </a:graphicData>
            </a:graphic>
          </wp:inline>
        </w:drawing>
      </w:r>
      <w:r>
        <w:rPr>
          <w:rFonts w:ascii="宋体" w:hAnsi="宋体" w:cs="宋体" w:eastAsia="宋体" w:hint="default"/>
          <w:position w:val="-102"/>
          <w:sz w:val="20"/>
          <w:szCs w:val="20"/>
        </w:rPr>
      </w:r>
    </w:p>
    <w:p>
      <w:pPr>
        <w:spacing w:line="240" w:lineRule="auto" w:before="0"/>
        <w:rPr>
          <w:rFonts w:ascii="宋体" w:hAnsi="宋体" w:cs="宋体" w:eastAsia="宋体" w:hint="default"/>
          <w:sz w:val="22"/>
          <w:szCs w:val="22"/>
        </w:rPr>
      </w:pPr>
    </w:p>
    <w:p>
      <w:pPr>
        <w:pStyle w:val="BodyText"/>
        <w:spacing w:line="240" w:lineRule="auto"/>
        <w:ind w:right="1115"/>
        <w:jc w:val="left"/>
      </w:pPr>
      <w:r>
        <w:rPr/>
        <w:t>实际控制人通过信托或其他资产管理方式控制公司</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15"/>
        <w:jc w:val="left"/>
        <w:rPr>
          <w:b w:val="0"/>
          <w:bCs w:val="0"/>
        </w:rPr>
      </w:pPr>
      <w:bookmarkStart w:name="_TOC_250005"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15"/>
        <w:jc w:val="left"/>
        <w:rPr>
          <w:b w:val="0"/>
          <w:bCs w:val="0"/>
        </w:rPr>
      </w:pPr>
      <w:bookmarkStart w:name="_TOC_250004"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1115"/>
        <w:jc w:val="left"/>
        <w:rPr>
          <w:b w:val="0"/>
          <w:bCs w:val="0"/>
        </w:rPr>
      </w:pPr>
      <w:r>
        <w:rPr/>
        <w:pict>
          <v:shape style="position:absolute;margin-left:471.553009pt;margin-top:32.975597pt;width:63.65pt;height:50.9pt;mso-position-horizontal-relative:page;mso-position-vertical-relative:paragraph;z-index:-89401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34"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邵健伟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spacing w:val="-1"/>
                <w:sz w:val="16"/>
              </w:rPr>
              <w:t>71,034,660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56,827,728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w w:val="100"/>
                <w:sz w:val="16"/>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100"/>
                <w:sz w:val="16"/>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spacing w:val="-1"/>
                <w:sz w:val="16"/>
              </w:rPr>
              <w:t>127,862,38</w:t>
            </w:r>
          </w:p>
          <w:p>
            <w:pPr>
              <w:pStyle w:val="TableParagraph"/>
              <w:spacing w:line="240" w:lineRule="auto" w:before="125"/>
              <w:ind w:right="18"/>
              <w:jc w:val="right"/>
              <w:rPr>
                <w:rFonts w:ascii="Times New Roman" w:hAnsi="Times New Roman" w:cs="Times New Roman" w:eastAsia="Times New Roman" w:hint="default"/>
                <w:sz w:val="16"/>
                <w:szCs w:val="16"/>
              </w:rPr>
            </w:pPr>
            <w:r>
              <w:rPr>
                <w:rFonts w:ascii="Times New Roman"/>
                <w:w w:val="100"/>
                <w:sz w:val="16"/>
              </w:rPr>
              <w:t>8</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张小麒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89"/>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1"/>
                <w:sz w:val="18"/>
                <w:szCs w:val="18"/>
              </w:rPr>
              <w:t> </w:t>
            </w:r>
            <w:r>
              <w:rPr>
                <w:rFonts w:ascii="宋体" w:hAnsi="宋体" w:cs="宋体" w:eastAsia="宋体" w:hint="default"/>
                <w:spacing w:val="-70"/>
                <w:sz w:val="18"/>
                <w:szCs w:val="18"/>
              </w:rPr>
              <w:t>、总</w:t>
            </w:r>
            <w:r>
              <w:rPr>
                <w:rFonts w:ascii="宋体" w:hAnsi="宋体" w:cs="宋体" w:eastAsia="宋体" w:hint="default"/>
                <w:spacing w:val="-70"/>
                <w:sz w:val="18"/>
                <w:szCs w:val="18"/>
              </w:rPr>
              <w:t> </w:t>
            </w:r>
            <w:r>
              <w:rPr>
                <w:rFonts w:ascii="宋体" w:hAnsi="宋体" w:cs="宋体" w:eastAsia="宋体" w:hint="default"/>
                <w:sz w:val="18"/>
                <w:szCs w:val="18"/>
              </w:rPr>
              <w:t>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550,800</w:t>
            </w: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张永清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董事、副 总裁</w:t>
            </w:r>
            <w:r>
              <w:rPr>
                <w:rFonts w:ascii="宋体" w:hAnsi="宋体" w:cs="宋体" w:eastAsia="宋体" w:hint="default"/>
                <w:spacing w:val="1"/>
                <w:sz w:val="18"/>
                <w:szCs w:val="18"/>
              </w:rPr>
              <w:t> </w:t>
            </w:r>
            <w:r>
              <w:rPr>
                <w:rFonts w:ascii="宋体" w:hAnsi="宋体" w:cs="宋体" w:eastAsia="宋体" w:hint="default"/>
                <w:spacing w:val="-70"/>
                <w:sz w:val="18"/>
                <w:szCs w:val="18"/>
              </w:rPr>
              <w:t>、董</w:t>
            </w:r>
            <w:r>
              <w:rPr>
                <w:rFonts w:ascii="宋体" w:hAnsi="宋体" w:cs="宋体" w:eastAsia="宋体" w:hint="default"/>
                <w:spacing w:val="-70"/>
                <w:sz w:val="18"/>
                <w:szCs w:val="18"/>
              </w:rPr>
              <w:t> </w:t>
            </w:r>
            <w:r>
              <w:rPr>
                <w:rFonts w:ascii="宋体" w:hAnsi="宋体" w:cs="宋体" w:eastAsia="宋体" w:hint="default"/>
                <w:sz w:val="18"/>
                <w:szCs w:val="18"/>
              </w:rPr>
              <w:t>事会秘</w:t>
            </w:r>
          </w:p>
          <w:p>
            <w:pPr>
              <w:pStyle w:val="TableParagraph"/>
              <w:spacing w:line="316" w:lineRule="auto" w:before="19"/>
              <w:ind w:left="23" w:right="19"/>
              <w:jc w:val="both"/>
              <w:rPr>
                <w:rFonts w:ascii="宋体" w:hAnsi="宋体" w:cs="宋体" w:eastAsia="宋体" w:hint="default"/>
                <w:sz w:val="18"/>
                <w:szCs w:val="18"/>
              </w:rPr>
            </w:pPr>
            <w:r>
              <w:rPr>
                <w:rFonts w:ascii="宋体" w:hAnsi="宋体" w:cs="宋体" w:eastAsia="宋体" w:hint="default"/>
                <w:sz w:val="18"/>
                <w:szCs w:val="18"/>
              </w:rPr>
              <w:t>书</w:t>
            </w:r>
            <w:r>
              <w:rPr>
                <w:rFonts w:ascii="宋体" w:hAnsi="宋体" w:cs="宋体" w:eastAsia="宋体" w:hint="default"/>
                <w:spacing w:val="2"/>
                <w:sz w:val="18"/>
                <w:szCs w:val="18"/>
              </w:rPr>
              <w:t> </w:t>
            </w:r>
            <w:r>
              <w:rPr>
                <w:rFonts w:ascii="宋体" w:hAnsi="宋体" w:cs="宋体" w:eastAsia="宋体" w:hint="default"/>
                <w:spacing w:val="-24"/>
                <w:sz w:val="18"/>
                <w:szCs w:val="18"/>
              </w:rPr>
              <w:t>、财务</w:t>
            </w:r>
            <w:r>
              <w:rPr>
                <w:rFonts w:ascii="宋体" w:hAnsi="宋体" w:cs="宋体" w:eastAsia="宋体" w:hint="default"/>
                <w:sz w:val="18"/>
                <w:szCs w:val="18"/>
              </w:rPr>
              <w:t>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388,800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刘成凯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89"/>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1"/>
                <w:sz w:val="18"/>
                <w:szCs w:val="18"/>
              </w:rPr>
              <w:t> </w:t>
            </w:r>
            <w:r>
              <w:rPr>
                <w:rFonts w:ascii="宋体" w:hAnsi="宋体" w:cs="宋体" w:eastAsia="宋体" w:hint="default"/>
                <w:spacing w:val="-70"/>
                <w:sz w:val="18"/>
                <w:szCs w:val="18"/>
              </w:rPr>
              <w:t>、副</w:t>
            </w:r>
            <w:r>
              <w:rPr>
                <w:rFonts w:ascii="宋体" w:hAnsi="宋体" w:cs="宋体" w:eastAsia="宋体" w:hint="default"/>
                <w:spacing w:val="-70"/>
                <w:sz w:val="18"/>
                <w:szCs w:val="18"/>
              </w:rPr>
              <w:t> </w:t>
            </w:r>
            <w:r>
              <w:rPr>
                <w:rFonts w:ascii="宋体" w:hAnsi="宋体" w:cs="宋体" w:eastAsia="宋体" w:hint="default"/>
                <w:sz w:val="18"/>
                <w:szCs w:val="18"/>
              </w:rPr>
              <w:t>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388,800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房殿军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梅月欣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郑飞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袁蒙蒙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盛强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23"/>
              <w:jc w:val="right"/>
              <w:rPr>
                <w:rFonts w:ascii="宋体" w:hAnsi="宋体" w:cs="宋体" w:eastAsia="宋体" w:hint="default"/>
                <w:sz w:val="18"/>
                <w:szCs w:val="18"/>
              </w:rPr>
            </w:pPr>
            <w:r>
              <w:rPr>
                <w:rFonts w:ascii="宋体" w:hAnsi="宋体" w:cs="宋体" w:eastAsia="宋体" w:hint="default"/>
                <w:sz w:val="18"/>
                <w:szCs w:val="18"/>
              </w:rPr>
              <w:t>邵健锋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常务副总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9,514,080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7,611,264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17,125,34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徐峰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23"/>
              <w:jc w:val="right"/>
              <w:rPr>
                <w:rFonts w:ascii="宋体" w:hAnsi="宋体" w:cs="宋体" w:eastAsia="宋体" w:hint="default"/>
                <w:sz w:val="18"/>
                <w:szCs w:val="18"/>
              </w:rPr>
            </w:pPr>
            <w:r>
              <w:rPr>
                <w:rFonts w:ascii="宋体" w:hAnsi="宋体" w:cs="宋体" w:eastAsia="宋体" w:hint="default"/>
                <w:sz w:val="18"/>
                <w:szCs w:val="18"/>
              </w:rPr>
              <w:t>梁建平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23"/>
              <w:jc w:val="right"/>
              <w:rPr>
                <w:rFonts w:ascii="宋体" w:hAnsi="宋体" w:cs="宋体" w:eastAsia="宋体" w:hint="default"/>
                <w:sz w:val="18"/>
                <w:szCs w:val="18"/>
              </w:rPr>
            </w:pPr>
            <w:r>
              <w:rPr>
                <w:rFonts w:ascii="宋体" w:hAnsi="宋体" w:cs="宋体" w:eastAsia="宋体" w:hint="default"/>
                <w:sz w:val="18"/>
                <w:szCs w:val="18"/>
              </w:rPr>
              <w:t>曾巍巍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81,466,740</w:t>
            </w:r>
            <w:r>
              <w:rPr>
                <w:rFonts w:ascii="Times New Roman"/>
                <w:sz w:val="14"/>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Times New Roman" w:hAnsi="Times New Roman" w:cs="Times New Roman" w:eastAsia="Times New Roman" w:hint="default"/>
                <w:sz w:val="14"/>
                <w:szCs w:val="14"/>
              </w:rPr>
            </w:pPr>
            <w:r>
              <w:rPr>
                <w:rFonts w:ascii="Times New Roman"/>
                <w:w w:val="95"/>
                <w:sz w:val="14"/>
              </w:rPr>
              <w:t>65,173,392</w:t>
            </w:r>
            <w:r>
              <w:rPr>
                <w:rFonts w:ascii="Times New Roman"/>
                <w:sz w:val="14"/>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3"/>
              <w:jc w:val="right"/>
              <w:rPr>
                <w:rFonts w:ascii="Times New Roman" w:hAnsi="Times New Roman" w:cs="Times New Roman" w:eastAsia="Times New Roman" w:hint="default"/>
                <w:sz w:val="14"/>
                <w:szCs w:val="14"/>
              </w:rPr>
            </w:pPr>
            <w:r>
              <w:rPr>
                <w:rFonts w:ascii="Times New Roman"/>
                <w:w w:val="99"/>
                <w:sz w:val="14"/>
              </w:rPr>
              <w:t>0</w:t>
            </w:r>
            <w:r>
              <w:rPr>
                <w:rFonts w:ascii="Times New Roman"/>
                <w:sz w:val="14"/>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4"/>
                <w:szCs w:val="14"/>
              </w:rPr>
            </w:pPr>
            <w:r>
              <w:rPr>
                <w:rFonts w:ascii="Times New Roman"/>
                <w:w w:val="95"/>
                <w:sz w:val="14"/>
              </w:rPr>
              <w:t>146,640,132</w:t>
            </w:r>
            <w:r>
              <w:rPr>
                <w:rFonts w:ascii="Times New Roman"/>
                <w:sz w:val="14"/>
              </w:rPr>
            </w:r>
          </w:p>
        </w:tc>
      </w:tr>
    </w:tbl>
    <w:p>
      <w:pPr>
        <w:spacing w:line="240" w:lineRule="auto" w:before="1"/>
        <w:rPr>
          <w:rFonts w:ascii="宋体" w:hAnsi="宋体" w:cs="宋体" w:eastAsia="宋体" w:hint="default"/>
          <w:b/>
          <w:bCs/>
          <w:sz w:val="18"/>
          <w:szCs w:val="18"/>
        </w:rPr>
      </w:pPr>
    </w:p>
    <w:p>
      <w:pPr>
        <w:pStyle w:val="Heading4"/>
        <w:spacing w:line="240" w:lineRule="auto" w:before="26"/>
        <w:ind w:right="1115"/>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886"/>
        <w:gridCol w:w="1774"/>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7"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227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曾巍巍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
              <w:jc w:val="both"/>
              <w:rPr>
                <w:rFonts w:ascii="宋体" w:hAnsi="宋体" w:cs="宋体" w:eastAsia="宋体" w:hint="default"/>
                <w:sz w:val="18"/>
                <w:szCs w:val="18"/>
              </w:rPr>
            </w:pPr>
            <w:r>
              <w:rPr>
                <w:rFonts w:ascii="宋体" w:hAnsi="宋体" w:cs="宋体" w:eastAsia="宋体" w:hint="default"/>
                <w:sz w:val="18"/>
                <w:szCs w:val="18"/>
              </w:rPr>
              <w:t>曾巍巍先生原担任公司第三届监事会职工代表监事， 原定任期届满日为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日。考虑公司发展</w:t>
            </w:r>
          </w:p>
          <w:p>
            <w:pPr>
              <w:pStyle w:val="TableParagraph"/>
              <w:spacing w:line="240" w:lineRule="auto" w:before="1"/>
              <w:ind w:left="24" w:right="0"/>
              <w:jc w:val="both"/>
              <w:rPr>
                <w:rFonts w:ascii="宋体" w:hAnsi="宋体" w:cs="宋体" w:eastAsia="宋体" w:hint="default"/>
                <w:sz w:val="18"/>
                <w:szCs w:val="18"/>
              </w:rPr>
            </w:pPr>
            <w:r>
              <w:rPr>
                <w:rFonts w:ascii="宋体" w:hAnsi="宋体" w:cs="宋体" w:eastAsia="宋体" w:hint="default"/>
                <w:sz w:val="18"/>
                <w:szCs w:val="18"/>
              </w:rPr>
              <w:t>及个人等多重因素，曾巍巍先生于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p>
            <w:pPr>
              <w:pStyle w:val="TableParagraph"/>
              <w:spacing w:line="312" w:lineRule="auto" w:before="63"/>
              <w:ind w:left="24" w:right="71"/>
              <w:jc w:val="both"/>
              <w:rPr>
                <w:rFonts w:ascii="宋体" w:hAnsi="宋体" w:cs="宋体" w:eastAsia="宋体" w:hint="default"/>
                <w:sz w:val="18"/>
                <w:szCs w:val="18"/>
              </w:rPr>
            </w:pPr>
            <w:r>
              <w:rPr>
                <w:rFonts w:ascii="宋体" w:hAnsi="宋体" w:cs="宋体" w:eastAsia="宋体" w:hint="default"/>
                <w:sz w:val="18"/>
                <w:szCs w:val="18"/>
              </w:rPr>
              <w:t>辞去职工代表监事职务。公司于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日以 现场表决方式召开职工代表大会，与会职工代表一致 同意曾巍巍先生辞职，并选举盛强先生为公司第三届 监事会职工代表监事。</w:t>
            </w:r>
          </w:p>
        </w:tc>
      </w:tr>
      <w:tr>
        <w:trPr>
          <w:trHeight w:val="227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曾巍巍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日召开第三届董事会第十一次 </w:t>
            </w:r>
            <w:r>
              <w:rPr>
                <w:rFonts w:ascii="宋体" w:hAnsi="宋体" w:cs="宋体" w:eastAsia="宋体" w:hint="default"/>
                <w:spacing w:val="-4"/>
                <w:sz w:val="18"/>
                <w:szCs w:val="18"/>
              </w:rPr>
              <w:t>会议，审议并通过了《关于聘任公司副总裁的议案》。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结合公司经营管理的需要，根据《中华人民共和国公 司法》及《公司章程》等相关规定，经公司总裁张小 麒先生提名、董事会提名与薪酬考核委员会审核、董 事会审议通过，公司同意聘任曾巍巍先生担任公司副 总裁，任期与第三届董事会任期一致。</w:t>
            </w:r>
          </w:p>
        </w:tc>
      </w:tr>
      <w:tr>
        <w:trPr>
          <w:trHeight w:val="227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盛强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由于原职工代表监事曾巍巍先生辞职，为保证公司监 </w:t>
            </w:r>
            <w:r>
              <w:rPr>
                <w:rFonts w:ascii="宋体" w:hAnsi="宋体" w:cs="宋体" w:eastAsia="宋体" w:hint="default"/>
                <w:spacing w:val="-15"/>
                <w:sz w:val="18"/>
                <w:szCs w:val="18"/>
              </w:rPr>
              <w:t>事会的正常运作，根据《公司法》、《公司章程》、《监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事会议事规则》的有关规定，公司于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日以现场表决方式召开职工代表大会，与会职工代表 民主选举盛强先生为公司第三届监事会职工代表监 事，与公司现任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名股东代表监事共同组成公司第三 届监事会，任期至公司第三届监事会届满时止。</w:t>
            </w:r>
          </w:p>
        </w:tc>
      </w:tr>
    </w:tbl>
    <w:p>
      <w:pPr>
        <w:spacing w:after="0" w:line="312"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0"/>
        <w:jc w:val="both"/>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398" w:lineRule="auto" w:before="115"/>
        <w:ind w:left="513" w:right="1115" w:hanging="207"/>
        <w:jc w:val="left"/>
      </w:pPr>
      <w:r>
        <w:rPr>
          <w:rFonts w:ascii="宋体" w:hAnsi="宋体" w:cs="宋体" w:eastAsia="宋体" w:hint="default"/>
          <w:b/>
          <w:bCs/>
        </w:rPr>
        <w:t>（一）董事</w:t>
      </w:r>
      <w:r>
        <w:rPr>
          <w:rFonts w:ascii="宋体" w:hAnsi="宋体" w:cs="宋体" w:eastAsia="宋体" w:hint="default"/>
          <w:b/>
          <w:bCs/>
          <w:w w:val="99"/>
        </w:rPr>
        <w:t> </w:t>
      </w:r>
      <w:r>
        <w:rPr>
          <w:rFonts w:ascii="宋体" w:hAnsi="宋体" w:cs="宋体" w:eastAsia="宋体" w:hint="default"/>
          <w:b/>
          <w:bCs/>
          <w:spacing w:val="-2"/>
        </w:rPr>
        <w:t>邵健伟</w:t>
      </w:r>
      <w:r>
        <w:rPr>
          <w:spacing w:val="-2"/>
        </w:rPr>
        <w:t>，中国国籍，拥有香港居民身份证，</w:t>
      </w:r>
      <w:r>
        <w:rPr>
          <w:rFonts w:ascii="Times New Roman" w:hAnsi="Times New Roman" w:cs="Times New Roman" w:eastAsia="Times New Roman" w:hint="default"/>
          <w:spacing w:val="-2"/>
        </w:rPr>
        <w:t>1971</w:t>
      </w:r>
      <w:r>
        <w:rPr>
          <w:spacing w:val="-2"/>
        </w:rPr>
        <w:t>年生，</w:t>
      </w:r>
      <w:r>
        <w:rPr>
          <w:rFonts w:ascii="Times New Roman" w:hAnsi="Times New Roman" w:cs="Times New Roman" w:eastAsia="Times New Roman" w:hint="default"/>
          <w:spacing w:val="-2"/>
        </w:rPr>
        <w:t>EMBA</w:t>
      </w:r>
      <w:r>
        <w:rPr>
          <w:spacing w:val="-2"/>
        </w:rPr>
        <w:t>；中华全国青年联合会委员，智善公益基金会监事长，中</w:t>
      </w:r>
    </w:p>
    <w:p>
      <w:pPr>
        <w:pStyle w:val="BodyText"/>
        <w:spacing w:line="463" w:lineRule="auto" w:before="87"/>
        <w:ind w:right="1130"/>
        <w:jc w:val="both"/>
      </w:pPr>
      <w:r>
        <w:rPr>
          <w:spacing w:val="-2"/>
        </w:rPr>
        <w:t>国青年企业家协会常务理事，深圳市青年企业家联合会会长，第四届深圳市十大杰出青年企业家。曾任职于深圳市华宝工贸</w:t>
      </w:r>
      <w:r>
        <w:rPr>
          <w:spacing w:val="-63"/>
        </w:rPr>
        <w:t> </w:t>
      </w:r>
      <w:r>
        <w:rPr>
          <w:spacing w:val="-63"/>
        </w:rPr>
      </w:r>
      <w:r>
        <w:rPr>
          <w:spacing w:val="-2"/>
        </w:rPr>
        <w:t>发展公司；</w:t>
      </w:r>
      <w:r>
        <w:rPr>
          <w:rFonts w:ascii="Times New Roman" w:hAnsi="Times New Roman" w:cs="Times New Roman" w:eastAsia="Times New Roman" w:hint="default"/>
          <w:spacing w:val="-2"/>
        </w:rPr>
        <w:t>2000</w:t>
      </w:r>
      <w:r>
        <w:rPr>
          <w:spacing w:val="-2"/>
        </w:rPr>
        <w:t>年筹建今天有限，任董事长、总经理；</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月起任本公司第一届董事会董事长、总经理；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月起任</w:t>
      </w:r>
      <w:r>
        <w:rPr>
          <w:spacing w:val="-56"/>
        </w:rPr>
        <w:t> </w:t>
      </w:r>
      <w:r>
        <w:rPr>
          <w:spacing w:val="-56"/>
        </w:rPr>
      </w:r>
      <w:r>
        <w:rPr/>
        <w:t>本公司第二届董事会董事长；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月起任本公司第三届董事会董事长。</w:t>
      </w:r>
    </w:p>
    <w:p>
      <w:pPr>
        <w:pStyle w:val="BodyText"/>
        <w:spacing w:line="451" w:lineRule="auto" w:before="33"/>
        <w:ind w:right="1115" w:firstLine="360"/>
        <w:jc w:val="left"/>
      </w:pPr>
      <w:r>
        <w:rPr>
          <w:rFonts w:ascii="宋体" w:hAnsi="宋体" w:cs="宋体" w:eastAsia="宋体" w:hint="default"/>
          <w:b/>
          <w:bCs/>
        </w:rPr>
        <w:t>张小麒</w:t>
      </w:r>
      <w:r>
        <w:rPr/>
        <w:t>，香港居民，</w:t>
      </w:r>
      <w:r>
        <w:rPr>
          <w:rFonts w:ascii="Times New Roman" w:hAnsi="Times New Roman" w:cs="Times New Roman" w:eastAsia="Times New Roman" w:hint="default"/>
        </w:rPr>
        <w:t>1964</w:t>
      </w:r>
      <w:r>
        <w:rPr/>
        <w:t>年生，</w:t>
      </w:r>
      <w:r>
        <w:rPr>
          <w:rFonts w:ascii="Times New Roman" w:hAnsi="Times New Roman" w:cs="Times New Roman" w:eastAsia="Times New Roman" w:hint="default"/>
        </w:rPr>
        <w:t>EMBA</w:t>
      </w:r>
      <w:r>
        <w:rPr/>
        <w:t>；曾任职于华娱电视广播有限公司中国部，太阳集团（香港）有限公司；</w:t>
      </w:r>
      <w:r>
        <w:rPr>
          <w:rFonts w:ascii="Times New Roman" w:hAnsi="Times New Roman" w:cs="Times New Roman" w:eastAsia="Times New Roman" w:hint="default"/>
        </w:rPr>
        <w:t>2000 </w:t>
      </w:r>
      <w:r>
        <w:rPr>
          <w:spacing w:val="-2"/>
        </w:rPr>
        <w:t>年参与筹建今天有限，任副总经理；</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月起任本公司第一届董事会董事、副总经理；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月起任本公司董事、总经</w:t>
      </w:r>
      <w:r>
        <w:rPr>
          <w:spacing w:val="-58"/>
        </w:rPr>
        <w:t> </w:t>
      </w:r>
      <w:r>
        <w:rPr>
          <w:spacing w:val="-58"/>
        </w:rPr>
      </w:r>
      <w:r>
        <w:rPr/>
        <w:t>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月起任本公司第二届董事会董事、总经理；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月起任本公司第三届董事会董事、总裁。</w:t>
      </w:r>
    </w:p>
    <w:p>
      <w:pPr>
        <w:pStyle w:val="BodyText"/>
        <w:spacing w:line="451" w:lineRule="auto" w:before="43"/>
        <w:ind w:right="1132" w:firstLine="360"/>
        <w:jc w:val="both"/>
      </w:pPr>
      <w:r>
        <w:rPr>
          <w:rFonts w:ascii="宋体" w:hAnsi="宋体" w:cs="宋体" w:eastAsia="宋体" w:hint="default"/>
          <w:b/>
          <w:bCs/>
          <w:spacing w:val="-2"/>
        </w:rPr>
        <w:t>张永清</w:t>
      </w:r>
      <w:r>
        <w:rPr>
          <w:spacing w:val="-2"/>
        </w:rPr>
        <w:t>，中国国籍，无境外居留权，</w:t>
      </w:r>
      <w:r>
        <w:rPr>
          <w:rFonts w:ascii="Times New Roman" w:hAnsi="Times New Roman" w:cs="Times New Roman" w:eastAsia="Times New Roman" w:hint="default"/>
          <w:spacing w:val="-2"/>
        </w:rPr>
        <w:t>1973</w:t>
      </w:r>
      <w:r>
        <w:rPr>
          <w:spacing w:val="-2"/>
        </w:rPr>
        <w:t>年生，本科学历；会计师，深圳市第六届人大代表。曾任职于香江集团有限公</w:t>
      </w:r>
      <w:r>
        <w:rPr/>
        <w:t> </w:t>
      </w:r>
      <w:r>
        <w:rPr>
          <w:spacing w:val="-2"/>
        </w:rPr>
        <w:t>司、深圳香江控股股份有限公司、大连亿达投资公司；</w:t>
      </w:r>
      <w:r>
        <w:rPr>
          <w:rFonts w:ascii="Times New Roman" w:hAnsi="Times New Roman" w:cs="Times New Roman" w:eastAsia="Times New Roman" w:hint="default"/>
          <w:spacing w:val="-2"/>
        </w:rPr>
        <w:t>2010</w:t>
      </w:r>
      <w:r>
        <w:rPr>
          <w:spacing w:val="-2"/>
        </w:rPr>
        <w:t>年加入今天有限；现任本公司董事、副总裁、董事会秘书、财务</w:t>
      </w:r>
      <w:r>
        <w:rPr>
          <w:spacing w:val="-68"/>
        </w:rPr>
        <w:t> </w:t>
      </w:r>
      <w:r>
        <w:rPr>
          <w:spacing w:val="-68"/>
        </w:rPr>
      </w:r>
      <w:r>
        <w:rPr/>
        <w:t>总监。</w:t>
      </w:r>
    </w:p>
    <w:p>
      <w:pPr>
        <w:pStyle w:val="BodyText"/>
        <w:spacing w:line="451" w:lineRule="auto" w:before="74"/>
        <w:ind w:right="1131" w:firstLine="360"/>
        <w:jc w:val="both"/>
      </w:pPr>
      <w:r>
        <w:rPr>
          <w:rFonts w:ascii="宋体" w:hAnsi="宋体" w:cs="宋体" w:eastAsia="宋体" w:hint="default"/>
          <w:b/>
          <w:bCs/>
          <w:spacing w:val="-2"/>
        </w:rPr>
        <w:t>刘成凯</w:t>
      </w:r>
      <w:r>
        <w:rPr>
          <w:spacing w:val="-2"/>
        </w:rPr>
        <w:t>，中国国籍，无境外居留权，</w:t>
      </w:r>
      <w:r>
        <w:rPr>
          <w:rFonts w:ascii="Times New Roman" w:hAnsi="Times New Roman" w:cs="Times New Roman" w:eastAsia="Times New Roman" w:hint="default"/>
          <w:spacing w:val="-2"/>
        </w:rPr>
        <w:t>1970</w:t>
      </w:r>
      <w:r>
        <w:rPr>
          <w:spacing w:val="-2"/>
        </w:rPr>
        <w:t>年生，软件工程硕士。曾任职于国营华北光学仪器厂，深圳中科智担保投资有</w:t>
      </w:r>
      <w:r>
        <w:rPr/>
        <w:t> </w:t>
      </w:r>
      <w:r>
        <w:rPr>
          <w:spacing w:val="-1"/>
        </w:rPr>
        <w:t>限公司，深圳市许继富通达车库有限公司，意大利</w:t>
      </w:r>
      <w:r>
        <w:rPr>
          <w:rFonts w:ascii="Times New Roman" w:hAnsi="Times New Roman" w:cs="Times New Roman" w:eastAsia="Times New Roman" w:hint="default"/>
          <w:spacing w:val="-1"/>
        </w:rPr>
        <w:t>INTERPARK</w:t>
      </w:r>
      <w:r>
        <w:rPr>
          <w:spacing w:val="-1"/>
        </w:rPr>
        <w:t>公司；</w:t>
      </w:r>
      <w:r>
        <w:rPr>
          <w:rFonts w:ascii="Times New Roman" w:hAnsi="Times New Roman" w:cs="Times New Roman" w:eastAsia="Times New Roman" w:hint="default"/>
          <w:spacing w:val="-1"/>
        </w:rPr>
        <w:t>2006</w:t>
      </w:r>
      <w:r>
        <w:rPr>
          <w:spacing w:val="-1"/>
        </w:rPr>
        <w:t>年加入今天有限；现任公司董事、副总裁、今天</w:t>
      </w:r>
      <w:r>
        <w:rPr>
          <w:spacing w:val="-50"/>
        </w:rPr>
        <w:t> </w:t>
      </w:r>
      <w:r>
        <w:rPr>
          <w:spacing w:val="-50"/>
        </w:rPr>
      </w:r>
      <w:r>
        <w:rPr/>
        <w:t>软件总经理。</w:t>
      </w:r>
    </w:p>
    <w:p>
      <w:pPr>
        <w:pStyle w:val="BodyText"/>
        <w:spacing w:line="463" w:lineRule="auto" w:before="74"/>
        <w:ind w:right="1131" w:firstLine="360"/>
        <w:jc w:val="both"/>
      </w:pPr>
      <w:r>
        <w:rPr>
          <w:rFonts w:ascii="宋体" w:hAnsi="宋体" w:cs="宋体" w:eastAsia="宋体" w:hint="default"/>
          <w:b/>
          <w:bCs/>
          <w:spacing w:val="-2"/>
        </w:rPr>
        <w:t>房殿军</w:t>
      </w:r>
      <w:r>
        <w:rPr>
          <w:spacing w:val="-2"/>
        </w:rPr>
        <w:t>，中国国籍，无境外居留权，</w:t>
      </w:r>
      <w:r>
        <w:rPr>
          <w:rFonts w:ascii="Times New Roman" w:hAnsi="Times New Roman" w:cs="Times New Roman" w:eastAsia="Times New Roman" w:hint="default"/>
          <w:spacing w:val="-2"/>
        </w:rPr>
        <w:t>1961</w:t>
      </w:r>
      <w:r>
        <w:rPr>
          <w:spacing w:val="-2"/>
        </w:rPr>
        <w:t>年生，博士研究生学历。同济大学中德学院教授、博士生导师；德国弗劳恩霍</w:t>
      </w:r>
      <w:r>
        <w:rPr/>
        <w:t> </w:t>
      </w:r>
      <w:r>
        <w:rPr>
          <w:spacing w:val="-2"/>
        </w:rPr>
        <w:t>夫物流研究院中国首席科学家，首席代表；北京帝欧物流科技有限公司执行董事。曾荣获国家千人特聘专家、德国弗劳恩霍</w:t>
      </w:r>
      <w:r>
        <w:rPr>
          <w:spacing w:val="-64"/>
        </w:rPr>
        <w:t> </w:t>
      </w:r>
      <w:r>
        <w:rPr>
          <w:spacing w:val="-64"/>
        </w:rPr>
      </w:r>
      <w:r>
        <w:rPr/>
        <w:t>夫勋章、华为《蓝血十杰》勋章。</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月起任本公司第三届董事会独立董事。</w:t>
      </w:r>
    </w:p>
    <w:p>
      <w:pPr>
        <w:pStyle w:val="BodyText"/>
        <w:spacing w:line="463" w:lineRule="auto" w:before="33"/>
        <w:ind w:right="1115" w:firstLine="360"/>
        <w:jc w:val="left"/>
      </w:pPr>
      <w:r>
        <w:rPr>
          <w:rFonts w:ascii="宋体" w:hAnsi="宋体" w:cs="宋体" w:eastAsia="宋体" w:hint="default"/>
          <w:b/>
          <w:bCs/>
          <w:spacing w:val="-2"/>
        </w:rPr>
        <w:t>梅月欣</w:t>
      </w:r>
      <w:r>
        <w:rPr>
          <w:spacing w:val="-2"/>
        </w:rPr>
        <w:t>，中国国籍，无境外居留权，</w:t>
      </w:r>
      <w:r>
        <w:rPr>
          <w:rFonts w:ascii="Times New Roman" w:hAnsi="Times New Roman" w:cs="Times New Roman" w:eastAsia="Times New Roman" w:hint="default"/>
          <w:spacing w:val="-2"/>
        </w:rPr>
        <w:t>1964</w:t>
      </w:r>
      <w:r>
        <w:rPr>
          <w:spacing w:val="-2"/>
        </w:rPr>
        <w:t>年生，本科学历。中共党员；高级会计师、注册会计师，瑞华会计师事务所合</w:t>
      </w:r>
      <w:r>
        <w:rPr/>
        <w:t> </w:t>
      </w:r>
      <w:r>
        <w:rPr>
          <w:spacing w:val="-2"/>
        </w:rPr>
        <w:t>伙人。曾任杭州电子工业学院讲师、银行间交易商协会非金融企业债务融资工具市场自律处分专家、深圳市振业（集团）股</w:t>
      </w:r>
      <w:r>
        <w:rPr>
          <w:spacing w:val="-67"/>
        </w:rPr>
        <w:t> </w:t>
      </w:r>
      <w:r>
        <w:rPr>
          <w:spacing w:val="-67"/>
        </w:rPr>
      </w:r>
      <w:r>
        <w:rPr>
          <w:spacing w:val="-2"/>
        </w:rPr>
        <w:t>份有限公司独立董事、深圳信隆实业股份有限公司独立董事、深圳市维业装饰集团股份有限公司独立董事，现兼任深圳市通</w:t>
      </w:r>
      <w:r>
        <w:rPr>
          <w:spacing w:val="-63"/>
        </w:rPr>
        <w:t> </w:t>
      </w:r>
      <w:r>
        <w:rPr>
          <w:spacing w:val="-63"/>
        </w:rPr>
      </w:r>
      <w:r>
        <w:rPr/>
        <w:t>产丽星股份有限公司独立董事、深圳市农产品股份有限公司独立董事、深圳中青宝互动网络股份有限公司独立董事。</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10</w:t>
      </w:r>
      <w:r>
        <w:rPr/>
        <w:t>月起任本公司第三届董事会独立董事。</w:t>
      </w:r>
    </w:p>
    <w:p>
      <w:pPr>
        <w:pStyle w:val="BodyText"/>
        <w:spacing w:line="463" w:lineRule="auto" w:before="33"/>
        <w:ind w:right="1130" w:firstLine="360"/>
        <w:jc w:val="both"/>
      </w:pPr>
      <w:r>
        <w:rPr>
          <w:rFonts w:ascii="宋体" w:hAnsi="宋体" w:cs="宋体" w:eastAsia="宋体" w:hint="default"/>
          <w:b/>
          <w:bCs/>
          <w:spacing w:val="-2"/>
        </w:rPr>
        <w:t>郑飞</w:t>
      </w:r>
      <w:r>
        <w:rPr>
          <w:spacing w:val="-2"/>
        </w:rPr>
        <w:t>，中国国籍，无境外居留权，</w:t>
      </w:r>
      <w:r>
        <w:rPr>
          <w:rFonts w:ascii="Times New Roman" w:hAnsi="Times New Roman" w:cs="Times New Roman" w:eastAsia="Times New Roman" w:hint="default"/>
          <w:spacing w:val="-2"/>
        </w:rPr>
        <w:t>1975</w:t>
      </w:r>
      <w:r>
        <w:rPr>
          <w:spacing w:val="-2"/>
        </w:rPr>
        <w:t>年生，硕士研究生学历，深圳市软件行业协会现任秘书长兼副会长，中国软件行</w:t>
      </w:r>
      <w:r>
        <w:rPr/>
        <w:t> </w:t>
      </w:r>
      <w:r>
        <w:rPr>
          <w:spacing w:val="-2"/>
        </w:rPr>
        <w:t>业协会副秘书长。曾任职于深圳市黎明网络技术有限公司、深圳市远望城多媒体电脑有限公司，现兼任深圳天源迪科信息技</w:t>
      </w:r>
      <w:r>
        <w:rPr>
          <w:spacing w:val="-63"/>
        </w:rPr>
        <w:t> </w:t>
      </w:r>
      <w:r>
        <w:rPr>
          <w:spacing w:val="-63"/>
        </w:rPr>
      </w:r>
      <w:r>
        <w:rPr/>
        <w:t>术股份有限公司、深圳市天维尔信息科技股份有限公司独立董事。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月起任本公司第三届董事会独立董事。</w:t>
      </w:r>
    </w:p>
    <w:p>
      <w:pPr>
        <w:pStyle w:val="BodyText"/>
        <w:spacing w:line="477" w:lineRule="auto" w:before="33"/>
        <w:ind w:left="513" w:right="1115"/>
        <w:jc w:val="left"/>
      </w:pPr>
      <w:r>
        <w:rPr>
          <w:rFonts w:ascii="宋体" w:hAnsi="宋体" w:cs="宋体" w:eastAsia="宋体" w:hint="default"/>
          <w:b/>
          <w:bCs/>
        </w:rPr>
        <w:t>（二）监事</w:t>
      </w:r>
      <w:r>
        <w:rPr>
          <w:rFonts w:ascii="宋体" w:hAnsi="宋体" w:cs="宋体" w:eastAsia="宋体" w:hint="default"/>
          <w:b/>
          <w:bCs/>
          <w:w w:val="99"/>
        </w:rPr>
        <w:t> </w:t>
      </w:r>
      <w:r>
        <w:rPr>
          <w:rFonts w:ascii="宋体" w:hAnsi="宋体" w:cs="宋体" w:eastAsia="宋体" w:hint="default"/>
          <w:b/>
          <w:bCs/>
          <w:spacing w:val="-2"/>
        </w:rPr>
        <w:t>金春保</w:t>
      </w:r>
      <w:r>
        <w:rPr>
          <w:spacing w:val="-2"/>
        </w:rPr>
        <w:t>，中国国籍，无境外居留权，</w:t>
      </w:r>
      <w:r>
        <w:rPr>
          <w:rFonts w:ascii="Times New Roman" w:hAnsi="Times New Roman" w:cs="Times New Roman" w:eastAsia="Times New Roman" w:hint="default"/>
          <w:spacing w:val="-2"/>
        </w:rPr>
        <w:t>1967</w:t>
      </w:r>
      <w:r>
        <w:rPr>
          <w:spacing w:val="-2"/>
        </w:rPr>
        <w:t>年生，硕士研究生学历。曾任职于君安证券有限公司香港基金公司，国泰证券</w:t>
      </w:r>
    </w:p>
    <w:p>
      <w:pPr>
        <w:pStyle w:val="BodyText"/>
        <w:spacing w:line="240" w:lineRule="auto" w:before="21"/>
        <w:ind w:right="0"/>
        <w:jc w:val="both"/>
      </w:pPr>
      <w:r>
        <w:rPr/>
        <w:t>有限公司投资银行部，国泰君安证券股份有限公司企业融资总部，联合证券有限公司投资银行总部，深圳华大基因股份有限</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1124"/>
        <w:jc w:val="left"/>
      </w:pPr>
      <w:r>
        <w:rPr/>
        <w:t>公司董事；现任深圳市盛桥投资管理有限公司董事长、总经理，北京天学网教育科技股份有限公司董事；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月起任本 公司第一届监事会主席；</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月起任本公司第二届监事会主席；</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月起任本公司第三届监事会主席。</w:t>
      </w:r>
    </w:p>
    <w:p>
      <w:pPr>
        <w:pStyle w:val="BodyText"/>
        <w:spacing w:line="451" w:lineRule="auto" w:before="43"/>
        <w:ind w:right="1122" w:firstLine="360"/>
        <w:jc w:val="left"/>
      </w:pPr>
      <w:r>
        <w:rPr>
          <w:rFonts w:ascii="宋体" w:hAnsi="宋体" w:cs="宋体" w:eastAsia="宋体" w:hint="default"/>
          <w:b/>
          <w:bCs/>
        </w:rPr>
        <w:t>袁蒙蒙</w:t>
      </w:r>
      <w:r>
        <w:rPr/>
        <w:t>，中国国籍，无境外居留权，</w:t>
      </w:r>
      <w:r>
        <w:rPr>
          <w:rFonts w:ascii="Times New Roman" w:hAnsi="Times New Roman" w:cs="Times New Roman" w:eastAsia="Times New Roman" w:hint="default"/>
        </w:rPr>
        <w:t>1986</w:t>
      </w:r>
      <w:r>
        <w:rPr/>
        <w:t>年生，本科学历。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月本科毕业后加入本公司，现任第一事业部系统规 划部经理，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月起任本公司第三届监事会股东代表监事。</w:t>
      </w:r>
    </w:p>
    <w:p>
      <w:pPr>
        <w:pStyle w:val="BodyText"/>
        <w:spacing w:line="451" w:lineRule="auto" w:before="43"/>
        <w:ind w:right="1115" w:firstLine="360"/>
        <w:jc w:val="left"/>
      </w:pPr>
      <w:r>
        <w:rPr>
          <w:rFonts w:ascii="宋体" w:hAnsi="宋体" w:cs="宋体" w:eastAsia="宋体" w:hint="default"/>
          <w:b/>
          <w:bCs/>
        </w:rPr>
        <w:t>盛 </w:t>
      </w:r>
      <w:r>
        <w:rPr>
          <w:rFonts w:ascii="宋体" w:hAnsi="宋体" w:cs="宋体" w:eastAsia="宋体" w:hint="default"/>
          <w:b/>
          <w:bCs/>
          <w:spacing w:val="-3"/>
        </w:rPr>
        <w:t>强</w:t>
      </w:r>
      <w:r>
        <w:rPr>
          <w:spacing w:val="-3"/>
        </w:rPr>
        <w:t>，中国国籍，无境外居留权，</w:t>
      </w:r>
      <w:r>
        <w:rPr>
          <w:rFonts w:ascii="Times New Roman" w:hAnsi="Times New Roman" w:cs="Times New Roman" w:eastAsia="Times New Roman" w:hint="default"/>
          <w:spacing w:val="-3"/>
        </w:rPr>
        <w:t>1986 </w:t>
      </w:r>
      <w:r>
        <w:rPr>
          <w:spacing w:val="-3"/>
        </w:rPr>
        <w:t>年生，大专学历。</w:t>
      </w:r>
      <w:r>
        <w:rPr>
          <w:rFonts w:ascii="Times New Roman" w:hAnsi="Times New Roman" w:cs="Times New Roman" w:eastAsia="Times New Roman" w:hint="default"/>
          <w:spacing w:val="-3"/>
        </w:rPr>
        <w:t>2010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月加入本公司，现任本公司售后服务中心售后主 任工程师。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月起任本公司第三届监事会职工代表监事。</w:t>
      </w:r>
    </w:p>
    <w:p>
      <w:pPr>
        <w:spacing w:line="477" w:lineRule="auto" w:before="43"/>
        <w:ind w:left="453" w:right="1115" w:firstLine="60"/>
        <w:jc w:val="left"/>
        <w:rPr>
          <w:rFonts w:ascii="宋体" w:hAnsi="宋体" w:cs="宋体" w:eastAsia="宋体" w:hint="default"/>
          <w:sz w:val="18"/>
          <w:szCs w:val="18"/>
        </w:rPr>
      </w:pPr>
      <w:r>
        <w:rPr>
          <w:rFonts w:ascii="宋体" w:hAnsi="宋体" w:cs="宋体" w:eastAsia="宋体" w:hint="default"/>
          <w:b/>
          <w:bCs/>
          <w:sz w:val="18"/>
          <w:szCs w:val="18"/>
        </w:rPr>
        <w:t>（三）其他高级管理人员</w:t>
      </w:r>
      <w:r>
        <w:rPr>
          <w:rFonts w:ascii="宋体" w:hAnsi="宋体" w:cs="宋体" w:eastAsia="宋体" w:hint="default"/>
          <w:b/>
          <w:bCs/>
          <w:w w:val="99"/>
          <w:sz w:val="18"/>
          <w:szCs w:val="18"/>
        </w:rPr>
        <w:t> </w:t>
      </w:r>
      <w:r>
        <w:rPr>
          <w:rFonts w:ascii="宋体" w:hAnsi="宋体" w:cs="宋体" w:eastAsia="宋体" w:hint="default"/>
          <w:b/>
          <w:bCs/>
          <w:spacing w:val="-1"/>
          <w:sz w:val="18"/>
          <w:szCs w:val="18"/>
        </w:rPr>
        <w:t>邵健锋</w:t>
      </w:r>
      <w:r>
        <w:rPr>
          <w:rFonts w:ascii="宋体" w:hAnsi="宋体" w:cs="宋体" w:eastAsia="宋体" w:hint="default"/>
          <w:spacing w:val="-1"/>
          <w:sz w:val="18"/>
          <w:szCs w:val="18"/>
        </w:rPr>
        <w:t>，中国国籍，拥有澳门居民身份证，</w:t>
      </w:r>
      <w:r>
        <w:rPr>
          <w:rFonts w:ascii="Times New Roman" w:hAnsi="Times New Roman" w:cs="Times New Roman" w:eastAsia="Times New Roman" w:hint="default"/>
          <w:spacing w:val="-1"/>
          <w:sz w:val="18"/>
          <w:szCs w:val="18"/>
        </w:rPr>
        <w:t>1978</w:t>
      </w:r>
      <w:r>
        <w:rPr>
          <w:rFonts w:ascii="宋体" w:hAnsi="宋体" w:cs="宋体" w:eastAsia="宋体" w:hint="default"/>
          <w:spacing w:val="-1"/>
          <w:sz w:val="18"/>
          <w:szCs w:val="18"/>
        </w:rPr>
        <w:t>年出生，中国人民大学</w:t>
      </w:r>
      <w:r>
        <w:rPr>
          <w:rFonts w:ascii="Times New Roman" w:hAnsi="Times New Roman" w:cs="Times New Roman" w:eastAsia="Times New Roman" w:hint="default"/>
          <w:spacing w:val="-1"/>
          <w:sz w:val="18"/>
          <w:szCs w:val="18"/>
        </w:rPr>
        <w:t>EMBA</w:t>
      </w:r>
      <w:r>
        <w:rPr>
          <w:rFonts w:ascii="宋体" w:hAnsi="宋体" w:cs="宋体" w:eastAsia="宋体" w:hint="default"/>
          <w:spacing w:val="-1"/>
          <w:sz w:val="18"/>
          <w:szCs w:val="18"/>
        </w:rPr>
        <w:t>。茂名市九届政协委员，深圳市青年联合</w:t>
      </w:r>
    </w:p>
    <w:p>
      <w:pPr>
        <w:pStyle w:val="BodyText"/>
        <w:spacing w:line="451" w:lineRule="auto" w:before="21"/>
        <w:ind w:right="1115"/>
        <w:jc w:val="left"/>
      </w:pPr>
      <w:r>
        <w:rPr>
          <w:spacing w:val="-2"/>
        </w:rPr>
        <w:t>会委员，深圳市青年科技人才协会理事。曾任职于广东华源实业发展有限公司；</w:t>
      </w:r>
      <w:r>
        <w:rPr>
          <w:rFonts w:ascii="Times New Roman" w:hAnsi="Times New Roman" w:cs="Times New Roman" w:eastAsia="Times New Roman" w:hint="default"/>
          <w:spacing w:val="-2"/>
        </w:rPr>
        <w:t>2000</w:t>
      </w:r>
      <w:r>
        <w:rPr>
          <w:spacing w:val="-2"/>
        </w:rPr>
        <w:t>年参与筹建今天有限；现任本公司常务</w:t>
      </w:r>
      <w:r>
        <w:rPr>
          <w:spacing w:val="-60"/>
        </w:rPr>
        <w:t> </w:t>
      </w:r>
      <w:r>
        <w:rPr>
          <w:spacing w:val="-60"/>
        </w:rPr>
      </w:r>
      <w:r>
        <w:rPr/>
        <w:t>副总裁。</w:t>
      </w:r>
    </w:p>
    <w:p>
      <w:pPr>
        <w:pStyle w:val="BodyText"/>
        <w:spacing w:line="451" w:lineRule="auto" w:before="74"/>
        <w:ind w:right="998" w:firstLine="300"/>
        <w:jc w:val="left"/>
      </w:pPr>
      <w:r>
        <w:rPr>
          <w:rFonts w:ascii="宋体" w:hAnsi="宋体" w:cs="宋体" w:eastAsia="宋体" w:hint="default"/>
          <w:b/>
          <w:bCs/>
          <w:spacing w:val="-2"/>
        </w:rPr>
        <w:t>梁建平</w:t>
      </w:r>
      <w:r>
        <w:rPr>
          <w:spacing w:val="-2"/>
        </w:rPr>
        <w:t>，中国国籍，无境外居留权，</w:t>
      </w:r>
      <w:r>
        <w:rPr>
          <w:rFonts w:ascii="Times New Roman" w:hAnsi="Times New Roman" w:cs="Times New Roman" w:eastAsia="Times New Roman" w:hint="default"/>
          <w:spacing w:val="-2"/>
        </w:rPr>
        <w:t>1972</w:t>
      </w:r>
      <w:r>
        <w:rPr>
          <w:spacing w:val="-2"/>
        </w:rPr>
        <w:t>年生，</w:t>
      </w:r>
      <w:r>
        <w:rPr>
          <w:rFonts w:ascii="Times New Roman" w:hAnsi="Times New Roman" w:cs="Times New Roman" w:eastAsia="Times New Roman" w:hint="default"/>
          <w:spacing w:val="-2"/>
        </w:rPr>
        <w:t>EMBA</w:t>
      </w:r>
      <w:r>
        <w:rPr>
          <w:spacing w:val="-2"/>
        </w:rPr>
        <w:t>；中国注册会计师（非执业），中国注册资产评估师（非执业）。</w:t>
      </w:r>
      <w:r>
        <w:rPr/>
        <w:t> 曾任职于广东省茂名市财政局，广东省茂名市名正会计师事务所；</w:t>
      </w:r>
      <w:r>
        <w:rPr>
          <w:rFonts w:ascii="Times New Roman" w:hAnsi="Times New Roman" w:cs="Times New Roman" w:eastAsia="Times New Roman" w:hint="default"/>
        </w:rPr>
        <w:t>2002</w:t>
      </w:r>
      <w:r>
        <w:rPr/>
        <w:t>年加入今天有限；</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月起任本公司第一届董事 会董事、副总经理；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月起任本公司第二届董事会董事、副总经理；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月起任本公司副总裁。</w:t>
      </w:r>
    </w:p>
    <w:p>
      <w:pPr>
        <w:pStyle w:val="BodyText"/>
        <w:spacing w:line="451" w:lineRule="auto" w:before="43"/>
        <w:ind w:right="1115" w:firstLine="300"/>
        <w:jc w:val="left"/>
      </w:pPr>
      <w:r>
        <w:rPr>
          <w:rFonts w:ascii="宋体" w:hAnsi="宋体" w:cs="宋体" w:eastAsia="宋体" w:hint="default"/>
          <w:b/>
          <w:bCs/>
        </w:rPr>
        <w:t>徐峰</w:t>
      </w:r>
      <w:r>
        <w:rPr/>
        <w:t>，中国国籍，无境外居留权，</w:t>
      </w:r>
      <w:r>
        <w:rPr>
          <w:rFonts w:ascii="Times New Roman" w:hAnsi="Times New Roman" w:cs="Times New Roman" w:eastAsia="Times New Roman" w:hint="default"/>
        </w:rPr>
        <w:t>1971</w:t>
      </w:r>
      <w:r>
        <w:rPr/>
        <w:t>年生，硕士研究生学历；工程师。曾任职于中国船舶重工集团西安</w:t>
      </w:r>
      <w:r>
        <w:rPr>
          <w:rFonts w:ascii="Times New Roman" w:hAnsi="Times New Roman" w:cs="Times New Roman" w:eastAsia="Times New Roman" w:hint="default"/>
        </w:rPr>
        <w:t>705</w:t>
      </w:r>
      <w:r>
        <w:rPr/>
        <w:t>研究所， </w:t>
      </w:r>
      <w:r>
        <w:rPr>
          <w:spacing w:val="-2"/>
        </w:rPr>
        <w:t>镇江汽车钢圈厂，镇江力盛船舶设备制造有限公司，镇江东联仓储设备有限公司，日东自动化设备（上海）有限公司；</w:t>
      </w:r>
      <w:r>
        <w:rPr>
          <w:rFonts w:ascii="Times New Roman" w:hAnsi="Times New Roman" w:cs="Times New Roman" w:eastAsia="Times New Roman" w:hint="default"/>
          <w:spacing w:val="-2"/>
        </w:rPr>
        <w:t>2004</w:t>
      </w:r>
      <w:r>
        <w:rPr>
          <w:rFonts w:ascii="Times New Roman" w:hAnsi="Times New Roman" w:cs="Times New Roman" w:eastAsia="Times New Roman" w:hint="default"/>
          <w:spacing w:val="-17"/>
        </w:rPr>
        <w:t> </w:t>
      </w:r>
      <w:r>
        <w:rPr/>
        <w:t>年加入今天有限；</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月起任本公司第二届董事会董事、副总经理；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月起任本公司副总裁。</w:t>
      </w:r>
    </w:p>
    <w:p>
      <w:pPr>
        <w:pStyle w:val="BodyText"/>
        <w:spacing w:line="470" w:lineRule="auto" w:before="43"/>
        <w:ind w:right="1115" w:firstLine="300"/>
        <w:jc w:val="left"/>
      </w:pPr>
      <w:r>
        <w:rPr>
          <w:rFonts w:ascii="宋体" w:hAnsi="宋体" w:cs="宋体" w:eastAsia="宋体" w:hint="default"/>
          <w:b/>
          <w:bCs/>
          <w:spacing w:val="-1"/>
        </w:rPr>
        <w:t>曾巍巍</w:t>
      </w:r>
      <w:r>
        <w:rPr>
          <w:spacing w:val="-1"/>
        </w:rPr>
        <w:t>，中国国籍，无境外居留权，</w:t>
      </w:r>
      <w:r>
        <w:rPr>
          <w:rFonts w:ascii="Times New Roman" w:hAnsi="Times New Roman" w:cs="Times New Roman" w:eastAsia="Times New Roman" w:hint="default"/>
          <w:spacing w:val="-1"/>
        </w:rPr>
        <w:t>1982</w:t>
      </w:r>
      <w:r>
        <w:rPr>
          <w:spacing w:val="-1"/>
        </w:rPr>
        <w:t>年生，本科学历。曾任职于广州机械研究院；</w:t>
      </w:r>
      <w:r>
        <w:rPr>
          <w:rFonts w:ascii="Times New Roman" w:hAnsi="Times New Roman" w:cs="Times New Roman" w:eastAsia="Times New Roman" w:hint="default"/>
          <w:spacing w:val="-1"/>
        </w:rPr>
        <w:t>2004</w:t>
      </w:r>
      <w:r>
        <w:rPr>
          <w:spacing w:val="-1"/>
        </w:rPr>
        <w:t>年加入本公司；现任工程中</w:t>
      </w:r>
      <w:r>
        <w:rPr/>
        <w:t> 心和技术中心总经理，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月起任本公司第三届监事会职工代表监事，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月起任本公司副总裁。 在股东单位任职情况</w:t>
      </w:r>
    </w:p>
    <w:p>
      <w:pPr>
        <w:pStyle w:val="BodyText"/>
        <w:spacing w:line="340" w:lineRule="auto" w:before="1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房殿军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同济大学中德学院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47" w:right="19" w:hanging="324"/>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房殿军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德国弗劳恩霍夫物流研究院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中国首席科 </w:t>
            </w:r>
            <w:r>
              <w:rPr>
                <w:rFonts w:ascii="宋体" w:hAnsi="宋体" w:cs="宋体" w:eastAsia="宋体" w:hint="default"/>
                <w:spacing w:val="-12"/>
                <w:sz w:val="18"/>
                <w:szCs w:val="18"/>
              </w:rPr>
              <w:t>学家、首席代</w:t>
            </w:r>
            <w:r>
              <w:rPr>
                <w:rFonts w:ascii="宋体" w:hAnsi="宋体" w:cs="宋体" w:eastAsia="宋体" w:hint="default"/>
                <w:sz w:val="18"/>
                <w:szCs w:val="18"/>
              </w:rPr>
              <w:t> 表</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房殿军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北京帝欧物流科技有限公司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梅月欣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瑞华会计师事务所（特殊有限合伙）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梅月欣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深圳市通产丽星股份有限公司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梅月欣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深圳市农产品股份有限公司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梅月欣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郑飞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秘书长兼副 会长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郑飞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郑飞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深圳市天维尔信息科技股份有限公司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深圳市盛桥投资管理有限公司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36" w:right="19" w:hanging="413"/>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北京天学网教育科技股份有限公司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5" w:right="53"/>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15"/>
        <w:jc w:val="left"/>
      </w:pPr>
      <w:r>
        <w:rPr/>
        <w:t>公司现任及报告期内离任董事、监事和高级管理人员近三年证券监管机构处罚的情况</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115"/>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32"/>
          <w:szCs w:val="32"/>
        </w:rPr>
      </w:pPr>
    </w:p>
    <w:p>
      <w:pPr>
        <w:pStyle w:val="BodyText"/>
        <w:spacing w:line="518" w:lineRule="auto"/>
        <w:ind w:left="513" w:right="1115" w:hanging="361"/>
        <w:jc w:val="left"/>
      </w:pPr>
      <w:r>
        <w:rPr/>
        <w:t>董事、监事、高级管理人员报酬的决策程序、确定依据、实际支付情况 </w:t>
      </w:r>
      <w:r>
        <w:rPr>
          <w:spacing w:val="-2"/>
        </w:rPr>
        <w:t>报酬决策程序：公司提名与薪酬委员会对公司董事、监事及高级管理人员的薪酬方案进行研究并提出建议，董事、监事</w:t>
      </w:r>
    </w:p>
    <w:p>
      <w:pPr>
        <w:pStyle w:val="BodyText"/>
        <w:spacing w:line="477" w:lineRule="auto" w:before="23"/>
        <w:ind w:left="513" w:right="998" w:hanging="361"/>
        <w:jc w:val="left"/>
      </w:pPr>
      <w:r>
        <w:rPr/>
        <w:t>的报酬由股东大会审议通过，高级管理人员的报酬由董事会审议通过。 </w:t>
      </w:r>
      <w:r>
        <w:rPr>
          <w:spacing w:val="-4"/>
        </w:rPr>
        <w:t>报酬确定依据：公司针对董事、监事、高级管理人员的薪酬和绩效考核方案严格依据公司薪酬体系和绩效考核体系实施。</w:t>
      </w:r>
      <w:r>
        <w:rPr/>
        <w:t> 报酬实际支付情况：报告期内，公司已向董事、监事及高级管理人员全额支付薪酬。</w:t>
      </w:r>
    </w:p>
    <w:p>
      <w:pPr>
        <w:pStyle w:val="BodyText"/>
        <w:spacing w:line="240" w:lineRule="auto" w:before="16"/>
        <w:ind w:right="1115"/>
        <w:jc w:val="left"/>
      </w:pPr>
      <w:r>
        <w:rPr/>
        <w:t>公司报告期内董事、监事和高级管理人员报酬情况</w:t>
      </w:r>
    </w:p>
    <w:p>
      <w:pPr>
        <w:pStyle w:val="BodyText"/>
        <w:spacing w:line="240" w:lineRule="auto" w:before="115"/>
        <w:ind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邵健伟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张小麒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张永清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0" w:right="47"/>
              <w:jc w:val="center"/>
              <w:rPr>
                <w:rFonts w:ascii="宋体" w:hAnsi="宋体" w:cs="宋体" w:eastAsia="宋体" w:hint="default"/>
                <w:sz w:val="18"/>
                <w:szCs w:val="18"/>
              </w:rPr>
            </w:pPr>
            <w:r>
              <w:rPr>
                <w:rFonts w:ascii="宋体" w:hAnsi="宋体" w:cs="宋体" w:eastAsia="宋体" w:hint="default"/>
                <w:sz w:val="18"/>
                <w:szCs w:val="18"/>
              </w:rPr>
              <w:t>董事、副总裁、 董事会秘书、财 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刘成凯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房殿军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梅月欣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郑飞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袁蒙蒙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盛强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邵健锋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常务副总裁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57.11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梁建平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曾巍巍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617"/>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498.18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pict>
          <v:shape style="position:absolute;margin-left:259.010010pt;margin-top:17.717731pt;width:58.1pt;height:66.4pt;mso-position-horizontal-relative:page;mso-position-vertical-relative:paragraph;z-index:-89399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单位：股</w:t>
      </w:r>
    </w:p>
    <w:p>
      <w:pPr>
        <w:spacing w:after="0" w:line="240" w:lineRule="auto"/>
        <w:jc w:val="left"/>
        <w:sectPr>
          <w:type w:val="continuous"/>
          <w:pgSz w:w="11910" w:h="16840"/>
          <w:pgMar w:top="1060" w:bottom="700" w:left="980" w:right="0"/>
          <w:cols w:num="2" w:equalWidth="0">
            <w:col w:w="4653" w:space="426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2"/>
        <w:gridCol w:w="869"/>
        <w:gridCol w:w="871"/>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1"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45" w:right="41"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0"/>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4"/>
              <w:jc w:val="right"/>
              <w:rPr>
                <w:rFonts w:ascii="宋体" w:hAnsi="宋体" w:cs="宋体" w:eastAsia="宋体" w:hint="default"/>
                <w:sz w:val="18"/>
                <w:szCs w:val="18"/>
              </w:rPr>
            </w:pPr>
            <w:r>
              <w:rPr>
                <w:rFonts w:ascii="宋体" w:hAnsi="宋体" w:cs="宋体" w:eastAsia="宋体" w:hint="default"/>
                <w:sz w:val="18"/>
                <w:szCs w:val="18"/>
              </w:rPr>
              <w:t>张小麒</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110,160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440,640</w:t>
            </w: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54"/>
              <w:jc w:val="right"/>
              <w:rPr>
                <w:rFonts w:ascii="宋体" w:hAnsi="宋体" w:cs="宋体" w:eastAsia="宋体" w:hint="default"/>
                <w:sz w:val="18"/>
                <w:szCs w:val="18"/>
              </w:rPr>
            </w:pPr>
            <w:r>
              <w:rPr>
                <w:rFonts w:ascii="宋体" w:hAnsi="宋体" w:cs="宋体" w:eastAsia="宋体" w:hint="default"/>
                <w:sz w:val="18"/>
                <w:szCs w:val="18"/>
              </w:rPr>
              <w:t>张永清</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center"/>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z w:val="18"/>
                <w:szCs w:val="18"/>
              </w:rPr>
              <w:t> </w:t>
            </w:r>
            <w:r>
              <w:rPr>
                <w:rFonts w:ascii="宋体" w:hAnsi="宋体" w:cs="宋体" w:eastAsia="宋体" w:hint="default"/>
                <w:spacing w:val="-18"/>
                <w:sz w:val="18"/>
                <w:szCs w:val="18"/>
              </w:rPr>
              <w:t>裁、董事会</w:t>
            </w:r>
            <w:r>
              <w:rPr>
                <w:rFonts w:ascii="宋体" w:hAnsi="宋体" w:cs="宋体" w:eastAsia="宋体" w:hint="default"/>
                <w:sz w:val="18"/>
                <w:szCs w:val="18"/>
              </w:rPr>
              <w:t> </w:t>
            </w:r>
            <w:r>
              <w:rPr>
                <w:rFonts w:ascii="宋体" w:hAnsi="宋体" w:cs="宋体" w:eastAsia="宋体" w:hint="default"/>
                <w:spacing w:val="-18"/>
                <w:sz w:val="18"/>
                <w:szCs w:val="18"/>
              </w:rPr>
              <w:t>秘书、财务</w:t>
            </w:r>
            <w:r>
              <w:rPr>
                <w:rFonts w:ascii="宋体" w:hAnsi="宋体" w:cs="宋体" w:eastAsia="宋体" w:hint="default"/>
                <w:sz w:val="18"/>
                <w:szCs w:val="18"/>
              </w:rPr>
              <w:t> 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77,760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311,040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4"/>
              <w:jc w:val="right"/>
              <w:rPr>
                <w:rFonts w:ascii="宋体" w:hAnsi="宋体" w:cs="宋体" w:eastAsia="宋体" w:hint="default"/>
                <w:sz w:val="18"/>
                <w:szCs w:val="18"/>
              </w:rPr>
            </w:pPr>
            <w:r>
              <w:rPr>
                <w:rFonts w:ascii="宋体" w:hAnsi="宋体" w:cs="宋体" w:eastAsia="宋体" w:hint="default"/>
                <w:sz w:val="18"/>
                <w:szCs w:val="18"/>
              </w:rPr>
              <w:t>刘成凯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43" w:right="19" w:hanging="317"/>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77,760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311,040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徐峰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129,600</w:t>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4"/>
              <w:jc w:val="right"/>
              <w:rPr>
                <w:rFonts w:ascii="宋体" w:hAnsi="宋体" w:cs="宋体" w:eastAsia="宋体" w:hint="default"/>
                <w:sz w:val="18"/>
                <w:szCs w:val="18"/>
              </w:rPr>
            </w:pPr>
            <w:r>
              <w:rPr>
                <w:rFonts w:ascii="宋体" w:hAnsi="宋体" w:cs="宋体" w:eastAsia="宋体" w:hint="default"/>
                <w:sz w:val="18"/>
                <w:szCs w:val="18"/>
              </w:rPr>
              <w:t>梁建平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330,480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734,400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1,321,920</w:t>
            </w:r>
          </w:p>
        </w:tc>
      </w:tr>
      <w:tr>
        <w:trPr>
          <w:trHeight w:val="289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451" w:lineRule="auto" w:before="128"/>
              <w:ind w:left="26" w:right="2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日实施了权益分派，以资本公积转增股本，每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股，根据《上市公司股权激励</w:t>
            </w:r>
            <w:r>
              <w:rPr>
                <w:rFonts w:ascii="宋体" w:hAnsi="宋体" w:cs="宋体" w:eastAsia="宋体" w:hint="default"/>
                <w:sz w:val="18"/>
                <w:szCs w:val="18"/>
              </w:rPr>
              <w:t> </w:t>
            </w:r>
            <w:r>
              <w:rPr>
                <w:rFonts w:ascii="宋体" w:hAnsi="宋体" w:cs="宋体" w:eastAsia="宋体" w:hint="default"/>
                <w:spacing w:val="-10"/>
                <w:sz w:val="18"/>
                <w:szCs w:val="18"/>
              </w:rPr>
              <w:t>管理办法》、公司《</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38"/>
                <w:sz w:val="18"/>
                <w:szCs w:val="18"/>
              </w:rPr>
              <w:t> </w:t>
            </w:r>
            <w:r>
              <w:rPr>
                <w:rFonts w:ascii="宋体" w:hAnsi="宋体" w:cs="宋体" w:eastAsia="宋体" w:hint="default"/>
                <w:spacing w:val="-5"/>
                <w:sz w:val="18"/>
                <w:szCs w:val="18"/>
              </w:rPr>
              <w:t>年限制性股票激励计划（草案）》等相关规定，在权益分派方案实施后，对限制性股票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权益数量和首次授予价格进行相应调整。公司于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日召开的第三届董事会第十三次会议审议通过</w:t>
            </w:r>
          </w:p>
          <w:p>
            <w:pPr>
              <w:pStyle w:val="TableParagraph"/>
              <w:spacing w:line="240" w:lineRule="auto" w:before="43"/>
              <w:ind w:left="26" w:right="0"/>
              <w:jc w:val="both"/>
              <w:rPr>
                <w:rFonts w:ascii="宋体" w:hAnsi="宋体" w:cs="宋体" w:eastAsia="宋体" w:hint="default"/>
                <w:sz w:val="18"/>
                <w:szCs w:val="18"/>
              </w:rPr>
            </w:pPr>
            <w:r>
              <w:rPr>
                <w:rFonts w:ascii="宋体" w:hAnsi="宋体" w:cs="宋体" w:eastAsia="宋体" w:hint="default"/>
                <w:sz w:val="18"/>
                <w:szCs w:val="18"/>
              </w:rPr>
              <w:t>了《关于调整公司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w:t>
            </w:r>
            <w:r>
              <w:rPr>
                <w:rFonts w:ascii="宋体" w:hAnsi="宋体" w:cs="宋体" w:eastAsia="宋体" w:hint="default"/>
                <w:spacing w:val="-3"/>
                <w:sz w:val="18"/>
                <w:szCs w:val="18"/>
              </w:rPr>
              <w:t>制</w:t>
            </w:r>
            <w:r>
              <w:rPr>
                <w:rFonts w:ascii="宋体" w:hAnsi="宋体" w:cs="宋体" w:eastAsia="宋体" w:hint="default"/>
                <w:sz w:val="18"/>
                <w:szCs w:val="18"/>
              </w:rPr>
              <w:t>性股票激励计划相关事项的议案</w:t>
            </w:r>
            <w:r>
              <w:rPr>
                <w:rFonts w:ascii="宋体" w:hAnsi="宋体" w:cs="宋体" w:eastAsia="宋体" w:hint="default"/>
                <w:spacing w:val="-92"/>
                <w:sz w:val="18"/>
                <w:szCs w:val="18"/>
              </w:rPr>
              <w:t>》、</w:t>
            </w:r>
            <w:r>
              <w:rPr>
                <w:rFonts w:ascii="宋体" w:hAnsi="宋体" w:cs="宋体" w:eastAsia="宋体" w:hint="default"/>
                <w:sz w:val="18"/>
                <w:szCs w:val="18"/>
              </w:rPr>
              <w:t>《关于公司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w:t>
            </w:r>
            <w:r>
              <w:rPr>
                <w:rFonts w:ascii="宋体" w:hAnsi="宋体" w:cs="宋体" w:eastAsia="宋体" w:hint="default"/>
                <w:spacing w:val="-3"/>
                <w:sz w:val="18"/>
                <w:szCs w:val="18"/>
              </w:rPr>
              <w:t>性</w:t>
            </w:r>
            <w:r>
              <w:rPr>
                <w:rFonts w:ascii="宋体" w:hAnsi="宋体" w:cs="宋体" w:eastAsia="宋体" w:hint="default"/>
                <w:sz w:val="18"/>
                <w:szCs w:val="18"/>
              </w:rPr>
              <w:t>股票激励计划首次</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26" w:right="22"/>
              <w:jc w:val="both"/>
              <w:rPr>
                <w:rFonts w:ascii="宋体" w:hAnsi="宋体" w:cs="宋体" w:eastAsia="宋体" w:hint="default"/>
                <w:sz w:val="18"/>
                <w:szCs w:val="18"/>
              </w:rPr>
            </w:pPr>
            <w:r>
              <w:rPr>
                <w:rFonts w:ascii="宋体" w:hAnsi="宋体" w:cs="宋体" w:eastAsia="宋体" w:hint="default"/>
                <w:spacing w:val="-5"/>
                <w:sz w:val="18"/>
                <w:szCs w:val="18"/>
              </w:rPr>
              <w:t>授予第一个限售期可解除限售的议案》，公司</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年限制性股票激励计划首次授予第一个限售期解除限售股份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占股权激励计划授予限制性股票总数的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4"/>
        <w:spacing w:line="240" w:lineRule="auto" w:before="26"/>
        <w:ind w:right="1115"/>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520</w:t>
            </w:r>
          </w:p>
        </w:tc>
      </w:tr>
    </w:tbl>
    <w:p>
      <w:pPr>
        <w:spacing w:line="240" w:lineRule="auto" w:before="3"/>
        <w:rPr>
          <w:rFonts w:ascii="宋体" w:hAnsi="宋体" w:cs="宋体" w:eastAsia="宋体" w:hint="default"/>
          <w:b/>
          <w:bCs/>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32"/>
          <w:szCs w:val="32"/>
        </w:rPr>
      </w:pPr>
    </w:p>
    <w:p>
      <w:pPr>
        <w:pStyle w:val="BodyText"/>
        <w:spacing w:line="470" w:lineRule="auto"/>
        <w:ind w:right="1044" w:firstLine="360"/>
        <w:jc w:val="left"/>
      </w:pPr>
      <w:r>
        <w:rPr>
          <w:spacing w:val="-2"/>
        </w:rPr>
        <w:t>为了建立适合公司成长与发展的工资报酬体系和工资报酬政策，规范工资报酬管理，构筑有公司特色的价值分配机制和</w:t>
      </w:r>
      <w:r>
        <w:rPr/>
        <w:t> 内在激励机制，实现公司的可持续成长与发展，公司的薪酬体系坚持</w:t>
      </w:r>
      <w:r>
        <w:rPr>
          <w:rFonts w:ascii="Times New Roman" w:hAnsi="Times New Roman" w:cs="Times New Roman" w:eastAsia="Times New Roman" w:hint="default"/>
        </w:rPr>
        <w:t>“</w:t>
      </w:r>
      <w:r>
        <w:rPr/>
        <w:t>对外具有竞争力，对内具有公平性</w:t>
      </w:r>
      <w:r>
        <w:rPr>
          <w:rFonts w:ascii="Times New Roman" w:hAnsi="Times New Roman" w:cs="Times New Roman" w:eastAsia="Times New Roman" w:hint="default"/>
        </w:rPr>
        <w:t>”</w:t>
      </w:r>
      <w:r>
        <w:rPr/>
        <w:t>和符合公司中长期 </w:t>
      </w:r>
      <w:r>
        <w:rPr>
          <w:spacing w:val="-2"/>
        </w:rPr>
        <w:t>发展需求和有效激励原则，按照岗位类别，划分不同的职位族，对于公司的高管团队，以年度目标责任考评与年度绩效激励</w:t>
      </w:r>
      <w:r>
        <w:rPr>
          <w:spacing w:val="-64"/>
        </w:rPr>
        <w:t> </w:t>
      </w:r>
      <w:r>
        <w:rPr>
          <w:spacing w:val="-64"/>
        </w:rPr>
      </w:r>
      <w:r>
        <w:rPr>
          <w:spacing w:val="-2"/>
        </w:rPr>
        <w:t>为主；对于执行层的中高层管理人员以年度目标考核、月度目标考评为主，个人的薪酬及激励直接与团队目标和个人工作业</w:t>
      </w:r>
      <w:r>
        <w:rPr>
          <w:spacing w:val="-63"/>
        </w:rPr>
        <w:t> </w:t>
      </w:r>
      <w:r>
        <w:rPr>
          <w:spacing w:val="-63"/>
        </w:rPr>
      </w:r>
      <w:r>
        <w:rPr>
          <w:spacing w:val="-2"/>
        </w:rPr>
        <w:t>绩挂钩；对于基层员工以岗位绩效考评为主。此外，对于销售、项目实施及与项目运营相关的岗位，在建立日常考评制度的</w:t>
      </w:r>
      <w:r>
        <w:rPr>
          <w:spacing w:val="-67"/>
        </w:rPr>
        <w:t> </w:t>
      </w:r>
      <w:r>
        <w:rPr>
          <w:spacing w:val="-67"/>
        </w:rPr>
      </w:r>
      <w:r>
        <w:rPr/>
        <w:t>基础上，进一步完善项目考核与项目奖励作为主要的激励政策，充分调动员工的积极性。对外，公司每年进行</w:t>
      </w:r>
      <w:r>
        <w:rPr>
          <w:rFonts w:ascii="Times New Roman" w:hAnsi="Times New Roman" w:cs="Times New Roman" w:eastAsia="Times New Roman" w:hint="default"/>
        </w:rPr>
        <w:t>1-2</w:t>
      </w:r>
      <w:r>
        <w:rPr/>
        <w:t>次市场薪</w:t>
      </w:r>
      <w:r>
        <w:rPr>
          <w:spacing w:val="-54"/>
        </w:rPr>
        <w:t> </w:t>
      </w:r>
      <w:r>
        <w:rPr>
          <w:spacing w:val="-54"/>
        </w:rPr>
      </w:r>
      <w:r>
        <w:rPr>
          <w:spacing w:val="-4"/>
        </w:rPr>
        <w:t>酬调查，确定相关岗位的市场待遇水平，以保持公司薪酬的竞争力。对内，公司每年根据员工的表现和贡献对待遇进行评估，</w:t>
      </w:r>
      <w:r>
        <w:rPr>
          <w:spacing w:val="-46"/>
        </w:rPr>
        <w:t> </w:t>
      </w:r>
      <w:r>
        <w:rPr>
          <w:spacing w:val="-46"/>
        </w:rPr>
      </w:r>
      <w:r>
        <w:rPr/>
        <w:t>需要调整的给予适时调整。</w:t>
      </w:r>
    </w:p>
    <w:p>
      <w:pPr>
        <w:pStyle w:val="BodyText"/>
        <w:spacing w:line="451" w:lineRule="auto" w:before="59"/>
        <w:ind w:right="1199" w:firstLine="360"/>
        <w:jc w:val="left"/>
      </w:pPr>
      <w:r>
        <w:rPr/>
        <w:t>报告期内，公司职工薪酬总额（计入成本部分）为</w:t>
      </w:r>
      <w:r>
        <w:rPr>
          <w:rFonts w:ascii="Times New Roman" w:hAnsi="Times New Roman" w:cs="Times New Roman" w:eastAsia="Times New Roman" w:hint="default"/>
        </w:rPr>
        <w:t>1,281.55</w:t>
      </w:r>
      <w:r>
        <w:rPr/>
        <w:t>万元，占总营业成本的比重为</w:t>
      </w:r>
      <w:r>
        <w:rPr>
          <w:rFonts w:ascii="Times New Roman" w:hAnsi="Times New Roman" w:cs="Times New Roman" w:eastAsia="Times New Roman" w:hint="default"/>
        </w:rPr>
        <w:t>4.70%</w:t>
      </w:r>
      <w:r>
        <w:rPr/>
        <w:t>。截至报告期末，按照 公司</w:t>
      </w:r>
      <w:r>
        <w:rPr>
          <w:rFonts w:ascii="Times New Roman" w:hAnsi="Times New Roman" w:cs="Times New Roman" w:eastAsia="Times New Roman" w:hint="default"/>
        </w:rPr>
        <w:t>“271”</w:t>
      </w:r>
      <w:r>
        <w:rPr/>
        <w:t>人力资源管理体系，公司核心技术人员数量占比为</w:t>
      </w:r>
      <w:r>
        <w:rPr>
          <w:rFonts w:ascii="Times New Roman" w:hAnsi="Times New Roman" w:cs="Times New Roman" w:eastAsia="Times New Roman" w:hint="default"/>
        </w:rPr>
        <w:t>10%</w:t>
      </w:r>
      <w:r>
        <w:rPr/>
        <w:t>，核心技术人员薪酬占比为</w:t>
      </w:r>
      <w:r>
        <w:rPr>
          <w:rFonts w:ascii="Times New Roman" w:hAnsi="Times New Roman" w:cs="Times New Roman" w:eastAsia="Times New Roman" w:hint="default"/>
        </w:rPr>
        <w:t>16.97%</w:t>
      </w:r>
      <w:r>
        <w:rPr/>
        <w:t>。</w:t>
      </w:r>
    </w:p>
    <w:p>
      <w:pPr>
        <w:spacing w:after="0" w:line="451"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15" w:firstLine="360"/>
        <w:jc w:val="left"/>
      </w:pPr>
      <w:r>
        <w:rPr>
          <w:spacing w:val="-2"/>
        </w:rPr>
        <w:t>公司不断完善公司的培训制度，构建多层次的培训体系，推进中高层管理培训、部门交叉培训、岗前培训与新员工拓展</w:t>
      </w:r>
      <w:r>
        <w:rPr/>
        <w:t> 培训等专项培训。</w:t>
      </w:r>
    </w:p>
    <w:p>
      <w:pPr>
        <w:pStyle w:val="BodyText"/>
        <w:spacing w:line="240" w:lineRule="auto" w:before="54"/>
        <w:ind w:left="513" w:right="1115"/>
        <w:jc w:val="left"/>
      </w:pPr>
      <w:r>
        <w:rPr/>
        <w:t>（一）中高层管理培训主要包括管理技能培训、中高层管理知识培训；</w:t>
      </w:r>
    </w:p>
    <w:p>
      <w:pPr>
        <w:spacing w:line="240" w:lineRule="auto" w:before="10"/>
        <w:rPr>
          <w:rFonts w:ascii="宋体" w:hAnsi="宋体" w:cs="宋体" w:eastAsia="宋体" w:hint="default"/>
          <w:sz w:val="17"/>
          <w:szCs w:val="17"/>
        </w:rPr>
      </w:pPr>
    </w:p>
    <w:p>
      <w:pPr>
        <w:pStyle w:val="BodyText"/>
        <w:spacing w:line="451" w:lineRule="auto"/>
        <w:ind w:right="1115" w:firstLine="360"/>
        <w:jc w:val="left"/>
      </w:pPr>
      <w:r>
        <w:rPr/>
        <w:t>（二）部门交叉培训，根据各部门工作内容开展部门交叉培训，</w:t>
      </w:r>
      <w:r>
        <w:rPr>
          <w:rFonts w:ascii="Times New Roman" w:hAnsi="Times New Roman" w:cs="Times New Roman" w:eastAsia="Times New Roman" w:hint="default"/>
        </w:rPr>
        <w:t>2018</w:t>
      </w:r>
      <w:r>
        <w:rPr/>
        <w:t>年主要包括</w:t>
      </w:r>
      <w:r>
        <w:rPr>
          <w:rFonts w:ascii="Times New Roman" w:hAnsi="Times New Roman" w:cs="Times New Roman" w:eastAsia="Times New Roman" w:hint="default"/>
        </w:rPr>
        <w:t>AGV</w:t>
      </w:r>
      <w:r>
        <w:rPr/>
        <w:t>规划方法培训、财务费用制度及 税务知识讲解、系统设计培训、电控设计培训、商务投标培训、信息安全、商业秘密相关制度及知识培训</w:t>
      </w:r>
      <w:r>
        <w:rPr>
          <w:spacing w:val="-16"/>
        </w:rPr>
        <w:t> </w:t>
      </w:r>
      <w:r>
        <w:rPr/>
        <w:t>；</w:t>
      </w:r>
    </w:p>
    <w:p>
      <w:pPr>
        <w:pStyle w:val="BodyText"/>
        <w:spacing w:line="240" w:lineRule="auto" w:before="74"/>
        <w:ind w:left="513" w:right="1115"/>
        <w:jc w:val="left"/>
      </w:pPr>
      <w:r>
        <w:rPr/>
        <w:t>（三）针对全体员工开展职场培训，包括职场礼仪培训</w:t>
      </w:r>
      <w:r>
        <w:rPr>
          <w:rFonts w:ascii="Times New Roman" w:hAnsi="Times New Roman" w:cs="Times New Roman" w:eastAsia="Times New Roman" w:hint="default"/>
        </w:rPr>
        <w:t>1</w:t>
      </w:r>
      <w:r>
        <w:rPr/>
        <w:t>次，办公技能培训</w:t>
      </w:r>
      <w:r>
        <w:rPr>
          <w:rFonts w:ascii="Times New Roman" w:hAnsi="Times New Roman" w:cs="Times New Roman" w:eastAsia="Times New Roman" w:hint="default"/>
        </w:rPr>
        <w:t>1</w:t>
      </w:r>
      <w:r>
        <w:rPr/>
        <w:t>次与思维模式、职业心态培训</w:t>
      </w:r>
      <w:r>
        <w:rPr>
          <w:rFonts w:ascii="Times New Roman" w:hAnsi="Times New Roman" w:cs="Times New Roman" w:eastAsia="Times New Roman" w:hint="default"/>
        </w:rPr>
        <w:t>2</w:t>
      </w:r>
      <w:r>
        <w:rPr/>
        <w:t>次；</w:t>
      </w:r>
    </w:p>
    <w:p>
      <w:pPr>
        <w:spacing w:line="240" w:lineRule="auto" w:before="9"/>
        <w:rPr>
          <w:rFonts w:ascii="宋体" w:hAnsi="宋体" w:cs="宋体" w:eastAsia="宋体" w:hint="default"/>
          <w:sz w:val="16"/>
          <w:szCs w:val="16"/>
        </w:rPr>
      </w:pPr>
    </w:p>
    <w:p>
      <w:pPr>
        <w:pStyle w:val="BodyText"/>
        <w:spacing w:line="240" w:lineRule="auto"/>
        <w:ind w:left="513" w:right="1115"/>
        <w:jc w:val="left"/>
      </w:pPr>
      <w:r>
        <w:rPr/>
        <w:t>（四）新员工拓展培训，对新入职员工开展岗前培训与新员工拓展培训。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Heading5"/>
        <w:spacing w:line="240" w:lineRule="auto"/>
        <w:ind w:right="1115"/>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09"/>
        <w:jc w:val="center"/>
        <w:rPr>
          <w:b w:val="0"/>
          <w:bCs w:val="0"/>
        </w:rPr>
      </w:pPr>
      <w:bookmarkStart w:name="_TOC_250003"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1115"/>
        <w:jc w:val="left"/>
        <w:rPr>
          <w:b w:val="0"/>
          <w:bCs w:val="0"/>
        </w:rPr>
      </w:pPr>
      <w:r>
        <w:rPr/>
        <w:t>一、公司治理的基本状况</w:t>
      </w:r>
      <w:r>
        <w:rPr>
          <w:b w:val="0"/>
          <w:bCs w:val="0"/>
        </w:rPr>
      </w:r>
    </w:p>
    <w:p>
      <w:pPr>
        <w:spacing w:line="240" w:lineRule="auto" w:before="4"/>
        <w:rPr>
          <w:rFonts w:ascii="宋体" w:hAnsi="宋体" w:cs="宋体" w:eastAsia="宋体" w:hint="default"/>
          <w:b/>
          <w:bCs/>
          <w:sz w:val="32"/>
          <w:szCs w:val="32"/>
        </w:rPr>
      </w:pPr>
    </w:p>
    <w:p>
      <w:pPr>
        <w:pStyle w:val="BodyText"/>
        <w:spacing w:line="468" w:lineRule="auto"/>
        <w:ind w:right="998" w:firstLine="360"/>
        <w:jc w:val="left"/>
      </w:pPr>
      <w:r>
        <w:rPr>
          <w:spacing w:val="-2"/>
        </w:rPr>
        <w:t>报告期内，公司严格按照《公司法》、《证券法》、《上市公司治理准则》、《创业板股票上市规则》、《创业板上市</w:t>
      </w:r>
      <w:r>
        <w:rPr/>
        <w:t> </w:t>
      </w:r>
      <w:r>
        <w:rPr>
          <w:spacing w:val="-4"/>
        </w:rPr>
        <w:t>公司规范运作指引》和其他有关法律法规、规范性文件的要求，不断完善公司的法人治理结构；按照已建立的内部控制制度，</w:t>
      </w:r>
      <w:r>
        <w:rPr>
          <w:spacing w:val="-46"/>
        </w:rPr>
        <w:t> </w:t>
      </w:r>
      <w:r>
        <w:rPr>
          <w:spacing w:val="-46"/>
        </w:rPr>
      </w:r>
      <w:r>
        <w:rPr/>
        <w:t>股东大会、董事会、监事会议事规则及独立董事工作细则的要求，组织</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工作。同时积极开展董事、监事、高级管理人 员培训教育和管理工作，进一步规范公司治理结构；建立健全公司内部控制制度；提升公司治理水平。</w:t>
      </w:r>
    </w:p>
    <w:p>
      <w:pPr>
        <w:pStyle w:val="BodyText"/>
        <w:spacing w:line="477" w:lineRule="auto" w:before="61"/>
        <w:ind w:right="1115" w:firstLine="360"/>
        <w:jc w:val="left"/>
      </w:pPr>
      <w:r>
        <w:rPr>
          <w:spacing w:val="-2"/>
        </w:rPr>
        <w:t>截至报告期末，公司治理的实际情况符合中国证监会《上市公司治理准则》和深圳证券交易所《创业板上市公司规范运</w:t>
      </w:r>
      <w:r>
        <w:rPr/>
        <w:t> 作指引》等法律法规和规范性文件的要求。</w:t>
      </w:r>
    </w:p>
    <w:p>
      <w:pPr>
        <w:pStyle w:val="BodyText"/>
        <w:spacing w:line="477" w:lineRule="auto" w:before="54"/>
        <w:ind w:left="513" w:right="1115"/>
        <w:jc w:val="left"/>
      </w:pPr>
      <w:r>
        <w:rPr>
          <w:rFonts w:ascii="宋体" w:hAnsi="宋体" w:cs="宋体" w:eastAsia="宋体" w:hint="default"/>
          <w:b/>
          <w:bCs/>
        </w:rPr>
        <w:t>（一）关于股东与股东大会</w:t>
      </w:r>
      <w:r>
        <w:rPr>
          <w:rFonts w:ascii="宋体" w:hAnsi="宋体" w:cs="宋体" w:eastAsia="宋体" w:hint="default"/>
          <w:b/>
          <w:bCs/>
          <w:w w:val="99"/>
        </w:rPr>
        <w:t> </w:t>
      </w:r>
      <w:r>
        <w:rPr>
          <w:spacing w:val="-2"/>
        </w:rPr>
        <w:t>公司按照《上市公司股东大会规则》、《公司章程》、《股东大会议事规则》等规定和要求，规范地召集、召开股东大</w:t>
      </w:r>
    </w:p>
    <w:p>
      <w:pPr>
        <w:pStyle w:val="BodyText"/>
        <w:spacing w:line="477" w:lineRule="auto" w:before="54"/>
        <w:ind w:left="513" w:right="1115" w:hanging="361"/>
        <w:jc w:val="left"/>
      </w:pPr>
      <w:r>
        <w:rPr/>
        <w:t>会，确保全体股东，特别是中小股东，享有平等地位、充分行使股东权利。 </w:t>
      </w:r>
      <w:r>
        <w:rPr>
          <w:spacing w:val="-2"/>
        </w:rPr>
        <w:t>报告期内，公司共召开</w:t>
      </w:r>
      <w:r>
        <w:rPr>
          <w:rFonts w:ascii="Times New Roman" w:hAnsi="Times New Roman" w:cs="Times New Roman" w:eastAsia="Times New Roman" w:hint="default"/>
          <w:spacing w:val="-2"/>
        </w:rPr>
        <w:t>1</w:t>
      </w:r>
      <w:r>
        <w:rPr>
          <w:spacing w:val="-2"/>
        </w:rPr>
        <w:t>次年度股东大会和</w:t>
      </w:r>
      <w:r>
        <w:rPr>
          <w:rFonts w:ascii="Times New Roman" w:hAnsi="Times New Roman" w:cs="Times New Roman" w:eastAsia="Times New Roman" w:hint="default"/>
          <w:spacing w:val="-2"/>
        </w:rPr>
        <w:t>1</w:t>
      </w:r>
      <w:r>
        <w:rPr>
          <w:spacing w:val="-2"/>
        </w:rPr>
        <w:t>次临时股东大会，均由董事会负责召集，董事、监事、高级管理人员列席会</w:t>
      </w:r>
    </w:p>
    <w:p>
      <w:pPr>
        <w:pStyle w:val="BodyText"/>
        <w:spacing w:line="240" w:lineRule="auto" w:before="21"/>
        <w:ind w:right="998"/>
        <w:jc w:val="left"/>
      </w:pPr>
      <w:r>
        <w:rPr/>
        <w:t>议。公司股东大会的相关议程均符合法规规定，现场有见证律师出具法律意见书，确保公司股东大会决策科学、程序规范。</w:t>
      </w:r>
    </w:p>
    <w:p>
      <w:pPr>
        <w:spacing w:line="240" w:lineRule="auto" w:before="10"/>
        <w:rPr>
          <w:rFonts w:ascii="宋体" w:hAnsi="宋体" w:cs="宋体" w:eastAsia="宋体" w:hint="default"/>
          <w:sz w:val="17"/>
          <w:szCs w:val="17"/>
        </w:rPr>
      </w:pPr>
    </w:p>
    <w:p>
      <w:pPr>
        <w:pStyle w:val="BodyText"/>
        <w:spacing w:line="477" w:lineRule="auto"/>
        <w:ind w:left="513" w:right="1115"/>
        <w:jc w:val="left"/>
      </w:pPr>
      <w:r>
        <w:rPr>
          <w:rFonts w:ascii="宋体" w:hAnsi="宋体" w:cs="宋体" w:eastAsia="宋体" w:hint="default"/>
          <w:b/>
          <w:bCs/>
        </w:rPr>
        <w:t>（二）关于董事和董事会</w:t>
      </w:r>
      <w:r>
        <w:rPr>
          <w:rFonts w:ascii="宋体" w:hAnsi="宋体" w:cs="宋体" w:eastAsia="宋体" w:hint="default"/>
          <w:b/>
          <w:bCs/>
          <w:w w:val="99"/>
        </w:rPr>
        <w:t> </w:t>
      </w:r>
      <w:r>
        <w:rPr>
          <w:spacing w:val="-2"/>
        </w:rPr>
        <w:t>公司已经制定《董事会议事规则》、《独立董事工作细则》等制度，确保董事会规范、高效运作和审慎、科学决策。公</w:t>
      </w:r>
    </w:p>
    <w:p>
      <w:pPr>
        <w:pStyle w:val="BodyText"/>
        <w:spacing w:line="468" w:lineRule="auto" w:before="54"/>
        <w:ind w:right="998"/>
        <w:jc w:val="left"/>
      </w:pPr>
      <w:r>
        <w:rPr>
          <w:spacing w:val="-2"/>
        </w:rPr>
        <w:t>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名，董事会的人数及人员构成符合法律、法规和《公司章程》的要求。各位董事能够依</w:t>
      </w:r>
      <w:r>
        <w:rPr>
          <w:spacing w:val="-65"/>
        </w:rPr>
        <w:t> </w:t>
      </w:r>
      <w:r>
        <w:rPr>
          <w:spacing w:val="-65"/>
        </w:rPr>
      </w:r>
      <w:r>
        <w:rPr>
          <w:spacing w:val="-4"/>
        </w:rPr>
        <w:t>照相关规则的规定开展工作，勤勉尽责地履行职责和义务，同时积极参加相关培训，学习相关法律法规，不断提高履职水平。</w:t>
      </w:r>
      <w:r>
        <w:rPr>
          <w:spacing w:val="-46"/>
        </w:rPr>
        <w:t> </w:t>
      </w:r>
      <w:r>
        <w:rPr>
          <w:spacing w:val="-46"/>
        </w:rPr>
      </w:r>
      <w:r>
        <w:rPr>
          <w:spacing w:val="-2"/>
        </w:rPr>
        <w:t>独立董事能够不受公司控股股东、实际控制人以及其它与公司存在利害关系的单位或个人的影响，独立履行职责，对公司的</w:t>
      </w:r>
      <w:r>
        <w:rPr>
          <w:spacing w:val="-66"/>
        </w:rPr>
        <w:t> </w:t>
      </w:r>
      <w:r>
        <w:rPr>
          <w:spacing w:val="-66"/>
        </w:rPr>
      </w:r>
      <w:r>
        <w:rPr/>
        <w:t>重大事项均能发表独立意见。</w:t>
      </w:r>
    </w:p>
    <w:p>
      <w:pPr>
        <w:pStyle w:val="BodyText"/>
        <w:spacing w:line="477" w:lineRule="auto" w:before="61"/>
        <w:ind w:left="513" w:right="1115"/>
        <w:jc w:val="left"/>
        <w:rPr>
          <w:rFonts w:ascii="Times New Roman" w:hAnsi="Times New Roman" w:cs="Times New Roman" w:eastAsia="Times New Roman" w:hint="default"/>
        </w:rPr>
      </w:pPr>
      <w:r>
        <w:rPr>
          <w:rFonts w:ascii="宋体" w:hAnsi="宋体" w:cs="宋体" w:eastAsia="宋体" w:hint="default"/>
          <w:b/>
          <w:bCs/>
        </w:rPr>
        <w:t>（三）关于监事和监事会</w:t>
      </w:r>
      <w:r>
        <w:rPr>
          <w:rFonts w:ascii="宋体" w:hAnsi="宋体" w:cs="宋体" w:eastAsia="宋体" w:hint="default"/>
          <w:b/>
          <w:bCs/>
          <w:w w:val="99"/>
        </w:rPr>
        <w:t> </w:t>
      </w:r>
      <w:r>
        <w:rPr/>
        <w:t>公司已制定《监事会议事规则》等制度确保监事会向全体股东负责。公司监事会由</w:t>
      </w:r>
      <w:r>
        <w:rPr>
          <w:rFonts w:ascii="Times New Roman" w:hAnsi="Times New Roman" w:cs="Times New Roman" w:eastAsia="Times New Roman" w:hint="default"/>
        </w:rPr>
        <w:t>3</w:t>
      </w:r>
      <w:r>
        <w:rPr/>
        <w:t>名成员组成，其中职工代表监事</w:t>
      </w:r>
      <w:r>
        <w:rPr>
          <w:rFonts w:ascii="Times New Roman" w:hAnsi="Times New Roman" w:cs="Times New Roman" w:eastAsia="Times New Roman" w:hint="default"/>
        </w:rPr>
        <w:t>1</w:t>
      </w:r>
    </w:p>
    <w:p>
      <w:pPr>
        <w:pStyle w:val="BodyText"/>
        <w:spacing w:line="477" w:lineRule="auto" w:before="21"/>
        <w:ind w:right="1115"/>
        <w:jc w:val="left"/>
      </w:pPr>
      <w:r>
        <w:rPr>
          <w:spacing w:val="-2"/>
        </w:rPr>
        <w:t>名，由职工代表大会选举产生。监事会的人数和构成符合法律、法规和《公司章程》的规定与要求。公司监事会依照相关规</w:t>
      </w:r>
      <w:r>
        <w:rPr>
          <w:spacing w:val="-69"/>
        </w:rPr>
        <w:t> </w:t>
      </w:r>
      <w:r>
        <w:rPr>
          <w:spacing w:val="-69"/>
        </w:rPr>
      </w:r>
      <w:r>
        <w:rPr/>
        <w:t>则的规定，认真履行自己的职责，对公司重大事项、财务状况以及董事、高管人员履行职责的合法合规性进行监督。</w:t>
      </w:r>
    </w:p>
    <w:p>
      <w:pPr>
        <w:spacing w:line="477" w:lineRule="auto" w:before="55"/>
        <w:ind w:left="513" w:right="998" w:firstLine="0"/>
        <w:jc w:val="left"/>
        <w:rPr>
          <w:rFonts w:ascii="宋体" w:hAnsi="宋体" w:cs="宋体" w:eastAsia="宋体" w:hint="default"/>
          <w:sz w:val="18"/>
          <w:szCs w:val="18"/>
        </w:rPr>
      </w:pPr>
      <w:r>
        <w:rPr>
          <w:rFonts w:ascii="宋体" w:hAnsi="宋体" w:cs="宋体" w:eastAsia="宋体" w:hint="default"/>
          <w:b/>
          <w:bCs/>
          <w:sz w:val="18"/>
          <w:szCs w:val="18"/>
        </w:rPr>
        <w:t>（四）关于绩效评价与激励约束机制</w:t>
      </w:r>
      <w:r>
        <w:rPr>
          <w:rFonts w:ascii="宋体" w:hAnsi="宋体" w:cs="宋体" w:eastAsia="宋体" w:hint="default"/>
          <w:b/>
          <w:bCs/>
          <w:w w:val="99"/>
          <w:sz w:val="18"/>
          <w:szCs w:val="18"/>
        </w:rPr>
        <w:t> </w:t>
      </w:r>
      <w:r>
        <w:rPr>
          <w:rFonts w:ascii="宋体" w:hAnsi="宋体" w:cs="宋体" w:eastAsia="宋体" w:hint="default"/>
          <w:spacing w:val="-4"/>
          <w:sz w:val="18"/>
          <w:szCs w:val="18"/>
        </w:rPr>
        <w:t>公司建立了较为完善的绩效考评体系，员工的收入能较好地与工作绩效挂钩；高级管理人员的聘任能够做到公开、透明，</w:t>
      </w:r>
    </w:p>
    <w:p>
      <w:pPr>
        <w:pStyle w:val="BodyText"/>
        <w:spacing w:line="477" w:lineRule="auto" w:before="54"/>
        <w:ind w:right="1115"/>
        <w:jc w:val="left"/>
      </w:pPr>
      <w:r>
        <w:rPr>
          <w:spacing w:val="-2"/>
        </w:rPr>
        <w:t>符合法律、法规和制度的规定。公司董事会设立了提名与薪酬委员会，负责对公司的董事、监事、高级管理人员进行绩效考</w:t>
      </w:r>
      <w:r>
        <w:rPr>
          <w:spacing w:val="-67"/>
        </w:rPr>
        <w:t> </w:t>
      </w:r>
      <w:r>
        <w:rPr>
          <w:spacing w:val="-67"/>
        </w:rPr>
      </w:r>
      <w:r>
        <w:rPr/>
        <w:t>核。公司将根据企业发展情况不断地完善和调整该机制。</w:t>
      </w:r>
    </w:p>
    <w:p>
      <w:pPr>
        <w:spacing w:after="0" w:line="47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477" w:lineRule="auto" w:before="0"/>
        <w:ind w:left="513" w:right="1115" w:firstLine="0"/>
        <w:jc w:val="left"/>
        <w:rPr>
          <w:rFonts w:ascii="宋体" w:hAnsi="宋体" w:cs="宋体" w:eastAsia="宋体" w:hint="default"/>
          <w:sz w:val="18"/>
          <w:szCs w:val="18"/>
        </w:rPr>
      </w:pPr>
      <w:r>
        <w:rPr>
          <w:rFonts w:ascii="宋体" w:hAnsi="宋体" w:cs="宋体" w:eastAsia="宋体" w:hint="default"/>
          <w:b/>
          <w:bCs/>
          <w:sz w:val="18"/>
          <w:szCs w:val="18"/>
        </w:rPr>
        <w:t>（五）关于信息披露与透明度</w:t>
      </w:r>
      <w:r>
        <w:rPr>
          <w:rFonts w:ascii="宋体" w:hAnsi="宋体" w:cs="宋体" w:eastAsia="宋体" w:hint="default"/>
          <w:b/>
          <w:bCs/>
          <w:w w:val="99"/>
          <w:sz w:val="18"/>
          <w:szCs w:val="18"/>
        </w:rPr>
        <w:t> </w:t>
      </w:r>
      <w:r>
        <w:rPr>
          <w:rFonts w:ascii="宋体" w:hAnsi="宋体" w:cs="宋体" w:eastAsia="宋体" w:hint="default"/>
          <w:spacing w:val="-2"/>
          <w:sz w:val="18"/>
          <w:szCs w:val="18"/>
        </w:rPr>
        <w:t>依照《深圳证券交易所创业板股票上市规则》、《上市公司信息披露管理办法》等相关法律法规及公司《信息披露事务</w:t>
      </w:r>
    </w:p>
    <w:p>
      <w:pPr>
        <w:pStyle w:val="BodyText"/>
        <w:spacing w:line="477" w:lineRule="auto" w:before="54"/>
        <w:ind w:right="998"/>
        <w:jc w:val="left"/>
      </w:pPr>
      <w:r>
        <w:rPr>
          <w:spacing w:val="-4"/>
        </w:rPr>
        <w:t>管理制度》等规定的要求，公司能真实、准确、及时、公平、完整地披露相关信息，履行信息披露义务，同时关注媒体报导，</w:t>
      </w:r>
      <w:r>
        <w:rPr>
          <w:spacing w:val="-46"/>
        </w:rPr>
        <w:t> </w:t>
      </w:r>
      <w:r>
        <w:rPr>
          <w:spacing w:val="-46"/>
        </w:rPr>
      </w:r>
      <w:r>
        <w:rPr/>
        <w:t>接待股东来访咨询，在已披露信息范围内认真负责地与投资者充分沟通。</w:t>
      </w:r>
    </w:p>
    <w:p>
      <w:pPr>
        <w:pStyle w:val="BodyText"/>
        <w:spacing w:line="477" w:lineRule="auto" w:before="54"/>
        <w:ind w:left="513" w:right="1115"/>
        <w:jc w:val="left"/>
      </w:pPr>
      <w:r>
        <w:rPr>
          <w:rFonts w:ascii="宋体" w:hAnsi="宋体" w:cs="宋体" w:eastAsia="宋体" w:hint="default"/>
          <w:b/>
          <w:bCs/>
        </w:rPr>
        <w:t>（六）关于相关利益者</w:t>
      </w:r>
      <w:r>
        <w:rPr>
          <w:rFonts w:ascii="宋体" w:hAnsi="宋体" w:cs="宋体" w:eastAsia="宋体" w:hint="default"/>
          <w:b/>
          <w:bCs/>
          <w:w w:val="99"/>
        </w:rPr>
        <w:t> </w:t>
      </w:r>
      <w:r>
        <w:rPr>
          <w:spacing w:val="-2"/>
        </w:rPr>
        <w:t>公司能够充分尊重和维护相关利益者的合法权益，积极促进与相关利益者合作，加强与各方的沟通交流，实现股东、员</w:t>
      </w:r>
    </w:p>
    <w:p>
      <w:pPr>
        <w:pStyle w:val="BodyText"/>
        <w:spacing w:line="436" w:lineRule="auto" w:before="54"/>
        <w:ind w:right="3554"/>
        <w:jc w:val="left"/>
      </w:pPr>
      <w:r>
        <w:rPr/>
        <w:t>工、社会等各方利益的协调平衡，共同推动公司持续、稳定、健康发展。 公司治理的实际状况与中国证监会发布的有关上市公司治理的规范性文件是否存在重大差异</w:t>
      </w:r>
    </w:p>
    <w:p>
      <w:pPr>
        <w:pStyle w:val="BodyText"/>
        <w:spacing w:line="216" w:lineRule="exact"/>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4"/>
        <w:ind w:right="0"/>
        <w:jc w:val="both"/>
      </w:pPr>
      <w:r>
        <w:rPr/>
        <w:t>公司治理的实际状况与中国证监会发布的有关上市公司治理的规范性文件不存在重大差异。</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13" w:right="1115"/>
        <w:jc w:val="left"/>
      </w:pPr>
      <w:r>
        <w:rPr>
          <w:rFonts w:ascii="宋体" w:hAnsi="宋体" w:cs="宋体" w:eastAsia="宋体" w:hint="default"/>
          <w:b/>
          <w:bCs/>
        </w:rPr>
        <w:t>（一）资产完整</w:t>
      </w:r>
      <w:r>
        <w:rPr>
          <w:rFonts w:ascii="宋体" w:hAnsi="宋体" w:cs="宋体" w:eastAsia="宋体" w:hint="default"/>
          <w:b/>
          <w:bCs/>
          <w:w w:val="99"/>
        </w:rPr>
        <w:t> </w:t>
      </w:r>
      <w:r>
        <w:rPr>
          <w:spacing w:val="-2"/>
        </w:rPr>
        <w:t>本公司拥有独立的经营场所，拥有独立完整的研发、生产和销售配套设施及固定资产。本公司未以自身资产、权益或信</w:t>
      </w:r>
    </w:p>
    <w:p>
      <w:pPr>
        <w:pStyle w:val="BodyText"/>
        <w:spacing w:line="240" w:lineRule="auto" w:before="54"/>
        <w:ind w:right="0"/>
        <w:jc w:val="both"/>
      </w:pPr>
      <w:r>
        <w:rPr/>
        <w:t>誉为股东提供担保，公司对所有资产有完全的控制支配权，不存在资产、资金被控股股东占用而损害公司利益的情况。</w:t>
      </w:r>
    </w:p>
    <w:p>
      <w:pPr>
        <w:spacing w:line="240" w:lineRule="auto" w:before="10"/>
        <w:rPr>
          <w:rFonts w:ascii="宋体" w:hAnsi="宋体" w:cs="宋体" w:eastAsia="宋体" w:hint="default"/>
          <w:sz w:val="17"/>
          <w:szCs w:val="17"/>
        </w:rPr>
      </w:pPr>
    </w:p>
    <w:p>
      <w:pPr>
        <w:pStyle w:val="BodyText"/>
        <w:spacing w:line="477" w:lineRule="auto"/>
        <w:ind w:left="513" w:right="1115"/>
        <w:jc w:val="left"/>
      </w:pPr>
      <w:r>
        <w:rPr>
          <w:rFonts w:ascii="宋体" w:hAnsi="宋体" w:cs="宋体" w:eastAsia="宋体" w:hint="default"/>
          <w:b/>
          <w:bCs/>
        </w:rPr>
        <w:t>（二）人员独立</w:t>
      </w:r>
      <w:r>
        <w:rPr>
          <w:rFonts w:ascii="宋体" w:hAnsi="宋体" w:cs="宋体" w:eastAsia="宋体" w:hint="default"/>
          <w:b/>
          <w:bCs/>
          <w:w w:val="99"/>
        </w:rPr>
        <w:t> </w:t>
      </w:r>
      <w:r>
        <w:rPr>
          <w:spacing w:val="-2"/>
        </w:rPr>
        <w:t>本公司设有人力资源管理部门，公司的人事及工资管理与股东完全独立和分开。本公司董事、监事及高级管理人员严格</w:t>
      </w:r>
    </w:p>
    <w:p>
      <w:pPr>
        <w:pStyle w:val="BodyText"/>
        <w:spacing w:line="475" w:lineRule="auto" w:before="54"/>
        <w:ind w:right="998"/>
        <w:jc w:val="left"/>
      </w:pPr>
      <w:r>
        <w:rPr>
          <w:spacing w:val="-4"/>
        </w:rPr>
        <w:t>按照《公司法》、《公司章程》的有关规定产生，不存在有关法律、法规禁止的兼职情况。本公司总裁、副总裁、财务总监、</w:t>
      </w:r>
      <w:r>
        <w:rPr>
          <w:spacing w:val="-43"/>
        </w:rPr>
        <w:t> </w:t>
      </w:r>
      <w:r>
        <w:rPr>
          <w:spacing w:val="-43"/>
        </w:rPr>
      </w:r>
      <w:r>
        <w:rPr>
          <w:spacing w:val="-2"/>
        </w:rPr>
        <w:t>董事会秘书等高级管理人员均专职在本公司工作并领取报酬，未在股东控制的其他关联企业担任职务，不存在交叉任职的情</w:t>
      </w:r>
      <w:r>
        <w:rPr>
          <w:spacing w:val="-64"/>
        </w:rPr>
        <w:t> </w:t>
      </w:r>
      <w:r>
        <w:rPr>
          <w:spacing w:val="-64"/>
        </w:rPr>
      </w:r>
      <w:r>
        <w:rPr/>
        <w:t>况；本公司的财务人员亦未在实际控制人控制的其他企业中兼职。</w:t>
      </w:r>
    </w:p>
    <w:p>
      <w:pPr>
        <w:pStyle w:val="BodyText"/>
        <w:spacing w:line="477" w:lineRule="auto" w:before="56"/>
        <w:ind w:left="513" w:right="1115"/>
        <w:jc w:val="left"/>
      </w:pPr>
      <w:r>
        <w:rPr>
          <w:rFonts w:ascii="宋体" w:hAnsi="宋体" w:cs="宋体" w:eastAsia="宋体" w:hint="default"/>
          <w:b/>
          <w:bCs/>
        </w:rPr>
        <w:t>（三）机构独立</w:t>
      </w:r>
      <w:r>
        <w:rPr>
          <w:rFonts w:ascii="宋体" w:hAnsi="宋体" w:cs="宋体" w:eastAsia="宋体" w:hint="default"/>
          <w:b/>
          <w:bCs/>
          <w:w w:val="99"/>
        </w:rPr>
        <w:t> </w:t>
      </w:r>
      <w:r>
        <w:rPr>
          <w:spacing w:val="-2"/>
        </w:rPr>
        <w:t>本公司根据《公司法》、《上市公司章程指引》等有关法律、法规和规范性文件的相关规定，按照法定程序制订了《公</w:t>
      </w:r>
    </w:p>
    <w:p>
      <w:pPr>
        <w:pStyle w:val="BodyText"/>
        <w:spacing w:line="477" w:lineRule="auto" w:before="54"/>
        <w:ind w:right="1129"/>
        <w:jc w:val="both"/>
      </w:pPr>
      <w:r>
        <w:rPr/>
        <w:t>司章程》，建立了股东大会、董事会、监事会的法人治理结构，并设置了相应的组织机构。</w:t>
      </w:r>
      <w:r>
        <w:rPr>
          <w:spacing w:val="6"/>
        </w:rPr>
        <w:t> </w:t>
      </w:r>
      <w:r>
        <w:rPr/>
        <w:t>本公司具有独立的生产经营和</w:t>
      </w:r>
      <w:r>
        <w:rPr>
          <w:spacing w:val="-88"/>
        </w:rPr>
        <w:t> </w:t>
      </w:r>
      <w:r>
        <w:rPr>
          <w:spacing w:val="-88"/>
        </w:rPr>
      </w:r>
      <w:r>
        <w:rPr>
          <w:spacing w:val="-2"/>
        </w:rPr>
        <w:t>办公机构，完全独立于控股股东及实际控制人，不存在混合经营、合署办公的情况，控股股东及其他任何单位或个人均未干</w:t>
      </w:r>
      <w:r>
        <w:rPr>
          <w:spacing w:val="-64"/>
        </w:rPr>
        <w:t> </w:t>
      </w:r>
      <w:r>
        <w:rPr>
          <w:spacing w:val="-64"/>
        </w:rPr>
      </w:r>
      <w:r>
        <w:rPr/>
        <w:t>预本公司的机构设置和生产经营活动。</w:t>
      </w:r>
    </w:p>
    <w:p>
      <w:pPr>
        <w:pStyle w:val="BodyText"/>
        <w:spacing w:line="477" w:lineRule="auto" w:before="54"/>
        <w:ind w:left="513" w:right="1115"/>
        <w:jc w:val="left"/>
      </w:pPr>
      <w:r>
        <w:rPr>
          <w:rFonts w:ascii="宋体" w:hAnsi="宋体" w:cs="宋体" w:eastAsia="宋体" w:hint="default"/>
          <w:b/>
          <w:bCs/>
        </w:rPr>
        <w:t>（四）财务独立</w:t>
      </w:r>
      <w:r>
        <w:rPr>
          <w:rFonts w:ascii="宋体" w:hAnsi="宋体" w:cs="宋体" w:eastAsia="宋体" w:hint="default"/>
          <w:b/>
          <w:bCs/>
          <w:w w:val="99"/>
        </w:rPr>
        <w:t> </w:t>
      </w:r>
      <w:r>
        <w:rPr>
          <w:spacing w:val="-2"/>
        </w:rPr>
        <w:t>本公司设立独立的财务部门负责本公司的会计核算和财务管理工作。本公司财务总监及财务人员均专职在本公司工作并</w:t>
      </w:r>
    </w:p>
    <w:p>
      <w:pPr>
        <w:pStyle w:val="BodyText"/>
        <w:spacing w:line="477" w:lineRule="auto" w:before="54"/>
        <w:ind w:right="1130"/>
        <w:jc w:val="both"/>
      </w:pPr>
      <w:r>
        <w:rPr>
          <w:spacing w:val="-2"/>
        </w:rPr>
        <w:t>领取薪酬，未在与本公司业务相同或相似、或存在其他利益冲突的企业任职。本公司按照《会计法》、《企业会计准则》等</w:t>
      </w:r>
      <w:r>
        <w:rPr>
          <w:spacing w:val="-65"/>
        </w:rPr>
        <w:t> </w:t>
      </w:r>
      <w:r>
        <w:rPr>
          <w:spacing w:val="-65"/>
        </w:rPr>
      </w:r>
      <w:r>
        <w:rPr>
          <w:spacing w:val="-2"/>
        </w:rPr>
        <w:t>法律法规的要求，建立了符合自身特点的独立的会计核算体系和财务管理制度。本公司开设独立的银行账户，且作为独立纳</w:t>
      </w:r>
      <w:r>
        <w:rPr>
          <w:spacing w:val="-63"/>
        </w:rPr>
        <w:t> </w:t>
      </w:r>
      <w:r>
        <w:rPr>
          <w:spacing w:val="-63"/>
        </w:rPr>
      </w:r>
      <w:r>
        <w:rPr>
          <w:spacing w:val="-2"/>
        </w:rPr>
        <w:t>税人依法纳税。本公司能够依据《公司章程》和相关财务制度独立做出财务决策，不存在本公司股东或其他关联方干预本公</w:t>
      </w:r>
    </w:p>
    <w:p>
      <w:pPr>
        <w:spacing w:after="0" w:line="477"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1115"/>
        <w:jc w:val="left"/>
      </w:pPr>
      <w:r>
        <w:rPr/>
        <w:t>司资金使用的情况；本公司独立对外签订各项合同。</w:t>
      </w:r>
    </w:p>
    <w:p>
      <w:pPr>
        <w:spacing w:line="240" w:lineRule="auto" w:before="10"/>
        <w:rPr>
          <w:rFonts w:ascii="宋体" w:hAnsi="宋体" w:cs="宋体" w:eastAsia="宋体" w:hint="default"/>
          <w:sz w:val="17"/>
          <w:szCs w:val="17"/>
        </w:rPr>
      </w:pPr>
    </w:p>
    <w:p>
      <w:pPr>
        <w:pStyle w:val="BodyText"/>
        <w:spacing w:line="477" w:lineRule="auto"/>
        <w:ind w:left="513" w:right="1115"/>
        <w:jc w:val="left"/>
      </w:pPr>
      <w:r>
        <w:rPr>
          <w:rFonts w:ascii="宋体" w:hAnsi="宋体" w:cs="宋体" w:eastAsia="宋体" w:hint="default"/>
          <w:b/>
          <w:bCs/>
        </w:rPr>
        <w:t>（五）业务独立</w:t>
      </w:r>
      <w:r>
        <w:rPr>
          <w:rFonts w:ascii="宋体" w:hAnsi="宋体" w:cs="宋体" w:eastAsia="宋体" w:hint="default"/>
          <w:b/>
          <w:bCs/>
          <w:w w:val="99"/>
        </w:rPr>
        <w:t> </w:t>
      </w:r>
      <w:r>
        <w:rPr>
          <w:spacing w:val="-2"/>
        </w:rPr>
        <w:t>本公司拥有独立完整的研发、采购、生产和销售业务体系，具有直接面向市场独立经营的能力，不存在其他需要依赖控</w:t>
      </w:r>
    </w:p>
    <w:p>
      <w:pPr>
        <w:pStyle w:val="BodyText"/>
        <w:spacing w:line="477" w:lineRule="auto" w:before="54"/>
        <w:ind w:right="1115"/>
        <w:jc w:val="left"/>
      </w:pPr>
      <w:r>
        <w:rPr>
          <w:spacing w:val="-2"/>
        </w:rPr>
        <w:t>股股东、实际控制人及其控制的其他企业进行经营活动的情况。目前本公司从事提供智慧物流和智能制造系统服务业务，而</w:t>
      </w:r>
      <w:r>
        <w:rPr>
          <w:spacing w:val="-63"/>
        </w:rPr>
        <w:t> </w:t>
      </w:r>
      <w:r>
        <w:rPr>
          <w:spacing w:val="-63"/>
        </w:rPr>
      </w:r>
      <w:r>
        <w:rPr/>
        <w:t>主要股东、实际控制人及其控制的其他企业均不从事同类业务。本公司与控股股东、实际控制人不存在同业竞争。</w:t>
      </w:r>
    </w:p>
    <w:p>
      <w:pPr>
        <w:spacing w:line="240" w:lineRule="auto" w:before="7"/>
        <w:rPr>
          <w:rFonts w:ascii="宋体" w:hAnsi="宋体" w:cs="宋体" w:eastAsia="宋体" w:hint="default"/>
          <w:sz w:val="17"/>
          <w:szCs w:val="17"/>
        </w:rPr>
      </w:pPr>
    </w:p>
    <w:p>
      <w:pPr>
        <w:pStyle w:val="Heading4"/>
        <w:spacing w:line="240" w:lineRule="auto"/>
        <w:ind w:right="1115"/>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115"/>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both"/>
              <w:rPr>
                <w:rFonts w:ascii="宋体" w:hAnsi="宋体" w:cs="宋体" w:eastAsia="宋体" w:hint="default"/>
                <w:sz w:val="18"/>
                <w:szCs w:val="18"/>
              </w:rPr>
            </w:pPr>
            <w:r>
              <w:rPr>
                <w:rFonts w:ascii="宋体" w:hAnsi="宋体" w:cs="宋体" w:eastAsia="宋体" w:hint="default"/>
                <w:sz w:val="18"/>
                <w:szCs w:val="18"/>
              </w:rPr>
              <w:t>参见公司指定信息 披露网站巨潮资讯 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）上披露的</w:t>
            </w:r>
          </w:p>
          <w:p>
            <w:pPr>
              <w:pStyle w:val="TableParagraph"/>
              <w:spacing w:line="309" w:lineRule="auto" w:before="63"/>
              <w:ind w:left="23" w:right="-3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w:t>
            </w:r>
            <w:r>
              <w:rPr>
                <w:rFonts w:ascii="宋体" w:hAnsi="宋体" w:cs="宋体" w:eastAsia="宋体" w:hint="default"/>
                <w:spacing w:val="-11"/>
                <w:sz w:val="18"/>
                <w:szCs w:val="18"/>
              </w:rPr>
              <w:t>大会决议公告》（公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2018-025</w:t>
            </w:r>
            <w:r>
              <w:rPr>
                <w:rFonts w:ascii="宋体" w:hAnsi="宋体" w:cs="宋体" w:eastAsia="宋体" w:hint="default"/>
                <w:sz w:val="18"/>
                <w:szCs w:val="18"/>
              </w:rPr>
              <w:t>）</w:t>
            </w:r>
          </w:p>
        </w:tc>
      </w:tr>
      <w:tr>
        <w:trPr>
          <w:trHeight w:val="28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16"/>
              <w:jc w:val="right"/>
              <w:rPr>
                <w:rFonts w:ascii="Times New Roman" w:hAnsi="Times New Roman" w:cs="Times New Roman" w:eastAsia="Times New Roman" w:hint="default"/>
                <w:sz w:val="18"/>
                <w:szCs w:val="18"/>
              </w:rPr>
            </w:pPr>
            <w:r>
              <w:rPr>
                <w:rFonts w:ascii="Times New Roman"/>
                <w:sz w:val="18"/>
              </w:rPr>
              <w:t>52.22%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both"/>
              <w:rPr>
                <w:rFonts w:ascii="宋体" w:hAnsi="宋体" w:cs="宋体" w:eastAsia="宋体" w:hint="default"/>
                <w:sz w:val="18"/>
                <w:szCs w:val="18"/>
              </w:rPr>
            </w:pPr>
            <w:r>
              <w:rPr>
                <w:rFonts w:ascii="宋体" w:hAnsi="宋体" w:cs="宋体" w:eastAsia="宋体" w:hint="default"/>
                <w:sz w:val="18"/>
                <w:szCs w:val="18"/>
              </w:rPr>
              <w:t>参见公司指定信息 披露网站巨潮资讯 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）上披露的</w:t>
            </w:r>
          </w:p>
          <w:p>
            <w:pPr>
              <w:pStyle w:val="TableParagraph"/>
              <w:spacing w:line="312" w:lineRule="auto" w:before="63"/>
              <w:ind w:left="23" w:right="7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2018-044</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15"/>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6" w:hanging="1"/>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房殿军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梅月欣</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郑飞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15"/>
        <w:jc w:val="left"/>
      </w:pPr>
      <w:r>
        <w:rPr/>
        <w:t>连续两次未亲自出席董事会的说明</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5"/>
        <w:spacing w:line="240" w:lineRule="auto"/>
        <w:ind w:right="1115"/>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451" w:lineRule="auto" w:before="121"/>
        <w:ind w:right="1034" w:firstLine="360"/>
        <w:jc w:val="left"/>
      </w:pPr>
      <w:r>
        <w:rPr>
          <w:spacing w:val="-2"/>
        </w:rPr>
        <w:t>在报告期内，独立董事对公司《</w:t>
      </w:r>
      <w:r>
        <w:rPr>
          <w:rFonts w:ascii="Times New Roman" w:hAnsi="Times New Roman" w:cs="Times New Roman" w:eastAsia="Times New Roman" w:hint="default"/>
          <w:spacing w:val="-2"/>
        </w:rPr>
        <w:t>2017</w:t>
      </w:r>
      <w:r>
        <w:rPr>
          <w:spacing w:val="-2"/>
        </w:rPr>
        <w:t>年度内部控制自我评价报告》、《</w:t>
      </w:r>
      <w:r>
        <w:rPr>
          <w:rFonts w:ascii="Times New Roman" w:hAnsi="Times New Roman" w:cs="Times New Roman" w:eastAsia="Times New Roman" w:hint="default"/>
          <w:spacing w:val="-2"/>
        </w:rPr>
        <w:t>2017</w:t>
      </w:r>
      <w:r>
        <w:rPr>
          <w:spacing w:val="-2"/>
        </w:rPr>
        <w:t>年度利润分配预案》、募集资金存放与使用</w:t>
      </w:r>
      <w:r>
        <w:rPr/>
        <w:t> </w:t>
      </w:r>
      <w:r>
        <w:rPr>
          <w:spacing w:val="-2"/>
        </w:rPr>
        <w:t>情况、募集资金投资项目结项并将节余募集资金永久补充流动资金、控股股东及其他关联人占用公司资金的情况、预计</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2"/>
        </w:rPr>
        <w:t>年度公司日常关联交易、会计政策变更、续聘</w:t>
      </w:r>
      <w:r>
        <w:rPr>
          <w:rFonts w:ascii="Times New Roman" w:hAnsi="Times New Roman" w:cs="Times New Roman" w:eastAsia="Times New Roman" w:hint="default"/>
          <w:spacing w:val="-2"/>
        </w:rPr>
        <w:t>2018</w:t>
      </w:r>
      <w:r>
        <w:rPr>
          <w:spacing w:val="-2"/>
        </w:rPr>
        <w:t>年度会计师事务所、聘任副总裁、调整高级管理人员薪酬、公司对外担保</w:t>
      </w:r>
      <w:r>
        <w:rPr>
          <w:spacing w:val="-65"/>
        </w:rPr>
        <w:t> </w:t>
      </w:r>
      <w:r>
        <w:rPr>
          <w:spacing w:val="-65"/>
        </w:rPr>
      </w:r>
      <w:r>
        <w:rPr/>
        <w:t>事项、调整公司</w:t>
      </w:r>
      <w:r>
        <w:rPr>
          <w:rFonts w:ascii="Times New Roman" w:hAnsi="Times New Roman" w:cs="Times New Roman" w:eastAsia="Times New Roman" w:hint="default"/>
        </w:rPr>
        <w:t>2017</w:t>
      </w:r>
      <w:r>
        <w:rPr/>
        <w:t>年限制性股票激励计划相关事项、公司</w:t>
      </w:r>
      <w:r>
        <w:rPr>
          <w:rFonts w:ascii="Times New Roman" w:hAnsi="Times New Roman" w:cs="Times New Roman" w:eastAsia="Times New Roman" w:hint="default"/>
        </w:rPr>
        <w:t>2017</w:t>
      </w:r>
      <w:r>
        <w:rPr/>
        <w:t>年限制性股票激励计划首次授予第一个限售期可解除限售、 公司关联交易、公司使用自有资金购买理财产品等事项出具了独立、公正的独立意见。</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Heading4"/>
        <w:spacing w:line="240" w:lineRule="auto"/>
        <w:ind w:right="1115"/>
        <w:jc w:val="left"/>
        <w:rPr>
          <w:b w:val="0"/>
          <w:bCs w:val="0"/>
        </w:rPr>
      </w:pPr>
      <w:r>
        <w:rPr/>
        <w:t>六、董事会下设专门委员会在报告期内履行职责情况</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034" w:firstLine="360"/>
        <w:jc w:val="left"/>
      </w:pPr>
      <w:r>
        <w:rPr/>
        <w:t>公司董事会下设审计委员会根据有关规定认真履行职责，在报告期内，审议通过了公司定期报告、内部控制评价报告、 募集资金存放与使用情况、续聘</w:t>
      </w:r>
      <w:r>
        <w:rPr>
          <w:rFonts w:ascii="Times New Roman" w:hAnsi="Times New Roman" w:cs="Times New Roman" w:eastAsia="Times New Roman" w:hint="default"/>
        </w:rPr>
        <w:t>2018</w:t>
      </w:r>
      <w:r>
        <w:rPr/>
        <w:t>年度财务审计机构等事项。</w:t>
      </w:r>
    </w:p>
    <w:p>
      <w:pPr>
        <w:pStyle w:val="BodyText"/>
        <w:spacing w:line="463" w:lineRule="auto" w:before="21"/>
        <w:ind w:right="1034" w:firstLine="360"/>
        <w:jc w:val="left"/>
      </w:pPr>
      <w:r>
        <w:rPr/>
        <w:t>公司董事会下设提名与薪酬考核委员会根据有关规定认真履行职责，在报告期内，审核了《关于聘任副总裁的议案》， </w:t>
      </w:r>
      <w:r>
        <w:rPr>
          <w:spacing w:val="-2"/>
        </w:rPr>
        <w:t>聘任曾巍巍先生为公司副总裁；审核了《关于调整高级管理人员薪酬的议案》；核查了公司</w:t>
      </w:r>
      <w:r>
        <w:rPr>
          <w:rFonts w:ascii="Times New Roman" w:hAnsi="Times New Roman" w:cs="Times New Roman" w:eastAsia="Times New Roman" w:hint="default"/>
          <w:spacing w:val="-2"/>
        </w:rPr>
        <w:t>2017</w:t>
      </w:r>
      <w:r>
        <w:rPr>
          <w:spacing w:val="-2"/>
        </w:rPr>
        <w:t>年限制性股票激励计划激励</w:t>
      </w:r>
      <w:r>
        <w:rPr>
          <w:spacing w:val="-63"/>
        </w:rPr>
        <w:t> </w:t>
      </w:r>
      <w:r>
        <w:rPr>
          <w:spacing w:val="-63"/>
        </w:rPr>
      </w:r>
      <w:r>
        <w:rPr/>
        <w:t>对象首次授予第一个解除限售期可解除限售资格相关事项。</w:t>
      </w:r>
    </w:p>
    <w:p>
      <w:pPr>
        <w:spacing w:after="0" w:line="463"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15"/>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5"/>
        <w:jc w:val="left"/>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4"/>
        <w:spacing w:line="240" w:lineRule="auto"/>
        <w:ind w:right="1115"/>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32"/>
          <w:szCs w:val="32"/>
        </w:rPr>
      </w:pPr>
    </w:p>
    <w:p>
      <w:pPr>
        <w:pStyle w:val="BodyText"/>
        <w:spacing w:line="477" w:lineRule="auto"/>
        <w:ind w:right="1132" w:firstLine="360"/>
        <w:jc w:val="both"/>
      </w:pPr>
      <w:r>
        <w:rPr>
          <w:spacing w:val="-2"/>
        </w:rPr>
        <w:t>公司高级管理人员的薪酬构成包括基本和绩效奖惩两部分，基本薪酬根据职位类别确定，激励薪酬与公司业绩及其工作</w:t>
      </w:r>
      <w:r>
        <w:rPr/>
        <w:t> </w:t>
      </w:r>
      <w:r>
        <w:rPr>
          <w:spacing w:val="-2"/>
        </w:rPr>
        <w:t>考核情况挂钩。每年初公司根据生产经营目标及公司领导所分管的部门（工作）职能来与高级管理人员签署目标责任书，确</w:t>
      </w:r>
      <w:r>
        <w:rPr>
          <w:spacing w:val="-66"/>
        </w:rPr>
        <w:t> </w:t>
      </w:r>
      <w:r>
        <w:rPr>
          <w:spacing w:val="-66"/>
        </w:rPr>
      </w:r>
      <w:r>
        <w:rPr/>
        <w:t>定其考核指标，年末根据业绩指标完成情况来考核高级管理人员。</w:t>
      </w:r>
    </w:p>
    <w:p>
      <w:pPr>
        <w:pStyle w:val="BodyText"/>
        <w:spacing w:line="240" w:lineRule="auto" w:before="55"/>
        <w:ind w:left="513" w:right="1115"/>
        <w:jc w:val="left"/>
      </w:pPr>
      <w:r>
        <w:rPr>
          <w:rFonts w:ascii="Times New Roman" w:hAnsi="Times New Roman" w:cs="Times New Roman" w:eastAsia="Times New Roman" w:hint="default"/>
        </w:rPr>
        <w:t>2018</w:t>
      </w:r>
      <w:r>
        <w:rPr/>
        <w:t>年，公司依照公司</w:t>
      </w:r>
      <w:r>
        <w:rPr>
          <w:rFonts w:ascii="Times New Roman" w:hAnsi="Times New Roman" w:cs="Times New Roman" w:eastAsia="Times New Roman" w:hint="default"/>
        </w:rPr>
        <w:t>2017</w:t>
      </w:r>
      <w:r>
        <w:rPr/>
        <w:t>年限制性股票激励计划所制定的业绩目标，对高级管理人员进行了考核。</w:t>
      </w:r>
    </w:p>
    <w:p>
      <w:pPr>
        <w:spacing w:line="240" w:lineRule="auto" w:before="0"/>
        <w:rPr>
          <w:rFonts w:ascii="宋体" w:hAnsi="宋体" w:cs="宋体" w:eastAsia="宋体" w:hint="default"/>
          <w:sz w:val="18"/>
          <w:szCs w:val="18"/>
        </w:rPr>
      </w:pPr>
    </w:p>
    <w:p>
      <w:pPr>
        <w:pStyle w:val="Heading4"/>
        <w:spacing w:line="240" w:lineRule="auto" w:before="158"/>
        <w:ind w:right="1115"/>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pStyle w:val="BodyText"/>
        <w:spacing w:line="240" w:lineRule="auto" w:before="44"/>
        <w:ind w:right="1136"/>
        <w:jc w:val="right"/>
      </w:pPr>
      <w:r>
        <w:rPr/>
        <w:pict>
          <v:shape style="position:absolute;margin-left:56.400002pt;margin-top:-268.49826pt;width:479.3pt;height:326.4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6"/>
                    <w:gridCol w:w="3822"/>
                    <w:gridCol w:w="3053"/>
                  </w:tblGrid>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161" w:hRule="exact"/>
                    </w:trPr>
                    <w:tc>
                      <w:tcPr>
                        <w:tcW w:w="2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5" w:type="dxa"/>
                        <w:gridSpan w:val="2"/>
                        <w:vMerge w:val="restart"/>
                        <w:tcBorders>
                          <w:top w:val="single" w:sz="4" w:space="0" w:color="000000"/>
                          <w:left w:val="single" w:sz="4" w:space="0" w:color="000000"/>
                          <w:right w:val="single" w:sz="4" w:space="0" w:color="000000"/>
                        </w:tcBorders>
                      </w:tcPr>
                      <w:p>
                        <w:pPr>
                          <w:pStyle w:val="TableParagraph"/>
                          <w:spacing w:line="297" w:lineRule="auto" w:before="49"/>
                          <w:ind w:left="23" w:right="17"/>
                          <w:jc w:val="left"/>
                          <w:rPr>
                            <w:rFonts w:ascii="宋体" w:hAnsi="宋体" w:cs="宋体" w:eastAsia="宋体" w:hint="default"/>
                            <w:sz w:val="18"/>
                            <w:szCs w:val="18"/>
                          </w:rPr>
                        </w:pPr>
                        <w:r>
                          <w:rPr>
                            <w:rFonts w:ascii="宋体" w:hAnsi="宋体" w:cs="宋体" w:eastAsia="宋体" w:hint="default"/>
                            <w:spacing w:val="-3"/>
                            <w:sz w:val="18"/>
                            <w:szCs w:val="18"/>
                          </w:rPr>
                          <w:t>参见公司指定信息披露网站巨潮资讯网（</w:t>
                        </w:r>
                        <w:hyperlink r:id="rId13">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）上披露的《</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年度内部</w:t>
                        </w:r>
                        <w:r>
                          <w:rPr>
                            <w:rFonts w:ascii="宋体" w:hAnsi="宋体" w:cs="宋体" w:eastAsia="宋体" w:hint="default"/>
                            <w:spacing w:val="-79"/>
                            <w:sz w:val="18"/>
                            <w:szCs w:val="18"/>
                          </w:rPr>
                          <w:t> </w:t>
                        </w:r>
                        <w:r>
                          <w:rPr>
                            <w:rFonts w:ascii="宋体" w:hAnsi="宋体" w:cs="宋体" w:eastAsia="宋体" w:hint="default"/>
                            <w:sz w:val="18"/>
                            <w:szCs w:val="18"/>
                          </w:rPr>
                          <w:t>控制自我评价报告》</w:t>
                        </w:r>
                      </w:p>
                    </w:tc>
                  </w:tr>
                  <w:tr>
                    <w:trPr>
                      <w:trHeight w:val="392" w:hRule="exact"/>
                    </w:trPr>
                    <w:tc>
                      <w:tcPr>
                        <w:tcW w:w="2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75" w:type="dxa"/>
                        <w:gridSpan w:val="2"/>
                        <w:vMerge/>
                        <w:tcBorders>
                          <w:left w:val="single" w:sz="4" w:space="0" w:color="000000"/>
                          <w:right w:val="single" w:sz="4" w:space="0" w:color="000000"/>
                        </w:tcBorders>
                      </w:tcPr>
                      <w:p>
                        <w:pPr/>
                      </w:p>
                    </w:tc>
                  </w:tr>
                  <w:tr>
                    <w:trPr>
                      <w:trHeight w:val="161" w:hRule="exact"/>
                    </w:trPr>
                    <w:tc>
                      <w:tcPr>
                        <w:tcW w:w="2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5" w:type="dxa"/>
                        <w:gridSpan w:val="2"/>
                        <w:vMerge/>
                        <w:tcBorders>
                          <w:left w:val="single" w:sz="4" w:space="0" w:color="000000"/>
                          <w:bottom w:val="single" w:sz="4" w:space="0" w:color="000000"/>
                          <w:right w:val="single" w:sz="4" w:space="0" w:color="000000"/>
                        </w:tcBorders>
                      </w:tcPr>
                      <w:p>
                        <w:pP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8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8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390" w:hRule="exact"/>
                    </w:trPr>
                    <w:tc>
                      <w:tcPr>
                        <w:tcW w:w="2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2"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）财务报告重大缺陷的迹象包括： ①</w:t>
                        </w:r>
                        <w:r>
                          <w:rPr>
                            <w:rFonts w:ascii="宋体" w:hAnsi="宋体" w:cs="宋体" w:eastAsia="宋体" w:hint="default"/>
                            <w:spacing w:val="2"/>
                            <w:sz w:val="18"/>
                            <w:szCs w:val="18"/>
                          </w:rPr>
                          <w:t> </w:t>
                        </w:r>
                        <w:r>
                          <w:rPr>
                            <w:rFonts w:ascii="宋体" w:hAnsi="宋体" w:cs="宋体" w:eastAsia="宋体" w:hint="default"/>
                            <w:sz w:val="18"/>
                            <w:szCs w:val="18"/>
                          </w:rPr>
                          <w:t>公司</w:t>
                        </w:r>
                        <w:r>
                          <w:rPr>
                            <w:rFonts w:ascii="宋体" w:hAnsi="宋体" w:cs="宋体" w:eastAsia="宋体" w:hint="default"/>
                            <w:sz w:val="18"/>
                            <w:szCs w:val="18"/>
                          </w:rPr>
                          <w:t> 董事、监事和高级管理人员的舞弊行为；</w:t>
                        </w:r>
                        <w:r>
                          <w:rPr>
                            <w:rFonts w:ascii="宋体" w:hAnsi="宋体" w:cs="宋体" w:eastAsia="宋体" w:hint="default"/>
                            <w:spacing w:val="2"/>
                            <w:sz w:val="18"/>
                            <w:szCs w:val="18"/>
                          </w:rPr>
                          <w:t> </w:t>
                        </w:r>
                        <w:r>
                          <w:rPr>
                            <w:rFonts w:ascii="宋体" w:hAnsi="宋体" w:cs="宋体" w:eastAsia="宋体" w:hint="default"/>
                            <w:sz w:val="18"/>
                            <w:szCs w:val="18"/>
                          </w:rPr>
                          <w:t>②公</w:t>
                        </w:r>
                        <w:r>
                          <w:rPr>
                            <w:rFonts w:ascii="宋体" w:hAnsi="宋体" w:cs="宋体" w:eastAsia="宋体" w:hint="default"/>
                            <w:sz w:val="18"/>
                            <w:szCs w:val="18"/>
                          </w:rPr>
                          <w:t> </w:t>
                        </w:r>
                        <w:r>
                          <w:rPr>
                            <w:rFonts w:ascii="宋体" w:hAnsi="宋体" w:cs="宋体" w:eastAsia="宋体" w:hint="default"/>
                            <w:spacing w:val="-1"/>
                            <w:sz w:val="18"/>
                            <w:szCs w:val="18"/>
                          </w:rPr>
                          <w:t>司更正已公布的财务报告、注册会计师发现的却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未被公司内部控制识别的当期财务报告中的重 大错报；③</w:t>
                        </w:r>
                        <w:r>
                          <w:rPr>
                            <w:rFonts w:ascii="宋体" w:hAnsi="宋体" w:cs="宋体" w:eastAsia="宋体" w:hint="default"/>
                            <w:spacing w:val="1"/>
                            <w:sz w:val="18"/>
                            <w:szCs w:val="18"/>
                          </w:rPr>
                          <w:t> </w:t>
                        </w:r>
                        <w:r>
                          <w:rPr>
                            <w:rFonts w:ascii="宋体" w:hAnsi="宋体" w:cs="宋体" w:eastAsia="宋体" w:hint="default"/>
                            <w:sz w:val="18"/>
                            <w:szCs w:val="18"/>
                          </w:rPr>
                          <w:t>内部控制审计机构对公司的对外财</w:t>
                        </w:r>
                        <w:r>
                          <w:rPr>
                            <w:rFonts w:ascii="宋体" w:hAnsi="宋体" w:cs="宋体" w:eastAsia="宋体" w:hint="default"/>
                            <w:sz w:val="18"/>
                            <w:szCs w:val="18"/>
                          </w:rPr>
                          <w:t> </w:t>
                        </w:r>
                        <w:r>
                          <w:rPr>
                            <w:rFonts w:ascii="宋体" w:hAnsi="宋体" w:cs="宋体" w:eastAsia="宋体" w:hint="default"/>
                            <w:spacing w:val="-5"/>
                            <w:sz w:val="18"/>
                            <w:szCs w:val="18"/>
                          </w:rPr>
                          <w:t>务报告和财务报告内部控制监督无效；（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报告重要缺陷的迹象包括： ①</w:t>
                        </w:r>
                        <w:r>
                          <w:rPr>
                            <w:rFonts w:ascii="宋体" w:hAnsi="宋体" w:cs="宋体" w:eastAsia="宋体" w:hint="default"/>
                            <w:spacing w:val="-13"/>
                            <w:sz w:val="18"/>
                            <w:szCs w:val="18"/>
                          </w:rPr>
                          <w:t> </w:t>
                        </w:r>
                        <w:r>
                          <w:rPr>
                            <w:rFonts w:ascii="宋体" w:hAnsi="宋体" w:cs="宋体" w:eastAsia="宋体" w:hint="default"/>
                            <w:sz w:val="18"/>
                            <w:szCs w:val="18"/>
                          </w:rPr>
                          <w:t>未依照公认会计</w:t>
                        </w:r>
                        <w:r>
                          <w:rPr>
                            <w:rFonts w:ascii="宋体" w:hAnsi="宋体" w:cs="宋体" w:eastAsia="宋体" w:hint="default"/>
                            <w:sz w:val="18"/>
                            <w:szCs w:val="18"/>
                          </w:rPr>
                          <w:t> 准则选择和应用会计政策； ②</w:t>
                        </w:r>
                        <w:r>
                          <w:rPr>
                            <w:rFonts w:ascii="宋体" w:hAnsi="宋体" w:cs="宋体" w:eastAsia="宋体" w:hint="default"/>
                            <w:spacing w:val="-13"/>
                            <w:sz w:val="18"/>
                            <w:szCs w:val="18"/>
                          </w:rPr>
                          <w:t> </w:t>
                        </w:r>
                        <w:r>
                          <w:rPr>
                            <w:rFonts w:ascii="宋体" w:hAnsi="宋体" w:cs="宋体" w:eastAsia="宋体" w:hint="default"/>
                            <w:sz w:val="18"/>
                            <w:szCs w:val="18"/>
                          </w:rPr>
                          <w:t>未建立反舞弊程</w:t>
                        </w:r>
                        <w:r>
                          <w:rPr>
                            <w:rFonts w:ascii="宋体" w:hAnsi="宋体" w:cs="宋体" w:eastAsia="宋体" w:hint="default"/>
                            <w:sz w:val="18"/>
                            <w:szCs w:val="18"/>
                          </w:rPr>
                          <w:t> 序和控制措施； ③</w:t>
                        </w:r>
                        <w:r>
                          <w:rPr>
                            <w:rFonts w:ascii="宋体" w:hAnsi="宋体" w:cs="宋体" w:eastAsia="宋体" w:hint="default"/>
                            <w:spacing w:val="-13"/>
                            <w:sz w:val="18"/>
                            <w:szCs w:val="18"/>
                          </w:rPr>
                          <w:t> </w:t>
                        </w:r>
                        <w:r>
                          <w:rPr>
                            <w:rFonts w:ascii="宋体" w:hAnsi="宋体" w:cs="宋体" w:eastAsia="宋体" w:hint="default"/>
                            <w:sz w:val="18"/>
                            <w:szCs w:val="18"/>
                          </w:rPr>
                          <w:t>对于非常规或特殊交易的账</w:t>
                        </w:r>
                        <w:r>
                          <w:rPr>
                            <w:rFonts w:ascii="宋体" w:hAnsi="宋体" w:cs="宋体" w:eastAsia="宋体" w:hint="default"/>
                            <w:sz w:val="18"/>
                            <w:szCs w:val="18"/>
                          </w:rPr>
                          <w:t> 务处理没有建立相应的控制机制或没有实施且</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6"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）非财务报告重大缺陷的存在的迹 象包括：</w:t>
                        </w:r>
                        <w:r>
                          <w:rPr>
                            <w:rFonts w:ascii="宋体" w:hAnsi="宋体" w:cs="宋体" w:eastAsia="宋体" w:hint="default"/>
                            <w:spacing w:val="-65"/>
                            <w:sz w:val="18"/>
                            <w:szCs w:val="18"/>
                          </w:rPr>
                          <w:t> </w:t>
                        </w:r>
                        <w:r>
                          <w:rPr>
                            <w:rFonts w:ascii="宋体" w:hAnsi="宋体" w:cs="宋体" w:eastAsia="宋体" w:hint="default"/>
                            <w:sz w:val="18"/>
                            <w:szCs w:val="18"/>
                          </w:rPr>
                          <w:t>①</w:t>
                        </w:r>
                        <w:r>
                          <w:rPr>
                            <w:rFonts w:ascii="宋体" w:hAnsi="宋体" w:cs="宋体" w:eastAsia="宋体" w:hint="default"/>
                            <w:spacing w:val="-2"/>
                            <w:sz w:val="18"/>
                            <w:szCs w:val="18"/>
                          </w:rPr>
                          <w:t> </w:t>
                        </w:r>
                        <w:r>
                          <w:rPr>
                            <w:rFonts w:ascii="宋体" w:hAnsi="宋体" w:cs="宋体" w:eastAsia="宋体" w:hint="default"/>
                            <w:sz w:val="18"/>
                            <w:szCs w:val="18"/>
                          </w:rPr>
                          <w:t>违反国家法律法规或规范</w:t>
                        </w:r>
                        <w:r>
                          <w:rPr>
                            <w:rFonts w:ascii="宋体" w:hAnsi="宋体" w:cs="宋体" w:eastAsia="宋体" w:hint="default"/>
                            <w:sz w:val="18"/>
                            <w:szCs w:val="18"/>
                          </w:rPr>
                          <w:t> </w:t>
                        </w:r>
                        <w:r>
                          <w:rPr>
                            <w:rFonts w:ascii="宋体" w:hAnsi="宋体" w:cs="宋体" w:eastAsia="宋体" w:hint="default"/>
                            <w:spacing w:val="2"/>
                            <w:sz w:val="18"/>
                            <w:szCs w:val="18"/>
                          </w:rPr>
                          <w:t>性文件；②</w:t>
                        </w:r>
                        <w:r>
                          <w:rPr>
                            <w:rFonts w:ascii="宋体" w:hAnsi="宋体" w:cs="宋体" w:eastAsia="宋体" w:hint="default"/>
                            <w:spacing w:val="13"/>
                            <w:sz w:val="18"/>
                            <w:szCs w:val="18"/>
                          </w:rPr>
                          <w:t> </w:t>
                        </w:r>
                        <w:r>
                          <w:rPr>
                            <w:rFonts w:ascii="宋体" w:hAnsi="宋体" w:cs="宋体" w:eastAsia="宋体" w:hint="default"/>
                            <w:sz w:val="18"/>
                            <w:szCs w:val="18"/>
                          </w:rPr>
                          <w:t>重大决策程序不科学；③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制度缺失可能导致系统性失效、重大或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重要缺陷不能得到整改；</w:t>
                        </w:r>
                        <w:r>
                          <w:rPr>
                            <w:rFonts w:ascii="宋体" w:hAnsi="宋体" w:cs="宋体" w:eastAsia="宋体" w:hint="default"/>
                            <w:spacing w:val="-64"/>
                            <w:sz w:val="18"/>
                            <w:szCs w:val="18"/>
                          </w:rPr>
                          <w:t> </w:t>
                        </w:r>
                        <w:r>
                          <w:rPr>
                            <w:rFonts w:ascii="宋体" w:hAnsi="宋体" w:cs="宋体" w:eastAsia="宋体" w:hint="default"/>
                            <w:sz w:val="18"/>
                            <w:szCs w:val="18"/>
                          </w:rPr>
                          <w:t>④</w:t>
                        </w:r>
                        <w:r>
                          <w:rPr>
                            <w:rFonts w:ascii="宋体" w:hAnsi="宋体" w:cs="宋体" w:eastAsia="宋体" w:hint="default"/>
                            <w:spacing w:val="-2"/>
                            <w:sz w:val="18"/>
                            <w:szCs w:val="18"/>
                          </w:rPr>
                          <w:t> </w:t>
                        </w:r>
                        <w:r>
                          <w:rPr>
                            <w:rFonts w:ascii="宋体" w:hAnsi="宋体" w:cs="宋体" w:eastAsia="宋体" w:hint="default"/>
                            <w:sz w:val="18"/>
                            <w:szCs w:val="18"/>
                          </w:rPr>
                          <w:t>内部控制</w:t>
                        </w:r>
                        <w:r>
                          <w:rPr>
                            <w:rFonts w:ascii="宋体" w:hAnsi="宋体" w:cs="宋体" w:eastAsia="宋体" w:hint="default"/>
                            <w:sz w:val="18"/>
                            <w:szCs w:val="18"/>
                          </w:rPr>
                          <w:t> 审计机构未能有效发挥监督职能；</w:t>
                        </w:r>
                        <w:r>
                          <w:rPr>
                            <w:rFonts w:ascii="宋体" w:hAnsi="宋体" w:cs="宋体" w:eastAsia="宋体" w:hint="default"/>
                            <w:spacing w:val="1"/>
                            <w:sz w:val="18"/>
                            <w:szCs w:val="18"/>
                          </w:rPr>
                          <w:t> </w:t>
                        </w:r>
                        <w:r>
                          <w:rPr>
                            <w:rFonts w:ascii="宋体" w:hAnsi="宋体" w:cs="宋体" w:eastAsia="宋体" w:hint="default"/>
                            <w:sz w:val="18"/>
                            <w:szCs w:val="18"/>
                          </w:rPr>
                          <w:t>⑤</w:t>
                        </w:r>
                        <w:r>
                          <w:rPr>
                            <w:rFonts w:ascii="宋体" w:hAnsi="宋体" w:cs="宋体" w:eastAsia="宋体" w:hint="default"/>
                            <w:sz w:val="18"/>
                            <w:szCs w:val="18"/>
                          </w:rPr>
                          <w:t> </w:t>
                        </w:r>
                        <w:r>
                          <w:rPr>
                            <w:rFonts w:ascii="宋体" w:hAnsi="宋体" w:cs="宋体" w:eastAsia="宋体" w:hint="default"/>
                            <w:spacing w:val="-4"/>
                            <w:sz w:val="18"/>
                            <w:szCs w:val="18"/>
                          </w:rPr>
                          <w:t>其他对公司负面影响重大的情形。（</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其他情形按影响程度分别确定为重要 缺陷或一般缺陷。</w:t>
                        </w:r>
                      </w:p>
                    </w:tc>
                  </w:tr>
                  <w:tr>
                    <w:trPr>
                      <w:trHeight w:val="391" w:hRule="exact"/>
                    </w:trPr>
                    <w:tc>
                      <w:tcPr>
                        <w:tcW w:w="2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822"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390" w:hRule="exact"/>
                    </w:trPr>
                    <w:tc>
                      <w:tcPr>
                        <w:tcW w:w="2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2"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94"/>
        <w:gridCol w:w="3822"/>
        <w:gridCol w:w="3053"/>
      </w:tblGrid>
      <w:tr>
        <w:trPr>
          <w:trHeight w:val="161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5"/>
              <w:jc w:val="left"/>
              <w:rPr>
                <w:rFonts w:ascii="宋体" w:hAnsi="宋体" w:cs="宋体" w:eastAsia="宋体" w:hint="default"/>
                <w:sz w:val="18"/>
                <w:szCs w:val="18"/>
              </w:rPr>
            </w:pPr>
            <w:r>
              <w:rPr>
                <w:rFonts w:ascii="宋体" w:hAnsi="宋体" w:cs="宋体" w:eastAsia="宋体" w:hint="default"/>
                <w:sz w:val="18"/>
                <w:szCs w:val="18"/>
              </w:rPr>
              <w:t>没有相应的补偿性控制；④</w:t>
            </w:r>
            <w:r>
              <w:rPr>
                <w:rFonts w:ascii="宋体" w:hAnsi="宋体" w:cs="宋体" w:eastAsia="宋体" w:hint="default"/>
                <w:spacing w:val="1"/>
                <w:sz w:val="18"/>
                <w:szCs w:val="18"/>
              </w:rPr>
              <w:t> </w:t>
            </w:r>
            <w:r>
              <w:rPr>
                <w:rFonts w:ascii="宋体" w:hAnsi="宋体" w:cs="宋体" w:eastAsia="宋体" w:hint="default"/>
                <w:sz w:val="18"/>
                <w:szCs w:val="18"/>
              </w:rPr>
              <w:t>对于期末财务报告</w:t>
            </w:r>
            <w:r>
              <w:rPr>
                <w:rFonts w:ascii="宋体" w:hAnsi="宋体" w:cs="宋体" w:eastAsia="宋体" w:hint="default"/>
                <w:sz w:val="18"/>
                <w:szCs w:val="18"/>
              </w:rPr>
              <w:t> 过程的控制存在一项或多项缺陷且不能合理保 </w:t>
            </w:r>
            <w:r>
              <w:rPr>
                <w:rFonts w:ascii="宋体" w:hAnsi="宋体" w:cs="宋体" w:eastAsia="宋体" w:hint="default"/>
                <w:spacing w:val="-5"/>
                <w:sz w:val="18"/>
                <w:szCs w:val="18"/>
              </w:rPr>
              <w:t>证编制的财务报表达到真实、准确的目标。（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一般缺陷是指除上述重大缺陷、重要缺陷之外的</w:t>
            </w:r>
            <w:r>
              <w:rPr>
                <w:rFonts w:ascii="宋体" w:hAnsi="宋体" w:cs="宋体" w:eastAsia="宋体" w:hint="default"/>
                <w:sz w:val="18"/>
                <w:szCs w:val="18"/>
              </w:rPr>
              <w:t> 其他控制缺陷。</w:t>
            </w: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缺陷影响大于或等于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日合并财务报表税前净利润的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缺陷影响大于或等于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日合并财 务报表税前净利润的</w:t>
            </w:r>
            <w:r>
              <w:rPr>
                <w:rFonts w:ascii="宋体" w:hAnsi="宋体" w:cs="宋体" w:eastAsia="宋体" w:hint="default"/>
                <w:spacing w:val="-36"/>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，一般缺陷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缺陷影响小</w:t>
            </w:r>
            <w:r>
              <w:rPr>
                <w:rFonts w:ascii="宋体" w:hAnsi="宋体" w:cs="宋体" w:eastAsia="宋体" w:hint="default"/>
                <w:spacing w:val="-88"/>
                <w:sz w:val="18"/>
                <w:szCs w:val="18"/>
              </w:rPr>
              <w:t> </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日合并财务报表税前净利润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缺陷影响大于或等于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日合并财务报表税前净利润</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缺陷影响大于或等</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日合并财务报表税</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前净利润的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，一般缺陷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缺陷影响</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日合并财务报表</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税前净利润的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4"/>
        <w:spacing w:line="240" w:lineRule="auto" w:before="26"/>
        <w:ind w:right="1115"/>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115"/>
        <w:jc w:val="left"/>
        <w:rPr>
          <w:b w:val="0"/>
          <w:bCs w:val="0"/>
        </w:rPr>
      </w:pPr>
      <w:bookmarkStart w:name="_TOC_250002" w:id="10"/>
      <w:r>
        <w:rPr/>
        <w:t>第十节</w:t>
      </w:r>
      <w:r>
        <w:rPr>
          <w:spacing w:val="-6"/>
        </w:rPr>
        <w:t> </w:t>
      </w:r>
      <w:r>
        <w:rPr/>
        <w:t>公司债券相关情况</w:t>
      </w:r>
      <w:bookmarkEnd w:id="10"/>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15"/>
        <w:jc w:val="left"/>
        <w:rPr>
          <w:b w:val="0"/>
          <w:bCs w:val="0"/>
        </w:rPr>
      </w:pPr>
      <w:bookmarkStart w:name="_TOC_250001" w:id="11"/>
      <w:r>
        <w:rPr/>
        <w:t>第十一节</w:t>
      </w:r>
      <w:r>
        <w:rPr>
          <w:spacing w:val="-6"/>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1115"/>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ZI10241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崔岩、徐冬冬</w:t>
            </w:r>
          </w:p>
        </w:tc>
      </w:tr>
    </w:tbl>
    <w:p>
      <w:pPr>
        <w:spacing w:line="240" w:lineRule="auto" w:before="1"/>
        <w:rPr>
          <w:rFonts w:ascii="宋体" w:hAnsi="宋体" w:cs="宋体" w:eastAsia="宋体" w:hint="default"/>
          <w:b/>
          <w:bCs/>
          <w:sz w:val="23"/>
          <w:szCs w:val="23"/>
        </w:rPr>
      </w:pPr>
    </w:p>
    <w:p>
      <w:pPr>
        <w:spacing w:line="460" w:lineRule="exact" w:before="0"/>
        <w:ind w:left="133" w:right="1111"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3"/>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4"/>
        <w:rPr>
          <w:rFonts w:ascii="宋体" w:hAnsi="宋体" w:cs="宋体" w:eastAsia="宋体" w:hint="default"/>
          <w:b/>
          <w:bCs/>
          <w:sz w:val="29"/>
          <w:szCs w:val="29"/>
        </w:rPr>
      </w:pPr>
    </w:p>
    <w:p>
      <w:pPr>
        <w:pStyle w:val="BodyText"/>
        <w:spacing w:line="240" w:lineRule="auto" w:before="44"/>
        <w:ind w:right="1128"/>
        <w:jc w:val="right"/>
      </w:pPr>
      <w:r>
        <w:rPr/>
        <w:t>信会师报字</w:t>
      </w:r>
      <w:r>
        <w:rPr>
          <w:rFonts w:ascii="等线" w:hAnsi="等线" w:cs="等线" w:eastAsia="等线" w:hint="default"/>
        </w:rPr>
        <w:t>[2019]</w:t>
      </w:r>
      <w:r>
        <w:rPr/>
        <w:t>第</w:t>
      </w:r>
      <w:r>
        <w:rPr>
          <w:spacing w:val="-50"/>
        </w:rPr>
        <w:t> </w:t>
      </w:r>
      <w:r>
        <w:rPr>
          <w:rFonts w:ascii="等线" w:hAnsi="等线" w:cs="等线" w:eastAsia="等线" w:hint="default"/>
        </w:rPr>
        <w:t>ZI10241</w:t>
      </w:r>
      <w:r>
        <w:rPr>
          <w:rFonts w:ascii="等线" w:hAnsi="等线" w:cs="等线" w:eastAsia="等线" w:hint="default"/>
          <w:spacing w:val="-6"/>
        </w:rPr>
        <w:t> </w:t>
      </w:r>
      <w:r>
        <w:rPr/>
        <w:t>号</w:t>
      </w:r>
    </w:p>
    <w:p>
      <w:pPr>
        <w:spacing w:line="240" w:lineRule="auto" w:before="4"/>
        <w:rPr>
          <w:rFonts w:ascii="宋体" w:hAnsi="宋体" w:cs="宋体" w:eastAsia="宋体" w:hint="default"/>
          <w:sz w:val="28"/>
          <w:szCs w:val="28"/>
        </w:rPr>
      </w:pPr>
    </w:p>
    <w:p>
      <w:pPr>
        <w:pStyle w:val="Heading2"/>
        <w:spacing w:line="240" w:lineRule="auto" w:before="14"/>
        <w:ind w:left="152" w:right="1115"/>
        <w:jc w:val="left"/>
        <w:rPr>
          <w:b w:val="0"/>
          <w:bCs w:val="0"/>
        </w:rPr>
      </w:pPr>
      <w:r>
        <w:rPr/>
        <w:t>深圳市今天国际物流技术股份有限公司全体股东：</w:t>
      </w:r>
      <w:r>
        <w:rPr>
          <w:b w:val="0"/>
          <w:bCs w:val="0"/>
        </w:rPr>
      </w:r>
    </w:p>
    <w:p>
      <w:pPr>
        <w:spacing w:line="240" w:lineRule="auto" w:before="5"/>
        <w:rPr>
          <w:rFonts w:ascii="宋体" w:hAnsi="宋体" w:cs="宋体" w:eastAsia="宋体" w:hint="default"/>
          <w:b/>
          <w:bCs/>
          <w:sz w:val="28"/>
          <w:szCs w:val="28"/>
        </w:rPr>
      </w:pPr>
    </w:p>
    <w:p>
      <w:pPr>
        <w:pStyle w:val="Heading2"/>
        <w:spacing w:line="240" w:lineRule="auto"/>
        <w:ind w:right="1115"/>
        <w:jc w:val="left"/>
        <w:rPr>
          <w:rFonts w:ascii="等线" w:hAnsi="等线" w:cs="等线" w:eastAsia="等线" w:hint="default"/>
          <w:b w:val="0"/>
          <w:bCs w:val="0"/>
        </w:rPr>
      </w:pPr>
      <w:r>
        <w:rPr>
          <w:rFonts w:ascii="等线" w:hAnsi="等线" w:cs="等线" w:eastAsia="等线" w:hint="default"/>
        </w:rPr>
        <w:t>一、</w:t>
      </w:r>
      <w:r>
        <w:rPr>
          <w:rFonts w:ascii="等线" w:hAnsi="等线" w:cs="等线" w:eastAsia="等线" w:hint="default"/>
          <w:spacing w:val="58"/>
        </w:rPr>
        <w:t> </w:t>
      </w:r>
      <w:r>
        <w:rPr>
          <w:rFonts w:ascii="等线" w:hAnsi="等线" w:cs="等线" w:eastAsia="等线" w:hint="default"/>
        </w:rPr>
        <w:t>审计意见</w:t>
      </w:r>
      <w:r>
        <w:rPr>
          <w:rFonts w:ascii="等线" w:hAnsi="等线" w:cs="等线" w:eastAsia="等线" w:hint="default"/>
          <w:b w:val="0"/>
          <w:bCs w:val="0"/>
        </w:rPr>
      </w:r>
    </w:p>
    <w:p>
      <w:pPr>
        <w:spacing w:line="240" w:lineRule="auto" w:before="1"/>
        <w:rPr>
          <w:rFonts w:ascii="等线" w:hAnsi="等线" w:cs="等线" w:eastAsia="等线" w:hint="default"/>
          <w:b/>
          <w:bCs/>
          <w:sz w:val="30"/>
          <w:szCs w:val="30"/>
        </w:rPr>
      </w:pPr>
    </w:p>
    <w:p>
      <w:pPr>
        <w:pStyle w:val="Heading3"/>
        <w:spacing w:line="232" w:lineRule="auto"/>
        <w:ind w:right="1131"/>
        <w:jc w:val="both"/>
      </w:pPr>
      <w:r>
        <w:rPr>
          <w:spacing w:val="2"/>
        </w:rPr>
        <w:t>我们审计了深圳市今天国际物流技术股份有限公司（以下简称今天国际）</w:t>
      </w:r>
      <w:r>
        <w:rPr>
          <w:spacing w:val="2"/>
          <w:w w:val="100"/>
        </w:rPr>
        <w:t> </w:t>
      </w:r>
      <w:r>
        <w:rPr>
          <w:spacing w:val="-7"/>
        </w:rPr>
        <w:t>财务报表，包括</w:t>
      </w:r>
      <w:r>
        <w:rPr>
          <w:spacing w:val="-7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4"/>
        </w:rPr>
        <w:t>日的合并及母公司资产负债表，</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4"/>
        </w:rPr>
        <w:t> </w:t>
      </w:r>
      <w:r>
        <w:rPr/>
        <w:t>年度的合</w:t>
      </w:r>
      <w:r>
        <w:rPr>
          <w:w w:val="100"/>
        </w:rPr>
        <w:t> </w:t>
      </w:r>
      <w:r>
        <w:rPr>
          <w:spacing w:val="2"/>
        </w:rPr>
        <w:t>并及母公司利润表、合并及母公司现金流量表、合并及母公司股东权益变动表</w:t>
      </w:r>
      <w:r>
        <w:rPr>
          <w:spacing w:val="-106"/>
        </w:rPr>
        <w:t> </w:t>
      </w:r>
      <w:r>
        <w:rPr>
          <w:spacing w:val="-106"/>
        </w:rPr>
      </w:r>
      <w:r>
        <w:rPr/>
        <w:t>以及相关财务报表附注。</w:t>
      </w:r>
    </w:p>
    <w:p>
      <w:pPr>
        <w:pStyle w:val="Heading3"/>
        <w:spacing w:line="230" w:lineRule="auto" w:before="53"/>
        <w:ind w:right="0"/>
        <w:jc w:val="left"/>
      </w:pPr>
      <w:r>
        <w:rPr>
          <w:spacing w:val="-2"/>
        </w:rPr>
        <w:t>我们认为，后附的财务报表在所有重大方面按照企业会计准则的规定编制，</w:t>
      </w:r>
      <w:r>
        <w:rPr>
          <w:w w:val="100"/>
        </w:rPr>
        <w:t> </w:t>
      </w:r>
      <w:r>
        <w:rPr/>
        <w:t>公允反映了今天国际</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日的合并及母公司财务状况以及</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w w:val="100"/>
        </w:rPr>
        <w:t> </w:t>
      </w:r>
      <w:r>
        <w:rPr/>
        <w:t>度的合并及母公司经营成果和现金流量。</w:t>
      </w:r>
    </w:p>
    <w:p>
      <w:pPr>
        <w:spacing w:line="240" w:lineRule="auto" w:before="4"/>
        <w:rPr>
          <w:rFonts w:ascii="宋体" w:hAnsi="宋体" w:cs="宋体" w:eastAsia="宋体" w:hint="default"/>
          <w:sz w:val="32"/>
          <w:szCs w:val="32"/>
        </w:rPr>
      </w:pPr>
    </w:p>
    <w:p>
      <w:pPr>
        <w:pStyle w:val="Heading2"/>
        <w:spacing w:line="240" w:lineRule="auto"/>
        <w:ind w:right="1115"/>
        <w:jc w:val="left"/>
        <w:rPr>
          <w:rFonts w:ascii="等线" w:hAnsi="等线" w:cs="等线" w:eastAsia="等线" w:hint="default"/>
          <w:b w:val="0"/>
          <w:bCs w:val="0"/>
        </w:rPr>
      </w:pPr>
      <w:r>
        <w:rPr>
          <w:rFonts w:ascii="等线" w:hAnsi="等线" w:cs="等线" w:eastAsia="等线" w:hint="default"/>
        </w:rPr>
        <w:t>二、</w:t>
      </w:r>
      <w:r>
        <w:rPr>
          <w:rFonts w:ascii="等线" w:hAnsi="等线" w:cs="等线" w:eastAsia="等线" w:hint="default"/>
          <w:spacing w:val="53"/>
        </w:rPr>
        <w:t> </w:t>
      </w:r>
      <w:r>
        <w:rPr>
          <w:rFonts w:ascii="等线" w:hAnsi="等线" w:cs="等线" w:eastAsia="等线" w:hint="default"/>
        </w:rPr>
        <w:t>形成审计意见的基础</w:t>
      </w:r>
      <w:r>
        <w:rPr>
          <w:rFonts w:ascii="等线" w:hAnsi="等线" w:cs="等线" w:eastAsia="等线" w:hint="default"/>
          <w:b w:val="0"/>
          <w:bCs w:val="0"/>
        </w:rPr>
      </w:r>
    </w:p>
    <w:p>
      <w:pPr>
        <w:spacing w:line="240" w:lineRule="auto" w:before="4"/>
        <w:rPr>
          <w:rFonts w:ascii="等线" w:hAnsi="等线" w:cs="等线" w:eastAsia="等线" w:hint="default"/>
          <w:b/>
          <w:bCs/>
          <w:sz w:val="30"/>
          <w:szCs w:val="30"/>
        </w:rPr>
      </w:pPr>
    </w:p>
    <w:p>
      <w:pPr>
        <w:pStyle w:val="Heading3"/>
        <w:spacing w:line="230" w:lineRule="auto"/>
        <w:ind w:right="1128"/>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w:t>
      </w:r>
      <w:r>
        <w:rPr>
          <w:w w:val="100"/>
        </w:rPr>
        <w:t> </w:t>
      </w:r>
      <w:r>
        <w:rPr>
          <w:spacing w:val="-1"/>
        </w:rPr>
        <w:t>册会计师对财务报表审计的责任</w:t>
      </w:r>
      <w:r>
        <w:rPr>
          <w:rFonts w:ascii="Times New Roman" w:hAnsi="Times New Roman" w:cs="Times New Roman" w:eastAsia="Times New Roman" w:hint="default"/>
          <w:spacing w:val="-1"/>
        </w:rPr>
        <w:t>”</w:t>
      </w:r>
      <w:r>
        <w:rPr>
          <w:spacing w:val="-1"/>
        </w:rPr>
        <w:t>部分进一步阐述了我们在这些准则下的责任。</w:t>
      </w:r>
      <w:r>
        <w:rPr>
          <w:spacing w:val="-113"/>
        </w:rPr>
        <w:t> </w:t>
      </w:r>
      <w:r>
        <w:rPr>
          <w:spacing w:val="-113"/>
        </w:rPr>
      </w:r>
      <w:r>
        <w:rPr>
          <w:spacing w:val="2"/>
        </w:rPr>
        <w:t>按照中国注册会计师职业道德守则，我们独立于今天国际，并履行了职业道德</w:t>
      </w:r>
      <w:r>
        <w:rPr>
          <w:spacing w:val="-106"/>
        </w:rPr>
        <w:t> </w:t>
      </w:r>
      <w:r>
        <w:rPr>
          <w:spacing w:val="-106"/>
        </w:rPr>
      </w:r>
      <w:r>
        <w:rPr>
          <w:spacing w:val="2"/>
        </w:rPr>
        <w:t>方面的其他责任。我们相信，我们获取的审计证据是充分、适当的，为发表审</w:t>
      </w:r>
      <w:r>
        <w:rPr>
          <w:spacing w:val="-106"/>
        </w:rPr>
        <w:t> </w:t>
      </w:r>
      <w:r>
        <w:rPr>
          <w:spacing w:val="-106"/>
        </w:rPr>
      </w:r>
      <w:r>
        <w:rPr/>
        <w:t>计意见提供了基础。</w:t>
      </w:r>
    </w:p>
    <w:p>
      <w:pPr>
        <w:spacing w:after="0" w:line="230" w:lineRule="auto"/>
        <w:jc w:val="both"/>
        <w:sectPr>
          <w:pgSz w:w="11910" w:h="16840"/>
          <w:pgMar w:header="745" w:footer="980" w:top="1060" w:bottom="1160" w:left="980" w:right="0"/>
        </w:sectPr>
      </w:pPr>
    </w:p>
    <w:p>
      <w:pPr>
        <w:spacing w:line="240" w:lineRule="auto" w:before="5"/>
        <w:rPr>
          <w:rFonts w:ascii="宋体" w:hAnsi="宋体" w:cs="宋体" w:eastAsia="宋体" w:hint="default"/>
          <w:sz w:val="26"/>
          <w:szCs w:val="26"/>
        </w:rPr>
      </w:pPr>
    </w:p>
    <w:p>
      <w:pPr>
        <w:pStyle w:val="Heading2"/>
        <w:spacing w:line="240" w:lineRule="auto" w:before="1"/>
        <w:ind w:right="1115"/>
        <w:jc w:val="left"/>
        <w:rPr>
          <w:rFonts w:ascii="等线" w:hAnsi="等线" w:cs="等线" w:eastAsia="等线" w:hint="default"/>
          <w:b w:val="0"/>
          <w:bCs w:val="0"/>
        </w:rPr>
      </w:pPr>
      <w:r>
        <w:rPr>
          <w:rFonts w:ascii="等线" w:hAnsi="等线" w:cs="等线" w:eastAsia="等线" w:hint="default"/>
        </w:rPr>
        <w:t>三、</w:t>
      </w:r>
      <w:r>
        <w:rPr>
          <w:rFonts w:ascii="等线" w:hAnsi="等线" w:cs="等线" w:eastAsia="等线" w:hint="default"/>
          <w:spacing w:val="57"/>
        </w:rPr>
        <w:t> </w:t>
      </w:r>
      <w:r>
        <w:rPr>
          <w:rFonts w:ascii="等线" w:hAnsi="等线" w:cs="等线" w:eastAsia="等线" w:hint="default"/>
        </w:rPr>
        <w:t>关键审计事项</w:t>
      </w:r>
      <w:r>
        <w:rPr>
          <w:rFonts w:ascii="等线" w:hAnsi="等线" w:cs="等线" w:eastAsia="等线" w:hint="default"/>
          <w:b w:val="0"/>
          <w:bCs w:val="0"/>
        </w:rPr>
      </w:r>
    </w:p>
    <w:p>
      <w:pPr>
        <w:spacing w:line="240" w:lineRule="auto" w:before="8"/>
        <w:rPr>
          <w:rFonts w:ascii="等线" w:hAnsi="等线" w:cs="等线" w:eastAsia="等线" w:hint="default"/>
          <w:b/>
          <w:bCs/>
          <w:sz w:val="29"/>
          <w:szCs w:val="29"/>
        </w:rPr>
      </w:pPr>
    </w:p>
    <w:p>
      <w:pPr>
        <w:pStyle w:val="Heading3"/>
        <w:spacing w:line="237" w:lineRule="auto"/>
        <w:ind w:right="1133"/>
        <w:jc w:val="both"/>
      </w:pPr>
      <w:r>
        <w:rPr>
          <w:spacing w:val="2"/>
        </w:rPr>
        <w:t>关键审计事项是我们根据职业判断，认为对本期财务报表审计最为重要的</w:t>
      </w:r>
      <w:r>
        <w:rPr>
          <w:w w:val="100"/>
        </w:rPr>
        <w:t> </w:t>
      </w:r>
      <w:r>
        <w:rPr>
          <w:spacing w:val="2"/>
        </w:rPr>
        <w:t>事项。这些事项的应对以对财务报表整体进行审计并形成审计意见为背景，我</w:t>
      </w:r>
      <w:r>
        <w:rPr>
          <w:spacing w:val="-106"/>
        </w:rPr>
        <w:t> </w:t>
      </w:r>
      <w:r>
        <w:rPr>
          <w:spacing w:val="-106"/>
        </w:rPr>
      </w:r>
      <w:r>
        <w:rPr>
          <w:spacing w:val="2"/>
        </w:rPr>
        <w:t>们不对这些事项单独发表意见。我们确定下列事项是需要在审计报告中沟通的</w:t>
      </w:r>
      <w:r>
        <w:rPr>
          <w:spacing w:val="-106"/>
        </w:rPr>
        <w:t> </w:t>
      </w:r>
      <w:r>
        <w:rPr>
          <w:spacing w:val="-106"/>
        </w:rPr>
      </w:r>
      <w:r>
        <w:rPr/>
        <w:t>关键审计事项。</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546"/>
        <w:gridCol w:w="6095"/>
      </w:tblGrid>
      <w:tr>
        <w:trPr>
          <w:trHeight w:val="430"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46" w:right="0"/>
              <w:jc w:val="left"/>
              <w:rPr>
                <w:rFonts w:ascii="宋体" w:hAnsi="宋体" w:cs="宋体" w:eastAsia="宋体" w:hint="default"/>
                <w:sz w:val="24"/>
                <w:szCs w:val="24"/>
              </w:rPr>
            </w:pPr>
            <w:r>
              <w:rPr>
                <w:rFonts w:ascii="宋体" w:hAnsi="宋体" w:cs="宋体" w:eastAsia="宋体" w:hint="default"/>
                <w:sz w:val="24"/>
                <w:szCs w:val="24"/>
              </w:rPr>
              <w:t>关键审计事项</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483" w:right="0"/>
              <w:jc w:val="left"/>
              <w:rPr>
                <w:rFonts w:ascii="宋体" w:hAnsi="宋体" w:cs="宋体" w:eastAsia="宋体" w:hint="default"/>
                <w:sz w:val="24"/>
                <w:szCs w:val="24"/>
              </w:rPr>
            </w:pPr>
            <w:r>
              <w:rPr>
                <w:rFonts w:ascii="宋体" w:hAnsi="宋体" w:cs="宋体" w:eastAsia="宋体" w:hint="default"/>
                <w:sz w:val="24"/>
                <w:szCs w:val="24"/>
              </w:rPr>
              <w:t>该事项在审计中是如何应对的</w:t>
            </w:r>
          </w:p>
        </w:tc>
      </w:tr>
      <w:tr>
        <w:trPr>
          <w:trHeight w:val="430" w:hRule="exact"/>
        </w:trPr>
        <w:tc>
          <w:tcPr>
            <w:tcW w:w="9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（一）收入确认</w:t>
            </w:r>
          </w:p>
        </w:tc>
      </w:tr>
      <w:tr>
        <w:trPr>
          <w:trHeight w:val="10574"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8" w:right="0"/>
              <w:jc w:val="both"/>
              <w:rPr>
                <w:rFonts w:ascii="宋体" w:hAnsi="宋体" w:cs="宋体" w:eastAsia="宋体" w:hint="default"/>
                <w:sz w:val="24"/>
                <w:szCs w:val="24"/>
              </w:rPr>
            </w:pPr>
            <w:r>
              <w:rPr>
                <w:rFonts w:ascii="宋体" w:hAnsi="宋体" w:cs="宋体" w:eastAsia="宋体" w:hint="default"/>
                <w:sz w:val="24"/>
                <w:szCs w:val="24"/>
              </w:rPr>
              <w:t>事项描述：</w:t>
            </w:r>
          </w:p>
          <w:p>
            <w:pPr>
              <w:pStyle w:val="TableParagraph"/>
              <w:spacing w:line="240" w:lineRule="auto" w:before="65"/>
              <w:ind w:left="108" w:right="0"/>
              <w:jc w:val="both"/>
              <w:rPr>
                <w:rFonts w:ascii="宋体" w:hAnsi="宋体" w:cs="宋体" w:eastAsia="宋体" w:hint="default"/>
                <w:sz w:val="24"/>
                <w:szCs w:val="24"/>
              </w:rPr>
            </w:pPr>
            <w:r>
              <w:rPr>
                <w:rFonts w:ascii="Times New Roman" w:hAnsi="Times New Roman" w:cs="Times New Roman" w:eastAsia="Times New Roman" w:hint="default"/>
                <w:sz w:val="24"/>
                <w:szCs w:val="24"/>
              </w:rPr>
              <w:t>2018 </w:t>
            </w:r>
            <w:r>
              <w:rPr>
                <w:rFonts w:ascii="Times New Roman" w:hAnsi="Times New Roman" w:cs="Times New Roman" w:eastAsia="Times New Roman" w:hint="default"/>
                <w:spacing w:val="6"/>
                <w:sz w:val="24"/>
                <w:szCs w:val="24"/>
              </w:rPr>
              <w:t> </w:t>
            </w:r>
            <w:r>
              <w:rPr>
                <w:rFonts w:ascii="宋体" w:hAnsi="宋体" w:cs="宋体" w:eastAsia="宋体" w:hint="default"/>
                <w:spacing w:val="6"/>
                <w:sz w:val="24"/>
                <w:szCs w:val="24"/>
              </w:rPr>
              <w:t>年度今天国际销售收入为</w:t>
            </w:r>
          </w:p>
          <w:p>
            <w:pPr>
              <w:pStyle w:val="TableParagraph"/>
              <w:spacing w:line="247" w:lineRule="auto" w:before="6"/>
              <w:ind w:left="103" w:right="101"/>
              <w:jc w:val="both"/>
              <w:rPr>
                <w:rFonts w:ascii="宋体" w:hAnsi="宋体" w:cs="宋体" w:eastAsia="宋体" w:hint="default"/>
                <w:sz w:val="24"/>
                <w:szCs w:val="24"/>
              </w:rPr>
            </w:pPr>
            <w:r>
              <w:rPr>
                <w:rFonts w:ascii="Times New Roman" w:hAnsi="Times New Roman" w:cs="Times New Roman" w:eastAsia="Times New Roman" w:hint="default"/>
                <w:sz w:val="24"/>
                <w:szCs w:val="24"/>
              </w:rPr>
              <w:t>41,614.73 </w:t>
            </w:r>
            <w:r>
              <w:rPr>
                <w:rFonts w:ascii="宋体" w:hAnsi="宋体" w:cs="宋体" w:eastAsia="宋体" w:hint="default"/>
                <w:sz w:val="24"/>
                <w:szCs w:val="24"/>
              </w:rPr>
              <w:t>万元，较 </w:t>
            </w:r>
            <w:r>
              <w:rPr>
                <w:rFonts w:ascii="Times New Roman" w:hAnsi="Times New Roman" w:cs="Times New Roman" w:eastAsia="Times New Roman" w:hint="default"/>
                <w:sz w:val="24"/>
                <w:szCs w:val="24"/>
              </w:rPr>
              <w:t>2017</w:t>
            </w:r>
            <w:r>
              <w:rPr>
                <w:rFonts w:ascii="Times New Roman" w:hAnsi="Times New Roman" w:cs="Times New Roman" w:eastAsia="Times New Roman" w:hint="default"/>
                <w:spacing w:val="-32"/>
                <w:sz w:val="24"/>
                <w:szCs w:val="24"/>
              </w:rPr>
              <w:t> </w:t>
            </w:r>
            <w:r>
              <w:rPr>
                <w:rFonts w:ascii="宋体" w:hAnsi="宋体" w:cs="宋体" w:eastAsia="宋体" w:hint="default"/>
                <w:sz w:val="24"/>
                <w:szCs w:val="24"/>
              </w:rPr>
              <w:t>年度减 少</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26.94%</w:t>
            </w:r>
            <w:r>
              <w:rPr>
                <w:rFonts w:ascii="宋体" w:hAnsi="宋体" w:cs="宋体" w:eastAsia="宋体" w:hint="default"/>
                <w:sz w:val="24"/>
                <w:szCs w:val="24"/>
              </w:rPr>
              <w:t>。</w:t>
            </w:r>
          </w:p>
          <w:p>
            <w:pPr>
              <w:pStyle w:val="TableParagraph"/>
              <w:spacing w:line="259" w:lineRule="auto" w:before="39"/>
              <w:ind w:left="103" w:right="72" w:firstLine="4"/>
              <w:jc w:val="both"/>
              <w:rPr>
                <w:rFonts w:ascii="宋体" w:hAnsi="宋体" w:cs="宋体" w:eastAsia="宋体" w:hint="default"/>
                <w:sz w:val="24"/>
                <w:szCs w:val="24"/>
              </w:rPr>
            </w:pPr>
            <w:r>
              <w:rPr>
                <w:rFonts w:ascii="宋体" w:hAnsi="宋体" w:cs="宋体" w:eastAsia="宋体" w:hint="default"/>
                <w:spacing w:val="16"/>
                <w:sz w:val="24"/>
                <w:szCs w:val="24"/>
              </w:rPr>
              <w:t>贵公司收入主要来源于工业生 </w:t>
            </w:r>
            <w:r>
              <w:rPr>
                <w:rFonts w:ascii="宋体" w:hAnsi="宋体" w:cs="宋体" w:eastAsia="宋体" w:hint="default"/>
                <w:spacing w:val="-3"/>
                <w:sz w:val="24"/>
                <w:szCs w:val="24"/>
              </w:rPr>
              <w:t>产型物流系统，其收入的具体确</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15"/>
                <w:sz w:val="24"/>
                <w:szCs w:val="24"/>
              </w:rPr>
              <w:t>认原则为系统已按合同和技术</w:t>
            </w:r>
            <w:r>
              <w:rPr>
                <w:rFonts w:ascii="宋体" w:hAnsi="宋体" w:cs="宋体" w:eastAsia="宋体" w:hint="default"/>
                <w:sz w:val="24"/>
                <w:szCs w:val="24"/>
              </w:rPr>
              <w:t> 协议的要求全部安装调试到位， </w:t>
            </w:r>
            <w:r>
              <w:rPr>
                <w:rFonts w:ascii="宋体" w:hAnsi="宋体" w:cs="宋体" w:eastAsia="宋体" w:hint="default"/>
                <w:spacing w:val="-3"/>
                <w:sz w:val="24"/>
                <w:szCs w:val="24"/>
              </w:rPr>
              <w:t>并取得了购货方的初验证明，该</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15"/>
                <w:sz w:val="24"/>
                <w:szCs w:val="24"/>
              </w:rPr>
              <w:t>物流系统已交付购货方进入商</w:t>
            </w:r>
            <w:r>
              <w:rPr>
                <w:rFonts w:ascii="宋体" w:hAnsi="宋体" w:cs="宋体" w:eastAsia="宋体" w:hint="default"/>
                <w:sz w:val="24"/>
                <w:szCs w:val="24"/>
              </w:rPr>
              <w:t> 业运行时，予以确认收入。</w:t>
            </w:r>
          </w:p>
          <w:p>
            <w:pPr>
              <w:pStyle w:val="TableParagraph"/>
              <w:spacing w:line="259" w:lineRule="auto" w:before="48"/>
              <w:ind w:left="103" w:right="72" w:firstLine="4"/>
              <w:jc w:val="both"/>
              <w:rPr>
                <w:rFonts w:ascii="宋体" w:hAnsi="宋体" w:cs="宋体" w:eastAsia="宋体" w:hint="default"/>
                <w:sz w:val="24"/>
                <w:szCs w:val="24"/>
              </w:rPr>
            </w:pPr>
            <w:r>
              <w:rPr>
                <w:rFonts w:ascii="宋体" w:hAnsi="宋体" w:cs="宋体" w:eastAsia="宋体" w:hint="default"/>
                <w:spacing w:val="16"/>
                <w:sz w:val="24"/>
                <w:szCs w:val="24"/>
              </w:rPr>
              <w:t>由于工业生产型物流系统的初 </w:t>
            </w:r>
            <w:r>
              <w:rPr>
                <w:rFonts w:ascii="宋体" w:hAnsi="宋体" w:cs="宋体" w:eastAsia="宋体" w:hint="default"/>
                <w:spacing w:val="15"/>
                <w:sz w:val="24"/>
                <w:szCs w:val="24"/>
              </w:rPr>
              <w:t>验证明以及系统验收资料的取</w:t>
            </w:r>
            <w:r>
              <w:rPr>
                <w:rFonts w:ascii="宋体" w:hAnsi="宋体" w:cs="宋体" w:eastAsia="宋体" w:hint="default"/>
                <w:sz w:val="24"/>
                <w:szCs w:val="24"/>
              </w:rPr>
              <w:t> </w:t>
            </w:r>
            <w:r>
              <w:rPr>
                <w:rFonts w:ascii="宋体" w:hAnsi="宋体" w:cs="宋体" w:eastAsia="宋体" w:hint="default"/>
                <w:spacing w:val="-3"/>
                <w:sz w:val="24"/>
                <w:szCs w:val="24"/>
              </w:rPr>
              <w:t>得需要与客户进行对接，其取得</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15"/>
                <w:sz w:val="24"/>
                <w:szCs w:val="24"/>
              </w:rPr>
              <w:t>时点因客户的人为或其他不可</w:t>
            </w:r>
            <w:r>
              <w:rPr>
                <w:rFonts w:ascii="宋体" w:hAnsi="宋体" w:cs="宋体" w:eastAsia="宋体" w:hint="default"/>
                <w:sz w:val="24"/>
                <w:szCs w:val="24"/>
              </w:rPr>
              <w:t> </w:t>
            </w:r>
            <w:r>
              <w:rPr>
                <w:rFonts w:ascii="宋体" w:hAnsi="宋体" w:cs="宋体" w:eastAsia="宋体" w:hint="default"/>
                <w:spacing w:val="-3"/>
                <w:sz w:val="24"/>
                <w:szCs w:val="24"/>
              </w:rPr>
              <w:t>控因素具有不可控制性。收入是</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今天国际的关键业绩指标之一， </w:t>
            </w:r>
            <w:r>
              <w:rPr>
                <w:rFonts w:ascii="宋体" w:hAnsi="宋体" w:cs="宋体" w:eastAsia="宋体" w:hint="default"/>
                <w:spacing w:val="-3"/>
                <w:sz w:val="24"/>
                <w:szCs w:val="24"/>
              </w:rPr>
              <w:t>对财务报表影响重大，从而存在</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15"/>
                <w:sz w:val="24"/>
                <w:szCs w:val="24"/>
              </w:rPr>
              <w:t>管理层为了达到特定目标或期</w:t>
            </w:r>
            <w:r>
              <w:rPr>
                <w:rFonts w:ascii="宋体" w:hAnsi="宋体" w:cs="宋体" w:eastAsia="宋体" w:hint="default"/>
                <w:sz w:val="24"/>
                <w:szCs w:val="24"/>
              </w:rPr>
              <w:t> </w:t>
            </w:r>
            <w:r>
              <w:rPr>
                <w:rFonts w:ascii="宋体" w:hAnsi="宋体" w:cs="宋体" w:eastAsia="宋体" w:hint="default"/>
                <w:spacing w:val="15"/>
                <w:sz w:val="24"/>
                <w:szCs w:val="24"/>
              </w:rPr>
              <w:t>望而操纵收入确认时点的固有</w:t>
            </w:r>
            <w:r>
              <w:rPr>
                <w:rFonts w:ascii="宋体" w:hAnsi="宋体" w:cs="宋体" w:eastAsia="宋体" w:hint="default"/>
                <w:sz w:val="24"/>
                <w:szCs w:val="24"/>
              </w:rPr>
              <w:t> </w:t>
            </w:r>
            <w:r>
              <w:rPr>
                <w:rFonts w:ascii="宋体" w:hAnsi="宋体" w:cs="宋体" w:eastAsia="宋体" w:hint="default"/>
                <w:spacing w:val="-3"/>
                <w:sz w:val="24"/>
                <w:szCs w:val="24"/>
              </w:rPr>
              <w:t>风险。因此，我们将收入确认作</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为关键审计事项。</w:t>
            </w:r>
          </w:p>
          <w:p>
            <w:pPr>
              <w:pStyle w:val="TableParagraph"/>
              <w:spacing w:line="249" w:lineRule="auto" w:before="33"/>
              <w:ind w:left="103" w:right="85" w:firstLine="4"/>
              <w:jc w:val="both"/>
              <w:rPr>
                <w:rFonts w:ascii="等线" w:hAnsi="等线" w:cs="等线" w:eastAsia="等线" w:hint="default"/>
                <w:sz w:val="24"/>
                <w:szCs w:val="24"/>
              </w:rPr>
            </w:pPr>
            <w:r>
              <w:rPr>
                <w:rFonts w:ascii="等线" w:hAnsi="等线" w:cs="等线" w:eastAsia="等线" w:hint="default"/>
                <w:spacing w:val="16"/>
                <w:sz w:val="24"/>
                <w:szCs w:val="24"/>
              </w:rPr>
              <w:t>关于收入确认的会计政策详见 </w:t>
            </w:r>
            <w:r>
              <w:rPr>
                <w:rFonts w:ascii="等线" w:hAnsi="等线" w:cs="等线" w:eastAsia="等线" w:hint="default"/>
                <w:spacing w:val="-19"/>
                <w:sz w:val="24"/>
                <w:szCs w:val="24"/>
              </w:rPr>
              <w:t>附注三、（二十五）；关于营业收</w:t>
            </w:r>
            <w:r>
              <w:rPr>
                <w:rFonts w:ascii="等线" w:hAnsi="等线" w:cs="等线" w:eastAsia="等线" w:hint="default"/>
                <w:spacing w:val="-53"/>
                <w:sz w:val="24"/>
                <w:szCs w:val="24"/>
              </w:rPr>
              <w:t> </w:t>
            </w:r>
            <w:r>
              <w:rPr>
                <w:rFonts w:ascii="等线" w:hAnsi="等线" w:cs="等线" w:eastAsia="等线" w:hint="default"/>
                <w:spacing w:val="-53"/>
                <w:sz w:val="24"/>
                <w:szCs w:val="24"/>
              </w:rPr>
            </w:r>
            <w:r>
              <w:rPr>
                <w:rFonts w:ascii="等线" w:hAnsi="等线" w:cs="等线" w:eastAsia="等线" w:hint="default"/>
                <w:spacing w:val="-18"/>
                <w:sz w:val="24"/>
                <w:szCs w:val="24"/>
              </w:rPr>
              <w:t>入披露见附注五、（二十九）。</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both"/>
              <w:rPr>
                <w:rFonts w:ascii="宋体" w:hAnsi="宋体" w:cs="宋体" w:eastAsia="宋体" w:hint="default"/>
                <w:sz w:val="24"/>
                <w:szCs w:val="24"/>
              </w:rPr>
            </w:pPr>
            <w:r>
              <w:rPr>
                <w:rFonts w:ascii="宋体" w:hAnsi="宋体" w:cs="宋体" w:eastAsia="宋体" w:hint="default"/>
                <w:sz w:val="24"/>
                <w:szCs w:val="24"/>
              </w:rPr>
              <w:t>我们针对收入确认执行的主要审计程序包括：</w:t>
            </w:r>
          </w:p>
          <w:p>
            <w:pPr>
              <w:pStyle w:val="TableParagraph"/>
              <w:spacing w:line="244" w:lineRule="auto" w:before="65"/>
              <w:ind w:left="103" w:right="99"/>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）评价与收入确认相关的关键内部控制的设计和运行 有效性；</w:t>
            </w:r>
          </w:p>
          <w:p>
            <w:pPr>
              <w:pStyle w:val="TableParagraph"/>
              <w:spacing w:line="254" w:lineRule="auto" w:before="63"/>
              <w:ind w:left="103" w:right="-19"/>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）了解公司各类收入的具体确认条件、方法，以评价 </w:t>
            </w:r>
            <w:r>
              <w:rPr>
                <w:rFonts w:ascii="宋体" w:hAnsi="宋体" w:cs="宋体" w:eastAsia="宋体" w:hint="default"/>
                <w:spacing w:val="4"/>
                <w:sz w:val="24"/>
                <w:szCs w:val="24"/>
              </w:rPr>
              <w:t>贵公司的收入确认政策是否符合企业会计准则，前后期</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4"/>
                <w:sz w:val="24"/>
                <w:szCs w:val="24"/>
              </w:rPr>
              <w:t>是否一致；关注周期性、偶然性的收入是否符合既定的</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收入确定原则、方法，评价收入确认的真实性、合规性；</w:t>
            </w:r>
          </w:p>
          <w:p>
            <w:pPr>
              <w:pStyle w:val="TableParagraph"/>
              <w:spacing w:line="256" w:lineRule="auto" w:before="50"/>
              <w:ind w:left="103" w:right="95"/>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）就本期确认收入的物流系统项目，抽取样本，检查 </w:t>
            </w:r>
            <w:r>
              <w:rPr>
                <w:rFonts w:ascii="宋体" w:hAnsi="宋体" w:cs="宋体" w:eastAsia="宋体" w:hint="default"/>
                <w:spacing w:val="4"/>
                <w:sz w:val="24"/>
                <w:szCs w:val="24"/>
              </w:rPr>
              <w:t>销售合同、项目实施关键节点证明资料、初验证明等可</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4"/>
                <w:sz w:val="24"/>
                <w:szCs w:val="24"/>
              </w:rPr>
              <w:t>以证明该物流系统已交付购货方进入商业运行的支持性</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4"/>
                <w:sz w:val="24"/>
                <w:szCs w:val="24"/>
              </w:rPr>
              <w:t>文件，以评价相关物流系统项目收入是否已按照公司的</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收入确认政策确认；</w:t>
            </w:r>
          </w:p>
          <w:p>
            <w:pPr>
              <w:pStyle w:val="TableParagraph"/>
              <w:spacing w:line="256" w:lineRule="auto" w:before="48"/>
              <w:ind w:left="103" w:right="95"/>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）就资产负债表日前后确认收入的项目，检查可以证 </w:t>
            </w:r>
            <w:r>
              <w:rPr>
                <w:rFonts w:ascii="宋体" w:hAnsi="宋体" w:cs="宋体" w:eastAsia="宋体" w:hint="default"/>
                <w:spacing w:val="4"/>
                <w:sz w:val="24"/>
                <w:szCs w:val="24"/>
              </w:rPr>
              <w:t>明该物流系统已交付购货方进入商业运行的支持性文件</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4"/>
                <w:sz w:val="24"/>
                <w:szCs w:val="24"/>
              </w:rPr>
              <w:t>时，重点核对收入确认时间是否与取得系统项目验收证</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4"/>
                <w:sz w:val="24"/>
                <w:szCs w:val="24"/>
              </w:rPr>
              <w:t>明时间相符，以评价相关物流系统项目收入是否在恰当</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的期间确认；</w:t>
            </w:r>
          </w:p>
          <w:p>
            <w:pPr>
              <w:pStyle w:val="TableParagraph"/>
              <w:spacing w:line="254" w:lineRule="auto" w:before="48"/>
              <w:ind w:left="103" w:right="-19"/>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）查阅销售合同中与收款、验收相关的主要条款，通 </w:t>
            </w:r>
            <w:r>
              <w:rPr>
                <w:rFonts w:ascii="宋体" w:hAnsi="宋体" w:cs="宋体" w:eastAsia="宋体" w:hint="default"/>
                <w:spacing w:val="4"/>
                <w:sz w:val="24"/>
                <w:szCs w:val="24"/>
              </w:rPr>
              <w:t>过项目的实际工作进度与销售合同约定的收款节点进行</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4"/>
                <w:sz w:val="24"/>
                <w:szCs w:val="24"/>
              </w:rPr>
              <w:t>对照分析，检查是否有延期收款，分析未按合同约定节</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点收款的原因，判断其相关收入确认的合理性和真实性；</w:t>
            </w:r>
          </w:p>
          <w:p>
            <w:pPr>
              <w:pStyle w:val="TableParagraph"/>
              <w:spacing w:line="256" w:lineRule="auto" w:before="50"/>
              <w:ind w:left="103" w:right="95"/>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6</w:t>
            </w:r>
            <w:r>
              <w:rPr>
                <w:rFonts w:ascii="宋体" w:hAnsi="宋体" w:cs="宋体" w:eastAsia="宋体" w:hint="default"/>
                <w:sz w:val="24"/>
                <w:szCs w:val="24"/>
              </w:rPr>
              <w:t>）抽取对本期收入影响较大的物流系统项目，执行现 </w:t>
            </w:r>
            <w:r>
              <w:rPr>
                <w:rFonts w:ascii="宋体" w:hAnsi="宋体" w:cs="宋体" w:eastAsia="宋体" w:hint="default"/>
                <w:spacing w:val="4"/>
                <w:sz w:val="24"/>
                <w:szCs w:val="24"/>
              </w:rPr>
              <w:t>场查验程序，现场观察该物流系统的所有设备是否均安</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4"/>
                <w:sz w:val="24"/>
                <w:szCs w:val="24"/>
              </w:rPr>
              <w:t>装调试完毕，并已整体交付给客户由其投入试运行，并</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4"/>
                <w:sz w:val="24"/>
                <w:szCs w:val="24"/>
              </w:rPr>
              <w:t>现场访谈甲方主要负责人确认项目进展及项目试运行和</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4"/>
                <w:sz w:val="24"/>
                <w:szCs w:val="24"/>
              </w:rPr>
              <w:t>初验情况，确认其是否已初验完成并进入商业运行，判</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断其是否符合收入确认条件；</w:t>
            </w:r>
          </w:p>
          <w:p>
            <w:pPr>
              <w:pStyle w:val="TableParagraph"/>
              <w:spacing w:line="252" w:lineRule="auto" w:before="48"/>
              <w:ind w:left="103" w:right="-19"/>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7</w:t>
            </w:r>
            <w:r>
              <w:rPr>
                <w:rFonts w:ascii="宋体" w:hAnsi="宋体" w:cs="宋体" w:eastAsia="宋体" w:hint="default"/>
                <w:sz w:val="24"/>
                <w:szCs w:val="24"/>
              </w:rPr>
              <w:t>）对未执行现场查验的物流系统项目执行函证程序， 函证客户的合同金额、累计付款金额、项目保证金金额、 初验及终验情况。</w:t>
            </w:r>
          </w:p>
        </w:tc>
      </w:tr>
    </w:tbl>
    <w:p>
      <w:pPr>
        <w:spacing w:after="0" w:line="252"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46"/>
        <w:gridCol w:w="6095"/>
      </w:tblGrid>
      <w:tr>
        <w:trPr>
          <w:trHeight w:val="430" w:hRule="exact"/>
        </w:trPr>
        <w:tc>
          <w:tcPr>
            <w:tcW w:w="9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（二）应收账款的可收回性及减值</w:t>
            </w:r>
          </w:p>
        </w:tc>
      </w:tr>
      <w:tr>
        <w:trPr>
          <w:trHeight w:val="1071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both"/>
              <w:rPr>
                <w:rFonts w:ascii="宋体" w:hAnsi="宋体" w:cs="宋体" w:eastAsia="宋体" w:hint="default"/>
                <w:sz w:val="24"/>
                <w:szCs w:val="24"/>
              </w:rPr>
            </w:pPr>
            <w:r>
              <w:rPr>
                <w:rFonts w:ascii="宋体" w:hAnsi="宋体" w:cs="宋体" w:eastAsia="宋体" w:hint="default"/>
                <w:sz w:val="24"/>
                <w:szCs w:val="24"/>
              </w:rPr>
              <w:t>事项描述：</w:t>
            </w:r>
          </w:p>
          <w:p>
            <w:pPr>
              <w:pStyle w:val="TableParagraph"/>
              <w:spacing w:line="249" w:lineRule="auto" w:before="65"/>
              <w:ind w:left="103" w:right="101"/>
              <w:jc w:val="both"/>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日，今天 国</w:t>
            </w:r>
            <w:r>
              <w:rPr>
                <w:rFonts w:ascii="宋体" w:hAnsi="宋体" w:cs="宋体" w:eastAsia="宋体" w:hint="default"/>
                <w:spacing w:val="-51"/>
                <w:sz w:val="24"/>
                <w:szCs w:val="24"/>
              </w:rPr>
              <w:t> </w:t>
            </w:r>
            <w:r>
              <w:rPr>
                <w:rFonts w:ascii="宋体" w:hAnsi="宋体" w:cs="宋体" w:eastAsia="宋体" w:hint="default"/>
                <w:sz w:val="24"/>
                <w:szCs w:val="24"/>
              </w:rPr>
              <w:t>际</w:t>
            </w:r>
            <w:r>
              <w:rPr>
                <w:rFonts w:ascii="宋体" w:hAnsi="宋体" w:cs="宋体" w:eastAsia="宋体" w:hint="default"/>
                <w:spacing w:val="-51"/>
                <w:sz w:val="24"/>
                <w:szCs w:val="24"/>
              </w:rPr>
              <w:t> </w:t>
            </w:r>
            <w:r>
              <w:rPr>
                <w:rFonts w:ascii="宋体" w:hAnsi="宋体" w:cs="宋体" w:eastAsia="宋体" w:hint="default"/>
                <w:sz w:val="24"/>
                <w:szCs w:val="24"/>
              </w:rPr>
              <w:t>应</w:t>
            </w:r>
            <w:r>
              <w:rPr>
                <w:rFonts w:ascii="宋体" w:hAnsi="宋体" w:cs="宋体" w:eastAsia="宋体" w:hint="default"/>
                <w:spacing w:val="-51"/>
                <w:sz w:val="24"/>
                <w:szCs w:val="24"/>
              </w:rPr>
              <w:t> </w:t>
            </w:r>
            <w:r>
              <w:rPr>
                <w:rFonts w:ascii="宋体" w:hAnsi="宋体" w:cs="宋体" w:eastAsia="宋体" w:hint="default"/>
                <w:sz w:val="24"/>
                <w:szCs w:val="24"/>
              </w:rPr>
              <w:t>收</w:t>
            </w:r>
            <w:r>
              <w:rPr>
                <w:rFonts w:ascii="宋体" w:hAnsi="宋体" w:cs="宋体" w:eastAsia="宋体" w:hint="default"/>
                <w:spacing w:val="-54"/>
                <w:sz w:val="24"/>
                <w:szCs w:val="24"/>
              </w:rPr>
              <w:t> </w:t>
            </w:r>
            <w:r>
              <w:rPr>
                <w:rFonts w:ascii="宋体" w:hAnsi="宋体" w:cs="宋体" w:eastAsia="宋体" w:hint="default"/>
                <w:sz w:val="24"/>
                <w:szCs w:val="24"/>
              </w:rPr>
              <w:t>账</w:t>
            </w:r>
            <w:r>
              <w:rPr>
                <w:rFonts w:ascii="宋体" w:hAnsi="宋体" w:cs="宋体" w:eastAsia="宋体" w:hint="default"/>
                <w:spacing w:val="-51"/>
                <w:sz w:val="24"/>
                <w:szCs w:val="24"/>
              </w:rPr>
              <w:t> </w:t>
            </w:r>
            <w:r>
              <w:rPr>
                <w:rFonts w:ascii="宋体" w:hAnsi="宋体" w:cs="宋体" w:eastAsia="宋体" w:hint="default"/>
                <w:sz w:val="24"/>
                <w:szCs w:val="24"/>
              </w:rPr>
              <w:t>款</w:t>
            </w:r>
            <w:r>
              <w:rPr>
                <w:rFonts w:ascii="宋体" w:hAnsi="宋体" w:cs="宋体" w:eastAsia="宋体" w:hint="default"/>
                <w:spacing w:val="-51"/>
                <w:sz w:val="24"/>
                <w:szCs w:val="24"/>
              </w:rPr>
              <w:t> </w:t>
            </w:r>
            <w:r>
              <w:rPr>
                <w:rFonts w:ascii="宋体" w:hAnsi="宋体" w:cs="宋体" w:eastAsia="宋体" w:hint="default"/>
                <w:sz w:val="24"/>
                <w:szCs w:val="24"/>
              </w:rPr>
              <w:t>账</w:t>
            </w:r>
            <w:r>
              <w:rPr>
                <w:rFonts w:ascii="宋体" w:hAnsi="宋体" w:cs="宋体" w:eastAsia="宋体" w:hint="default"/>
                <w:spacing w:val="-54"/>
                <w:sz w:val="24"/>
                <w:szCs w:val="24"/>
              </w:rPr>
              <w:t> </w:t>
            </w:r>
            <w:r>
              <w:rPr>
                <w:rFonts w:ascii="宋体" w:hAnsi="宋体" w:cs="宋体" w:eastAsia="宋体" w:hint="default"/>
                <w:sz w:val="24"/>
                <w:szCs w:val="24"/>
              </w:rPr>
              <w:t>面</w:t>
            </w:r>
            <w:r>
              <w:rPr>
                <w:rFonts w:ascii="宋体" w:hAnsi="宋体" w:cs="宋体" w:eastAsia="宋体" w:hint="default"/>
                <w:spacing w:val="-51"/>
                <w:sz w:val="24"/>
                <w:szCs w:val="24"/>
              </w:rPr>
              <w:t> </w:t>
            </w:r>
            <w:r>
              <w:rPr>
                <w:rFonts w:ascii="宋体" w:hAnsi="宋体" w:cs="宋体" w:eastAsia="宋体" w:hint="default"/>
                <w:sz w:val="24"/>
                <w:szCs w:val="24"/>
              </w:rPr>
              <w:t>价</w:t>
            </w:r>
            <w:r>
              <w:rPr>
                <w:rFonts w:ascii="宋体" w:hAnsi="宋体" w:cs="宋体" w:eastAsia="宋体" w:hint="default"/>
                <w:spacing w:val="-51"/>
                <w:sz w:val="24"/>
                <w:szCs w:val="24"/>
              </w:rPr>
              <w:t> </w:t>
            </w:r>
            <w:r>
              <w:rPr>
                <w:rFonts w:ascii="宋体" w:hAnsi="宋体" w:cs="宋体" w:eastAsia="宋体" w:hint="default"/>
                <w:sz w:val="24"/>
                <w:szCs w:val="24"/>
              </w:rPr>
              <w:t>值</w:t>
            </w:r>
            <w:r>
              <w:rPr>
                <w:rFonts w:ascii="宋体" w:hAnsi="宋体" w:cs="宋体" w:eastAsia="宋体" w:hint="default"/>
                <w:spacing w:val="-51"/>
                <w:sz w:val="24"/>
                <w:szCs w:val="24"/>
              </w:rPr>
              <w:t> </w:t>
            </w:r>
            <w:r>
              <w:rPr>
                <w:rFonts w:ascii="宋体" w:hAnsi="宋体" w:cs="宋体" w:eastAsia="宋体" w:hint="default"/>
                <w:sz w:val="24"/>
                <w:szCs w:val="24"/>
              </w:rPr>
              <w:t>为</w:t>
            </w:r>
            <w:r>
              <w:rPr>
                <w:rFonts w:ascii="宋体" w:hAnsi="宋体" w:cs="宋体" w:eastAsia="宋体" w:hint="default"/>
                <w:sz w:val="24"/>
                <w:szCs w:val="24"/>
              </w:rPr>
              <w:t> </w:t>
            </w:r>
            <w:r>
              <w:rPr>
                <w:rFonts w:ascii="Times New Roman" w:hAnsi="Times New Roman" w:cs="Times New Roman" w:eastAsia="Times New Roman" w:hint="default"/>
                <w:sz w:val="24"/>
                <w:szCs w:val="24"/>
              </w:rPr>
              <w:t>45,736.38</w:t>
            </w:r>
            <w:r>
              <w:rPr>
                <w:rFonts w:ascii="Times New Roman" w:hAnsi="Times New Roman" w:cs="Times New Roman" w:eastAsia="Times New Roman" w:hint="default"/>
                <w:spacing w:val="6"/>
                <w:sz w:val="24"/>
                <w:szCs w:val="24"/>
              </w:rPr>
              <w:t> </w:t>
            </w:r>
            <w:r>
              <w:rPr>
                <w:rFonts w:ascii="宋体" w:hAnsi="宋体" w:cs="宋体" w:eastAsia="宋体" w:hint="default"/>
                <w:spacing w:val="-10"/>
                <w:sz w:val="24"/>
                <w:szCs w:val="24"/>
              </w:rPr>
              <w:t>万元，占合并财务报表</w:t>
            </w:r>
            <w:r>
              <w:rPr>
                <w:rFonts w:ascii="宋体" w:hAnsi="宋体" w:cs="宋体" w:eastAsia="宋体" w:hint="default"/>
                <w:sz w:val="24"/>
                <w:szCs w:val="24"/>
              </w:rPr>
              <w:t> 资产总额的</w:t>
            </w:r>
            <w:r>
              <w:rPr>
                <w:rFonts w:ascii="宋体" w:hAnsi="宋体" w:cs="宋体" w:eastAsia="宋体" w:hint="default"/>
                <w:spacing w:val="-54"/>
                <w:sz w:val="24"/>
                <w:szCs w:val="24"/>
              </w:rPr>
              <w:t> </w:t>
            </w:r>
            <w:r>
              <w:rPr>
                <w:rFonts w:ascii="Times New Roman" w:hAnsi="Times New Roman" w:cs="Times New Roman" w:eastAsia="Times New Roman" w:hint="default"/>
                <w:spacing w:val="-10"/>
                <w:sz w:val="24"/>
                <w:szCs w:val="24"/>
              </w:rPr>
              <w:t>30.26%</w:t>
            </w:r>
            <w:r>
              <w:rPr>
                <w:rFonts w:ascii="宋体" w:hAnsi="宋体" w:cs="宋体" w:eastAsia="宋体" w:hint="default"/>
                <w:spacing w:val="-10"/>
                <w:sz w:val="24"/>
                <w:szCs w:val="24"/>
              </w:rPr>
              <w:t>，其中账面余</w:t>
            </w:r>
            <w:r>
              <w:rPr>
                <w:rFonts w:ascii="宋体" w:hAnsi="宋体" w:cs="宋体" w:eastAsia="宋体" w:hint="default"/>
                <w:sz w:val="24"/>
                <w:szCs w:val="24"/>
              </w:rPr>
              <w:t> 额为 </w:t>
            </w:r>
            <w:r>
              <w:rPr>
                <w:rFonts w:ascii="Times New Roman" w:hAnsi="Times New Roman" w:cs="Times New Roman" w:eastAsia="Times New Roman" w:hint="default"/>
                <w:sz w:val="24"/>
                <w:szCs w:val="24"/>
              </w:rPr>
              <w:t>48,523.32</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万元，坏账准备</w:t>
            </w:r>
          </w:p>
          <w:p>
            <w:pPr>
              <w:pStyle w:val="TableParagraph"/>
              <w:spacing w:line="259" w:lineRule="auto"/>
              <w:ind w:left="103" w:right="86"/>
              <w:jc w:val="left"/>
              <w:rPr>
                <w:rFonts w:ascii="宋体" w:hAnsi="宋体" w:cs="宋体" w:eastAsia="宋体" w:hint="default"/>
                <w:sz w:val="24"/>
                <w:szCs w:val="24"/>
              </w:rPr>
            </w:pPr>
            <w:r>
              <w:rPr>
                <w:rFonts w:ascii="宋体" w:hAnsi="宋体" w:cs="宋体" w:eastAsia="宋体" w:hint="default"/>
                <w:sz w:val="24"/>
                <w:szCs w:val="24"/>
              </w:rPr>
              <w:t>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2,786.94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万元。 </w:t>
            </w:r>
            <w:r>
              <w:rPr>
                <w:rFonts w:ascii="宋体" w:hAnsi="宋体" w:cs="宋体" w:eastAsia="宋体" w:hint="default"/>
                <w:spacing w:val="15"/>
                <w:sz w:val="24"/>
                <w:szCs w:val="24"/>
              </w:rPr>
              <w:t>贵公司管理层在确定应收账款</w:t>
            </w:r>
            <w:r>
              <w:rPr>
                <w:rFonts w:ascii="宋体" w:hAnsi="宋体" w:cs="宋体" w:eastAsia="宋体" w:hint="default"/>
                <w:sz w:val="24"/>
                <w:szCs w:val="24"/>
              </w:rPr>
              <w:t> </w:t>
            </w:r>
            <w:r>
              <w:rPr>
                <w:rFonts w:ascii="宋体" w:hAnsi="宋体" w:cs="宋体" w:eastAsia="宋体" w:hint="default"/>
                <w:spacing w:val="15"/>
                <w:sz w:val="24"/>
                <w:szCs w:val="24"/>
              </w:rPr>
              <w:t>预计可收回金额时需要评估相</w:t>
            </w:r>
            <w:r>
              <w:rPr>
                <w:rFonts w:ascii="宋体" w:hAnsi="宋体" w:cs="宋体" w:eastAsia="宋体" w:hint="default"/>
                <w:sz w:val="24"/>
                <w:szCs w:val="24"/>
              </w:rPr>
              <w:t> </w:t>
            </w:r>
            <w:r>
              <w:rPr>
                <w:rFonts w:ascii="宋体" w:hAnsi="宋体" w:cs="宋体" w:eastAsia="宋体" w:hint="default"/>
                <w:spacing w:val="-3"/>
                <w:sz w:val="24"/>
                <w:szCs w:val="24"/>
              </w:rPr>
              <w:t>关客户的信用情况，对单项金额</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15"/>
                <w:sz w:val="24"/>
                <w:szCs w:val="24"/>
              </w:rPr>
              <w:t>重大的应收款项单独进行减值</w:t>
            </w:r>
            <w:r>
              <w:rPr>
                <w:rFonts w:ascii="宋体" w:hAnsi="宋体" w:cs="宋体" w:eastAsia="宋体" w:hint="default"/>
                <w:sz w:val="24"/>
                <w:szCs w:val="24"/>
              </w:rPr>
              <w:t> </w:t>
            </w:r>
            <w:r>
              <w:rPr>
                <w:rFonts w:ascii="宋体" w:hAnsi="宋体" w:cs="宋体" w:eastAsia="宋体" w:hint="default"/>
                <w:spacing w:val="-3"/>
                <w:sz w:val="24"/>
                <w:szCs w:val="24"/>
              </w:rPr>
              <w:t>测试，如有客观证据表明其发生</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3"/>
                <w:sz w:val="24"/>
                <w:szCs w:val="24"/>
              </w:rPr>
              <w:t>了减值的，管理层根据其预计未</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15"/>
                <w:sz w:val="24"/>
                <w:szCs w:val="24"/>
              </w:rPr>
              <w:t>来现金流量现值低于其账面价</w:t>
            </w:r>
            <w:r>
              <w:rPr>
                <w:rFonts w:ascii="宋体" w:hAnsi="宋体" w:cs="宋体" w:eastAsia="宋体" w:hint="default"/>
                <w:sz w:val="24"/>
                <w:szCs w:val="24"/>
              </w:rPr>
              <w:t> </w:t>
            </w:r>
            <w:r>
              <w:rPr>
                <w:rFonts w:ascii="宋体" w:hAnsi="宋体" w:cs="宋体" w:eastAsia="宋体" w:hint="default"/>
                <w:spacing w:val="-3"/>
                <w:sz w:val="24"/>
                <w:szCs w:val="24"/>
              </w:rPr>
              <w:t>值的差额计提单项减值准备。如</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15"/>
                <w:sz w:val="24"/>
                <w:szCs w:val="24"/>
              </w:rPr>
              <w:t>无客观证据表明其发生了减值</w:t>
            </w:r>
            <w:r>
              <w:rPr>
                <w:rFonts w:ascii="宋体" w:hAnsi="宋体" w:cs="宋体" w:eastAsia="宋体" w:hint="default"/>
                <w:sz w:val="24"/>
                <w:szCs w:val="24"/>
              </w:rPr>
              <w:t> </w:t>
            </w:r>
            <w:r>
              <w:rPr>
                <w:rFonts w:ascii="宋体" w:hAnsi="宋体" w:cs="宋体" w:eastAsia="宋体" w:hint="default"/>
                <w:spacing w:val="-3"/>
                <w:sz w:val="24"/>
                <w:szCs w:val="24"/>
              </w:rPr>
              <w:t>的，管理层按信用风险特征的相</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15"/>
                <w:sz w:val="24"/>
                <w:szCs w:val="24"/>
              </w:rPr>
              <w:t>似性和相关性将其分为若干风</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5"/>
                <w:sz w:val="24"/>
                <w:szCs w:val="24"/>
              </w:rPr>
              <w:t>险组合采用账龄分析法计提坏</w:t>
            </w:r>
            <w:r>
              <w:rPr>
                <w:rFonts w:ascii="宋体" w:hAnsi="宋体" w:cs="宋体" w:eastAsia="宋体" w:hint="default"/>
                <w:sz w:val="24"/>
                <w:szCs w:val="24"/>
              </w:rPr>
              <w:t> 账准备。 </w:t>
            </w:r>
            <w:r>
              <w:rPr>
                <w:rFonts w:ascii="宋体" w:hAnsi="宋体" w:cs="宋体" w:eastAsia="宋体" w:hint="default"/>
                <w:spacing w:val="-3"/>
                <w:sz w:val="24"/>
                <w:szCs w:val="24"/>
              </w:rPr>
              <w:t>由于应收款项金额重大，若应收</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15"/>
                <w:sz w:val="24"/>
                <w:szCs w:val="24"/>
              </w:rPr>
              <w:t>账款不能按期收回或无法收回</w:t>
            </w:r>
            <w:r>
              <w:rPr>
                <w:rFonts w:ascii="宋体" w:hAnsi="宋体" w:cs="宋体" w:eastAsia="宋体" w:hint="default"/>
                <w:sz w:val="24"/>
                <w:szCs w:val="24"/>
              </w:rPr>
              <w:t> </w:t>
            </w:r>
            <w:r>
              <w:rPr>
                <w:rFonts w:ascii="宋体" w:hAnsi="宋体" w:cs="宋体" w:eastAsia="宋体" w:hint="default"/>
                <w:spacing w:val="15"/>
                <w:sz w:val="24"/>
                <w:szCs w:val="24"/>
              </w:rPr>
              <w:t>而发生坏账对财务报表影响重</w:t>
            </w:r>
            <w:r>
              <w:rPr>
                <w:rFonts w:ascii="宋体" w:hAnsi="宋体" w:cs="宋体" w:eastAsia="宋体" w:hint="default"/>
                <w:sz w:val="24"/>
                <w:szCs w:val="24"/>
              </w:rPr>
              <w:t> </w:t>
            </w:r>
            <w:r>
              <w:rPr>
                <w:rFonts w:ascii="宋体" w:hAnsi="宋体" w:cs="宋体" w:eastAsia="宋体" w:hint="default"/>
                <w:spacing w:val="-3"/>
                <w:sz w:val="24"/>
                <w:szCs w:val="24"/>
              </w:rPr>
              <w:t>大，且管理层在确定应收款项减</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值时作出了重大判断，我们将应</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16"/>
                <w:sz w:val="24"/>
                <w:szCs w:val="24"/>
              </w:rPr>
              <w:t>收款项的可收回性及减值确定</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为关键审计事项。</w:t>
            </w:r>
          </w:p>
          <w:p>
            <w:pPr>
              <w:pStyle w:val="TableParagraph"/>
              <w:spacing w:line="259" w:lineRule="auto" w:before="48"/>
              <w:ind w:left="103" w:right="102"/>
              <w:jc w:val="both"/>
              <w:rPr>
                <w:rFonts w:ascii="宋体" w:hAnsi="宋体" w:cs="宋体" w:eastAsia="宋体" w:hint="default"/>
                <w:sz w:val="24"/>
                <w:szCs w:val="24"/>
              </w:rPr>
            </w:pPr>
            <w:r>
              <w:rPr>
                <w:rFonts w:ascii="宋体" w:hAnsi="宋体" w:cs="宋体" w:eastAsia="宋体" w:hint="default"/>
                <w:spacing w:val="15"/>
                <w:sz w:val="24"/>
                <w:szCs w:val="24"/>
              </w:rPr>
              <w:t>关于应收账款坏账准备会计政</w:t>
            </w:r>
            <w:r>
              <w:rPr>
                <w:rFonts w:ascii="宋体" w:hAnsi="宋体" w:cs="宋体" w:eastAsia="宋体" w:hint="default"/>
                <w:sz w:val="24"/>
                <w:szCs w:val="24"/>
              </w:rPr>
              <w:t> </w:t>
            </w:r>
            <w:r>
              <w:rPr>
                <w:rFonts w:ascii="宋体" w:hAnsi="宋体" w:cs="宋体" w:eastAsia="宋体" w:hint="default"/>
                <w:spacing w:val="-19"/>
                <w:sz w:val="24"/>
                <w:szCs w:val="24"/>
              </w:rPr>
              <w:t>策见附注三、（十一）；关于应收</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15"/>
                <w:sz w:val="24"/>
                <w:szCs w:val="24"/>
              </w:rPr>
              <w:t>账款账面余额及坏账准备见附</w:t>
            </w:r>
            <w:r>
              <w:rPr>
                <w:rFonts w:ascii="宋体" w:hAnsi="宋体" w:cs="宋体" w:eastAsia="宋体" w:hint="default"/>
                <w:sz w:val="24"/>
                <w:szCs w:val="24"/>
              </w:rPr>
              <w:t> </w:t>
            </w:r>
            <w:r>
              <w:rPr>
                <w:rFonts w:ascii="宋体" w:hAnsi="宋体" w:cs="宋体" w:eastAsia="宋体" w:hint="default"/>
                <w:spacing w:val="-35"/>
                <w:sz w:val="24"/>
                <w:szCs w:val="24"/>
              </w:rPr>
              <w:t>注五、（二）。</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59" w:lineRule="auto"/>
              <w:ind w:left="103" w:right="102"/>
              <w:jc w:val="left"/>
              <w:rPr>
                <w:rFonts w:ascii="宋体" w:hAnsi="宋体" w:cs="宋体" w:eastAsia="宋体" w:hint="default"/>
                <w:sz w:val="24"/>
                <w:szCs w:val="24"/>
              </w:rPr>
            </w:pPr>
            <w:r>
              <w:rPr>
                <w:rFonts w:ascii="宋体" w:hAnsi="宋体" w:cs="宋体" w:eastAsia="宋体" w:hint="default"/>
                <w:spacing w:val="15"/>
                <w:sz w:val="24"/>
                <w:szCs w:val="24"/>
              </w:rPr>
              <w:t>我们对应收账款的可收回性及减值实施的相关程序包</w:t>
            </w:r>
            <w:r>
              <w:rPr>
                <w:rFonts w:ascii="宋体" w:hAnsi="宋体" w:cs="宋体" w:eastAsia="宋体" w:hint="default"/>
                <w:sz w:val="24"/>
                <w:szCs w:val="24"/>
              </w:rPr>
              <w:t> 括：</w:t>
            </w:r>
          </w:p>
          <w:p>
            <w:pPr>
              <w:pStyle w:val="TableParagraph"/>
              <w:spacing w:line="247" w:lineRule="auto" w:before="46"/>
              <w:ind w:left="103" w:right="98"/>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）评价与应收账款日常管理及可收回性评估相关的关 键内部控制的设计和运行有效性；</w:t>
            </w:r>
          </w:p>
          <w:p>
            <w:pPr>
              <w:pStyle w:val="TableParagraph"/>
              <w:spacing w:line="254" w:lineRule="auto" w:before="19"/>
              <w:ind w:left="103" w:right="-19"/>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）复核管理层对应收账款进行减值测试的相关考虑及 客观证据，关注管理层是否充分识别已发生减值的项目； 对比同行业坏账准备计提标准，评价坏账准备计提标准、 所依据的资料、假设及方法、审批程序是否恰当；</w:t>
            </w:r>
          </w:p>
          <w:p>
            <w:pPr>
              <w:pStyle w:val="TableParagraph"/>
              <w:spacing w:line="254" w:lineRule="auto" w:before="10"/>
              <w:ind w:left="103" w:right="95"/>
              <w:jc w:val="both"/>
              <w:rPr>
                <w:rFonts w:ascii="宋体" w:hAnsi="宋体" w:cs="宋体" w:eastAsia="宋体" w:hint="default"/>
                <w:sz w:val="24"/>
                <w:szCs w:val="24"/>
              </w:rPr>
            </w:pPr>
            <w:r>
              <w:rPr>
                <w:rFonts w:ascii="宋体" w:hAnsi="宋体" w:cs="宋体" w:eastAsia="宋体" w:hint="default"/>
                <w:spacing w:val="9"/>
                <w:sz w:val="24"/>
                <w:szCs w:val="24"/>
              </w:rPr>
              <w:t>（</w:t>
            </w:r>
            <w:r>
              <w:rPr>
                <w:rFonts w:ascii="Times New Roman" w:hAnsi="Times New Roman" w:cs="Times New Roman" w:eastAsia="Times New Roman" w:hint="default"/>
                <w:spacing w:val="9"/>
                <w:sz w:val="24"/>
                <w:szCs w:val="24"/>
              </w:rPr>
              <w:t>3</w:t>
            </w:r>
            <w:r>
              <w:rPr>
                <w:rFonts w:ascii="宋体" w:hAnsi="宋体" w:cs="宋体" w:eastAsia="宋体" w:hint="default"/>
                <w:spacing w:val="9"/>
                <w:sz w:val="24"/>
                <w:szCs w:val="24"/>
              </w:rPr>
              <w:t>）对于单项金额重大并单独计提坏账准备的应收账</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4"/>
                <w:sz w:val="24"/>
                <w:szCs w:val="24"/>
              </w:rPr>
              <w:t>款，选取样本复核管理层对预计未来可获得的现金流量</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做出评估的依据；</w:t>
            </w:r>
          </w:p>
          <w:p>
            <w:pPr>
              <w:pStyle w:val="TableParagraph"/>
              <w:spacing w:line="256" w:lineRule="auto" w:before="10"/>
              <w:ind w:left="103" w:right="-19"/>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）对于管理层按照信用风险特征组合计提坏账准备的 </w:t>
            </w:r>
            <w:r>
              <w:rPr>
                <w:rFonts w:ascii="宋体" w:hAnsi="宋体" w:cs="宋体" w:eastAsia="宋体" w:hint="default"/>
                <w:spacing w:val="4"/>
                <w:sz w:val="24"/>
                <w:szCs w:val="24"/>
              </w:rPr>
              <w:t>应收账款，通过考虑同类应收款项组合的实际回款情况</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及历史坏账发生情况，结合客户信用和市场条件等因素， </w:t>
            </w:r>
            <w:r>
              <w:rPr>
                <w:rFonts w:ascii="宋体" w:hAnsi="宋体" w:cs="宋体" w:eastAsia="宋体" w:hint="default"/>
                <w:spacing w:val="4"/>
                <w:sz w:val="24"/>
                <w:szCs w:val="24"/>
              </w:rPr>
              <w:t>评估管理层将应收款项划分为若干信用风险组合的合理</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性和各组合对应的坏账计提方法及计提比例的恰当性；</w:t>
            </w:r>
          </w:p>
          <w:p>
            <w:pPr>
              <w:pStyle w:val="TableParagraph"/>
              <w:spacing w:line="256" w:lineRule="auto" w:before="10"/>
              <w:ind w:left="103" w:right="95"/>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）对于采用账龄分析法计提坏账准备的应收账款，结 </w:t>
            </w:r>
            <w:r>
              <w:rPr>
                <w:rFonts w:ascii="宋体" w:hAnsi="宋体" w:cs="宋体" w:eastAsia="宋体" w:hint="default"/>
                <w:spacing w:val="4"/>
                <w:sz w:val="24"/>
                <w:szCs w:val="24"/>
              </w:rPr>
              <w:t>合收入确认时点，测试管理层账龄划分的准确性；在核</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4"/>
                <w:sz w:val="24"/>
                <w:szCs w:val="24"/>
              </w:rPr>
              <w:t>实确认应收账款账龄的基础上，复核应收账款坏账准备</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14"/>
                <w:sz w:val="24"/>
                <w:szCs w:val="24"/>
              </w:rPr>
              <w:t>是否按经董事会批准的会计政策规定的方法和比例提</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取，其计算和会计处理是否正确；</w:t>
            </w:r>
          </w:p>
          <w:p>
            <w:pPr>
              <w:pStyle w:val="TableParagraph"/>
              <w:spacing w:line="254" w:lineRule="auto" w:before="10"/>
              <w:ind w:left="103" w:right="-19"/>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6</w:t>
            </w:r>
            <w:r>
              <w:rPr>
                <w:rFonts w:ascii="宋体" w:hAnsi="宋体" w:cs="宋体" w:eastAsia="宋体" w:hint="default"/>
                <w:sz w:val="24"/>
                <w:szCs w:val="24"/>
              </w:rPr>
              <w:t>）通过公开渠道查询主要客户的工商登记资料等，评 估主要客户的信用风险，结合信用风险特征及账龄分析， </w:t>
            </w:r>
            <w:r>
              <w:rPr>
                <w:rFonts w:ascii="宋体" w:hAnsi="宋体" w:cs="宋体" w:eastAsia="宋体" w:hint="default"/>
                <w:spacing w:val="4"/>
                <w:sz w:val="24"/>
                <w:szCs w:val="24"/>
              </w:rPr>
              <w:t>并执行现场查验、应收账款函证程序及检查期后回款情</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况等，评价管理层坏账准备计提的合理性；</w:t>
            </w:r>
          </w:p>
          <w:p>
            <w:pPr>
              <w:pStyle w:val="TableParagraph"/>
              <w:spacing w:line="254" w:lineRule="auto" w:before="12"/>
              <w:ind w:left="103" w:right="-19"/>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7</w:t>
            </w:r>
            <w:r>
              <w:rPr>
                <w:rFonts w:ascii="宋体" w:hAnsi="宋体" w:cs="宋体" w:eastAsia="宋体" w:hint="default"/>
                <w:sz w:val="24"/>
                <w:szCs w:val="24"/>
              </w:rPr>
              <w:t>）分析计算资产负债表日坏账准备金额与应收账款余 额之间的比率，比较前期坏账准备计提数和实际发生数， </w:t>
            </w:r>
            <w:r>
              <w:rPr>
                <w:rFonts w:ascii="宋体" w:hAnsi="宋体" w:cs="宋体" w:eastAsia="宋体" w:hint="default"/>
                <w:spacing w:val="4"/>
                <w:sz w:val="24"/>
                <w:szCs w:val="24"/>
              </w:rPr>
              <w:t>以及本期实际核销坏账情况，分析应收账款坏账准备计</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提是否充分、适当。</w:t>
            </w:r>
          </w:p>
        </w:tc>
      </w:tr>
    </w:tbl>
    <w:p>
      <w:pPr>
        <w:spacing w:after="0" w:line="254"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11"/>
        <w:rPr>
          <w:rFonts w:ascii="Times New Roman" w:hAnsi="Times New Roman" w:cs="Times New Roman" w:eastAsia="Times New Roman" w:hint="default"/>
          <w:sz w:val="29"/>
          <w:szCs w:val="29"/>
        </w:rPr>
      </w:pPr>
    </w:p>
    <w:p>
      <w:pPr>
        <w:pStyle w:val="Heading2"/>
        <w:spacing w:line="240" w:lineRule="auto" w:before="1"/>
        <w:ind w:right="1115"/>
        <w:jc w:val="left"/>
        <w:rPr>
          <w:rFonts w:ascii="等线" w:hAnsi="等线" w:cs="等线" w:eastAsia="等线" w:hint="default"/>
          <w:b w:val="0"/>
          <w:bCs w:val="0"/>
        </w:rPr>
      </w:pPr>
      <w:r>
        <w:rPr>
          <w:rFonts w:ascii="等线" w:hAnsi="等线" w:cs="等线" w:eastAsia="等线" w:hint="default"/>
        </w:rPr>
        <w:t>四、其他信息</w:t>
      </w:r>
      <w:r>
        <w:rPr>
          <w:rFonts w:ascii="等线" w:hAnsi="等线" w:cs="等线" w:eastAsia="等线" w:hint="default"/>
          <w:b w:val="0"/>
          <w:bCs w:val="0"/>
        </w:rPr>
      </w:r>
    </w:p>
    <w:p>
      <w:pPr>
        <w:pStyle w:val="Heading3"/>
        <w:spacing w:line="362" w:lineRule="exact" w:before="75"/>
        <w:ind w:right="1135"/>
        <w:jc w:val="both"/>
      </w:pPr>
      <w:r>
        <w:rPr>
          <w:spacing w:val="2"/>
        </w:rPr>
        <w:t>今天国际管理层（以下简称管理层）对其他信息负责。其他信息包括今天</w:t>
      </w:r>
      <w:r>
        <w:rPr>
          <w:spacing w:val="2"/>
          <w:w w:val="100"/>
        </w:rPr>
        <w:t> </w:t>
      </w:r>
      <w:r>
        <w:rPr/>
        <w:t>国际</w:t>
      </w:r>
      <w:r>
        <w:rPr>
          <w:spacing w:val="-7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年年度报告中涵盖的信息，但不包括财务报表和我们的审计报告。</w:t>
      </w:r>
    </w:p>
    <w:p>
      <w:pPr>
        <w:pStyle w:val="Heading3"/>
        <w:spacing w:line="360" w:lineRule="exact" w:before="45"/>
        <w:ind w:right="1135"/>
        <w:jc w:val="both"/>
      </w:pPr>
      <w:r>
        <w:rPr>
          <w:spacing w:val="2"/>
        </w:rPr>
        <w:t>我们对财务报表发表的审计意见不涵盖其他信息，我们也不对其他信息发</w:t>
      </w:r>
      <w:r>
        <w:rPr>
          <w:spacing w:val="2"/>
          <w:w w:val="100"/>
        </w:rPr>
        <w:t> </w:t>
      </w:r>
      <w:r>
        <w:rPr/>
        <w:t>表任何形式的鉴证结论。</w:t>
      </w:r>
    </w:p>
    <w:p>
      <w:pPr>
        <w:pStyle w:val="Heading3"/>
        <w:spacing w:line="237" w:lineRule="auto" w:before="10"/>
        <w:ind w:right="1133"/>
        <w:jc w:val="both"/>
      </w:pPr>
      <w:r>
        <w:rPr>
          <w:spacing w:val="2"/>
        </w:rPr>
        <w:t>结合我们对财务报表的审计，我们的责任是阅读其他信息，在此过程中，</w:t>
      </w:r>
      <w:r>
        <w:rPr>
          <w:w w:val="100"/>
        </w:rPr>
        <w:t> </w:t>
      </w:r>
      <w:r>
        <w:rPr>
          <w:spacing w:val="2"/>
        </w:rPr>
        <w:t>考虑其他信息是否与财务报表或我们在审计过程中了解到的情况存在重大不一</w:t>
      </w:r>
      <w:r>
        <w:rPr>
          <w:spacing w:val="-106"/>
        </w:rPr>
        <w:t> </w:t>
      </w:r>
      <w:r>
        <w:rPr>
          <w:spacing w:val="-106"/>
        </w:rPr>
      </w:r>
      <w:r>
        <w:rPr/>
        <w:t>致或者似乎存在重大错报。</w:t>
      </w:r>
    </w:p>
    <w:p>
      <w:pPr>
        <w:pStyle w:val="Heading3"/>
        <w:spacing w:line="362" w:lineRule="exact" w:before="77"/>
        <w:ind w:right="1135"/>
        <w:jc w:val="both"/>
      </w:pPr>
      <w:r>
        <w:rPr>
          <w:spacing w:val="2"/>
        </w:rPr>
        <w:t>基于我们已执行的工作，如果我们确定其他信息存在重大错报，我们应当</w:t>
      </w:r>
      <w:r>
        <w:rPr>
          <w:spacing w:val="2"/>
          <w:w w:val="100"/>
        </w:rPr>
        <w:t> </w:t>
      </w:r>
      <w:r>
        <w:rPr/>
        <w:t>报告该事实。在这方面，我们无任何事项需要报告。</w:t>
      </w:r>
    </w:p>
    <w:p>
      <w:pPr>
        <w:spacing w:line="240" w:lineRule="auto" w:before="9"/>
        <w:rPr>
          <w:rFonts w:ascii="宋体" w:hAnsi="宋体" w:cs="宋体" w:eastAsia="宋体" w:hint="default"/>
          <w:sz w:val="29"/>
          <w:szCs w:val="29"/>
        </w:rPr>
      </w:pPr>
    </w:p>
    <w:p>
      <w:pPr>
        <w:pStyle w:val="Heading2"/>
        <w:spacing w:line="240" w:lineRule="auto"/>
        <w:ind w:right="1115"/>
        <w:jc w:val="left"/>
        <w:rPr>
          <w:rFonts w:ascii="等线" w:hAnsi="等线" w:cs="等线" w:eastAsia="等线" w:hint="default"/>
          <w:b w:val="0"/>
          <w:bCs w:val="0"/>
        </w:rPr>
      </w:pPr>
      <w:r>
        <w:rPr>
          <w:rFonts w:ascii="等线" w:hAnsi="等线" w:cs="等线" w:eastAsia="等线" w:hint="default"/>
        </w:rPr>
        <w:t>五、</w:t>
      </w:r>
      <w:r>
        <w:rPr>
          <w:rFonts w:ascii="等线" w:hAnsi="等线" w:cs="等线" w:eastAsia="等线" w:hint="default"/>
          <w:spacing w:val="55"/>
        </w:rPr>
        <w:t> </w:t>
      </w:r>
      <w:r>
        <w:rPr>
          <w:rFonts w:ascii="等线" w:hAnsi="等线" w:cs="等线" w:eastAsia="等线" w:hint="default"/>
        </w:rPr>
        <w:t>管理层和治理层对财务报表的责任</w:t>
      </w:r>
      <w:r>
        <w:rPr>
          <w:rFonts w:ascii="等线" w:hAnsi="等线" w:cs="等线" w:eastAsia="等线" w:hint="default"/>
          <w:b w:val="0"/>
          <w:bCs w:val="0"/>
        </w:rPr>
      </w:r>
    </w:p>
    <w:p>
      <w:pPr>
        <w:pStyle w:val="Heading3"/>
        <w:spacing w:line="237" w:lineRule="auto" w:before="38"/>
        <w:ind w:right="1133"/>
        <w:jc w:val="both"/>
      </w:pPr>
      <w:r>
        <w:rPr>
          <w:spacing w:val="2"/>
        </w:rPr>
        <w:t>管理层负责按照企业会计准则的规定编制财务报表，使其实现公允反映，</w:t>
      </w:r>
      <w:r>
        <w:rPr>
          <w:spacing w:val="2"/>
          <w:w w:val="100"/>
        </w:rPr>
        <w:t> </w:t>
      </w:r>
      <w:r>
        <w:rPr>
          <w:spacing w:val="2"/>
        </w:rPr>
        <w:t>并设计、执行和维护必要的内部控制，以使财务报表不存在由于舞弊或错误导</w:t>
      </w:r>
      <w:r>
        <w:rPr>
          <w:spacing w:val="-106"/>
        </w:rPr>
        <w:t> </w:t>
      </w:r>
      <w:r>
        <w:rPr>
          <w:spacing w:val="-106"/>
        </w:rPr>
      </w:r>
      <w:r>
        <w:rPr/>
        <w:t>致的重大错报。</w:t>
      </w:r>
    </w:p>
    <w:p>
      <w:pPr>
        <w:pStyle w:val="Heading3"/>
        <w:spacing w:line="237" w:lineRule="auto" w:before="43"/>
        <w:ind w:right="1133"/>
        <w:jc w:val="both"/>
      </w:pPr>
      <w:r>
        <w:rPr>
          <w:spacing w:val="2"/>
        </w:rPr>
        <w:t>在编制财务报表时，管理层负责评估今天国际的持续经营能力，披露与持</w:t>
      </w:r>
      <w:r>
        <w:rPr>
          <w:spacing w:val="2"/>
          <w:w w:val="100"/>
        </w:rPr>
        <w:t> </w:t>
      </w:r>
      <w:r>
        <w:rPr>
          <w:spacing w:val="-6"/>
          <w:w w:val="100"/>
        </w:rPr>
        <w:t>续经营相关的事项（如适用），并运用持续经营假设，除非计划进行清算、终止</w:t>
      </w:r>
      <w:r>
        <w:rPr>
          <w:spacing w:val="-128"/>
          <w:w w:val="100"/>
        </w:rPr>
        <w:t> </w:t>
      </w:r>
      <w:r>
        <w:rPr>
          <w:spacing w:val="-128"/>
          <w:w w:val="100"/>
        </w:rPr>
      </w:r>
      <w:r>
        <w:rPr/>
        <w:t>运营或别无其他现实的选择。</w:t>
      </w:r>
    </w:p>
    <w:p>
      <w:pPr>
        <w:pStyle w:val="Heading3"/>
        <w:spacing w:line="240" w:lineRule="auto" w:before="37"/>
        <w:ind w:left="719" w:right="1115" w:firstLine="0"/>
        <w:jc w:val="left"/>
      </w:pPr>
      <w:r>
        <w:rPr/>
        <w:t>治理层负责监督今天国际的财务报告过程。</w:t>
      </w:r>
    </w:p>
    <w:p>
      <w:pPr>
        <w:spacing w:line="240" w:lineRule="auto" w:before="3"/>
        <w:rPr>
          <w:rFonts w:ascii="宋体" w:hAnsi="宋体" w:cs="宋体" w:eastAsia="宋体" w:hint="default"/>
          <w:sz w:val="32"/>
          <w:szCs w:val="32"/>
        </w:rPr>
      </w:pPr>
    </w:p>
    <w:p>
      <w:pPr>
        <w:pStyle w:val="Heading2"/>
        <w:spacing w:line="240" w:lineRule="auto"/>
        <w:ind w:right="1115"/>
        <w:jc w:val="left"/>
        <w:rPr>
          <w:rFonts w:ascii="等线" w:hAnsi="等线" w:cs="等线" w:eastAsia="等线" w:hint="default"/>
          <w:b w:val="0"/>
          <w:bCs w:val="0"/>
        </w:rPr>
      </w:pPr>
      <w:r>
        <w:rPr>
          <w:rFonts w:ascii="等线" w:hAnsi="等线" w:cs="等线" w:eastAsia="等线" w:hint="default"/>
        </w:rPr>
        <w:t>六、</w:t>
      </w:r>
      <w:r>
        <w:rPr>
          <w:rFonts w:ascii="等线" w:hAnsi="等线" w:cs="等线" w:eastAsia="等线" w:hint="default"/>
          <w:spacing w:val="55"/>
        </w:rPr>
        <w:t> </w:t>
      </w:r>
      <w:r>
        <w:rPr>
          <w:rFonts w:ascii="等线" w:hAnsi="等线" w:cs="等线" w:eastAsia="等线" w:hint="default"/>
        </w:rPr>
        <w:t>注册会计师对财务报表审计的责任</w:t>
      </w:r>
      <w:r>
        <w:rPr>
          <w:rFonts w:ascii="等线" w:hAnsi="等线" w:cs="等线" w:eastAsia="等线" w:hint="default"/>
          <w:b w:val="0"/>
          <w:bCs w:val="0"/>
        </w:rPr>
      </w:r>
    </w:p>
    <w:p>
      <w:pPr>
        <w:pStyle w:val="Heading3"/>
        <w:spacing w:line="237" w:lineRule="auto" w:before="39"/>
        <w:ind w:right="1133"/>
        <w:jc w:val="both"/>
      </w:pPr>
      <w:r>
        <w:rPr>
          <w:spacing w:val="2"/>
        </w:rPr>
        <w:t>我们的目标是对财务报表整体是否不存在由于舞弊或错误导致的重大错报</w:t>
      </w:r>
      <w:r>
        <w:rPr>
          <w:spacing w:val="2"/>
          <w:w w:val="100"/>
        </w:rPr>
        <w:t> </w:t>
      </w:r>
      <w:r>
        <w:rPr>
          <w:spacing w:val="2"/>
        </w:rPr>
        <w:t>获取合理保证，并出具包含审计意见的审计报告。合理保证是高水平的保证，</w:t>
      </w:r>
      <w:r>
        <w:rPr>
          <w:spacing w:val="-106"/>
        </w:rPr>
        <w:t> </w:t>
      </w:r>
      <w:r>
        <w:rPr>
          <w:spacing w:val="-106"/>
        </w:rPr>
      </w:r>
      <w:r>
        <w:rPr>
          <w:spacing w:val="2"/>
        </w:rPr>
        <w:t>但并不能保证按照审计准则执行的审计在某一重大错报存在时总能发现。错报</w:t>
      </w:r>
      <w:r>
        <w:rPr>
          <w:spacing w:val="-106"/>
        </w:rPr>
        <w:t> </w:t>
      </w:r>
      <w:r>
        <w:rPr>
          <w:spacing w:val="-106"/>
        </w:rPr>
      </w:r>
      <w:r>
        <w:rPr>
          <w:spacing w:val="2"/>
        </w:rPr>
        <w:t>可能由于舞弊或错误导致，如果合理预期错报单独或汇总起来可能影响财务报</w:t>
      </w:r>
      <w:r>
        <w:rPr>
          <w:spacing w:val="-106"/>
        </w:rPr>
        <w:t> </w:t>
      </w:r>
      <w:r>
        <w:rPr>
          <w:spacing w:val="-106"/>
        </w:rPr>
      </w:r>
      <w:r>
        <w:rPr/>
        <w:t>表使用者依据财务报表作出的经济决策，则通常认为错报是重大的。</w:t>
      </w:r>
    </w:p>
    <w:p>
      <w:pPr>
        <w:pStyle w:val="Heading3"/>
        <w:spacing w:line="362" w:lineRule="exact" w:before="77"/>
        <w:ind w:right="1139"/>
        <w:jc w:val="both"/>
      </w:pPr>
      <w:r>
        <w:rPr>
          <w:spacing w:val="2"/>
        </w:rPr>
        <w:t>在按照审计准则执行审计工作的过程中，我们运用职业判断，并保持职业</w:t>
      </w:r>
      <w:r>
        <w:rPr>
          <w:w w:val="100"/>
        </w:rPr>
        <w:t> </w:t>
      </w:r>
      <w:r>
        <w:rPr/>
        <w:t>怀疑。同时，我们也执行以下工作：</w:t>
      </w:r>
    </w:p>
    <w:p>
      <w:pPr>
        <w:spacing w:line="240" w:lineRule="auto" w:before="6"/>
        <w:rPr>
          <w:rFonts w:ascii="宋体" w:hAnsi="宋体" w:cs="宋体" w:eastAsia="宋体" w:hint="default"/>
          <w:sz w:val="28"/>
          <w:szCs w:val="28"/>
        </w:rPr>
      </w:pPr>
    </w:p>
    <w:p>
      <w:pPr>
        <w:pStyle w:val="Heading3"/>
        <w:spacing w:line="235" w:lineRule="auto"/>
        <w:ind w:right="1133"/>
        <w:jc w:val="both"/>
      </w:pPr>
      <w:r>
        <w:rPr>
          <w:spacing w:val="-2"/>
        </w:rPr>
        <w:t>（</w:t>
      </w:r>
      <w:r>
        <w:rPr>
          <w:rFonts w:ascii="Times New Roman" w:hAnsi="Times New Roman" w:cs="Times New Roman" w:eastAsia="Times New Roman" w:hint="default"/>
          <w:spacing w:val="-2"/>
        </w:rPr>
        <w:t>1</w:t>
      </w:r>
      <w:r>
        <w:rPr>
          <w:spacing w:val="-2"/>
        </w:rPr>
        <w:t>）识别和评估由于舞弊或错误导致的财务报表重大错报风险，设计和实</w:t>
      </w:r>
      <w:r>
        <w:rPr>
          <w:w w:val="100"/>
        </w:rPr>
        <w:t> </w:t>
      </w:r>
      <w:r>
        <w:rPr>
          <w:spacing w:val="2"/>
        </w:rPr>
        <w:t>施审计程序以应对这些风险，并获取充分、适当的审计证据，作为发表审计意</w:t>
      </w:r>
      <w:r>
        <w:rPr>
          <w:spacing w:val="-106"/>
        </w:rPr>
        <w:t> </w:t>
      </w:r>
      <w:r>
        <w:rPr>
          <w:spacing w:val="-106"/>
        </w:rPr>
      </w:r>
      <w:r>
        <w:rPr>
          <w:spacing w:val="2"/>
        </w:rPr>
        <w:t>见的基础。由于舞弊可能涉及串通、伪造、故意遗漏、虚假陈述或凌驾于内部</w:t>
      </w:r>
      <w:r>
        <w:rPr>
          <w:spacing w:val="-106"/>
        </w:rPr>
        <w:t> </w:t>
      </w:r>
      <w:r>
        <w:rPr>
          <w:spacing w:val="-106"/>
        </w:rPr>
      </w:r>
      <w:r>
        <w:rPr>
          <w:spacing w:val="2"/>
        </w:rPr>
        <w:t>控制之上，未能发现由于舞弊导致的重大错报的风险高于未能发现由于错误导</w:t>
      </w:r>
      <w:r>
        <w:rPr>
          <w:spacing w:val="-106"/>
        </w:rPr>
        <w:t> </w:t>
      </w:r>
      <w:r>
        <w:rPr>
          <w:spacing w:val="-106"/>
        </w:rPr>
      </w:r>
      <w:r>
        <w:rPr/>
        <w:t>致的重大错报的风险。</w:t>
      </w:r>
    </w:p>
    <w:p>
      <w:pPr>
        <w:pStyle w:val="Heading3"/>
        <w:spacing w:line="360" w:lineRule="exact" w:before="79"/>
        <w:ind w:right="1134"/>
        <w:jc w:val="both"/>
      </w:pPr>
      <w:r>
        <w:rPr>
          <w:spacing w:val="-2"/>
        </w:rPr>
        <w:t>（</w:t>
      </w:r>
      <w:r>
        <w:rPr>
          <w:rFonts w:ascii="Times New Roman" w:hAnsi="Times New Roman" w:cs="Times New Roman" w:eastAsia="Times New Roman" w:hint="default"/>
          <w:spacing w:val="-2"/>
        </w:rPr>
        <w:t>2</w:t>
      </w:r>
      <w:r>
        <w:rPr>
          <w:spacing w:val="-2"/>
        </w:rPr>
        <w:t>）了解与审计相关的内部控制，以设计恰当的审计程序，但目的并非对</w:t>
      </w:r>
      <w:r>
        <w:rPr>
          <w:w w:val="100"/>
        </w:rPr>
        <w:t> </w:t>
      </w:r>
      <w:r>
        <w:rPr/>
        <w:t>内部控制的有效性发表意见。</w:t>
      </w:r>
    </w:p>
    <w:p>
      <w:pPr>
        <w:spacing w:after="0" w:line="360" w:lineRule="exact"/>
        <w:jc w:val="both"/>
        <w:sectPr>
          <w:pgSz w:w="11910" w:h="16840"/>
          <w:pgMar w:header="745" w:footer="980" w:top="1060" w:bottom="1160" w:left="980" w:right="0"/>
        </w:sectPr>
      </w:pPr>
    </w:p>
    <w:p>
      <w:pPr>
        <w:spacing w:line="240" w:lineRule="auto" w:before="11"/>
        <w:rPr>
          <w:rFonts w:ascii="宋体" w:hAnsi="宋体" w:cs="宋体" w:eastAsia="宋体" w:hint="default"/>
          <w:sz w:val="23"/>
          <w:szCs w:val="23"/>
        </w:rPr>
      </w:pPr>
    </w:p>
    <w:p>
      <w:pPr>
        <w:pStyle w:val="Heading3"/>
        <w:spacing w:line="374" w:lineRule="exact" w:before="14"/>
        <w:ind w:left="719" w:right="998" w:firstLine="0"/>
        <w:jc w:val="left"/>
      </w:pPr>
      <w:r>
        <w:rPr/>
        <w:t>（</w:t>
      </w:r>
      <w:r>
        <w:rPr>
          <w:rFonts w:ascii="Times New Roman" w:hAnsi="Times New Roman" w:cs="Times New Roman" w:eastAsia="Times New Roman" w:hint="default"/>
        </w:rPr>
        <w:t>3</w:t>
      </w:r>
      <w:r>
        <w:rPr/>
        <w:t>）评价管理层选用会计政策的恰当性和作出会计估计及相关披露的合理</w:t>
      </w:r>
    </w:p>
    <w:p>
      <w:pPr>
        <w:pStyle w:val="Heading3"/>
        <w:spacing w:line="353" w:lineRule="exact"/>
        <w:ind w:right="1115" w:firstLine="0"/>
        <w:jc w:val="left"/>
      </w:pPr>
      <w:r>
        <w:rPr/>
        <w:t>性。</w:t>
      </w:r>
    </w:p>
    <w:p>
      <w:pPr>
        <w:pStyle w:val="Heading3"/>
        <w:spacing w:line="240" w:lineRule="auto" w:before="39"/>
        <w:ind w:left="719" w:right="998" w:firstLine="0"/>
        <w:jc w:val="left"/>
      </w:pPr>
      <w:r>
        <w:rPr/>
        <w:t>（</w:t>
      </w:r>
      <w:r>
        <w:rPr>
          <w:rFonts w:ascii="Times New Roman" w:hAnsi="Times New Roman" w:cs="Times New Roman" w:eastAsia="Times New Roman" w:hint="default"/>
        </w:rPr>
        <w:t>4</w:t>
      </w:r>
      <w:r>
        <w:rPr/>
        <w:t>）对管理层使用持续经营假设的恰当性得出结论。同时，根据获取的审</w:t>
      </w:r>
    </w:p>
    <w:p>
      <w:pPr>
        <w:pStyle w:val="Heading3"/>
        <w:spacing w:line="362" w:lineRule="exact" w:before="14"/>
        <w:ind w:right="1133" w:firstLine="0"/>
        <w:jc w:val="both"/>
      </w:pPr>
      <w:r>
        <w:rPr>
          <w:spacing w:val="2"/>
        </w:rPr>
        <w:t>计证据，就可能导致对今天国际持续经营能力产生重大疑虑的事项或情况是否</w:t>
      </w:r>
      <w:r>
        <w:rPr>
          <w:spacing w:val="-106"/>
        </w:rPr>
        <w:t> </w:t>
      </w:r>
      <w:r>
        <w:rPr>
          <w:spacing w:val="-106"/>
        </w:rPr>
      </w:r>
      <w:r>
        <w:rPr>
          <w:spacing w:val="2"/>
        </w:rPr>
        <w:t>存在重大不确定性得出结论。如果我们得出结论认为存在重大不确定性，审计</w:t>
      </w:r>
      <w:r>
        <w:rPr>
          <w:spacing w:val="-106"/>
        </w:rPr>
        <w:t> </w:t>
      </w:r>
      <w:r>
        <w:rPr>
          <w:spacing w:val="-106"/>
        </w:rPr>
      </w:r>
      <w:r>
        <w:rPr>
          <w:spacing w:val="2"/>
        </w:rPr>
        <w:t>准则要求我们在审计报告中提请报表使用者注意财务报表中的相关披露；如果</w:t>
      </w:r>
      <w:r>
        <w:rPr>
          <w:spacing w:val="-106"/>
        </w:rPr>
        <w:t> </w:t>
      </w:r>
      <w:r>
        <w:rPr>
          <w:spacing w:val="-106"/>
        </w:rPr>
      </w:r>
      <w:r>
        <w:rPr>
          <w:spacing w:val="2"/>
        </w:rPr>
        <w:t>披露不充分，我们应当发表非无保留意见。我们的结论基于截至审计报告日可</w:t>
      </w:r>
      <w:r>
        <w:rPr>
          <w:spacing w:val="-106"/>
        </w:rPr>
        <w:t> </w:t>
      </w:r>
      <w:r>
        <w:rPr>
          <w:spacing w:val="-106"/>
        </w:rPr>
      </w:r>
      <w:r>
        <w:rPr/>
        <w:t>获得的信息。然而，未来的事项或情况可能导致今天国际不能持续经营。</w:t>
      </w:r>
    </w:p>
    <w:p>
      <w:pPr>
        <w:pStyle w:val="Heading3"/>
        <w:spacing w:line="360" w:lineRule="exact" w:before="45"/>
        <w:ind w:right="1137"/>
        <w:jc w:val="both"/>
      </w:pPr>
      <w:r>
        <w:rPr>
          <w:spacing w:val="-3"/>
          <w:w w:val="100"/>
        </w:rPr>
        <w:t>（</w:t>
      </w:r>
      <w:r>
        <w:rPr>
          <w:rFonts w:ascii="Times New Roman" w:hAnsi="Times New Roman" w:cs="Times New Roman" w:eastAsia="Times New Roman" w:hint="default"/>
          <w:spacing w:val="-3"/>
          <w:w w:val="100"/>
        </w:rPr>
        <w:t>5</w:t>
      </w:r>
      <w:r>
        <w:rPr>
          <w:spacing w:val="-3"/>
          <w:w w:val="100"/>
        </w:rPr>
        <w:t>）评价财务报表的总体列报、结构和内容（包括披露），并评价财务报</w:t>
      </w:r>
      <w:r>
        <w:rPr>
          <w:w w:val="100"/>
        </w:rPr>
        <w:t> </w:t>
      </w:r>
      <w:r>
        <w:rPr/>
        <w:t>表是否公允反映相关交易和事项。</w:t>
      </w:r>
    </w:p>
    <w:p>
      <w:pPr>
        <w:pStyle w:val="Heading3"/>
        <w:spacing w:line="230" w:lineRule="auto" w:before="19"/>
        <w:ind w:right="0"/>
        <w:jc w:val="left"/>
      </w:pPr>
      <w:r>
        <w:rPr>
          <w:spacing w:val="-6"/>
        </w:rPr>
        <w:t>（</w:t>
      </w:r>
      <w:r>
        <w:rPr>
          <w:rFonts w:ascii="Times New Roman" w:hAnsi="Times New Roman" w:cs="Times New Roman" w:eastAsia="Times New Roman" w:hint="default"/>
          <w:spacing w:val="-6"/>
        </w:rPr>
        <w:t>6</w:t>
      </w:r>
      <w:r>
        <w:rPr>
          <w:spacing w:val="-6"/>
        </w:rPr>
        <w:t>）就今天国际中实体或业务活动的财务信息获取充分、适当的审计证据，</w:t>
      </w:r>
      <w:r>
        <w:rPr>
          <w:w w:val="100"/>
        </w:rPr>
        <w:t> </w:t>
      </w:r>
      <w:r>
        <w:rPr>
          <w:spacing w:val="2"/>
        </w:rPr>
        <w:t>以对财务报表发表审计意见。我们负责指导、监督和执行集团审计，并对审计</w:t>
      </w:r>
      <w:r>
        <w:rPr>
          <w:spacing w:val="-106"/>
        </w:rPr>
        <w:t> </w:t>
      </w:r>
      <w:r>
        <w:rPr>
          <w:spacing w:val="-106"/>
        </w:rPr>
      </w:r>
      <w:r>
        <w:rPr/>
        <w:t>意见承担全部责任。</w:t>
      </w:r>
    </w:p>
    <w:p>
      <w:pPr>
        <w:pStyle w:val="Heading3"/>
        <w:spacing w:line="360" w:lineRule="exact" w:before="80"/>
        <w:ind w:right="1135"/>
        <w:jc w:val="both"/>
      </w:pPr>
      <w:r>
        <w:rPr>
          <w:spacing w:val="2"/>
        </w:rPr>
        <w:t>我们与治理层就计划的审计范围、时间安排和重大审计发现等事项进行沟</w:t>
      </w:r>
      <w:r>
        <w:rPr>
          <w:spacing w:val="2"/>
          <w:w w:val="100"/>
        </w:rPr>
        <w:t> </w:t>
      </w:r>
      <w:r>
        <w:rPr/>
        <w:t>通，包括沟通我们在审计中识别出的值得关注的内部控制缺陷。</w:t>
      </w:r>
    </w:p>
    <w:p>
      <w:pPr>
        <w:pStyle w:val="Heading3"/>
        <w:spacing w:line="237" w:lineRule="auto" w:before="10"/>
        <w:ind w:right="1133"/>
        <w:jc w:val="both"/>
      </w:pPr>
      <w:r>
        <w:rPr>
          <w:spacing w:val="2"/>
        </w:rPr>
        <w:t>我们还就已遵守与独立性相关的职业道德要求向治理层提供声明，并与治</w:t>
      </w:r>
      <w:r>
        <w:rPr>
          <w:spacing w:val="2"/>
          <w:w w:val="100"/>
        </w:rPr>
        <w:t> </w:t>
      </w:r>
      <w:r>
        <w:rPr>
          <w:spacing w:val="2"/>
        </w:rPr>
        <w:t>理层沟通可能被合理认为影响我们独立性的所有关系和其他事项，以及相关的</w:t>
      </w:r>
      <w:r>
        <w:rPr>
          <w:spacing w:val="-106"/>
        </w:rPr>
        <w:t> </w:t>
      </w:r>
      <w:r>
        <w:rPr>
          <w:spacing w:val="-106"/>
        </w:rPr>
      </w:r>
      <w:r>
        <w:rPr>
          <w:spacing w:val="-15"/>
          <w:w w:val="100"/>
        </w:rPr>
        <w:t>防范措施（如适用）。</w:t>
      </w:r>
    </w:p>
    <w:p>
      <w:pPr>
        <w:pStyle w:val="Heading3"/>
        <w:spacing w:line="237" w:lineRule="auto" w:before="43"/>
        <w:ind w:right="1133"/>
        <w:jc w:val="both"/>
      </w:pPr>
      <w:r>
        <w:rPr>
          <w:spacing w:val="2"/>
        </w:rPr>
        <w:t>从与治理层沟通过的事项中，我们确定哪些事项对本期财务报表审计最为</w:t>
      </w:r>
      <w:r>
        <w:rPr>
          <w:spacing w:val="2"/>
          <w:w w:val="100"/>
        </w:rPr>
        <w:t> </w:t>
      </w:r>
      <w:r>
        <w:rPr>
          <w:spacing w:val="2"/>
        </w:rPr>
        <w:t>重要，因而构成关键审计事项。我们在审计报告中描述这些事项，除非法律法</w:t>
      </w:r>
      <w:r>
        <w:rPr>
          <w:spacing w:val="-108"/>
        </w:rPr>
        <w:t> </w:t>
      </w:r>
      <w:r>
        <w:rPr>
          <w:spacing w:val="-108"/>
        </w:rPr>
      </w:r>
      <w:r>
        <w:rPr>
          <w:spacing w:val="2"/>
        </w:rPr>
        <w:t>规禁止公开披露这些事项，或在极少数情形下，如果合理预期在审计报告中沟</w:t>
      </w:r>
      <w:r>
        <w:rPr>
          <w:spacing w:val="-106"/>
        </w:rPr>
        <w:t> </w:t>
      </w:r>
      <w:r>
        <w:rPr>
          <w:spacing w:val="-106"/>
        </w:rPr>
      </w:r>
      <w:r>
        <w:rPr>
          <w:spacing w:val="2"/>
        </w:rPr>
        <w:t>通某事项造成的负面后果超过在公众利益方面产生的益处，我们确定不应在审</w:t>
      </w:r>
      <w:r>
        <w:rPr>
          <w:spacing w:val="-106"/>
        </w:rPr>
        <w:t> </w:t>
      </w:r>
      <w:r>
        <w:rPr>
          <w:spacing w:val="-106"/>
        </w:rPr>
      </w:r>
      <w:r>
        <w:rPr/>
        <w:t>计报告中沟通该事项。</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29"/>
          <w:szCs w:val="29"/>
        </w:rPr>
      </w:pPr>
    </w:p>
    <w:p>
      <w:pPr>
        <w:pStyle w:val="Heading2"/>
        <w:tabs>
          <w:tab w:pos="5193" w:val="left" w:leader="none"/>
        </w:tabs>
        <w:spacing w:line="240" w:lineRule="auto"/>
        <w:ind w:left="429" w:right="1115"/>
        <w:jc w:val="left"/>
        <w:rPr>
          <w:b w:val="0"/>
          <w:bCs w:val="0"/>
        </w:rPr>
      </w:pPr>
      <w:r>
        <w:rPr>
          <w:w w:val="95"/>
        </w:rPr>
        <w:t>立信会计师事务所（特殊普通合伙）</w:t>
        <w:tab/>
      </w:r>
      <w:r>
        <w:rPr/>
        <w:t>中国注册会计师： 崔岩</w:t>
      </w:r>
      <w:r>
        <w:rPr>
          <w:b w:val="0"/>
          <w:bCs w:val="0"/>
        </w:rPr>
      </w:r>
    </w:p>
    <w:p>
      <w:pPr>
        <w:pStyle w:val="Heading2"/>
        <w:spacing w:line="240" w:lineRule="auto" w:before="36"/>
        <w:ind w:left="5210" w:right="1115"/>
        <w:jc w:val="left"/>
        <w:rPr>
          <w:b w:val="0"/>
          <w:bCs w:val="0"/>
        </w:rPr>
      </w:pPr>
      <w:r>
        <w:rPr/>
        <w:t>（项目合伙人）</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29"/>
          <w:szCs w:val="29"/>
        </w:rPr>
      </w:pPr>
    </w:p>
    <w:p>
      <w:pPr>
        <w:pStyle w:val="Heading2"/>
        <w:spacing w:line="240" w:lineRule="auto"/>
        <w:ind w:left="5198" w:right="1115"/>
        <w:jc w:val="left"/>
        <w:rPr>
          <w:b w:val="0"/>
          <w:bCs w:val="0"/>
        </w:rPr>
      </w:pPr>
      <w:r>
        <w:rPr/>
        <w:t>中国注册会计师：</w:t>
      </w:r>
      <w:r>
        <w:rPr>
          <w:spacing w:val="3"/>
        </w:rPr>
        <w:t> </w:t>
      </w:r>
      <w:r>
        <w:rPr/>
        <w:t>徐冬冬</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8"/>
        <w:rPr>
          <w:rFonts w:ascii="宋体" w:hAnsi="宋体" w:cs="宋体" w:eastAsia="宋体" w:hint="default"/>
          <w:b/>
          <w:bCs/>
          <w:sz w:val="29"/>
          <w:szCs w:val="29"/>
        </w:rPr>
      </w:pPr>
    </w:p>
    <w:p>
      <w:pPr>
        <w:pStyle w:val="Heading2"/>
        <w:tabs>
          <w:tab w:pos="5193" w:val="left" w:leader="none"/>
        </w:tabs>
        <w:spacing w:line="240" w:lineRule="auto"/>
        <w:ind w:left="1813" w:right="1115"/>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6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71"/>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Heading4"/>
        <w:spacing w:line="240" w:lineRule="auto" w:before="26"/>
        <w:ind w:right="1115"/>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编制单位：深圳市今天国际物流技术股份有限公司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76"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700" w:left="980" w:right="0"/>
          <w:cols w:num="3" w:equalWidth="0">
            <w:col w:w="4113" w:space="40"/>
            <w:col w:w="1565" w:space="3203"/>
            <w:col w:w="2009"/>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284,313,470.25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303,840,073.27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509,028,360.17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521,718,720.50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51,664,524.70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66,861,481.16</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457,363,835.47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454,857,239.34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44,744,163.71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21,720,090.03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38,914,920.68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20,610,034.07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216,398,418.26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117,195,135.06</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123,983,795.68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66,058,428.44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1,217,383,128.75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1,051,142,481.37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51,628,016.06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37,788,885.39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15,817,136.49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16,504,757.71</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85,200,416.16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71,505,732.47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112,208,415.07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95,562,603.83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13,068,555.33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13,886,156.21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381,339.68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78,146.54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15,628,409.51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14,404,620.54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293,932,288.30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249,730,902.69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1,511,315,417.05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1,300,873,384.06</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79"/>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258,944,180.29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203,641,340.14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355,907,321.95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110,753,457.95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14,665,030.78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10,941,025.25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4,274,458.04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16,115,732.82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61,024,417.13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64,345,016.91</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130,334.72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23,426,839.77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41,589,955.50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718,242,247.96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487,386,528.57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15,941,535.30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15,218,201.83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13,306,901.38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422,180.91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105,697.16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24,513,716.21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28,630,800.37</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742,755,964.17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516,017,328.94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277,253,280.00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154,029,600.00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226,318,905.12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347,759,224.35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39,872,448.00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49,800,960.00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-107,531.14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-508,568.50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45,010,590.08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43,174,929.12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259,956,656.82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289,439,097.51</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768,559,452.88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784,093,322.48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762,732.64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768,559,452.88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784,856,055.12</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1,511,315,417.05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1,300,873,384.06</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1223"/>
        <w:jc w:val="right"/>
      </w:pPr>
      <w:r>
        <w:rPr/>
        <w:t>法定代表人：邵健伟</w:t>
        <w:tab/>
      </w:r>
      <w:r>
        <w:rPr>
          <w:spacing w:val="-1"/>
        </w:rPr>
        <w:t>主管会计工作负责人：张永清</w:t>
        <w:tab/>
      </w:r>
      <w:r>
        <w:rPr/>
        <w:t>会计机构负责人：蓝国斌</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237,558,574.04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265,122,212.95</w:t>
            </w: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504,870,836.20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521,660,220.50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51,664,524.70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66,861,481.16</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453,206,311.50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454,798,739.34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38,968,092.38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18,256,313.44</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38,279,144.55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19,795,737.89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223,019,168.25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112,499,159.75</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120,486,374.59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63,776,721.95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1,163,182,190.01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1,001,110,366.48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127,216,045.79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102,242,915.12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44,099,761.39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29,501,070.46</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55,419,868.70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57,629,655.73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112,211,434.78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95,354,245.68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12,541,160.72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13,825,688.94</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381,339.68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78,146.54</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11,862,138.57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12,415,661.47</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363,731,749.63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311,047,383.94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1,526,913,939.64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1,312,157,750.42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333,815,940.50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276,311,535.36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351,588,426.27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107,409,856.95</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8,886,925.24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7,248,550.35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2,999,191.39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6,949,886.47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56,282,209.04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62,630,017.49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130,334.72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22,805,812.45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41,589,955.50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776,378,504.89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542,139,802.12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14,329,272.16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14,373,284.28</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13,306,901.38</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238,585.11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22,717,857.27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27,680,185.66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799,096,362.16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569,819,987.78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277,253,280.00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154,029,600.00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221,862,833.43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342,084,642.27</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39,872,448.00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49,800,960.00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39,522.47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-19,927.65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45,010,590.08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43,174,929.12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223,523,799.50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252,869,478.90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727,817,577.48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742,337,762.64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1,526,913,939.64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1,312,157,750.42</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15"/>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416,147,308.87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569,617,745.01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416,147,308.87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569,617,745.01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415,129,224.21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485,783,493.26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272,430,679.09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360,164,427.96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1,971,588.24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5,391,630.94</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43,639,279.77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31,238,930.28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60,318,326.94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54,972,920.50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42,594,346.93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30,669,901.75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-2,272,424.88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-1,705,654.32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1,583,216.97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1,871,104.57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-3,552,571.88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5,051,336.15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9,114,846.38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6,027,404.73</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6,506,728.91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12,091,768.93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3,838,088.39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3,077,313.42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106,401.42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50,017.56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16,746,061.37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102,003,442.97</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531,522.51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6,910,732.98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686,541.26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1,828,535.44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16,591,042.62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107,085,640.51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-779,562.62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14,250,114.57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17,370,605.24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92,835,525.94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17,370,605.24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92,835,525.94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18,219,848.27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93,204,793.30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-849,243.03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-369,267.36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401,037.36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-471,793.86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401,037.36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-471,793.86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8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401,037.36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-471,793.86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59,450.12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-19,927.65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341,587.24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-451,866.21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17,771,642.60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92,363,732.08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18,620,885.63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92,732,999.44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-849,243.03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-369,267.36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0.34</w:t>
            </w:r>
          </w:p>
        </w:tc>
      </w:tr>
    </w:tbl>
    <w:p>
      <w:pPr>
        <w:pStyle w:val="BodyText"/>
        <w:tabs>
          <w:tab w:pos="3578" w:val="left" w:leader="none"/>
          <w:tab w:pos="7721" w:val="left" w:leader="none"/>
        </w:tabs>
        <w:spacing w:line="621" w:lineRule="auto" w:before="49"/>
        <w:ind w:right="1223"/>
        <w:jc w:val="left"/>
      </w:pPr>
      <w:r>
        <w:rPr/>
        <w:t>本期发生同一控制下企业合并的，被合并方在合并前实现的净利润为：元，上期被合并方实现的净利润为：元。 法定代表人：邵健伟</w:t>
        <w:tab/>
      </w:r>
      <w:r>
        <w:rPr>
          <w:spacing w:val="-1"/>
        </w:rPr>
        <w:t>主管会计工作负责人：张永清</w:t>
        <w:tab/>
      </w:r>
      <w:r>
        <w:rPr/>
        <w:t>会计机构负责人：蓝国斌</w:t>
      </w:r>
    </w:p>
    <w:p>
      <w:pPr>
        <w:pStyle w:val="Heading5"/>
        <w:spacing w:line="240" w:lineRule="auto" w:before="69"/>
        <w:ind w:right="1115"/>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409,238,677.20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569,674,893.11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298,791,169.38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400,352,522.46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1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1,369,772.33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4,180,738.68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32,841,226.27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27,349,205.47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49,614,988.33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49,907,277.43</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23,289,919.05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18,670,265.53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-2,096,559.55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-1,382,277.10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1,403,469.67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1,749,951.52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-3,807,789.40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5,035,548.94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3,857,368.64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1,432,310.20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6,101,131.40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23,087,589.29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3,838,088.39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3,077,313.42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106,401.42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50,017.56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19,300,852.25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90,131,528.75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531,519.73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6,597,985.83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683,654.41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1,828,498.98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19,148,717.57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94,901,015.60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792,108.01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12,602,357.20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18,356,609.56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82,298,658.40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18,356,609.56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82,298,658.40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59,450.12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-19,927.65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59,450.12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-19,927.65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59,450.12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-19,927.65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18,416,059.68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82,278,730.75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15"/>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744,109,645.36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517,432,854.86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5,267,128.03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5,953,119.17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49,282,685.88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52,955,081.57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798,659,459.27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576,341,055.60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396,197,544.04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378,483,316.71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85,998,970.23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63,050,833.21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38,358,744.44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61,423,355.48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128,422,246.21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73,455,078.12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648,977,504.92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576,412,583.52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149,681,954.35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-71,527.92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2,668,620.79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5,288,905.04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3,134,020.79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145,353,905.04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37,260,929.79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56,595,416.24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60,134,000.00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34,731,499.62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919,617.58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97,394,929.79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92,246,533.44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-94,260,909.00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53,107,371.60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50,932,960.00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1,132,000.00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50,932,960.00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47,550,166.11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52,819,465.28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87,550,166.11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62,819,465.28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-87,548,166.11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-11,886,505.28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263,793.73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-230,406.23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-31,863,327.03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40,918,932.17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289,481,776.26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248,562,844.09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257,618,449.23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289,481,776.26</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15"/>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739,486,950.53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513,046,633.86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700,484.26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1,358,024.64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48,730,942.16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52,453,050.43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788,918,376.95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566,857,708.93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438,539,228.08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382,104,619.50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54,429,519.00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41,593,695.07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24,942,547.15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51,932,274.21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118,774,988.25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68,062,598.09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636,686,282.48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543,693,186.87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152,232,094.47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23,164,522.06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141,023,900.00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2,263,043.01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4,904,675.87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51"/>
              <w:jc w:val="right"/>
              <w:rPr>
                <w:rFonts w:ascii="宋体" w:hAnsi="宋体" w:cs="宋体" w:eastAsia="宋体" w:hint="default"/>
                <w:sz w:val="18"/>
                <w:szCs w:val="18"/>
              </w:rPr>
            </w:pPr>
            <w:r>
              <w:rPr>
                <w:rFonts w:ascii="宋体" w:hAnsi="宋体" w:cs="宋体" w:eastAsia="宋体" w:hint="default"/>
                <w:sz w:val="18"/>
                <w:szCs w:val="18"/>
              </w:rPr>
              <w:t>处置固定资产、无形资产和其他</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2,728,443.01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145,993,575.87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37,179,375.10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55,979,424.74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76,597,499.62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107,313,375.10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132,576,924.36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-104,584,932.09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13,416,651.51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49,800,960.00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49,800,960.00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47,550,166.11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52,819,465.28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87,550,166.11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62,819,465.28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-87,550,166.11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-13,018,505.28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2,640.81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4,061.95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-39,900,362.92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23,566,730.24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250,763,915.94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227,197,185.70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210,863,553.02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250,763,915.94</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本期金额</w:t>
      </w:r>
    </w:p>
    <w:p>
      <w:pPr>
        <w:pStyle w:val="BodyText"/>
        <w:spacing w:line="240" w:lineRule="auto" w:before="115"/>
        <w:ind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8135"/>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2"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154,02</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347,759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,224.35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49,800,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-508,56</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8.50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43,174,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929.12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289,439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,097.51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762,732</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.64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784,856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,055.12</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154,02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347,759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,224.35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49,800,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-508,56</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43,174,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929.12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289,439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,097.51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762,732</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.64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784,856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,055.12</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123,22</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3,680.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-121,44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0,319.2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-9,928,5</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12.00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401,037</w:t>
            </w:r>
          </w:p>
          <w:p>
            <w:pPr>
              <w:pStyle w:val="TableParagraph"/>
              <w:spacing w:line="240" w:lineRule="auto" w:before="102"/>
              <w:ind w:left="407" w:right="0"/>
              <w:jc w:val="lef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1,835,6</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60.96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-29,482,</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440.69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-762,73</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2.64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-16,296,</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602.24</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401,037</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18,219,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848.27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18,620,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885.63</w:t>
            </w: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841,768</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 w:right="0"/>
              <w:jc w:val="center"/>
              <w:rPr>
                <w:rFonts w:ascii="Times New Roman" w:hAnsi="Times New Roman" w:cs="Times New Roman" w:eastAsia="Times New Roman" w:hint="default"/>
                <w:sz w:val="18"/>
                <w:szCs w:val="18"/>
              </w:rPr>
            </w:pPr>
            <w:r>
              <w:rPr>
                <w:rFonts w:ascii="Times New Roman"/>
                <w:sz w:val="18"/>
              </w:rPr>
              <w:t>-9,928,5</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12.00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9" w:right="0"/>
              <w:jc w:val="left"/>
              <w:rPr>
                <w:rFonts w:ascii="Times New Roman" w:hAnsi="Times New Roman" w:cs="Times New Roman" w:eastAsia="Times New Roman" w:hint="default"/>
                <w:sz w:val="18"/>
                <w:szCs w:val="18"/>
              </w:rPr>
            </w:pPr>
            <w:r>
              <w:rPr>
                <w:rFonts w:ascii="Times New Roman"/>
                <w:sz w:val="18"/>
              </w:rPr>
              <w:t>-762,73</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2.64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6" w:right="0"/>
              <w:jc w:val="left"/>
              <w:rPr>
                <w:rFonts w:ascii="Times New Roman" w:hAnsi="Times New Roman" w:cs="Times New Roman" w:eastAsia="Times New Roman" w:hint="default"/>
                <w:sz w:val="18"/>
                <w:szCs w:val="18"/>
              </w:rPr>
            </w:pPr>
            <w:r>
              <w:rPr>
                <w:rFonts w:ascii="Times New Roman"/>
                <w:sz w:val="18"/>
              </w:rPr>
              <w:t>10,007,</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547.97</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-9,928,5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12.00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-762,73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2.64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9,165,7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79.36</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2,060,2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2,060,2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79.00</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-1,218,5</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10.39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-1,218,5</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10.39</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1,835,6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60.96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-47,702,</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288.96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-45,866,</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628.00</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1,835,6</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60.96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-1,835,6</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60.96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-45,866,</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628.00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-45,866,</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628.00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123,22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3,680.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3,680.0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123,22</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3,680.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-123,22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3,680.0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941,592</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941,592</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.16</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277,25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3,280.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226,318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,905.12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39,872,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448.00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-107,53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1.14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45,010,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590.08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259,956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,656.82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768,559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,452.88</w:t>
            </w:r>
          </w:p>
        </w:tc>
      </w:tr>
    </w:tbl>
    <w:p>
      <w:pPr>
        <w:pStyle w:val="BodyText"/>
        <w:spacing w:line="240" w:lineRule="auto" w:before="49"/>
        <w:ind w:right="1115"/>
        <w:jc w:val="left"/>
      </w:pPr>
      <w:r>
        <w:rPr/>
        <w:t>上期金额</w:t>
      </w:r>
    </w:p>
    <w:p>
      <w:pPr>
        <w:pStyle w:val="BodyText"/>
        <w:spacing w:line="240" w:lineRule="auto" w:before="115"/>
        <w:ind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358,537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,000.35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-36,774.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34,945,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063.28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254,864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,170.05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732,309</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,459.04</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44"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358,537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-36,774.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34,945,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063.28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254,864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,170.05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732,309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,459.04</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-10,777,</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776.00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49,800,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960.00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-471,79</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3.86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8,229,8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65.84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34,574,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927.46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762,732</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.64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52,546,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596.08</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-471,79</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3.86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93,204,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793.30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92,732,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999.44</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2,829,</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600.00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56,422,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224.00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49,800,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960.00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762,732</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.64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10,213,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596.64</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2,829,</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600.00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46,971,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49,800,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960.00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762,732</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.64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762,732</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.64</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9,450,8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9,450,8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64.00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8,229,8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65.84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-58,629,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865.84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8,229,8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65.84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-8,229,8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65.84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-67,200,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-67,200,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154,02</w:t>
            </w:r>
          </w:p>
          <w:p>
            <w:pPr>
              <w:pStyle w:val="TableParagraph"/>
              <w:spacing w:line="240" w:lineRule="auto" w:before="103"/>
              <w:ind w:left="79" w:right="0"/>
              <w:jc w:val="left"/>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347,759</w:t>
            </w:r>
          </w:p>
          <w:p>
            <w:pPr>
              <w:pStyle w:val="TableParagraph"/>
              <w:spacing w:line="240" w:lineRule="auto" w:before="103"/>
              <w:ind w:left="91" w:right="0"/>
              <w:jc w:val="left"/>
              <w:rPr>
                <w:rFonts w:ascii="Times New Roman" w:hAnsi="Times New Roman" w:cs="Times New Roman" w:eastAsia="Times New Roman" w:hint="default"/>
                <w:sz w:val="18"/>
                <w:szCs w:val="18"/>
              </w:rPr>
            </w:pPr>
            <w:r>
              <w:rPr>
                <w:rFonts w:ascii="Times New Roman"/>
                <w:sz w:val="18"/>
              </w:rPr>
              <w:t>,224.35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49,800,</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960.00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-508,56</w:t>
            </w:r>
          </w:p>
          <w:p>
            <w:pPr>
              <w:pStyle w:val="TableParagraph"/>
              <w:spacing w:line="240" w:lineRule="auto" w:before="103"/>
              <w:ind w:left="321" w:right="0"/>
              <w:jc w:val="left"/>
              <w:rPr>
                <w:rFonts w:ascii="Times New Roman" w:hAnsi="Times New Roman" w:cs="Times New Roman" w:eastAsia="Times New Roman" w:hint="default"/>
                <w:sz w:val="18"/>
                <w:szCs w:val="18"/>
              </w:rPr>
            </w:pPr>
            <w:r>
              <w:rPr>
                <w:rFonts w:ascii="Times New Roman"/>
                <w:sz w:val="18"/>
              </w:rPr>
              <w:t>8.50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43,174,</w:t>
            </w:r>
          </w:p>
          <w:p>
            <w:pPr>
              <w:pStyle w:val="TableParagraph"/>
              <w:spacing w:line="240" w:lineRule="auto" w:before="103"/>
              <w:ind w:left="136" w:right="0"/>
              <w:jc w:val="left"/>
              <w:rPr>
                <w:rFonts w:ascii="Times New Roman" w:hAnsi="Times New Roman" w:cs="Times New Roman" w:eastAsia="Times New Roman" w:hint="default"/>
                <w:sz w:val="18"/>
                <w:szCs w:val="18"/>
              </w:rPr>
            </w:pPr>
            <w:r>
              <w:rPr>
                <w:rFonts w:ascii="Times New Roman"/>
                <w:sz w:val="18"/>
              </w:rPr>
              <w:t>929.12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289,439</w:t>
            </w:r>
          </w:p>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,097.51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762,732</w:t>
            </w:r>
          </w:p>
          <w:p>
            <w:pPr>
              <w:pStyle w:val="TableParagraph"/>
              <w:spacing w:line="240" w:lineRule="auto" w:before="103"/>
              <w:ind w:left="393" w:right="0"/>
              <w:jc w:val="left"/>
              <w:rPr>
                <w:rFonts w:ascii="Times New Roman" w:hAnsi="Times New Roman" w:cs="Times New Roman" w:eastAsia="Times New Roman" w:hint="default"/>
                <w:sz w:val="18"/>
                <w:szCs w:val="18"/>
              </w:rPr>
            </w:pPr>
            <w:r>
              <w:rPr>
                <w:rFonts w:ascii="Times New Roman"/>
                <w:sz w:val="18"/>
              </w:rPr>
              <w:t>.64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784,856</w:t>
            </w:r>
          </w:p>
          <w:p>
            <w:pPr>
              <w:pStyle w:val="TableParagraph"/>
              <w:spacing w:line="240" w:lineRule="auto" w:before="103"/>
              <w:ind w:left="86" w:right="0"/>
              <w:jc w:val="left"/>
              <w:rPr>
                <w:rFonts w:ascii="Times New Roman" w:hAnsi="Times New Roman" w:cs="Times New Roman" w:eastAsia="Times New Roman" w:hint="default"/>
                <w:sz w:val="18"/>
                <w:szCs w:val="18"/>
              </w:rPr>
            </w:pPr>
            <w:r>
              <w:rPr>
                <w:rFonts w:ascii="Times New Roman"/>
                <w:sz w:val="18"/>
              </w:rPr>
              <w:t>,055.12</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15"/>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本期金额</w:t>
      </w:r>
    </w:p>
    <w:p>
      <w:pPr>
        <w:pStyle w:val="BodyText"/>
        <w:spacing w:line="240" w:lineRule="auto" w:before="115"/>
        <w:ind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8"/>
        <w:gridCol w:w="665"/>
        <w:gridCol w:w="797"/>
        <w:gridCol w:w="797"/>
        <w:gridCol w:w="797"/>
        <w:gridCol w:w="799"/>
        <w:gridCol w:w="797"/>
        <w:gridCol w:w="677"/>
        <w:gridCol w:w="780"/>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54"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154,029,</w:t>
            </w:r>
          </w:p>
          <w:p>
            <w:pPr>
              <w:pStyle w:val="TableParagraph"/>
              <w:spacing w:line="240" w:lineRule="auto" w:before="103"/>
              <w:ind w:left="149"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342,084,6</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42.27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49,800,96</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-19,927.6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43,174,92</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9.12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252,869</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,478.90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742,337,7</w:t>
            </w:r>
          </w:p>
          <w:p>
            <w:pPr>
              <w:pStyle w:val="TableParagraph"/>
              <w:spacing w:line="240" w:lineRule="auto" w:before="103"/>
              <w:ind w:left="343" w:right="0"/>
              <w:jc w:val="left"/>
              <w:rPr>
                <w:rFonts w:ascii="Times New Roman" w:hAnsi="Times New Roman" w:cs="Times New Roman" w:eastAsia="Times New Roman" w:hint="default"/>
                <w:sz w:val="18"/>
                <w:szCs w:val="18"/>
              </w:rPr>
            </w:pPr>
            <w:r>
              <w:rPr>
                <w:rFonts w:ascii="Times New Roman"/>
                <w:sz w:val="18"/>
              </w:rPr>
              <w:t>62.64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154,029,</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342,084,6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42.27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49,800,96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-19,927.6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43,174,92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9.12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252,869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,478.90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742,337,7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62.64</w:t>
            </w:r>
          </w:p>
        </w:tc>
      </w:tr>
      <w:tr>
        <w:trPr>
          <w:trHeight w:val="10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123,223,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-120,221,</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808.84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-9,928,51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59,450.12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1,835,660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-29,345,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679.40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-14,520,1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85.16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59,450.12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18,356,</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609.56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18,416,05</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9.68</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2,060,279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-9,928,51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11,988,79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-9,928,51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9,928,512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2,060,279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2,060,279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1,835,660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-47,702,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288.96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-45,866,6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28.00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1,835,660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-1,835,6</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60.96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-45,866,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628.00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-45,866,6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28.00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123,223,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-123,223,</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680.00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123,223,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-123,223,</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680.00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941,592.1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941,592.1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277,253,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280.00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221,862,8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33.43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39,872,44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39,522.47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45,010,59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223,523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,799.50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727,817,5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77.48</w:t>
            </w:r>
          </w:p>
        </w:tc>
      </w:tr>
    </w:tbl>
    <w:p>
      <w:pPr>
        <w:pStyle w:val="BodyText"/>
        <w:spacing w:line="240" w:lineRule="auto" w:before="49"/>
        <w:ind w:right="1115"/>
        <w:jc w:val="left"/>
      </w:pPr>
      <w:r>
        <w:rPr/>
        <w:t>上期金额</w:t>
      </w:r>
    </w:p>
    <w:p>
      <w:pPr>
        <w:pStyle w:val="BodyText"/>
        <w:spacing w:line="240" w:lineRule="auto" w:before="115"/>
        <w:ind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402" w:hRule="exact"/>
        </w:trPr>
        <w:tc>
          <w:tcPr>
            <w:tcW w:w="14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9"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54"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39"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84,000,0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352,862,4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18.27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34,945,06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229,200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,686.34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701,008,1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67.89</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84,000,0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352,862,4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18.27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34,945,06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229,200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,686.34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701,008,1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67.89</w:t>
            </w: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70,029,6</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-10,777,7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49,800,96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-19,927.6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8,229,865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23,668,</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792.56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41,329,59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4.75</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-19,927.6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82,298,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658.40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82,278,73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0.75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2,829,60</w:t>
            </w:r>
          </w:p>
          <w:p>
            <w:pPr>
              <w:pStyle w:val="TableParagraph"/>
              <w:spacing w:line="240" w:lineRule="auto" w:before="102"/>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56,422,22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49,800,96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9,450,864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2,829,60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46,971,36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49,800,96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9,450,864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9,450,864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8,229,865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-58,629,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865.84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8,229,865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-8,229,8</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65.84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67,200,0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-67,200,0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67,200,0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-67,200,0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154,029,</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342,084,6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42.27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49,800,96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-19,927.6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43,174,92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9.12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252,869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,478.90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742,337,7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62.64</w:t>
            </w:r>
          </w:p>
        </w:tc>
      </w:tr>
    </w:tbl>
    <w:p>
      <w:pPr>
        <w:spacing w:line="240" w:lineRule="auto" w:before="7"/>
        <w:rPr>
          <w:rFonts w:ascii="Times New Roman" w:hAnsi="Times New Roman" w:cs="Times New Roman" w:eastAsia="Times New Roman" w:hint="default"/>
          <w:sz w:val="20"/>
          <w:szCs w:val="20"/>
        </w:rPr>
      </w:pPr>
    </w:p>
    <w:p>
      <w:pPr>
        <w:pStyle w:val="Heading4"/>
        <w:spacing w:line="240" w:lineRule="auto" w:before="26"/>
        <w:ind w:left="133" w:right="8824"/>
        <w:jc w:val="center"/>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Heading6"/>
        <w:spacing w:line="240" w:lineRule="auto"/>
        <w:ind w:left="501" w:right="1115"/>
        <w:jc w:val="left"/>
        <w:rPr>
          <w:b w:val="0"/>
          <w:bCs w:val="0"/>
        </w:rPr>
      </w:pPr>
      <w:r>
        <w:rPr>
          <w:rFonts w:ascii="宋体" w:hAnsi="宋体" w:cs="宋体" w:eastAsia="宋体" w:hint="default"/>
        </w:rPr>
        <w:t>1.</w:t>
      </w:r>
      <w:r>
        <w:rPr>
          <w:rFonts w:ascii="宋体" w:hAnsi="宋体" w:cs="宋体" w:eastAsia="宋体" w:hint="default"/>
          <w:spacing w:val="86"/>
        </w:rPr>
        <w:t> </w:t>
      </w:r>
      <w:r>
        <w:rPr/>
        <w:t>公司概况</w:t>
      </w:r>
      <w:r>
        <w:rPr>
          <w:b w:val="0"/>
          <w:bCs w:val="0"/>
        </w:rPr>
      </w:r>
    </w:p>
    <w:p>
      <w:pPr>
        <w:pStyle w:val="BodyText"/>
        <w:spacing w:line="300" w:lineRule="auto" w:before="76"/>
        <w:ind w:left="866" w:right="1115"/>
        <w:jc w:val="left"/>
      </w:pPr>
      <w:r>
        <w:rPr>
          <w:spacing w:val="-1"/>
        </w:rPr>
        <w:t>深圳市今天国际物流技术股份有限公司（以下简称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）成立于</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19</w:t>
      </w:r>
      <w:r>
        <w:rPr>
          <w:spacing w:val="-1"/>
        </w:rPr>
        <w:t>日，系由深圳市今天物</w:t>
      </w:r>
      <w:r>
        <w:rPr>
          <w:spacing w:val="-79"/>
        </w:rPr>
        <w:t> </w:t>
      </w:r>
      <w:r>
        <w:rPr>
          <w:spacing w:val="-79"/>
        </w:rPr>
      </w:r>
      <w:r>
        <w:rPr>
          <w:spacing w:val="-1"/>
        </w:rPr>
        <w:t>流技术有限公司依法整体变更设立的股份有限公司。公司的统一社会信用代码：</w:t>
      </w:r>
      <w:r>
        <w:rPr>
          <w:rFonts w:ascii="Times New Roman" w:hAnsi="Times New Roman" w:cs="Times New Roman" w:eastAsia="Times New Roman" w:hint="default"/>
          <w:spacing w:val="-1"/>
        </w:rPr>
        <w:t>9144030072472803X3</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8</w:t>
      </w:r>
      <w:r>
        <w:rPr>
          <w:spacing w:val="-1"/>
        </w:rPr>
        <w:t>月</w:t>
      </w:r>
      <w:r>
        <w:rPr>
          <w:spacing w:val="-62"/>
        </w:rPr>
        <w:t> </w:t>
      </w:r>
      <w:r>
        <w:rPr>
          <w:rFonts w:ascii="Times New Roman" w:hAnsi="Times New Roman" w:cs="Times New Roman" w:eastAsia="Times New Roman" w:hint="default"/>
        </w:rPr>
        <w:t>18</w:t>
      </w:r>
      <w:r>
        <w:rPr/>
        <w:t>日在深圳证券交易所上市。 </w:t>
      </w: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日止，本公司累计发行股本总数</w:t>
      </w:r>
      <w:r>
        <w:rPr>
          <w:rFonts w:ascii="Times New Roman" w:hAnsi="Times New Roman" w:cs="Times New Roman" w:eastAsia="Times New Roman" w:hint="default"/>
          <w:spacing w:val="-2"/>
        </w:rPr>
        <w:t>277,253,280</w:t>
      </w:r>
      <w:r>
        <w:rPr>
          <w:spacing w:val="-2"/>
        </w:rPr>
        <w:t>股，注册资本为</w:t>
      </w:r>
      <w:r>
        <w:rPr>
          <w:rFonts w:ascii="Times New Roman" w:hAnsi="Times New Roman" w:cs="Times New Roman" w:eastAsia="Times New Roman" w:hint="default"/>
          <w:spacing w:val="-2"/>
        </w:rPr>
        <w:t>277,253,280</w:t>
      </w:r>
      <w:r>
        <w:rPr>
          <w:spacing w:val="-2"/>
        </w:rPr>
        <w:t>元，注册地：深圳市罗湖</w:t>
      </w:r>
      <w:r>
        <w:rPr>
          <w:spacing w:val="-48"/>
        </w:rPr>
        <w:t> </w:t>
      </w:r>
      <w:r>
        <w:rPr>
          <w:spacing w:val="-48"/>
        </w:rPr>
      </w:r>
      <w:r>
        <w:rPr/>
        <w:t>区笋岗东路</w:t>
      </w:r>
      <w:r>
        <w:rPr>
          <w:rFonts w:ascii="Times New Roman" w:hAnsi="Times New Roman" w:cs="Times New Roman" w:eastAsia="Times New Roman" w:hint="default"/>
        </w:rPr>
        <w:t>1002</w:t>
      </w:r>
      <w:r>
        <w:rPr/>
        <w:t>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10</w:t>
      </w:r>
      <w:r>
        <w:rPr/>
        <w:t>楼</w:t>
      </w:r>
      <w:r>
        <w:rPr>
          <w:rFonts w:ascii="Times New Roman" w:hAnsi="Times New Roman" w:cs="Times New Roman" w:eastAsia="Times New Roman" w:hint="default"/>
        </w:rPr>
        <w:t>F</w:t>
      </w:r>
      <w:r>
        <w:rPr/>
        <w:t>、</w:t>
      </w:r>
      <w:r>
        <w:rPr>
          <w:rFonts w:ascii="Times New Roman" w:hAnsi="Times New Roman" w:cs="Times New Roman" w:eastAsia="Times New Roman" w:hint="default"/>
        </w:rPr>
        <w:t>G</w:t>
      </w:r>
      <w:r>
        <w:rPr/>
        <w:t>、</w:t>
      </w:r>
      <w:r>
        <w:rPr>
          <w:rFonts w:ascii="Times New Roman" w:hAnsi="Times New Roman" w:cs="Times New Roman" w:eastAsia="Times New Roman" w:hint="default"/>
        </w:rPr>
        <w:t>H</w:t>
      </w:r>
      <w:r>
        <w:rPr/>
        <w:t>，总部地址：深圳市罗湖区笋岗东路</w:t>
      </w:r>
      <w:r>
        <w:rPr>
          <w:rFonts w:ascii="Times New Roman" w:hAnsi="Times New Roman" w:cs="Times New Roman" w:eastAsia="Times New Roman" w:hint="default"/>
        </w:rPr>
        <w:t>1002</w:t>
      </w:r>
      <w:r>
        <w:rPr/>
        <w:t>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10</w:t>
      </w:r>
      <w:r>
        <w:rPr/>
        <w:t>楼</w:t>
      </w:r>
      <w:r>
        <w:rPr>
          <w:rFonts w:ascii="Times New Roman" w:hAnsi="Times New Roman" w:cs="Times New Roman" w:eastAsia="Times New Roman" w:hint="default"/>
        </w:rPr>
        <w:t>F</w:t>
      </w:r>
      <w:r>
        <w:rPr/>
        <w:t>、</w:t>
      </w:r>
      <w:r>
        <w:rPr>
          <w:rFonts w:ascii="Times New Roman" w:hAnsi="Times New Roman" w:cs="Times New Roman" w:eastAsia="Times New Roman" w:hint="default"/>
        </w:rPr>
        <w:t>G</w:t>
      </w:r>
      <w:r>
        <w:rPr/>
        <w:t>、</w:t>
      </w:r>
      <w:r>
        <w:rPr>
          <w:rFonts w:ascii="Times New Roman" w:hAnsi="Times New Roman" w:cs="Times New Roman" w:eastAsia="Times New Roman" w:hint="default"/>
        </w:rPr>
        <w:t>H</w:t>
      </w:r>
      <w:r>
        <w:rPr/>
        <w:t>。 本公司的实际控制人为邵健伟。</w:t>
      </w:r>
    </w:p>
    <w:p>
      <w:pPr>
        <w:spacing w:line="240" w:lineRule="auto" w:before="3"/>
        <w:rPr>
          <w:rFonts w:ascii="宋体" w:hAnsi="宋体" w:cs="宋体" w:eastAsia="宋体" w:hint="default"/>
          <w:sz w:val="26"/>
          <w:szCs w:val="26"/>
        </w:rPr>
      </w:pPr>
    </w:p>
    <w:p>
      <w:pPr>
        <w:spacing w:line="319" w:lineRule="auto" w:before="0"/>
        <w:ind w:left="866" w:right="6260" w:hanging="365"/>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87"/>
          <w:sz w:val="18"/>
          <w:szCs w:val="18"/>
        </w:rPr>
        <w:t> </w:t>
      </w:r>
      <w:r>
        <w:rPr>
          <w:rFonts w:ascii="宋体" w:hAnsi="宋体" w:cs="宋体" w:eastAsia="宋体" w:hint="default"/>
          <w:b/>
          <w:bCs/>
          <w:sz w:val="18"/>
          <w:szCs w:val="18"/>
        </w:rPr>
        <w:t>公司的业务性质、及主要产品或提供的劳务</w:t>
      </w:r>
      <w:r>
        <w:rPr>
          <w:rFonts w:ascii="宋体" w:hAnsi="宋体" w:cs="宋体" w:eastAsia="宋体" w:hint="default"/>
          <w:b/>
          <w:bCs/>
          <w:w w:val="99"/>
          <w:sz w:val="18"/>
          <w:szCs w:val="18"/>
        </w:rPr>
        <w:t> </w:t>
      </w:r>
      <w:r>
        <w:rPr>
          <w:rFonts w:ascii="宋体" w:hAnsi="宋体" w:cs="宋体" w:eastAsia="宋体" w:hint="default"/>
          <w:sz w:val="18"/>
          <w:szCs w:val="18"/>
        </w:rPr>
        <w:t>公司业务性质：公司所属软件和信息技术服务业</w:t>
      </w:r>
    </w:p>
    <w:p>
      <w:pPr>
        <w:pStyle w:val="BodyText"/>
        <w:spacing w:line="316" w:lineRule="auto" w:before="17"/>
        <w:ind w:left="866" w:right="1115"/>
        <w:jc w:val="left"/>
      </w:pPr>
      <w:r>
        <w:rPr>
          <w:spacing w:val="-2"/>
        </w:rPr>
        <w:t>主要经营活动或产品：公司为一家自动化物流系统综合解决方案提供商，主要产品分为工业生产型物流系统（包括</w:t>
      </w:r>
      <w:r>
        <w:rPr>
          <w:spacing w:val="-67"/>
        </w:rPr>
        <w:t> </w:t>
      </w:r>
      <w:r>
        <w:rPr>
          <w:spacing w:val="-67"/>
        </w:rPr>
      </w:r>
      <w:r>
        <w:rPr/>
        <w:t>智慧物流系统和智能制造系统）、商业配送型物流系统、运营维护。</w:t>
      </w:r>
    </w:p>
    <w:p>
      <w:pPr>
        <w:spacing w:line="240" w:lineRule="auto" w:before="4"/>
        <w:rPr>
          <w:rFonts w:ascii="宋体" w:hAnsi="宋体" w:cs="宋体" w:eastAsia="宋体" w:hint="default"/>
          <w:sz w:val="25"/>
          <w:szCs w:val="25"/>
        </w:rPr>
      </w:pPr>
    </w:p>
    <w:p>
      <w:pPr>
        <w:spacing w:line="316" w:lineRule="auto" w:before="0"/>
        <w:ind w:left="866" w:right="4993" w:hanging="365"/>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87"/>
          <w:sz w:val="18"/>
          <w:szCs w:val="18"/>
        </w:rPr>
        <w:t> </w:t>
      </w:r>
      <w:r>
        <w:rPr>
          <w:rFonts w:ascii="宋体" w:hAnsi="宋体" w:cs="宋体" w:eastAsia="宋体" w:hint="default"/>
          <w:b/>
          <w:bCs/>
          <w:sz w:val="18"/>
          <w:szCs w:val="18"/>
        </w:rPr>
        <w:t>财务报告的批准报出</w:t>
      </w:r>
      <w:r>
        <w:rPr>
          <w:rFonts w:ascii="宋体" w:hAnsi="宋体" w:cs="宋体" w:eastAsia="宋体" w:hint="default"/>
          <w:b/>
          <w:bCs/>
          <w:w w:val="99"/>
          <w:sz w:val="18"/>
          <w:szCs w:val="18"/>
        </w:rPr>
        <w:t> </w:t>
      </w:r>
      <w:r>
        <w:rPr>
          <w:rFonts w:ascii="宋体" w:hAnsi="宋体" w:cs="宋体" w:eastAsia="宋体" w:hint="default"/>
          <w:sz w:val="18"/>
          <w:szCs w:val="18"/>
        </w:rPr>
        <w:t>本财务报告业经公司董事会于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日批准报出。</w:t>
      </w:r>
    </w:p>
    <w:p>
      <w:pPr>
        <w:spacing w:line="240" w:lineRule="auto" w:before="10"/>
        <w:rPr>
          <w:rFonts w:ascii="宋体" w:hAnsi="宋体" w:cs="宋体" w:eastAsia="宋体" w:hint="default"/>
          <w:sz w:val="23"/>
          <w:szCs w:val="23"/>
        </w:rPr>
      </w:pPr>
    </w:p>
    <w:p>
      <w:pPr>
        <w:pStyle w:val="BodyText"/>
        <w:spacing w:line="240" w:lineRule="auto"/>
        <w:ind w:left="866" w:right="1115"/>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0"/>
        <w:rPr>
          <w:rFonts w:ascii="宋体" w:hAnsi="宋体" w:cs="宋体" w:eastAsia="宋体" w:hint="default"/>
          <w:sz w:val="28"/>
          <w:szCs w:val="28"/>
        </w:rPr>
      </w:pPr>
    </w:p>
    <w:tbl>
      <w:tblPr>
        <w:tblW w:w="0" w:type="auto"/>
        <w:jc w:val="left"/>
        <w:tblInd w:w="760" w:type="dxa"/>
        <w:tblLayout w:type="fixed"/>
        <w:tblCellMar>
          <w:top w:w="0" w:type="dxa"/>
          <w:left w:w="0" w:type="dxa"/>
          <w:bottom w:w="0" w:type="dxa"/>
          <w:right w:w="0" w:type="dxa"/>
        </w:tblCellMar>
        <w:tblLook w:val="01E0"/>
      </w:tblPr>
      <w:tblGrid>
        <w:gridCol w:w="7813"/>
      </w:tblGrid>
      <w:tr>
        <w:trPr>
          <w:trHeight w:val="355" w:hRule="exact"/>
        </w:trPr>
        <w:tc>
          <w:tcPr>
            <w:tcW w:w="7813" w:type="dxa"/>
            <w:tcBorders>
              <w:top w:val="single" w:sz="6" w:space="0" w:color="000000"/>
              <w:left w:val="nil" w:sz="6" w:space="0" w:color="auto"/>
              <w:bottom w:val="single" w:sz="12"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深圳市今天国际软件技术有限公司（原名：深圳市同创智软件技术有限公司）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今天国际物流科技有限公司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深圳市今天国际智能机器人有限公司</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北京今天华迅智能技术有限公司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上海今天华峰智能系统有限公司</w:t>
            </w:r>
          </w:p>
        </w:tc>
      </w:tr>
    </w:tbl>
    <w:p>
      <w:pPr>
        <w:spacing w:line="240" w:lineRule="auto" w:before="1"/>
        <w:rPr>
          <w:rFonts w:ascii="宋体" w:hAnsi="宋体" w:cs="宋体" w:eastAsia="宋体" w:hint="default"/>
          <w:sz w:val="21"/>
          <w:szCs w:val="21"/>
        </w:rPr>
      </w:pPr>
    </w:p>
    <w:p>
      <w:pPr>
        <w:pStyle w:val="BodyText"/>
        <w:spacing w:line="240" w:lineRule="auto" w:before="44"/>
        <w:ind w:left="866" w:right="998"/>
        <w:jc w:val="left"/>
      </w:pPr>
      <w:r>
        <w:rPr/>
        <w:t>本期合并财务报表范围及其变化情况详见第十一节财务报告</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29"/>
        </w:rPr>
        <w:t> </w:t>
      </w:r>
      <w:r>
        <w:rPr>
          <w:rFonts w:ascii="Times New Roman" w:hAnsi="Times New Roman" w:cs="Times New Roman" w:eastAsia="Times New Roman" w:hint="default"/>
          <w:spacing w:val="-4"/>
        </w:rPr>
        <w:t>“</w:t>
      </w:r>
      <w:r>
        <w:rPr>
          <w:spacing w:val="-4"/>
        </w:rPr>
        <w:t>九、在其他主体中的权益</w:t>
      </w:r>
      <w:r>
        <w:rPr>
          <w:rFonts w:ascii="Times New Roman" w:hAnsi="Times New Roman" w:cs="Times New Roman" w:eastAsia="Times New Roman" w:hint="default"/>
          <w:spacing w:val="-4"/>
        </w:rPr>
        <w:t>”</w:t>
      </w:r>
      <w:r>
        <w:rPr>
          <w:spacing w:val="-4"/>
        </w:rPr>
        <w:t>。</w:t>
      </w:r>
    </w:p>
    <w:p>
      <w:pPr>
        <w:spacing w:after="0" w:line="240" w:lineRule="auto"/>
        <w:jc w:val="left"/>
        <w:sectPr>
          <w:footerReference w:type="default" r:id="rId16"/>
          <w:pgSz w:w="11910" w:h="16840"/>
          <w:pgMar w:footer="980" w:header="745" w:top="1060" w:bottom="1160" w:left="980" w:right="0"/>
        </w:sectPr>
      </w:pPr>
    </w:p>
    <w:p>
      <w:pPr>
        <w:spacing w:line="240" w:lineRule="auto" w:before="12"/>
        <w:rPr>
          <w:rFonts w:ascii="宋体" w:hAnsi="宋体" w:cs="宋体" w:eastAsia="宋体" w:hint="default"/>
          <w:sz w:val="25"/>
          <w:szCs w:val="25"/>
        </w:rPr>
      </w:pPr>
    </w:p>
    <w:p>
      <w:pPr>
        <w:pStyle w:val="Heading6"/>
        <w:spacing w:line="240" w:lineRule="auto" w:before="44"/>
        <w:ind w:right="1115"/>
        <w:jc w:val="left"/>
        <w:rPr>
          <w:b w:val="0"/>
          <w:bCs w:val="0"/>
        </w:rPr>
      </w:pPr>
      <w:r>
        <w:rPr/>
        <w:t>四、财务报表的编制基础</w:t>
      </w:r>
      <w:r>
        <w:rPr>
          <w:b w:val="0"/>
          <w:bCs w:val="0"/>
        </w:rPr>
      </w:r>
    </w:p>
    <w:p>
      <w:pPr>
        <w:spacing w:line="240" w:lineRule="auto" w:before="0"/>
        <w:rPr>
          <w:rFonts w:ascii="宋体" w:hAnsi="宋体" w:cs="宋体" w:eastAsia="宋体" w:hint="default"/>
          <w:b/>
          <w:bCs/>
          <w:sz w:val="18"/>
          <w:szCs w:val="18"/>
        </w:rPr>
      </w:pPr>
    </w:p>
    <w:p>
      <w:pPr>
        <w:pStyle w:val="Heading6"/>
        <w:spacing w:line="240" w:lineRule="auto" w:before="143"/>
        <w:ind w:right="1115"/>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5"/>
        <w:ind w:left="866" w:right="1134"/>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w:t>
      </w:r>
      <w:r>
        <w:rPr>
          <w:spacing w:val="-69"/>
        </w:rPr>
        <w:t> </w:t>
      </w:r>
      <w:r>
        <w:rPr>
          <w:spacing w:val="-69"/>
        </w:rPr>
      </w:r>
      <w:r>
        <w:rPr>
          <w:spacing w:val="-2"/>
        </w:rPr>
        <w:t>体会计准则、企业会计准则应用指南、企业会计准则解释及其他相关规定（以下合称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w:t>
      </w:r>
      <w:r>
        <w:rPr>
          <w:spacing w:val="-52"/>
        </w:rPr>
        <w:t> </w:t>
      </w:r>
      <w:r>
        <w:rPr>
          <w:spacing w:val="-52"/>
        </w:rPr>
      </w:r>
      <w:r>
        <w:rPr/>
        <w:t>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 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6"/>
        <w:spacing w:line="240" w:lineRule="auto"/>
        <w:ind w:right="1115"/>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866" w:right="0"/>
        <w:jc w:val="both"/>
      </w:pPr>
      <w:r>
        <w:rPr/>
        <w:t>公司自本报告期末至少</w:t>
      </w:r>
      <w:r>
        <w:rPr>
          <w:rFonts w:ascii="宋体" w:hAnsi="宋体" w:cs="宋体" w:eastAsia="宋体" w:hint="default"/>
        </w:rPr>
        <w:t>12</w:t>
      </w:r>
      <w:r>
        <w:rPr/>
        <w:t>个月内具备持续经营能力，无影响持续经营能力的重大事项。</w:t>
      </w:r>
    </w:p>
    <w:p>
      <w:pPr>
        <w:spacing w:line="240" w:lineRule="auto" w:before="4"/>
        <w:rPr>
          <w:rFonts w:ascii="宋体" w:hAnsi="宋体" w:cs="宋体" w:eastAsia="宋体" w:hint="default"/>
          <w:sz w:val="25"/>
          <w:szCs w:val="25"/>
        </w:rPr>
      </w:pPr>
    </w:p>
    <w:p>
      <w:pPr>
        <w:pStyle w:val="Heading4"/>
        <w:spacing w:line="240" w:lineRule="auto"/>
        <w:ind w:right="1115"/>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360" w:lineRule="auto" w:before="25"/>
        <w:ind w:right="8234"/>
        <w:jc w:val="left"/>
      </w:pPr>
      <w:r>
        <w:rPr/>
        <w:t>软件与信息技术服务业 具体会计政策和会计估计提示：</w:t>
      </w:r>
    </w:p>
    <w:p>
      <w:pPr>
        <w:pStyle w:val="BodyText"/>
        <w:spacing w:line="300" w:lineRule="auto" w:before="27"/>
        <w:ind w:right="1134"/>
        <w:jc w:val="left"/>
      </w:pPr>
      <w:r>
        <w:rPr/>
        <w:t>以下披露内容已涵盖了本公司根据实际生产经营特点制定的具体会计政策和会计估计。详见第十一节财务报告</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11</w:t>
      </w:r>
      <w:r>
        <w:rPr/>
        <w:t>） 应收票据及应收账款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12</w:t>
      </w:r>
      <w:r>
        <w:rPr/>
        <w:t>）存货</w:t>
      </w:r>
      <w:r>
        <w:rPr>
          <w:rFonts w:ascii="Times New Roman" w:hAnsi="Times New Roman" w:cs="Times New Roman" w:eastAsia="Times New Roman" w:hint="default"/>
        </w:rPr>
        <w:t>”</w:t>
      </w:r>
      <w:r>
        <w:rPr/>
        <w:t>、 </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25</w:t>
      </w:r>
      <w:r>
        <w:rPr/>
        <w:t>）预计负债</w:t>
      </w:r>
      <w:r>
        <w:rPr>
          <w:rFonts w:ascii="Times New Roman" w:hAnsi="Times New Roman" w:cs="Times New Roman" w:eastAsia="Times New Roman" w:hint="default"/>
        </w:rPr>
        <w:t>”</w:t>
      </w:r>
      <w:r>
        <w:rPr/>
        <w:t>、</w:t>
      </w:r>
      <w:r>
        <w:rPr>
          <w:spacing w:val="-39"/>
        </w:rPr>
        <w:t> </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28</w:t>
      </w:r>
      <w:r>
        <w:rPr/>
        <w:t>）收入</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15"/>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10"/>
        <w:rPr>
          <w:rFonts w:ascii="宋体" w:hAnsi="宋体" w:cs="宋体" w:eastAsia="宋体" w:hint="default"/>
          <w:sz w:val="22"/>
          <w:szCs w:val="22"/>
        </w:rPr>
      </w:pPr>
    </w:p>
    <w:p>
      <w:pPr>
        <w:pStyle w:val="Heading5"/>
        <w:spacing w:line="240" w:lineRule="auto"/>
        <w:ind w:right="1115"/>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自公历</w:t>
      </w:r>
      <w:r>
        <w:rPr>
          <w:spacing w:val="-45"/>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日至</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日止为一个会计年度。</w:t>
      </w:r>
    </w:p>
    <w:p>
      <w:pPr>
        <w:spacing w:line="240" w:lineRule="auto" w:before="2"/>
        <w:rPr>
          <w:rFonts w:ascii="宋体" w:hAnsi="宋体" w:cs="宋体" w:eastAsia="宋体" w:hint="default"/>
          <w:sz w:val="26"/>
          <w:szCs w:val="26"/>
        </w:rPr>
      </w:pPr>
    </w:p>
    <w:p>
      <w:pPr>
        <w:spacing w:line="544" w:lineRule="auto" w:before="0"/>
        <w:ind w:left="152" w:right="85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spacing w:val="-104"/>
          <w:sz w:val="21"/>
          <w:szCs w:val="21"/>
        </w:rPr>
        <w:t> </w:t>
      </w:r>
      <w:r>
        <w:rPr>
          <w:rFonts w:ascii="宋体" w:hAnsi="宋体" w:cs="宋体" w:eastAsia="宋体" w:hint="default"/>
          <w:sz w:val="18"/>
          <w:szCs w:val="18"/>
        </w:rPr>
        <w:t>本公司营业周期为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49"/>
        <w:ind w:right="1115"/>
        <w:jc w:val="left"/>
      </w:pPr>
      <w:r>
        <w:rPr/>
        <w:t>本公司采用人民币为记账本位币。</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5" w:firstLine="336"/>
        <w:jc w:val="left"/>
      </w:pPr>
      <w:r>
        <w:rPr>
          <w:spacing w:val="-2"/>
        </w:rPr>
        <w:t>同一控制下企业合并：本公司在企业合并中取得的资产和负债，按照合并日被合并方资产、负债（包括最终控制方收购</w:t>
      </w:r>
      <w:r>
        <w:rPr/>
        <w:t> </w:t>
      </w:r>
      <w:r>
        <w:rPr>
          <w:spacing w:val="-2"/>
        </w:rPr>
        <w:t>被合并方而形成的誉）在最终控制方合并财务报表中的账面价值计量。在合并中取得的净资产账面价值与支付的合并对价账</w:t>
      </w:r>
    </w:p>
    <w:p>
      <w:pPr>
        <w:spacing w:after="0" w:line="316" w:lineRule="auto"/>
        <w:jc w:val="left"/>
        <w:sectPr>
          <w:footerReference w:type="default" r:id="rId17"/>
          <w:pgSz w:w="11910" w:h="16840"/>
          <w:pgMar w:footer="980" w:header="745" w:top="1060" w:bottom="1160" w:left="980" w:right="0"/>
          <w:pgNumType w:start="101"/>
        </w:sectPr>
      </w:pPr>
    </w:p>
    <w:p>
      <w:pPr>
        <w:spacing w:line="240" w:lineRule="auto" w:before="9"/>
        <w:rPr>
          <w:rFonts w:ascii="宋体" w:hAnsi="宋体" w:cs="宋体" w:eastAsia="宋体" w:hint="default"/>
          <w:sz w:val="25"/>
          <w:szCs w:val="25"/>
        </w:rPr>
      </w:pPr>
    </w:p>
    <w:p>
      <w:pPr>
        <w:pStyle w:val="BodyText"/>
        <w:spacing w:line="319" w:lineRule="auto" w:before="44"/>
        <w:ind w:left="441" w:right="1034" w:hanging="289"/>
        <w:jc w:val="left"/>
      </w:pPr>
      <w:r>
        <w:rPr/>
        <w:t>面价值（或发行股份面值总额）的差额，调整资本公积中的股本溢价，资本公积中的股本溢价不足冲减的，调整留存收益。 非同一控制下企业合并：本公司在购买日对作为企业合并对价付出的资产、发生或承担的负债按照公允价值计量，公允</w:t>
      </w:r>
    </w:p>
    <w:p>
      <w:pPr>
        <w:pStyle w:val="BodyText"/>
        <w:spacing w:line="316" w:lineRule="auto" w:before="17"/>
        <w:ind w:right="998"/>
        <w:jc w:val="left"/>
      </w:pP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9"/>
        <w:ind w:right="1115" w:firstLine="288"/>
        <w:jc w:val="left"/>
      </w:pPr>
      <w:r>
        <w:rPr>
          <w:spacing w:val="-1"/>
        </w:rPr>
        <w:t>为企业合并发生的审计、法律服务、评估咨询等中介费用以及其他直接相关费用，于发生时计入当期损益；为企业合并</w:t>
      </w:r>
      <w:r>
        <w:rPr/>
        <w:t> 而发行权益性证券的交易费用，冲减权益。</w:t>
      </w:r>
    </w:p>
    <w:p>
      <w:pPr>
        <w:spacing w:line="240" w:lineRule="auto" w:before="10"/>
        <w:rPr>
          <w:rFonts w:ascii="宋体" w:hAnsi="宋体" w:cs="宋体" w:eastAsia="宋体" w:hint="default"/>
          <w:sz w:val="22"/>
          <w:szCs w:val="22"/>
        </w:rPr>
      </w:pPr>
    </w:p>
    <w:p>
      <w:pPr>
        <w:pStyle w:val="Heading5"/>
        <w:spacing w:line="240" w:lineRule="auto"/>
        <w:ind w:right="1115"/>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Heading6"/>
        <w:spacing w:line="240" w:lineRule="auto"/>
        <w:ind w:left="1070" w:right="1115"/>
        <w:jc w:val="left"/>
        <w:rPr>
          <w:b w:val="0"/>
          <w:bCs w:val="0"/>
        </w:rPr>
      </w:pPr>
      <w:r>
        <w:rPr>
          <w:rFonts w:ascii="宋体" w:hAnsi="宋体" w:cs="宋体" w:eastAsia="宋体" w:hint="default"/>
        </w:rPr>
        <w:t>1.</w:t>
      </w:r>
      <w:r>
        <w:rPr>
          <w:rFonts w:ascii="宋体" w:hAnsi="宋体" w:cs="宋体" w:eastAsia="宋体" w:hint="default"/>
          <w:spacing w:val="86"/>
        </w:rPr>
        <w:t> </w:t>
      </w:r>
      <w:r>
        <w:rPr/>
        <w:t>合并范围</w:t>
      </w:r>
      <w:r>
        <w:rPr>
          <w:b w:val="0"/>
          <w:bCs w:val="0"/>
        </w:rPr>
      </w:r>
    </w:p>
    <w:p>
      <w:pPr>
        <w:pStyle w:val="BodyText"/>
        <w:spacing w:line="316" w:lineRule="auto" w:before="76"/>
        <w:ind w:left="1430" w:right="1196"/>
        <w:jc w:val="left"/>
      </w:pPr>
      <w:r>
        <w:rPr/>
        <w:t>本公司合并财务报表的合并范围以控制为基础确定，所有子公司（包括本公司所控制的被投资方可分割的 部分）均纳入合并财务报表。</w:t>
      </w:r>
    </w:p>
    <w:p>
      <w:pPr>
        <w:spacing w:line="240" w:lineRule="auto" w:before="4"/>
        <w:rPr>
          <w:rFonts w:ascii="宋体" w:hAnsi="宋体" w:cs="宋体" w:eastAsia="宋体" w:hint="default"/>
          <w:sz w:val="25"/>
          <w:szCs w:val="25"/>
        </w:rPr>
      </w:pPr>
    </w:p>
    <w:p>
      <w:pPr>
        <w:pStyle w:val="Heading6"/>
        <w:spacing w:line="240" w:lineRule="auto"/>
        <w:ind w:left="1070" w:right="1115"/>
        <w:jc w:val="left"/>
        <w:rPr>
          <w:b w:val="0"/>
          <w:bCs w:val="0"/>
        </w:rPr>
      </w:pPr>
      <w:r>
        <w:rPr>
          <w:rFonts w:ascii="宋体" w:hAnsi="宋体" w:cs="宋体" w:eastAsia="宋体" w:hint="default"/>
        </w:rPr>
        <w:t>2.</w:t>
      </w:r>
      <w:r>
        <w:rPr>
          <w:rFonts w:ascii="宋体" w:hAnsi="宋体" w:cs="宋体" w:eastAsia="宋体" w:hint="default"/>
          <w:spacing w:val="86"/>
        </w:rPr>
        <w:t> </w:t>
      </w:r>
      <w:r>
        <w:rPr/>
        <w:t>合并程序</w:t>
      </w:r>
      <w:r>
        <w:rPr>
          <w:b w:val="0"/>
          <w:bCs w:val="0"/>
        </w:rPr>
      </w:r>
    </w:p>
    <w:p>
      <w:pPr>
        <w:pStyle w:val="BodyText"/>
        <w:spacing w:line="316" w:lineRule="auto" w:before="76"/>
        <w:ind w:left="1430" w:right="1196"/>
        <w:jc w:val="left"/>
      </w:pPr>
      <w:r>
        <w:rPr/>
        <w:t>本公司以自身和各子公司的财务报表为基础，根据其他有关资料，编制合并财务报表。本公司编制合并财 务报表，将整个企业集团视为一个会计主体，依据相关企业会计准则的确认、计量和列报要求，按照统一 的会计政策，反映本企业集团整体财务状况、经营成果和现金流量。 所有纳入合并财务报表合并范围的子公司所采用的会计政策、会计期间与本公司一致，如子公司采用的会 计政策、会计期间与本公司不一致的，在编制合并财务报表时，按本公司的会计政策、会计期间进行必要 的调整。对于非同一控制下企业合并取得的子公司，以购买日可辨认净资产公允价值为基础对其财务报表 进行调整。对于同一控制下企业合并取得的子公司，以其资产、负债（包括最终控制方收购该子公司而形 成的商誉）在最终控制方财务报表中的账面价值为基础对其财务报表进行调整。 子公司所有者权益、当期净损益和当期综合收益中属于少数股东的份额分别在合并资产负债表中所有者权 益项目下、合并利润表中净利润项目下和综合收益总额项目下单独列示。子公司少数股东分担的当期亏损 超过了少数股东在该子公司期初所有者权益中所享有份额而形成的余额，冲减少数股东权益。</w:t>
      </w:r>
    </w:p>
    <w:p>
      <w:pPr>
        <w:pStyle w:val="BodyText"/>
        <w:spacing w:line="316" w:lineRule="auto" w:before="19"/>
        <w:ind w:left="1430" w:right="1196"/>
        <w:jc w:val="left"/>
      </w:pPr>
      <w:r>
        <w:rPr/>
        <w:t>（</w:t>
      </w:r>
      <w:r>
        <w:rPr>
          <w:rFonts w:ascii="Times New Roman" w:hAnsi="Times New Roman" w:cs="Times New Roman" w:eastAsia="Times New Roman" w:hint="default"/>
        </w:rPr>
        <w:t>1</w:t>
      </w:r>
      <w:r>
        <w:rPr/>
        <w:t>）增加子公司或业务 在报告期内，若因同一控制下企业合并增加子公司或业务的，则调整合并资产负债表的期初数；将子公司 或业务合并当期期初至报告期末的收入、费用、利润纳入合并利润表；将子公司或业务合并当期期初至报 告期末的现金流量纳入合并现金流量表，同时对比较报表的相关项目进行调整，视同合并后的报告主体自 最终控制方开始控制时点起一直存在。 因追加投资等原因能够对同一控制下的被投资方实施控制的，视同参与合并的各方在最终控制方开始控制 时即以目前的状态存在进行调整。在取得被合并方控制权之前持有的股权投资，在取得原股权之日与合并 方和被合并方同处于同一控制之日孰晚日起至合并日之间已确认有关损益、其他综合收益以及其他净资产 变动，分别冲减比较报表期间的期初留存收益或当期损益。 在报告期内，若因非同一控制下企业合并增加子公司或业务的，则不调整合并资产负债表期初数；将该子 公司或业务自购买日至报告期末的收入、费用、利润纳入合并利润表；该子公司或业务自购买日至报告期 末的现金流量纳入合并现金流量表。 因追加投资等原因能够对非同一控制下的被投资方实施控制的，对于购买日之前持有的被购买方的股权， 本公司按照该股权在购买日的公允价值进行重新计量，公允价值与其账面价值的差额计入当期投资收益。 购买日之前持有的被购买方的股权涉及权益法核算下的其他综合收益以及除净损益、其他综合收益和利润 分配之外的其他所有者权益变动的，与其相关的其他综合收益、其他所有者权益变动转为购买日所属当期 投资收益，由于被投资方重新计量设定受益计划净负债或净资产变动而产生的其他综合收益除外。</w:t>
      </w:r>
    </w:p>
    <w:p>
      <w:pPr>
        <w:pStyle w:val="BodyText"/>
        <w:spacing w:line="240" w:lineRule="auto" w:before="19"/>
        <w:ind w:left="1430" w:right="1115"/>
        <w:jc w:val="left"/>
      </w:pPr>
      <w:r>
        <w:rPr/>
        <w:t>（</w:t>
      </w:r>
      <w:r>
        <w:rPr>
          <w:rFonts w:ascii="Times New Roman" w:hAnsi="Times New Roman" w:cs="Times New Roman" w:eastAsia="Times New Roman" w:hint="default"/>
        </w:rPr>
        <w:t>2</w:t>
      </w:r>
      <w:r>
        <w:rPr/>
        <w:t>）处置子公司或业务</w:t>
      </w:r>
    </w:p>
    <w:p>
      <w:pPr>
        <w:pStyle w:val="BodyText"/>
        <w:spacing w:line="240" w:lineRule="auto" w:before="62"/>
        <w:ind w:left="1430" w:right="1115"/>
        <w:jc w:val="left"/>
      </w:pPr>
      <w:r>
        <w:rPr/>
        <w:t>①一般处理方法</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left="1430" w:right="1196"/>
        <w:jc w:val="left"/>
      </w:pPr>
      <w:r>
        <w:rPr/>
        <w:t>在报告期内，本公司处置子公司或业务，则该子公司或业务期初至处置日的收入、费用、利润纳入合并利 润表；该子公司或业务期初至处置日的现金流量纳入合并现金流量表。 因处置部分股权投资或其他原因丧失了对被投资方控制权时，对于处置后的剩余股权投资，本公司按照其 在丧失控制权日的公允价值进行重新计量。处置股权取得的对价与剩余股权公允价值之和，减去按原持股 比例计算应享有原有子公司自购买日或合并日开始持续计算的净资产的份额与商誉之和的差额，计入丧失 控制权当期的投资收益。与原有子公司股权投资相关的其他综合收益或除净损益、其他综合收益及利润分 配之外的其他所有者权益变动，在丧失控制权时转为当期投资收益，由于被投资方重新计量设定受益计划 净负债或净资产变动而产生的其他综合收益除外。 因其他投资方对子公司增资而导致本公司持股比例下降从而丧失控制权的，按照上述原则进行会计处理。</w:t>
      </w:r>
    </w:p>
    <w:p>
      <w:pPr>
        <w:pStyle w:val="BodyText"/>
        <w:spacing w:line="319" w:lineRule="auto" w:before="19"/>
        <w:ind w:left="1430" w:right="1196"/>
        <w:jc w:val="left"/>
      </w:pPr>
      <w:r>
        <w:rPr/>
        <w:t>②分步处置子公司 通过多次交易分步处置对子公司股权投资直至丧失控制权的，处置对子公司股权投资的各项交易的条款、 条件以及经济影响符合以下一种或多种情况，通常表明应将多次交易事项作为一揽子交易进行会计处理： ⅰ．这些交易是同时或者在考虑了彼此影响的情况下订立的； ⅱ．这些交易整体才能达成一项完整的商业结果；</w:t>
      </w:r>
    </w:p>
    <w:p>
      <w:pPr>
        <w:pStyle w:val="BodyText"/>
        <w:spacing w:line="316" w:lineRule="auto" w:before="17"/>
        <w:ind w:left="1430" w:right="1196"/>
        <w:jc w:val="left"/>
      </w:pPr>
      <w:r>
        <w:rPr/>
        <w:t>ⅲ．一项交易的发生取决于其他至少一项交易的发生； ⅳ．一项交易单独看是不经济的，但是和其他交易一并考虑时是经济的。 处置对子公司股权投资直至丧失控制权的各项交易属于一揽子交易的，本公司将各项交易作为一项处置子 公司并丧失控制权的交易进行会计处理；但是，在丧失控制权之前每一次处置价款与处置投资对应的享有 该子公司净资产份额的差额，在合并财务报表中确认为其他综合收益，在丧失控制权时一并转入丧失控制 权当期的损益。 处置对子公司股权投资直至丧失控制权的各项交易不属于一揽子交易的，在丧失控制权之前，按不丧失控 制权的情况下部分处置对子公司的股权投资的相关政策进行会计处理；在丧失控制权时，按处置子公司一 般处理方法进行会计处理。</w:t>
      </w:r>
    </w:p>
    <w:p>
      <w:pPr>
        <w:pStyle w:val="BodyText"/>
        <w:spacing w:line="312" w:lineRule="auto" w:before="19"/>
        <w:ind w:left="1430" w:right="998"/>
        <w:jc w:val="left"/>
      </w:pPr>
      <w:r>
        <w:rPr/>
        <w:t>（</w:t>
      </w:r>
      <w:r>
        <w:rPr>
          <w:rFonts w:ascii="Times New Roman" w:hAnsi="Times New Roman" w:cs="Times New Roman" w:eastAsia="Times New Roman" w:hint="default"/>
        </w:rPr>
        <w:t>3</w:t>
      </w:r>
      <w:r>
        <w:rPr/>
        <w:t>）购买子公司少数股权 </w:t>
      </w:r>
      <w:r>
        <w:rPr>
          <w:spacing w:val="-1"/>
        </w:rPr>
        <w:t>本公司因购买少数股权新取得的长期股权投资与按照新增持股比例计算应享有子公司自购买日（或合并日）</w:t>
      </w:r>
      <w:r>
        <w:rPr>
          <w:spacing w:val="-51"/>
        </w:rPr>
        <w:t> </w:t>
      </w:r>
      <w:r>
        <w:rPr>
          <w:spacing w:val="-51"/>
        </w:rPr>
      </w:r>
      <w:r>
        <w:rPr/>
        <w:t>开始持续计算的净资产份额之间的差额，调整合并资产负债表中的资本公积中的股本溢价，资本公积中的 股本溢价不足冲减的，调整留存收益。</w:t>
      </w:r>
    </w:p>
    <w:p>
      <w:pPr>
        <w:pStyle w:val="BodyText"/>
        <w:spacing w:line="312" w:lineRule="auto" w:before="22"/>
        <w:ind w:left="1430" w:right="1196"/>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 应享有子公司自购买日或合并日开始持续计算的净资产份额之间的差额，调整合并资产负债表中的资本公 积中的股本溢价，资本公积中的股本溢价不足冲减的，调整留存收益。</w:t>
      </w:r>
    </w:p>
    <w:p>
      <w:pPr>
        <w:spacing w:line="612" w:lineRule="exact" w:before="45"/>
        <w:ind w:left="866" w:right="7160" w:hanging="71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、合营安排分类及共同经营会计处理方法</w:t>
      </w:r>
      <w:r>
        <w:rPr>
          <w:rFonts w:ascii="宋体" w:hAnsi="宋体" w:cs="宋体" w:eastAsia="宋体" w:hint="default"/>
          <w:b/>
          <w:bCs/>
          <w:w w:val="99"/>
          <w:sz w:val="18"/>
          <w:szCs w:val="18"/>
        </w:rPr>
        <w:t> </w:t>
      </w:r>
      <w:r>
        <w:rPr>
          <w:rFonts w:ascii="宋体" w:hAnsi="宋体" w:cs="宋体" w:eastAsia="宋体" w:hint="default"/>
          <w:sz w:val="18"/>
          <w:szCs w:val="18"/>
        </w:rPr>
        <w:t>合营安排分为共同经营和合营企业。</w:t>
      </w:r>
    </w:p>
    <w:p>
      <w:pPr>
        <w:pStyle w:val="BodyText"/>
        <w:spacing w:line="215" w:lineRule="exact"/>
        <w:ind w:left="866" w:right="1115"/>
        <w:jc w:val="left"/>
      </w:pPr>
      <w:r>
        <w:rPr/>
        <w:t>当本公司是合营安排的合营方，享有该安排相关资产且承担该安排相关负债时，为共同经营。</w:t>
      </w:r>
    </w:p>
    <w:p>
      <w:pPr>
        <w:pStyle w:val="BodyText"/>
        <w:spacing w:line="240" w:lineRule="auto" w:before="74"/>
        <w:ind w:left="866" w:right="1115"/>
        <w:jc w:val="left"/>
      </w:pPr>
      <w:r>
        <w:rPr/>
        <w:t>本公司确认与共同经营中利益份额相关的下列项目，并按照相关企业会计准则的规定进行会计处理：</w:t>
      </w:r>
    </w:p>
    <w:p>
      <w:pPr>
        <w:pStyle w:val="BodyText"/>
        <w:spacing w:line="240" w:lineRule="auto" w:before="76"/>
        <w:ind w:left="866" w:right="1115"/>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866" w:right="1115"/>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866" w:right="1115"/>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866" w:right="1115"/>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40" w:lineRule="auto" w:before="63"/>
        <w:ind w:left="866" w:right="1115"/>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after="0" w:line="240" w:lineRule="auto"/>
        <w:jc w:val="left"/>
        <w:sectPr>
          <w:pgSz w:w="11910" w:h="16840"/>
          <w:pgMar w:header="745" w:footer="980" w:top="1060" w:bottom="1160" w:left="980" w:right="0"/>
        </w:sectPr>
      </w:pPr>
    </w:p>
    <w:p>
      <w:pPr>
        <w:spacing w:line="240" w:lineRule="auto" w:before="12"/>
        <w:rPr>
          <w:rFonts w:ascii="宋体" w:hAnsi="宋体" w:cs="宋体" w:eastAsia="宋体" w:hint="default"/>
          <w:sz w:val="25"/>
          <w:szCs w:val="25"/>
        </w:rPr>
      </w:pPr>
    </w:p>
    <w:p>
      <w:pPr>
        <w:pStyle w:val="Heading6"/>
        <w:spacing w:line="240" w:lineRule="auto" w:before="44"/>
        <w:ind w:right="1115"/>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right="1115"/>
        <w:jc w:val="left"/>
      </w:pPr>
      <w:r>
        <w:rPr>
          <w:spacing w:val="-2"/>
        </w:rPr>
        <w:t>在编制现金流量表时，将本公司库存现金以及可以随时用于支付的存款确认为现金。将同时具备期限短（从购买日起三个月</w:t>
      </w:r>
      <w:r>
        <w:rPr>
          <w:spacing w:val="-61"/>
        </w:rPr>
        <w:t> </w:t>
      </w:r>
      <w:r>
        <w:rPr>
          <w:spacing w:val="-61"/>
        </w:rPr>
      </w:r>
      <w:r>
        <w:rPr/>
        <w:t>内到期）、流动性强、易于转换为已知现金、价值变动风险很小四个条件的投资，确定为现金等价物。</w:t>
      </w:r>
    </w:p>
    <w:p>
      <w:pPr>
        <w:spacing w:line="240" w:lineRule="auto" w:before="7"/>
        <w:rPr>
          <w:rFonts w:ascii="宋体" w:hAnsi="宋体" w:cs="宋体" w:eastAsia="宋体" w:hint="default"/>
          <w:sz w:val="24"/>
          <w:szCs w:val="24"/>
        </w:rPr>
      </w:pPr>
    </w:p>
    <w:p>
      <w:pPr>
        <w:pStyle w:val="Heading6"/>
        <w:spacing w:line="240" w:lineRule="auto"/>
        <w:ind w:right="1115"/>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0"/>
        <w:rPr>
          <w:rFonts w:ascii="宋体" w:hAnsi="宋体" w:cs="宋体" w:eastAsia="宋体" w:hint="default"/>
          <w:b/>
          <w:bCs/>
          <w:sz w:val="18"/>
          <w:szCs w:val="18"/>
        </w:rPr>
      </w:pPr>
    </w:p>
    <w:p>
      <w:pPr>
        <w:pStyle w:val="Heading6"/>
        <w:spacing w:line="240" w:lineRule="auto" w:before="125"/>
        <w:ind w:left="1070" w:right="1115"/>
        <w:jc w:val="left"/>
        <w:rPr>
          <w:b w:val="0"/>
          <w:bCs w:val="0"/>
        </w:rPr>
      </w:pPr>
      <w:r>
        <w:rPr>
          <w:rFonts w:ascii="宋体" w:hAnsi="宋体" w:cs="宋体" w:eastAsia="宋体" w:hint="default"/>
        </w:rPr>
        <w:t>1.</w:t>
      </w:r>
      <w:r>
        <w:rPr>
          <w:rFonts w:ascii="宋体" w:hAnsi="宋体" w:cs="宋体" w:eastAsia="宋体" w:hint="default"/>
          <w:spacing w:val="86"/>
        </w:rPr>
        <w:t> </w:t>
      </w:r>
      <w:r>
        <w:rPr/>
        <w:t>外币业务</w:t>
      </w:r>
      <w:r>
        <w:rPr>
          <w:b w:val="0"/>
          <w:bCs w:val="0"/>
        </w:rPr>
      </w:r>
    </w:p>
    <w:p>
      <w:pPr>
        <w:pStyle w:val="BodyText"/>
        <w:spacing w:line="316" w:lineRule="auto" w:before="76"/>
        <w:ind w:left="1430" w:right="1196"/>
        <w:jc w:val="left"/>
      </w:pPr>
      <w:r>
        <w:rPr/>
        <w:t>外币业务采用交易发生日的即期汇率作为折算汇率将外币金额折合成人民币记账。 资产负债表日外币货币性项目余额按资产负债表日即期汇率折算，由此产生的汇兑差额，除属于与购建符 合资本化条件的资产相关的外币专门借款产生的汇兑差额按照借款费用资本化的原则处理外，均计入当期 损益。</w:t>
      </w:r>
    </w:p>
    <w:p>
      <w:pPr>
        <w:spacing w:line="240" w:lineRule="auto" w:before="4"/>
        <w:rPr>
          <w:rFonts w:ascii="宋体" w:hAnsi="宋体" w:cs="宋体" w:eastAsia="宋体" w:hint="default"/>
          <w:sz w:val="25"/>
          <w:szCs w:val="25"/>
        </w:rPr>
      </w:pPr>
    </w:p>
    <w:p>
      <w:pPr>
        <w:pStyle w:val="BodyText"/>
        <w:spacing w:line="312" w:lineRule="auto"/>
        <w:ind w:left="1430" w:right="998" w:hanging="360"/>
        <w:jc w:val="left"/>
      </w:pPr>
      <w:r>
        <w:rPr>
          <w:rFonts w:ascii="宋体" w:hAnsi="宋体" w:cs="宋体" w:eastAsia="宋体" w:hint="default"/>
          <w:b/>
          <w:bCs/>
        </w:rPr>
        <w:t>2.</w:t>
      </w:r>
      <w:r>
        <w:rPr>
          <w:rFonts w:ascii="宋体" w:hAnsi="宋体" w:cs="宋体" w:eastAsia="宋体" w:hint="default"/>
          <w:b/>
          <w:bCs/>
          <w:spacing w:val="87"/>
        </w:rPr>
        <w:t> </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w:t>
      </w:r>
      <w:r>
        <w:rPr/>
        <w:t> </w:t>
      </w:r>
      <w:r>
        <w:rPr>
          <w:spacing w:val="-1"/>
        </w:rPr>
        <w:t>外，其他项目采用发生时的即期汇率折算。利润表中的收入和费用项目，采用交易发生日的即期汇率折算。</w:t>
      </w:r>
      <w:r>
        <w:rPr/>
        <w:t> 处置境外经营时，将与该境外经营相关的外币财务报表折算差额，自所有者权益项目转入处置当期损益。</w:t>
      </w:r>
    </w:p>
    <w:p>
      <w:pPr>
        <w:spacing w:line="240" w:lineRule="auto" w:before="11"/>
        <w:rPr>
          <w:rFonts w:ascii="宋体" w:hAnsi="宋体" w:cs="宋体" w:eastAsia="宋体" w:hint="default"/>
          <w:sz w:val="24"/>
          <w:szCs w:val="24"/>
        </w:rPr>
      </w:pPr>
    </w:p>
    <w:p>
      <w:pPr>
        <w:pStyle w:val="Heading6"/>
        <w:spacing w:line="240" w:lineRule="auto"/>
        <w:ind w:right="1115"/>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0"/>
        <w:rPr>
          <w:rFonts w:ascii="宋体" w:hAnsi="宋体" w:cs="宋体" w:eastAsia="宋体" w:hint="default"/>
          <w:b/>
          <w:bCs/>
          <w:sz w:val="18"/>
          <w:szCs w:val="18"/>
        </w:rPr>
      </w:pPr>
    </w:p>
    <w:p>
      <w:pPr>
        <w:spacing w:line="316" w:lineRule="auto" w:before="127"/>
        <w:ind w:left="1070" w:right="6260" w:hanging="204"/>
        <w:jc w:val="left"/>
        <w:rPr>
          <w:rFonts w:ascii="宋体" w:hAnsi="宋体" w:cs="宋体" w:eastAsia="宋体" w:hint="default"/>
          <w:sz w:val="18"/>
          <w:szCs w:val="18"/>
        </w:rPr>
      </w:pPr>
      <w:r>
        <w:rPr>
          <w:rFonts w:ascii="宋体" w:hAnsi="宋体" w:cs="宋体" w:eastAsia="宋体" w:hint="default"/>
          <w:sz w:val="18"/>
          <w:szCs w:val="18"/>
        </w:rPr>
        <w:t>金融工具包括金融资产、金融负债和权益工具。 </w:t>
      </w:r>
      <w:r>
        <w:rPr>
          <w:rFonts w:ascii="宋体" w:hAnsi="宋体" w:cs="宋体" w:eastAsia="宋体" w:hint="default"/>
          <w:b/>
          <w:bCs/>
          <w:sz w:val="18"/>
          <w:szCs w:val="18"/>
        </w:rPr>
        <w:t>1.</w:t>
      </w:r>
      <w:r>
        <w:rPr>
          <w:rFonts w:ascii="宋体" w:hAnsi="宋体" w:cs="宋体" w:eastAsia="宋体" w:hint="default"/>
          <w:b/>
          <w:bCs/>
          <w:spacing w:val="86"/>
          <w:sz w:val="18"/>
          <w:szCs w:val="18"/>
        </w:rPr>
        <w:t> </w:t>
      </w:r>
      <w:r>
        <w:rPr>
          <w:rFonts w:ascii="宋体" w:hAnsi="宋体" w:cs="宋体" w:eastAsia="宋体" w:hint="default"/>
          <w:b/>
          <w:bCs/>
          <w:sz w:val="18"/>
          <w:szCs w:val="18"/>
        </w:rPr>
        <w:t>金融工具的分类</w:t>
      </w:r>
      <w:r>
        <w:rPr>
          <w:rFonts w:ascii="宋体" w:hAnsi="宋体" w:cs="宋体" w:eastAsia="宋体" w:hint="default"/>
          <w:sz w:val="18"/>
          <w:szCs w:val="18"/>
        </w:rPr>
      </w:r>
    </w:p>
    <w:p>
      <w:pPr>
        <w:pStyle w:val="BodyText"/>
        <w:spacing w:line="316" w:lineRule="auto" w:before="19"/>
        <w:ind w:left="1430" w:right="998"/>
        <w:jc w:val="left"/>
      </w:pPr>
      <w:r>
        <w:rPr>
          <w:spacing w:val="-1"/>
        </w:rPr>
        <w:t>金融资产和金融负债于初始确认时分类为：以公允价值计量且其变动计入当期损益的金融资产或金融负债，</w:t>
      </w:r>
      <w:r>
        <w:rPr>
          <w:spacing w:val="-51"/>
        </w:rPr>
        <w:t> </w:t>
      </w:r>
      <w:r>
        <w:rPr>
          <w:spacing w:val="-51"/>
        </w:rPr>
      </w:r>
      <w:r>
        <w:rPr/>
        <w:t>包括交易性金融资产或金融负债和直接指定为以公允价值计量且其变动计入当期损益的金融资产或金融负 债；持有至到期投资；应收款项；可供出售金融资产；其他金融负债等。</w:t>
      </w:r>
    </w:p>
    <w:p>
      <w:pPr>
        <w:spacing w:line="240" w:lineRule="auto" w:before="4"/>
        <w:rPr>
          <w:rFonts w:ascii="宋体" w:hAnsi="宋体" w:cs="宋体" w:eastAsia="宋体" w:hint="default"/>
          <w:sz w:val="25"/>
          <w:szCs w:val="25"/>
        </w:rPr>
      </w:pPr>
    </w:p>
    <w:p>
      <w:pPr>
        <w:pStyle w:val="Heading6"/>
        <w:spacing w:line="240" w:lineRule="auto"/>
        <w:ind w:left="1070" w:right="1115"/>
        <w:jc w:val="left"/>
        <w:rPr>
          <w:b w:val="0"/>
          <w:bCs w:val="0"/>
        </w:rPr>
      </w:pPr>
      <w:r>
        <w:rPr>
          <w:rFonts w:ascii="宋体" w:hAnsi="宋体" w:cs="宋体" w:eastAsia="宋体" w:hint="default"/>
        </w:rPr>
        <w:t>2.</w:t>
      </w:r>
      <w:r>
        <w:rPr>
          <w:rFonts w:ascii="宋体" w:hAnsi="宋体" w:cs="宋体" w:eastAsia="宋体" w:hint="default"/>
          <w:spacing w:val="85"/>
        </w:rPr>
        <w:t> </w:t>
      </w:r>
      <w:r>
        <w:rPr/>
        <w:t>金融工具的确认依据和计量方法</w:t>
      </w:r>
      <w:r>
        <w:rPr>
          <w:b w:val="0"/>
          <w:bCs w:val="0"/>
        </w:rPr>
      </w:r>
    </w:p>
    <w:p>
      <w:pPr>
        <w:pStyle w:val="BodyText"/>
        <w:spacing w:line="314" w:lineRule="auto" w:before="76"/>
        <w:ind w:left="1430" w:right="1196"/>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取得时以公允价值（扣除已宣告但尚未发放的现金股利或已到付息期但尚未领取的债券利息）作为初始确 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4" w:lineRule="auto" w:before="20"/>
        <w:ind w:left="1430" w:right="1196"/>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持有期间按照摊余成本和实际利率计算确认利息收入，计入投资收益。实际利率在取得时确定，在该预期 存续期间或适用的更短期间内保持不变。 处置时，将所取得价款与该投资账面价值之间的差额计入投资收益。</w:t>
      </w:r>
    </w:p>
    <w:p>
      <w:pPr>
        <w:pStyle w:val="BodyText"/>
        <w:spacing w:line="314" w:lineRule="auto" w:before="20"/>
        <w:ind w:left="1430" w:right="1196"/>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 债务工具的债权，包括应收账款、其他应收款等，以向购货方应收的合同或协议价款作为初始确认金额； 具有融资性质的，按其现值进行初始确认。 收回或处置时，将取得的价款与该应收款项账面价值之间的差额计入当期损益。</w:t>
      </w:r>
    </w:p>
    <w:p>
      <w:pPr>
        <w:pStyle w:val="BodyText"/>
        <w:spacing w:line="309" w:lineRule="auto" w:before="20"/>
        <w:ind w:left="1430" w:right="1196"/>
        <w:jc w:val="left"/>
      </w:pPr>
      <w:r>
        <w:rPr/>
        <w:t>（</w:t>
      </w:r>
      <w:r>
        <w:rPr>
          <w:rFonts w:ascii="Times New Roman" w:hAnsi="Times New Roman" w:cs="Times New Roman" w:eastAsia="Times New Roman" w:hint="default"/>
        </w:rPr>
        <w:t>4</w:t>
      </w:r>
      <w:r>
        <w:rPr/>
        <w:t>）可供出售金融资产 取得时按公允价值（扣除已宣告但尚未发放的现金股利或已到付息期但尚未领取的债券利息）和相关交易 费用之和作为初始确认金额。</w:t>
      </w:r>
    </w:p>
    <w:p>
      <w:pPr>
        <w:spacing w:after="0" w:line="30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1430" w:right="1196"/>
        <w:jc w:val="left"/>
      </w:pPr>
      <w:r>
        <w:rPr/>
        <w:t>持有期间将取得的利息或现金股利确认为投资收益。期末以公允价值计量且将公允价值变动计入其他综合 收益。但是，在活跃市场中没有报价且其公允价值不能可靠计量的权益工具投资，以及与该权益工具挂钩 并须通过交付该权益工具结算的衍生金融资产，按照成本计量。 处置时，将取得的价款与该金融资产账面价值之间的差额，计入投资损益；同时，将原直接计入其他综合 收益的公允价值变动累计额对应处置部分的金额转出，计入当期损益。</w:t>
      </w:r>
    </w:p>
    <w:p>
      <w:pPr>
        <w:pStyle w:val="BodyText"/>
        <w:spacing w:line="300" w:lineRule="auto" w:before="17"/>
        <w:ind w:left="1430" w:right="2816"/>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3"/>
        <w:rPr>
          <w:rFonts w:ascii="宋体" w:hAnsi="宋体" w:cs="宋体" w:eastAsia="宋体" w:hint="default"/>
          <w:sz w:val="26"/>
          <w:szCs w:val="26"/>
        </w:rPr>
      </w:pPr>
    </w:p>
    <w:p>
      <w:pPr>
        <w:pStyle w:val="BodyText"/>
        <w:spacing w:line="319" w:lineRule="auto"/>
        <w:ind w:left="1430" w:right="1196" w:hanging="360"/>
        <w:jc w:val="left"/>
      </w:pPr>
      <w:r>
        <w:rPr>
          <w:rFonts w:ascii="宋体" w:hAnsi="宋体" w:cs="宋体" w:eastAsia="宋体" w:hint="default"/>
          <w:b/>
          <w:bCs/>
        </w:rPr>
        <w:t>3.</w:t>
      </w:r>
      <w:r>
        <w:rPr>
          <w:rFonts w:ascii="宋体" w:hAnsi="宋体" w:cs="宋体" w:eastAsia="宋体" w:hint="default"/>
          <w:b/>
          <w:bCs/>
          <w:spacing w:val="87"/>
        </w:rPr>
        <w:t> </w:t>
      </w:r>
      <w:r>
        <w:rPr>
          <w:rFonts w:ascii="宋体" w:hAnsi="宋体" w:cs="宋体" w:eastAsia="宋体" w:hint="default"/>
          <w:b/>
          <w:bCs/>
        </w:rPr>
        <w:t>金融资产转移的确认依据和计量方法</w:t>
      </w:r>
      <w:r>
        <w:rPr>
          <w:rFonts w:ascii="宋体" w:hAnsi="宋体" w:cs="宋体" w:eastAsia="宋体" w:hint="default"/>
          <w:b/>
          <w:bCs/>
          <w:w w:val="99"/>
        </w:rPr>
        <w:t> </w:t>
      </w:r>
      <w:r>
        <w:rPr/>
        <w:t>公司发生金融资产转移时，如已将金融资产所有权上几乎所有的风险和报酬转移给转入方，则终止确认该 金融资产；如保留了金融资产所有权上几乎所有的风险和报酬的，则不终止确认该金融资产。 在判断金融资产转移是否满足上述金融资产终止确认条件时，采用实质重于形式的原则。公司将金融资产 转移区分为金融资产整体转移和部分转移。金融资产整体转移满足终止确认条件的，将下列两项金额的差 额计入当期损益：</w:t>
      </w:r>
    </w:p>
    <w:p>
      <w:pPr>
        <w:pStyle w:val="BodyText"/>
        <w:spacing w:line="240" w:lineRule="auto" w:before="17"/>
        <w:ind w:left="1430" w:right="1115"/>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left="1430" w:right="1115"/>
        <w:jc w:val="left"/>
      </w:pPr>
      <w:r>
        <w:rPr>
          <w:spacing w:val="-1"/>
        </w:rPr>
        <w:t>（</w:t>
      </w:r>
      <w:r>
        <w:rPr>
          <w:rFonts w:ascii="Times New Roman" w:hAnsi="Times New Roman" w:cs="Times New Roman" w:eastAsia="Times New Roman" w:hint="default"/>
          <w:spacing w:val="-1"/>
        </w:rPr>
        <w:t>2</w:t>
      </w:r>
      <w:r>
        <w:rPr>
          <w:spacing w:val="-1"/>
        </w:rPr>
        <w:t>）因转移而收到的对价，与原直接计入所有者权益的公允价值变动累计额（涉及转移的金融资产为可供</w:t>
      </w:r>
      <w:r>
        <w:rPr>
          <w:spacing w:val="-54"/>
        </w:rPr>
        <w:t> </w:t>
      </w:r>
      <w:r>
        <w:rPr>
          <w:spacing w:val="-54"/>
        </w:rPr>
      </w:r>
      <w:r>
        <w:rPr/>
        <w:t>出售金融资产的情形）之和。</w:t>
      </w:r>
    </w:p>
    <w:p>
      <w:pPr>
        <w:spacing w:line="240" w:lineRule="auto" w:before="3"/>
        <w:rPr>
          <w:rFonts w:ascii="宋体" w:hAnsi="宋体" w:cs="宋体" w:eastAsia="宋体" w:hint="default"/>
          <w:sz w:val="26"/>
          <w:szCs w:val="26"/>
        </w:rPr>
      </w:pPr>
    </w:p>
    <w:p>
      <w:pPr>
        <w:pStyle w:val="BodyText"/>
        <w:spacing w:line="316" w:lineRule="auto"/>
        <w:ind w:left="1430" w:right="1196"/>
        <w:jc w:val="left"/>
      </w:pPr>
      <w:r>
        <w:rPr/>
        <w:t>金融资产部分转移满足终止确认条件的，将所转移金融资产整体的账面价值，在终止确认部分和未终止确 认部分之间，按照各自的相对公允价值进行分摊，并将下列两项金额的差额计入当期损益：</w:t>
      </w:r>
    </w:p>
    <w:p>
      <w:pPr>
        <w:pStyle w:val="BodyText"/>
        <w:spacing w:line="240" w:lineRule="auto" w:before="19"/>
        <w:ind w:left="1430" w:right="1115"/>
        <w:jc w:val="left"/>
      </w:pPr>
      <w:r>
        <w:rPr/>
        <w:t>（</w:t>
      </w:r>
      <w:r>
        <w:rPr>
          <w:rFonts w:ascii="Times New Roman" w:hAnsi="Times New Roman" w:cs="Times New Roman" w:eastAsia="Times New Roman" w:hint="default"/>
        </w:rPr>
        <w:t>1</w:t>
      </w:r>
      <w:r>
        <w:rPr/>
        <w:t>）终止确认部分的账面价值；</w:t>
      </w:r>
    </w:p>
    <w:p>
      <w:pPr>
        <w:pStyle w:val="BodyText"/>
        <w:spacing w:line="309" w:lineRule="auto" w:before="63"/>
        <w:ind w:left="1430" w:right="1118"/>
        <w:jc w:val="left"/>
      </w:pPr>
      <w:r>
        <w:rPr>
          <w:spacing w:val="-4"/>
        </w:rPr>
        <w:t>（</w:t>
      </w:r>
      <w:r>
        <w:rPr>
          <w:rFonts w:ascii="Times New Roman" w:hAnsi="Times New Roman" w:cs="Times New Roman" w:eastAsia="Times New Roman" w:hint="default"/>
          <w:spacing w:val="-4"/>
        </w:rPr>
        <w:t>2</w:t>
      </w:r>
      <w:r>
        <w:rPr>
          <w:spacing w:val="-4"/>
        </w:rPr>
        <w:t>）终止确认部分的对价，与原直接计入所有者权益的公允价值变动累计额中对应终止确认部分的金额（涉</w:t>
      </w:r>
      <w:r>
        <w:rPr>
          <w:spacing w:val="-88"/>
        </w:rPr>
        <w:t> </w:t>
      </w:r>
      <w:r>
        <w:rPr>
          <w:spacing w:val="-88"/>
        </w:rPr>
      </w:r>
      <w:r>
        <w:rPr/>
        <w:t>及转移的金融资产为可供出售金融资产的情形）之和。 金融资产转移不满足终止确认条件的，继续确认该金融资产，所收到的对价确认为一项金融负债。</w:t>
      </w:r>
    </w:p>
    <w:p>
      <w:pPr>
        <w:spacing w:line="240" w:lineRule="auto" w:before="10"/>
        <w:rPr>
          <w:rFonts w:ascii="宋体" w:hAnsi="宋体" w:cs="宋体" w:eastAsia="宋体" w:hint="default"/>
          <w:sz w:val="25"/>
          <w:szCs w:val="25"/>
        </w:rPr>
      </w:pPr>
    </w:p>
    <w:p>
      <w:pPr>
        <w:pStyle w:val="BodyText"/>
        <w:spacing w:line="316" w:lineRule="auto"/>
        <w:ind w:left="1430" w:right="998" w:hanging="360"/>
        <w:jc w:val="left"/>
      </w:pPr>
      <w:r>
        <w:rPr>
          <w:rFonts w:ascii="宋体" w:hAnsi="宋体" w:cs="宋体" w:eastAsia="宋体" w:hint="default"/>
          <w:b/>
          <w:bCs/>
        </w:rPr>
        <w:t>4.</w:t>
      </w:r>
      <w:r>
        <w:rPr>
          <w:rFonts w:ascii="宋体" w:hAnsi="宋体" w:cs="宋体" w:eastAsia="宋体" w:hint="default"/>
          <w:b/>
          <w:bCs/>
          <w:spacing w:val="87"/>
        </w:rPr>
        <w:t> </w:t>
      </w:r>
      <w:r>
        <w:rPr>
          <w:rFonts w:ascii="宋体" w:hAnsi="宋体" w:cs="宋体" w:eastAsia="宋体" w:hint="default"/>
          <w:b/>
          <w:bCs/>
        </w:rPr>
        <w:t>金融负债终止确认条件</w:t>
      </w:r>
      <w:r>
        <w:rPr>
          <w:rFonts w:ascii="宋体" w:hAnsi="宋体" w:cs="宋体" w:eastAsia="宋体" w:hint="default"/>
          <w:b/>
          <w:bCs/>
          <w:w w:val="99"/>
        </w:rPr>
        <w:t> </w:t>
      </w:r>
      <w:r>
        <w:rPr/>
        <w:t>金融负债的现时义务全部或部分已经解除的，则终止确认该金融负债或其一部分；本公司若与债权人签定 </w:t>
      </w:r>
      <w:r>
        <w:rPr>
          <w:spacing w:val="-1"/>
        </w:rPr>
        <w:t>协议，以承担新金融负债方式替换现存金融负债，且新金融负债与现存金融负债的合同条款实质上不同的，</w:t>
      </w:r>
      <w:r>
        <w:rPr/>
        <w:t> 则终止确认现存金融负债，并同时确认新金融负债。 对现存金融负债全部或部分合同条款作出实质性修改的，则终止确认现存金融负债或其一部分，同时将修 改条款后的金融负债确认为一项新金融负债。 金融负债全部或部分终止确认时，终止确认的金融负债账面价值与支付对价（包括转出的非现金资产或承 担的新金融负债）之间的差额，计入当期损益。 本公司若回购部分金融负债的，在回购日按照继续确认部分与终止确认部分的相对公允价值，将该金融负 债整体的账面价值进行分配。分配给终止确认部分的账面价值与支付的对价（包括转出的非现金资产或承 担的新金融负债）之间的差额，计入当期损益。</w:t>
      </w:r>
    </w:p>
    <w:p>
      <w:pPr>
        <w:spacing w:line="240" w:lineRule="auto" w:before="4"/>
        <w:rPr>
          <w:rFonts w:ascii="宋体" w:hAnsi="宋体" w:cs="宋体" w:eastAsia="宋体" w:hint="default"/>
          <w:sz w:val="25"/>
          <w:szCs w:val="25"/>
        </w:rPr>
      </w:pPr>
    </w:p>
    <w:p>
      <w:pPr>
        <w:pStyle w:val="BodyText"/>
        <w:spacing w:line="316" w:lineRule="auto"/>
        <w:ind w:left="1430" w:right="1196" w:hanging="360"/>
        <w:jc w:val="left"/>
      </w:pPr>
      <w:r>
        <w:rPr>
          <w:rFonts w:ascii="宋体" w:hAnsi="宋体" w:cs="宋体" w:eastAsia="宋体" w:hint="default"/>
          <w:b/>
          <w:bCs/>
        </w:rPr>
        <w:t>5.</w:t>
      </w:r>
      <w:r>
        <w:rPr>
          <w:rFonts w:ascii="宋体" w:hAnsi="宋体" w:cs="宋体" w:eastAsia="宋体" w:hint="default"/>
          <w:b/>
          <w:bCs/>
          <w:spacing w:val="87"/>
        </w:rPr>
        <w:t> </w:t>
      </w:r>
      <w:r>
        <w:rPr>
          <w:rFonts w:ascii="宋体" w:hAnsi="宋体" w:cs="宋体" w:eastAsia="宋体" w:hint="default"/>
          <w:b/>
          <w:bCs/>
        </w:rPr>
        <w:t>金融资产和金融负债的公允价值的确定方法</w:t>
      </w:r>
      <w:r>
        <w:rPr>
          <w:rFonts w:ascii="宋体" w:hAnsi="宋体" w:cs="宋体" w:eastAsia="宋体" w:hint="default"/>
          <w:b/>
          <w:bCs/>
          <w:w w:val="99"/>
        </w:rPr>
        <w:t> </w:t>
      </w:r>
      <w:r>
        <w:rPr/>
        <w:t>存在活跃市场的金融工具，以活跃市场中的报价确定其公允价值。不存在活跃市场的金融工具，采用估值 技术确定其公允价值。在估值时，本公司采用在当前情况下适用并且有足够可利用数据和其他信息支持的 估值技术，选择与市场参与者在相关资产或负债的交易中所考虑的资产或负债特征相一致的输入值，并优 先使用相关可观察输入值。只有在相关可观察输入值无法取得或取得不切实可行的情况下，才使用不可观 察输入值。</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19" w:lineRule="auto" w:before="44"/>
        <w:ind w:left="1430" w:right="1196" w:hanging="360"/>
        <w:jc w:val="left"/>
        <w:rPr>
          <w:rFonts w:ascii="宋体" w:hAnsi="宋体" w:cs="宋体" w:eastAsia="宋体" w:hint="default"/>
          <w:sz w:val="18"/>
          <w:szCs w:val="18"/>
        </w:rPr>
      </w:pPr>
      <w:r>
        <w:rPr>
          <w:rFonts w:ascii="宋体" w:hAnsi="宋体" w:cs="宋体" w:eastAsia="宋体" w:hint="default"/>
          <w:b/>
          <w:bCs/>
          <w:sz w:val="18"/>
          <w:szCs w:val="18"/>
        </w:rPr>
        <w:t>6.</w:t>
      </w:r>
      <w:r>
        <w:rPr>
          <w:rFonts w:ascii="宋体" w:hAnsi="宋体" w:cs="宋体" w:eastAsia="宋体" w:hint="default"/>
          <w:b/>
          <w:bCs/>
          <w:spacing w:val="87"/>
          <w:sz w:val="18"/>
          <w:szCs w:val="18"/>
        </w:rPr>
        <w:t> </w:t>
      </w:r>
      <w:r>
        <w:rPr>
          <w:rFonts w:ascii="宋体" w:hAnsi="宋体" w:cs="宋体" w:eastAsia="宋体" w:hint="default"/>
          <w:b/>
          <w:bCs/>
          <w:sz w:val="18"/>
          <w:szCs w:val="18"/>
        </w:rPr>
        <w:t>金融资产（不含应收款项）减值的测试方法及会计处理方法</w:t>
      </w:r>
      <w:r>
        <w:rPr>
          <w:rFonts w:ascii="宋体" w:hAnsi="宋体" w:cs="宋体" w:eastAsia="宋体" w:hint="default"/>
          <w:b/>
          <w:bCs/>
          <w:w w:val="99"/>
          <w:sz w:val="18"/>
          <w:szCs w:val="18"/>
        </w:rPr>
        <w:t> </w:t>
      </w:r>
      <w:r>
        <w:rPr>
          <w:rFonts w:ascii="宋体" w:hAnsi="宋体" w:cs="宋体" w:eastAsia="宋体" w:hint="default"/>
          <w:sz w:val="18"/>
          <w:szCs w:val="18"/>
        </w:rPr>
        <w:t>除以公允价值计量且其变动计入当期损益的金融资产外，本公司于资产负债表日对金融资产的账面价值进 行检查，如果有客观证据表明某项金融资产发生减值的，计提减值准备。</w:t>
      </w:r>
    </w:p>
    <w:p>
      <w:pPr>
        <w:pStyle w:val="BodyText"/>
        <w:spacing w:line="314" w:lineRule="auto" w:before="17"/>
        <w:ind w:left="1430" w:right="1196"/>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 属于非暂时性的，就认定其已发生减值，将原直接计入所有者权益的公允价值下降形成的累计损失一并转 出，确认减值损失。 对于已确认减值损失的可供出售债务工具，在随后的会计期间公允价值已上升且客观上与确认原减值损失 确认后发生的事项有关的，原确认的减值损失予以转回，计入当期损益。 可供出售权益工具投资发生的减值损失，不通过损益转回。</w:t>
      </w:r>
    </w:p>
    <w:p>
      <w:pPr>
        <w:pStyle w:val="BodyText"/>
        <w:spacing w:line="300" w:lineRule="auto" w:before="20"/>
        <w:ind w:left="1430" w:right="3896"/>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52"/>
        <w:ind w:right="1115"/>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20"/>
        <w:gridCol w:w="6450"/>
      </w:tblGrid>
      <w:tr>
        <w:trPr>
          <w:trHeight w:val="715"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单项金额重大的应收账款是指期末余额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万元及以上的</w:t>
            </w:r>
            <w:r>
              <w:rPr>
                <w:rFonts w:ascii="宋体" w:hAnsi="宋体" w:cs="宋体" w:eastAsia="宋体" w:hint="default"/>
                <w:spacing w:val="-3"/>
                <w:sz w:val="18"/>
                <w:szCs w:val="18"/>
              </w:rPr>
              <w:t>应</w:t>
            </w:r>
            <w:r>
              <w:rPr>
                <w:rFonts w:ascii="宋体" w:hAnsi="宋体" w:cs="宋体" w:eastAsia="宋体" w:hint="default"/>
                <w:sz w:val="18"/>
                <w:szCs w:val="18"/>
              </w:rPr>
              <w:t>收账款</w:t>
            </w:r>
            <w:r>
              <w:rPr>
                <w:rFonts w:ascii="宋体" w:hAnsi="宋体" w:cs="宋体" w:eastAsia="宋体" w:hint="default"/>
                <w:spacing w:val="-87"/>
                <w:sz w:val="18"/>
                <w:szCs w:val="18"/>
              </w:rPr>
              <w:t>，</w:t>
            </w:r>
            <w:r>
              <w:rPr>
                <w:rFonts w:ascii="宋体" w:hAnsi="宋体" w:cs="宋体" w:eastAsia="宋体" w:hint="default"/>
                <w:sz w:val="18"/>
                <w:szCs w:val="18"/>
              </w:rPr>
              <w:t>单项金额重大</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的其他应收款是指期末余额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万元及以上的其他应收款。</w:t>
            </w:r>
          </w:p>
        </w:tc>
      </w:tr>
      <w:tr>
        <w:trPr>
          <w:trHeight w:val="1337"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2" w:right="25"/>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 提方法</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对单项金额重大的应收款项单独进行减值测试，如有客观证据表明其发生了减值 </w:t>
            </w:r>
            <w:r>
              <w:rPr>
                <w:rFonts w:ascii="宋体" w:hAnsi="宋体" w:cs="宋体" w:eastAsia="宋体" w:hint="default"/>
                <w:spacing w:val="-3"/>
                <w:sz w:val="18"/>
                <w:szCs w:val="18"/>
              </w:rPr>
              <w:t>的，根据其预计未来现金流量（不包括尚未发生的未来信用损失）按原实际利率折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现的现值低于其账面价值的差额，确认为减值损失，计入当期损益。如无客观证据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表明其发生了减值的，则并入正常信用风险组合采用账龄分析法计提坏账准备。</w:t>
            </w:r>
          </w:p>
        </w:tc>
      </w:tr>
    </w:tbl>
    <w:p>
      <w:pPr>
        <w:spacing w:line="240" w:lineRule="auto" w:before="3"/>
        <w:rPr>
          <w:rFonts w:ascii="宋体" w:hAnsi="宋体" w:cs="宋体" w:eastAsia="宋体" w:hint="default"/>
          <w:b/>
          <w:bCs/>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无信用风险组合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正常信用风险组合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1115"/>
        <w:jc w:val="left"/>
      </w:pPr>
      <w:r>
        <w:rPr/>
        <w:t>组合中，采用账龄分析法计提坏账准备的：</w:t>
      </w:r>
    </w:p>
    <w:p>
      <w:pPr>
        <w:pStyle w:val="BodyText"/>
        <w:spacing w:line="240" w:lineRule="auto" w:before="117"/>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15"/>
        <w:jc w:val="left"/>
      </w:pPr>
      <w:r>
        <w:rPr/>
        <w:t>组合中，采用余额百分比法计提坏账准备的：</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409"/>
        <w:gridCol w:w="7161"/>
      </w:tblGrid>
      <w:tr>
        <w:trPr>
          <w:trHeight w:val="71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单项金额虽不重大但单项计提坏账准备的应收款项是指单项金额虽不重大但已涉及诉讼事 项或已有客观证据表明很有可能形成损失的应收款项。</w:t>
            </w:r>
          </w:p>
        </w:tc>
      </w:tr>
      <w:tr>
        <w:trPr>
          <w:trHeight w:val="1027"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4"/>
              <w:jc w:val="both"/>
              <w:rPr>
                <w:rFonts w:ascii="宋体" w:hAnsi="宋体" w:cs="宋体" w:eastAsia="宋体" w:hint="default"/>
                <w:sz w:val="18"/>
                <w:szCs w:val="18"/>
              </w:rPr>
            </w:pPr>
            <w:r>
              <w:rPr>
                <w:rFonts w:ascii="宋体" w:hAnsi="宋体" w:cs="宋体" w:eastAsia="宋体" w:hint="default"/>
                <w:sz w:val="18"/>
                <w:szCs w:val="18"/>
              </w:rPr>
              <w:t>对单项金额虽不重大但已涉及诉讼事项或已有客观证据表明很有可能形成损失的应收款项 需单独进行减值测试，根据其预计未来现金流量（不包括尚未发生的未来信用损失）按原 实际利率折现的现值低于其账面价值的差额，确认为减值损失，计入当期损益。</w:t>
            </w:r>
          </w:p>
        </w:tc>
      </w:tr>
    </w:tbl>
    <w:p>
      <w:pPr>
        <w:spacing w:line="240" w:lineRule="auto" w:before="3"/>
        <w:rPr>
          <w:rFonts w:ascii="宋体" w:hAnsi="宋体" w:cs="宋体" w:eastAsia="宋体" w:hint="default"/>
          <w:b/>
          <w:bCs/>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1115"/>
        <w:jc w:val="left"/>
      </w:pPr>
      <w:r>
        <w:rPr/>
        <w:t>软件与信息技术服务业</w:t>
      </w:r>
    </w:p>
    <w:p>
      <w:pPr>
        <w:pStyle w:val="BodyText"/>
        <w:spacing w:line="316" w:lineRule="auto" w:before="117"/>
        <w:ind w:left="1430" w:right="1736" w:hanging="360"/>
        <w:jc w:val="left"/>
      </w:pPr>
      <w:r>
        <w:rPr>
          <w:rFonts w:ascii="宋体" w:hAnsi="宋体" w:cs="宋体" w:eastAsia="宋体" w:hint="default"/>
          <w:b/>
          <w:bCs/>
        </w:rPr>
        <w:t>1.</w:t>
      </w:r>
      <w:r>
        <w:rPr>
          <w:rFonts w:ascii="宋体" w:hAnsi="宋体" w:cs="宋体" w:eastAsia="宋体" w:hint="default"/>
          <w:b/>
          <w:bCs/>
          <w:spacing w:val="87"/>
        </w:rPr>
        <w:t> </w:t>
      </w:r>
      <w:r>
        <w:rPr>
          <w:rFonts w:ascii="宋体" w:hAnsi="宋体" w:cs="宋体" w:eastAsia="宋体" w:hint="default"/>
          <w:b/>
          <w:bCs/>
        </w:rPr>
        <w:t>存货的分类</w:t>
      </w:r>
      <w:r>
        <w:rPr>
          <w:rFonts w:ascii="宋体" w:hAnsi="宋体" w:cs="宋体" w:eastAsia="宋体" w:hint="default"/>
          <w:b/>
          <w:bCs/>
          <w:w w:val="99"/>
        </w:rPr>
        <w:t> </w:t>
      </w:r>
      <w:r>
        <w:rPr/>
        <w:t>存货分类为：原材料、在产品、库存商品、发出商品、工程成本、运营维护成本、低值易耗品等。</w:t>
      </w:r>
    </w:p>
    <w:p>
      <w:pPr>
        <w:spacing w:line="240" w:lineRule="auto" w:before="4"/>
        <w:rPr>
          <w:rFonts w:ascii="宋体" w:hAnsi="宋体" w:cs="宋体" w:eastAsia="宋体" w:hint="default"/>
          <w:sz w:val="25"/>
          <w:szCs w:val="25"/>
        </w:rPr>
      </w:pPr>
    </w:p>
    <w:p>
      <w:pPr>
        <w:pStyle w:val="BodyText"/>
        <w:spacing w:line="312" w:lineRule="auto"/>
        <w:ind w:left="1430" w:right="1115" w:hanging="360"/>
        <w:jc w:val="left"/>
      </w:pPr>
      <w:r>
        <w:rPr>
          <w:rFonts w:ascii="宋体" w:hAnsi="宋体" w:cs="宋体" w:eastAsia="宋体" w:hint="default"/>
          <w:b/>
          <w:bCs/>
        </w:rPr>
        <w:t>2.</w:t>
      </w:r>
      <w:r>
        <w:rPr>
          <w:rFonts w:ascii="宋体" w:hAnsi="宋体" w:cs="宋体" w:eastAsia="宋体" w:hint="default"/>
          <w:b/>
          <w:bCs/>
          <w:spacing w:val="87"/>
        </w:rPr>
        <w:t> </w:t>
      </w:r>
      <w:r>
        <w:rPr>
          <w:rFonts w:ascii="宋体" w:hAnsi="宋体" w:cs="宋体" w:eastAsia="宋体" w:hint="default"/>
          <w:b/>
          <w:bCs/>
        </w:rPr>
        <w:t>发出存货的计价方法</w:t>
      </w:r>
      <w:r>
        <w:rPr>
          <w:rFonts w:ascii="宋体" w:hAnsi="宋体" w:cs="宋体" w:eastAsia="宋体" w:hint="default"/>
          <w:b/>
          <w:bCs/>
          <w:w w:val="99"/>
        </w:rPr>
        <w:t> </w:t>
      </w:r>
      <w:r>
        <w:rPr/>
        <w:t>存货按实际成本进行初始计量，工程成本按实际发出的硬件（外购设备）成本和可辨认直接费用计价，按 </w:t>
      </w:r>
      <w:r>
        <w:rPr>
          <w:spacing w:val="-1"/>
        </w:rPr>
        <w:t>工程项目进行汇集和结转。存货发出区别不同情况予以确认：（</w:t>
      </w:r>
      <w:r>
        <w:rPr>
          <w:rFonts w:ascii="Times New Roman" w:hAnsi="Times New Roman" w:cs="Times New Roman" w:eastAsia="Times New Roman" w:hint="default"/>
          <w:spacing w:val="-1"/>
        </w:rPr>
        <w:t>1</w:t>
      </w:r>
      <w:r>
        <w:rPr>
          <w:spacing w:val="-1"/>
        </w:rPr>
        <w:t>）采购存货专门用于单项业务时，按个别</w:t>
      </w:r>
      <w:r>
        <w:rPr/>
        <w:t> 计价法确认；（</w:t>
      </w:r>
      <w:r>
        <w:rPr>
          <w:rFonts w:ascii="Times New Roman" w:hAnsi="Times New Roman" w:cs="Times New Roman" w:eastAsia="Times New Roman" w:hint="default"/>
        </w:rPr>
        <w:t>2</w:t>
      </w:r>
      <w:r>
        <w:rPr/>
        <w:t>）非为单项业务单独采购的存货，按加权平均法计价确认。</w:t>
      </w:r>
    </w:p>
    <w:p>
      <w:pPr>
        <w:spacing w:line="240" w:lineRule="auto" w:before="1"/>
        <w:rPr>
          <w:rFonts w:ascii="宋体" w:hAnsi="宋体" w:cs="宋体" w:eastAsia="宋体" w:hint="default"/>
          <w:sz w:val="24"/>
          <w:szCs w:val="24"/>
        </w:rPr>
      </w:pPr>
    </w:p>
    <w:p>
      <w:pPr>
        <w:pStyle w:val="BodyText"/>
        <w:spacing w:line="316" w:lineRule="auto"/>
        <w:ind w:left="1430" w:right="998" w:hanging="360"/>
        <w:jc w:val="left"/>
      </w:pPr>
      <w:r>
        <w:rPr>
          <w:rFonts w:ascii="宋体" w:hAnsi="宋体" w:cs="宋体" w:eastAsia="宋体" w:hint="default"/>
          <w:b/>
          <w:bCs/>
        </w:rPr>
        <w:t>3.</w:t>
      </w:r>
      <w:r>
        <w:rPr>
          <w:rFonts w:ascii="宋体" w:hAnsi="宋体" w:cs="宋体" w:eastAsia="宋体" w:hint="default"/>
          <w:b/>
          <w:bCs/>
          <w:spacing w:val="87"/>
        </w:rPr>
        <w:t> </w:t>
      </w:r>
      <w:r>
        <w:rPr>
          <w:rFonts w:ascii="宋体" w:hAnsi="宋体" w:cs="宋体" w:eastAsia="宋体" w:hint="default"/>
          <w:b/>
          <w:bCs/>
        </w:rPr>
        <w:t>存货可变现净值的确定依据及存货跌价准备的计提方法</w:t>
      </w:r>
      <w:r>
        <w:rPr>
          <w:rFonts w:ascii="宋体" w:hAnsi="宋体" w:cs="宋体" w:eastAsia="宋体" w:hint="default"/>
          <w:b/>
          <w:bCs/>
          <w:w w:val="99"/>
        </w:rPr>
        <w:t> </w:t>
      </w:r>
      <w:r>
        <w:rPr/>
        <w:t>可变现净值的确定：产成品、商品和用于出售的材料等直接用于出售的商品存货，以该存货的估计售价减 去估计的销售费用和相关税费后的金额，确定其可变现净值；需要经过加工的材料存货，以所生产的产品 </w:t>
      </w:r>
      <w:r>
        <w:rPr>
          <w:spacing w:val="-1"/>
        </w:rPr>
        <w:t>的估计售价减去至完工时估计将要发生的成本、估计的销售费用和相关税费后的金额，确定其可变现净值；</w:t>
      </w:r>
      <w:r>
        <w:rPr/>
        <w:t> 需要经过系统安装方可出售的自动化物流系统，以该项自动化物流系统估计售价减去估计将要发生的自动 化物流系统安装成本、估计的销售费用和相关税费后的金额，确定其可变现净值。 </w:t>
      </w:r>
      <w:r>
        <w:rPr>
          <w:spacing w:val="-1"/>
        </w:rPr>
        <w:t>存货跌价准备的计提方法：资产负债表日，按单个存货可变现净值低于账面价值的差额计提存货跌价准备，</w:t>
      </w:r>
      <w:r>
        <w:rPr/>
        <w:t> 计入当期损益，以后期间存货价值恢复的，在原已计提的存货跌价准备金额内转回，转回的金额计入当期 损益。确定存货的可变现净值时，以资产负债表日取得最可靠的证据估计的售价为基础并考虑持有存货的 目的，资产负债表日至财务报告批准报出日之间存货售价发生波动的，如有确凿证据表明其对资产负债表 日存货已经存在的情况提供了新的或进一步的证据，作为调整事项进行处理；否则，作为非调整事项。</w:t>
      </w:r>
    </w:p>
    <w:p>
      <w:pPr>
        <w:spacing w:line="240" w:lineRule="auto" w:before="4"/>
        <w:rPr>
          <w:rFonts w:ascii="宋体" w:hAnsi="宋体" w:cs="宋体" w:eastAsia="宋体" w:hint="default"/>
          <w:sz w:val="25"/>
          <w:szCs w:val="25"/>
        </w:rPr>
      </w:pPr>
    </w:p>
    <w:p>
      <w:pPr>
        <w:spacing w:line="316" w:lineRule="auto" w:before="0"/>
        <w:ind w:left="1430" w:right="8036" w:hanging="36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pacing w:val="87"/>
          <w:sz w:val="18"/>
          <w:szCs w:val="18"/>
        </w:rPr>
        <w:t> </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pStyle w:val="Heading6"/>
        <w:spacing w:line="240" w:lineRule="auto" w:before="19"/>
        <w:ind w:left="1070" w:right="1115"/>
        <w:jc w:val="left"/>
        <w:rPr>
          <w:b w:val="0"/>
          <w:bCs w:val="0"/>
        </w:rPr>
      </w:pPr>
      <w:r>
        <w:rPr>
          <w:rFonts w:ascii="宋体" w:hAnsi="宋体" w:cs="宋体" w:eastAsia="宋体" w:hint="default"/>
        </w:rPr>
        <w:t>5.</w:t>
      </w:r>
      <w:r>
        <w:rPr>
          <w:rFonts w:ascii="宋体" w:hAnsi="宋体" w:cs="宋体" w:eastAsia="宋体" w:hint="default"/>
          <w:spacing w:val="85"/>
        </w:rPr>
        <w:t> </w:t>
      </w:r>
      <w:r>
        <w:rPr/>
        <w:t>低值易耗品和包装物的摊销方法</w:t>
      </w:r>
      <w:r>
        <w:rPr>
          <w:b w:val="0"/>
          <w:bCs w:val="0"/>
        </w:rPr>
      </w:r>
    </w:p>
    <w:p>
      <w:pPr>
        <w:pStyle w:val="BodyText"/>
        <w:spacing w:line="240" w:lineRule="auto" w:before="76"/>
        <w:ind w:left="1430" w:right="1115"/>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left="1430" w:right="1115"/>
        <w:jc w:val="left"/>
      </w:pPr>
      <w:r>
        <w:rPr/>
        <w:t>（</w:t>
      </w:r>
      <w:r>
        <w:rPr>
          <w:rFonts w:ascii="Times New Roman" w:hAnsi="Times New Roman" w:cs="Times New Roman" w:eastAsia="Times New Roman" w:hint="default"/>
        </w:rPr>
        <w:t>2</w:t>
      </w:r>
      <w:r>
        <w:rPr/>
        <w:t>）包装物采用一次转销法。</w:t>
      </w:r>
    </w:p>
    <w:p>
      <w:pPr>
        <w:spacing w:after="0" w:line="240" w:lineRule="auto"/>
        <w:jc w:val="left"/>
        <w:sectPr>
          <w:pgSz w:w="11910" w:h="16840"/>
          <w:pgMar w:header="745" w:footer="980" w:top="1060" w:bottom="1160" w:left="980" w:right="0"/>
        </w:sectPr>
      </w:pPr>
    </w:p>
    <w:p>
      <w:pPr>
        <w:spacing w:line="240" w:lineRule="auto" w:before="12"/>
        <w:rPr>
          <w:rFonts w:ascii="宋体" w:hAnsi="宋体" w:cs="宋体" w:eastAsia="宋体" w:hint="default"/>
          <w:sz w:val="25"/>
          <w:szCs w:val="25"/>
        </w:rPr>
      </w:pPr>
    </w:p>
    <w:p>
      <w:pPr>
        <w:pStyle w:val="Heading6"/>
        <w:spacing w:line="240" w:lineRule="auto" w:before="44"/>
        <w:ind w:right="1115"/>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866" w:right="1115"/>
        <w:jc w:val="left"/>
      </w:pPr>
      <w:r>
        <w:rPr/>
        <w:t>本公司将同时满足下列条件的非流动资产或处置组划分为持有待售类别：</w:t>
      </w:r>
    </w:p>
    <w:p>
      <w:pPr>
        <w:pStyle w:val="BodyText"/>
        <w:spacing w:line="240" w:lineRule="auto" w:before="76"/>
        <w:ind w:left="866" w:right="1115"/>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316" w:lineRule="auto" w:before="76"/>
        <w:ind w:left="866" w:right="998"/>
        <w:jc w:val="left"/>
      </w:pPr>
      <w:r>
        <w:rPr>
          <w:spacing w:val="-2"/>
        </w:rPr>
        <w:t>（</w:t>
      </w:r>
      <w:r>
        <w:rPr>
          <w:rFonts w:ascii="宋体" w:hAnsi="宋体" w:cs="宋体" w:eastAsia="宋体" w:hint="default"/>
          <w:spacing w:val="-2"/>
        </w:rPr>
        <w:t>2</w:t>
      </w:r>
      <w:r>
        <w:rPr>
          <w:spacing w:val="-2"/>
        </w:rPr>
        <w:t>）出售极可能发生，即本公司已经就一项出售计划作出决议且获得确定的购买承诺，预计出售将在一年内完成。</w:t>
      </w:r>
      <w:r>
        <w:rPr>
          <w:spacing w:val="-67"/>
        </w:rPr>
        <w:t> </w:t>
      </w:r>
      <w:r>
        <w:rPr>
          <w:spacing w:val="-67"/>
        </w:rPr>
      </w:r>
      <w:r>
        <w:rPr/>
        <w:t>有关规定要求本公司相关权力机构或者监管部门批准后方可出售的，已经获得批准。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Heading6"/>
        <w:spacing w:line="240" w:lineRule="auto"/>
        <w:ind w:right="1115"/>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0"/>
        <w:rPr>
          <w:rFonts w:ascii="宋体" w:hAnsi="宋体" w:cs="宋体" w:eastAsia="宋体" w:hint="default"/>
          <w:b/>
          <w:bCs/>
          <w:sz w:val="18"/>
          <w:szCs w:val="18"/>
        </w:rPr>
      </w:pPr>
    </w:p>
    <w:p>
      <w:pPr>
        <w:pStyle w:val="BodyText"/>
        <w:spacing w:line="319" w:lineRule="auto" w:before="125"/>
        <w:ind w:left="1430" w:right="1196" w:hanging="360"/>
        <w:jc w:val="left"/>
      </w:pPr>
      <w:r>
        <w:rPr>
          <w:rFonts w:ascii="宋体" w:hAnsi="宋体" w:cs="宋体" w:eastAsia="宋体" w:hint="default"/>
          <w:b/>
          <w:bCs/>
        </w:rPr>
        <w:t>1.</w:t>
      </w:r>
      <w:r>
        <w:rPr>
          <w:rFonts w:ascii="宋体" w:hAnsi="宋体" w:cs="宋体" w:eastAsia="宋体" w:hint="default"/>
          <w:b/>
          <w:bCs/>
          <w:spacing w:val="87"/>
        </w:rPr>
        <w:t> </w:t>
      </w:r>
      <w:r>
        <w:rPr>
          <w:rFonts w:ascii="宋体" w:hAnsi="宋体" w:cs="宋体" w:eastAsia="宋体" w:hint="default"/>
          <w:b/>
          <w:bCs/>
        </w:rPr>
        <w:t>共同控制、重大影响的判断标准</w:t>
      </w:r>
      <w:r>
        <w:rPr>
          <w:rFonts w:ascii="宋体" w:hAnsi="宋体" w:cs="宋体" w:eastAsia="宋体" w:hint="default"/>
          <w:b/>
          <w:bCs/>
          <w:w w:val="99"/>
        </w:rPr>
        <w:t> </w:t>
      </w:r>
      <w:r>
        <w:rPr/>
        <w:t>共同控制，是指按照相关约定对某项安排所共有的控制，并且该安排的相关活动必须经过分享控制权的参 与方一致同意后才能决策。本公司与其他合营方一同对被投资单位实施共同控制且对被投资单位净资产享 有权利的，被投资单位为本公司的合营企业。 重大影响，是指对一个企业的财务和经营决策有参与决策的权力，但并不能够控制或者与其他方一起共同 控制这些政策的制定。本公司能够对被投资单位施加重大影响的，被投资单位为本公司联营企业。</w:t>
      </w:r>
    </w:p>
    <w:p>
      <w:pPr>
        <w:spacing w:line="240" w:lineRule="auto" w:before="2"/>
        <w:rPr>
          <w:rFonts w:ascii="宋体" w:hAnsi="宋体" w:cs="宋体" w:eastAsia="宋体" w:hint="default"/>
          <w:sz w:val="25"/>
          <w:szCs w:val="25"/>
        </w:rPr>
      </w:pPr>
    </w:p>
    <w:p>
      <w:pPr>
        <w:pStyle w:val="Heading6"/>
        <w:spacing w:line="240" w:lineRule="auto"/>
        <w:ind w:left="1070" w:right="1115"/>
        <w:jc w:val="left"/>
        <w:rPr>
          <w:b w:val="0"/>
          <w:bCs w:val="0"/>
        </w:rPr>
      </w:pPr>
      <w:r>
        <w:rPr>
          <w:rFonts w:ascii="宋体" w:hAnsi="宋体" w:cs="宋体" w:eastAsia="宋体" w:hint="default"/>
        </w:rPr>
        <w:t>2.</w:t>
      </w:r>
      <w:r>
        <w:rPr>
          <w:rFonts w:ascii="宋体" w:hAnsi="宋体" w:cs="宋体" w:eastAsia="宋体" w:hint="default"/>
          <w:spacing w:val="86"/>
        </w:rPr>
        <w:t> </w:t>
      </w:r>
      <w:r>
        <w:rPr/>
        <w:t>初始投资成本的确定</w:t>
      </w:r>
      <w:r>
        <w:rPr>
          <w:b w:val="0"/>
          <w:bCs w:val="0"/>
        </w:rPr>
      </w:r>
    </w:p>
    <w:p>
      <w:pPr>
        <w:pStyle w:val="BodyText"/>
        <w:spacing w:line="316" w:lineRule="auto" w:before="76"/>
        <w:ind w:left="1430" w:right="1196"/>
        <w:jc w:val="left"/>
      </w:pPr>
      <w:r>
        <w:rPr/>
        <w:t>（</w:t>
      </w: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同一控制下的企业合并：公司以支付现金、转让非现金资产或承担债务方式以及以发行权益性证券作为合 并对价的，在合并日按照取得被合并方所有者权益在最终控制方合并财务报表中的账面价值的份额作为长 期股权投资的初始投资成本。因追加投资等原因能够对同一控制下的被投资单位实施控制的，在合并日根 据合并后应享有被合并方净资产在最终控制方合并财务报表中的账面价值的份额，确定长期股权投资的初 始投资成本。合并日长期股权投资的初始投资成本，与达到合并前的长期股权投资账面价值加上合并日进 一步取得股份新支付对价的账面价值之和的差额，调整股本溢价，股本溢价不足冲减的，冲减留存收益。 非同一控制下的企业合并：公司按照购买日确定的合并成本作为长期股权投资的初始投资成本。因追加投 资等原因能够对非同一控制下的被投资单位实施控制的，按照原持有的股权投资账面价值加上新增投资成 本之和，作为改按成本法核算的初始投资成本。</w:t>
      </w:r>
    </w:p>
    <w:p>
      <w:pPr>
        <w:pStyle w:val="BodyText"/>
        <w:spacing w:line="314" w:lineRule="auto" w:before="19"/>
        <w:ind w:left="1430" w:right="1115"/>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在非货币性资产交换具备商业实质和换入资产或换出资产的公允价值能够可靠计量的前提下，非货币性资</w:t>
      </w:r>
      <w:r>
        <w:rPr>
          <w:spacing w:val="-19"/>
        </w:rPr>
        <w:t> </w:t>
      </w:r>
      <w:r>
        <w:rPr>
          <w:spacing w:val="-19"/>
        </w:rPr>
      </w:r>
      <w:r>
        <w:rPr/>
        <w:t>产交换换入的长期股权投资以换出资产的公允价值和应支付的相关税费确定其初始投资成本，除非有确凿</w:t>
      </w:r>
      <w:r>
        <w:rPr>
          <w:spacing w:val="-19"/>
        </w:rPr>
        <w:t> </w:t>
      </w:r>
      <w:r>
        <w:rPr>
          <w:spacing w:val="-19"/>
        </w:rPr>
      </w:r>
      <w:r>
        <w:rPr/>
        <w:t>证据表明换入资产的公允价值更加可靠；不满足上述前提的非货币性资产交换，以换出资产的账面价值和</w:t>
      </w:r>
      <w:r>
        <w:rPr>
          <w:spacing w:val="-19"/>
        </w:rPr>
        <w:t> </w:t>
      </w:r>
      <w:r>
        <w:rPr>
          <w:spacing w:val="-19"/>
        </w:rPr>
      </w:r>
      <w:r>
        <w:rPr/>
        <w:t>应支付的相关税费作为换入长期股权投资的初始投资成本。 通过债务重组取得的长期股权投资，其初始投资成本按照公允价值为基础确定。</w:t>
      </w:r>
    </w:p>
    <w:p>
      <w:pPr>
        <w:spacing w:line="240" w:lineRule="auto" w:before="6"/>
        <w:rPr>
          <w:rFonts w:ascii="宋体" w:hAnsi="宋体" w:cs="宋体" w:eastAsia="宋体" w:hint="default"/>
          <w:sz w:val="25"/>
          <w:szCs w:val="25"/>
        </w:rPr>
      </w:pPr>
    </w:p>
    <w:p>
      <w:pPr>
        <w:pStyle w:val="Heading6"/>
        <w:spacing w:line="240" w:lineRule="auto"/>
        <w:ind w:left="1070" w:right="1115"/>
        <w:jc w:val="left"/>
        <w:rPr>
          <w:b w:val="0"/>
          <w:bCs w:val="0"/>
        </w:rPr>
      </w:pPr>
      <w:r>
        <w:rPr>
          <w:rFonts w:ascii="宋体" w:hAnsi="宋体" w:cs="宋体" w:eastAsia="宋体" w:hint="default"/>
        </w:rPr>
        <w:t>3.</w:t>
      </w:r>
      <w:r>
        <w:rPr>
          <w:rFonts w:ascii="宋体" w:hAnsi="宋体" w:cs="宋体" w:eastAsia="宋体" w:hint="default"/>
          <w:spacing w:val="85"/>
        </w:rPr>
        <w:t> </w:t>
      </w:r>
      <w:r>
        <w:rPr/>
        <w:t>后续计量及损益确认方法</w:t>
      </w:r>
      <w:r>
        <w:rPr>
          <w:b w:val="0"/>
          <w:bCs w:val="0"/>
        </w:rPr>
      </w:r>
    </w:p>
    <w:p>
      <w:pPr>
        <w:pStyle w:val="BodyText"/>
        <w:spacing w:line="309" w:lineRule="auto" w:before="77"/>
        <w:ind w:left="1430" w:right="1196"/>
        <w:jc w:val="left"/>
      </w:pPr>
      <w:r>
        <w:rPr/>
        <w:t>（</w:t>
      </w:r>
      <w:r>
        <w:rPr>
          <w:rFonts w:ascii="Times New Roman" w:hAnsi="Times New Roman" w:cs="Times New Roman" w:eastAsia="Times New Roman" w:hint="default"/>
        </w:rPr>
        <w:t>1</w:t>
      </w:r>
      <w:r>
        <w:rPr/>
        <w:t>）成本法核算的长期股权投资 公司对子公司的长期股权投资，采用成本法核算。除取得投资时实际支付的价款或对价中包含的已宣告但 尚未发放的现金股利或利润外，公司按照享有被投资单位宣告发放的现金股利或利润确认当期投资收益。</w:t>
      </w:r>
    </w:p>
    <w:p>
      <w:pPr>
        <w:pStyle w:val="BodyText"/>
        <w:spacing w:line="309" w:lineRule="auto" w:before="24"/>
        <w:ind w:left="1430" w:right="1196"/>
        <w:jc w:val="left"/>
      </w:pPr>
      <w:r>
        <w:rPr/>
        <w:t>（</w:t>
      </w:r>
      <w:r>
        <w:rPr>
          <w:rFonts w:ascii="Times New Roman" w:hAnsi="Times New Roman" w:cs="Times New Roman" w:eastAsia="Times New Roman" w:hint="default"/>
        </w:rPr>
        <w:t>2</w:t>
      </w:r>
      <w:r>
        <w:rPr/>
        <w:t>）权益法核算的长期股权投资 对联营企业和合营企业的长期股权投资，采用权益法核算。初始投资成本大于投资时应享有被投资单位可 辨认净资产公允价值份额的差额，不调整长期股权投资的初始投资成本；初始投资成本小于投资时应享有</w:t>
      </w:r>
    </w:p>
    <w:p>
      <w:pPr>
        <w:spacing w:after="0" w:line="30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left="1430" w:right="1032"/>
        <w:jc w:val="left"/>
      </w:pPr>
      <w:r>
        <w:rPr/>
        <w:t>被投资单位可辨认净资产公允价值份额的差额，计入当期损益。 公司按照应享有或应分担的被投资单位实现的净损益和其他综合收益的份额，分别确认投资收益和其他综 合收益，同时调整长期股权投资的账面价值；按照被投资单位宣告分派的利润或现金股利计算应享有的部 分，相应减少长期股权投资的账面价值；对于被投资单位除净损益、其他综合收益和利润分配以外所有者 权益的其他变动，调整长期股权投资的账面价值并计入所有者权益。 在确认应享有被投资单位净损益的份额时，以取得投资时被投资单位可辨认净资产的公允价值为基础，并 按照公司的会计政策及会计期间，对被投资单位的净利润进行调整后确认。在持有投资期间，被投资单位 编制合并财务报表的，以合并财务报表中的净利润、其他综合收益和其他所有者权益变动中归属于被投资 单位的金额为基础进行核算。 公司与联营企业、合营企业之间发生的未实现内部交易损益按照应享有的比例计算归属于公司的部分，予 以抵销，在此基础上确认投资收益。与被投资单位发生的未实现内部交易损失，属于资产减值损失的，全 </w:t>
      </w:r>
      <w:r>
        <w:rPr>
          <w:spacing w:val="-2"/>
        </w:rPr>
        <w:t>额确认。公司与联营企业、合营企业之间发生投出或出售资产的交易，该资产构成业务的，按照本附注</w:t>
      </w:r>
      <w:r>
        <w:rPr>
          <w:rFonts w:ascii="Times New Roman" w:hAnsi="Times New Roman" w:cs="Times New Roman" w:eastAsia="Times New Roman" w:hint="default"/>
          <w:spacing w:val="-2"/>
        </w:rPr>
        <w:t>“</w:t>
      </w:r>
      <w:r>
        <w:rPr>
          <w:spacing w:val="-2"/>
        </w:rPr>
        <w:t>三、</w:t>
      </w:r>
    </w:p>
    <w:p>
      <w:pPr>
        <w:pStyle w:val="BodyText"/>
        <w:spacing w:line="314" w:lineRule="auto"/>
        <w:ind w:left="1430" w:right="1136"/>
        <w:jc w:val="left"/>
      </w:pPr>
      <w:r>
        <w:rPr/>
        <w:t>（五）同一控制下和非同一控制下企业合并的会计处理方法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 露的相关政策进行会计处理。 在公司确认应分担被投资单位发生的亏损时，按照以下顺序进行处理：首先，冲减长期股权投资的账面价 值。其次，长期股权投资的账面价值不足以冲减的，以其他实质上构成对被投资单位净投资的长期权益账 面价值为限继续确认投资损失，冲减长期应收项目等的账面价值。最后，经过上述处理，按照投资合同或 协议约定企业仍承担额外义务的，按预计承担的义务确认预计负债，计入当期投资损失。</w:t>
      </w:r>
    </w:p>
    <w:p>
      <w:pPr>
        <w:pStyle w:val="BodyText"/>
        <w:spacing w:line="300" w:lineRule="auto" w:before="20"/>
        <w:ind w:left="1430" w:right="3716"/>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left="1430" w:right="1196"/>
        <w:jc w:val="left"/>
      </w:pPr>
      <w:r>
        <w:rPr/>
        <w:t>采用权益法核算的长期股权投资，在处置该项投资时，采用与被投资单位直接处置相关资产或负债相同的 基础，按相应比例对原计入其他综合收益的部分进行会计处理。因被投资单位除净损益、其他综合收益和 利润分配以外的其他所有者权益变动而确认的所有者权益，按比例结转入当期损益，由于被投资方重新计 量设定受益计划净负债或净资产变动而产生的其他综合收益除外。 因处置部分股权投资等原因丧失了对被投资单位的共同控制或重大影响的，处置后的剩余股权改按金融工 具确认和计量准则核算，其在丧失共同控制或重大影响之日的公允价值与账面价值之间的差额计入当期损 益。原股权投资因采用权益法核算而确认的其他综合收益，在终止采用权益法核算时采用与被投资单位直 接处置相关资产或负债相同的基础进行会计处理。因被投资方除净损益、其他综合收益和利润分配以外的 其他所有者权益变动而确认的所有者权益，在终止采用权益法核算时全部转入当期损益。 因处置部分股权投资、因其他投资方对子公司增资而导致本公司持股比例下降等原因丧失了对被投资单位 控制权的，在编制个别财务报表时，剩余股权能够对被投资单位实施共同控制或重大影响的，改按权益法 核算，并对该剩余股权视同自取得时即采用权益法核算进行调整；剩余股权不能对被投资单位实施共同控 制或施加重大影响的，改按金融工具确认和计量准则的有关规定进行会计处理，其在丧失控制之日的公允 价值与账面价值间的差额计入当期损益。 处置的股权是因追加投资等原因通过企业合并取得的，在编制个别财务报表时，处置后的剩余股权采用成 本法或权益法核算的，购买日之前持有的股权投资因采用权益法核算而确认的其他综合收益和其他所有者 权益按比例结转；处置后的剩余股权改按金融工具确认和计量准则进行会计处理的，其他综合收益和其他 所有者权益全部结转。</w:t>
      </w:r>
    </w:p>
    <w:p>
      <w:pPr>
        <w:spacing w:line="240" w:lineRule="auto" w:before="10"/>
        <w:rPr>
          <w:rFonts w:ascii="宋体" w:hAnsi="宋体" w:cs="宋体" w:eastAsia="宋体" w:hint="default"/>
          <w:sz w:val="22"/>
          <w:szCs w:val="22"/>
        </w:rPr>
      </w:pPr>
    </w:p>
    <w:p>
      <w:pPr>
        <w:pStyle w:val="Heading5"/>
        <w:spacing w:line="240" w:lineRule="auto"/>
        <w:ind w:right="1115"/>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954"/>
        <w:jc w:val="left"/>
      </w:pPr>
      <w:r>
        <w:rPr/>
        <w:t>投资性房地产计量模式 成本法计量 折旧或摊销方法</w:t>
      </w:r>
    </w:p>
    <w:p>
      <w:pPr>
        <w:spacing w:after="0" w:line="36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15"/>
        <w:jc w:val="left"/>
      </w:pPr>
      <w:r>
        <w:rPr>
          <w:spacing w:val="-2"/>
        </w:rPr>
        <w:t>对按照成本模式计量的投资性房地产－出租用建筑物采用与本公司固定资产相同的折旧政策，出租用土地使用权按与无形资</w:t>
      </w:r>
      <w:r>
        <w:rPr>
          <w:spacing w:val="-63"/>
        </w:rPr>
        <w:t> </w:t>
      </w:r>
      <w:r>
        <w:rPr>
          <w:spacing w:val="-63"/>
        </w:rPr>
      </w:r>
      <w:r>
        <w:rPr/>
        <w:t>产相同的摊销政策执行。</w:t>
      </w:r>
    </w:p>
    <w:p>
      <w:pPr>
        <w:spacing w:line="240" w:lineRule="auto" w:before="9"/>
        <w:rPr>
          <w:rFonts w:ascii="宋体" w:hAnsi="宋体" w:cs="宋体" w:eastAsia="宋体" w:hint="default"/>
          <w:sz w:val="22"/>
          <w:szCs w:val="22"/>
        </w:rPr>
      </w:pPr>
    </w:p>
    <w:p>
      <w:pPr>
        <w:pStyle w:val="Heading5"/>
        <w:spacing w:line="240" w:lineRule="auto"/>
        <w:ind w:right="1115"/>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15"/>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4"/>
        <w:rPr>
          <w:rFonts w:ascii="宋体" w:hAnsi="宋体" w:cs="宋体" w:eastAsia="宋体" w:hint="default"/>
          <w:sz w:val="21"/>
          <w:szCs w:val="21"/>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9.50</w:t>
            </w:r>
            <w:r>
              <w:rPr>
                <w:rFonts w:ascii="宋体" w:hAnsi="宋体" w:cs="宋体" w:eastAsia="宋体" w:hint="default"/>
                <w:sz w:val="18"/>
                <w:szCs w:val="18"/>
              </w:rPr>
              <w:t>－</w:t>
            </w:r>
            <w:r>
              <w:rPr>
                <w:rFonts w:ascii="Times New Roman" w:hAnsi="Times New Roman" w:cs="Times New Roman" w:eastAsia="Times New Roman" w:hint="default"/>
                <w:sz w:val="18"/>
                <w:szCs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04" w:lineRule="auto"/>
        <w:ind w:right="998"/>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2"/>
        </w:rPr>
        <w:t> </w:t>
      </w:r>
      <w:r>
        <w:rPr>
          <w:spacing w:val="-42"/>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5"/>
        </w:rPr>
        <w:t> </w:t>
      </w:r>
      <w:r>
        <w:rPr>
          <w:spacing w:val="-75"/>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1"/>
        </w:rPr>
        <w:t> </w:t>
      </w:r>
      <w:r>
        <w:rPr>
          <w:spacing w:val="-2"/>
        </w:rPr>
        <w:t>将租赁资产公允价值与最低租赁付款额现值两者中较低者作为租入资产的入账价值，将最低租赁付款额作为长期应付款的入</w:t>
      </w:r>
      <w:r>
        <w:rPr>
          <w:spacing w:val="-63"/>
        </w:rPr>
        <w:t> </w:t>
      </w:r>
      <w:r>
        <w:rPr>
          <w:spacing w:val="-63"/>
        </w:rPr>
      </w:r>
      <w:r>
        <w:rPr/>
        <w:t>账价值，其差额作为未确认的融资费。</w:t>
      </w:r>
    </w:p>
    <w:p>
      <w:pPr>
        <w:spacing w:line="240" w:lineRule="auto" w:before="6"/>
        <w:rPr>
          <w:rFonts w:ascii="宋体" w:hAnsi="宋体" w:cs="宋体" w:eastAsia="宋体" w:hint="default"/>
          <w:sz w:val="23"/>
          <w:szCs w:val="23"/>
        </w:rPr>
      </w:pPr>
    </w:p>
    <w:p>
      <w:pPr>
        <w:pStyle w:val="Heading5"/>
        <w:spacing w:line="240" w:lineRule="auto"/>
        <w:ind w:right="1115"/>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1115"/>
        <w:jc w:val="left"/>
      </w:pPr>
      <w:r>
        <w:rPr/>
        <w:t>软件与信息技术服务业</w:t>
      </w:r>
    </w:p>
    <w:p>
      <w:pPr>
        <w:pStyle w:val="BodyText"/>
        <w:spacing w:line="316" w:lineRule="auto" w:before="117"/>
        <w:ind w:left="866" w:right="1133"/>
        <w:jc w:val="both"/>
      </w:pPr>
      <w:r>
        <w:rPr>
          <w:spacing w:val="-2"/>
        </w:rPr>
        <w:t>在建工程项目按建造该项资产达到预定可使用状态前所发生的必要支出，作为固定资产的入账价值。所建造的固定</w:t>
      </w:r>
      <w:r>
        <w:rPr>
          <w:spacing w:val="-68"/>
        </w:rPr>
        <w:t> </w:t>
      </w:r>
      <w:r>
        <w:rPr>
          <w:spacing w:val="-68"/>
        </w:rPr>
      </w:r>
      <w:r>
        <w:rPr>
          <w:spacing w:val="-2"/>
        </w:rPr>
        <w:t>资产在工程已达到预定可使用状态，但尚未办理竣工决算的，自达到预定可使用状态之日起，根据工程预算、造价</w:t>
      </w:r>
      <w:r>
        <w:rPr>
          <w:spacing w:val="-70"/>
        </w:rPr>
        <w:t> </w:t>
      </w:r>
      <w:r>
        <w:rPr>
          <w:spacing w:val="-70"/>
        </w:rPr>
      </w:r>
      <w:r>
        <w:rPr>
          <w:spacing w:val="-2"/>
        </w:rPr>
        <w:t>或者工程实际成本等，按估计的价值转入固定资产，并按本公司固定资产折旧政策计提固定资产的折旧，待办理竣</w:t>
      </w:r>
      <w:r>
        <w:rPr>
          <w:spacing w:val="-67"/>
        </w:rPr>
        <w:t> </w:t>
      </w:r>
      <w:r>
        <w:rPr>
          <w:spacing w:val="-67"/>
        </w:rPr>
      </w:r>
      <w:r>
        <w:rPr/>
        <w:t>工决算后，再按实际成本调整原来的暂估价值，但不调整原已计提的折旧额。</w:t>
      </w:r>
    </w:p>
    <w:p>
      <w:pPr>
        <w:spacing w:line="240" w:lineRule="auto" w:before="8"/>
        <w:rPr>
          <w:rFonts w:ascii="宋体" w:hAnsi="宋体" w:cs="宋体" w:eastAsia="宋体" w:hint="default"/>
          <w:sz w:val="24"/>
          <w:szCs w:val="24"/>
        </w:rPr>
      </w:pPr>
    </w:p>
    <w:p>
      <w:pPr>
        <w:pStyle w:val="Heading6"/>
        <w:spacing w:line="240" w:lineRule="auto"/>
        <w:ind w:right="1115"/>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5"/>
        <w:ind w:left="1430" w:right="1196" w:hanging="360"/>
        <w:jc w:val="left"/>
      </w:pPr>
      <w:r>
        <w:rPr>
          <w:rFonts w:ascii="宋体" w:hAnsi="宋体" w:cs="宋体" w:eastAsia="宋体" w:hint="default"/>
          <w:b/>
          <w:bCs/>
        </w:rPr>
        <w:t>1.</w:t>
      </w:r>
      <w:r>
        <w:rPr>
          <w:rFonts w:ascii="宋体" w:hAnsi="宋体" w:cs="宋体" w:eastAsia="宋体" w:hint="default"/>
          <w:b/>
          <w:bCs/>
          <w:spacing w:val="87"/>
        </w:rPr>
        <w:t> </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公司发生的借款费用，可直接归属于符合资本化条件的资产的购建或者生产的，予以资本化，计入相关资 产成本；其他借款费用，在发生时根据其发生额确认为费用，计入当期损益。</w:t>
      </w:r>
    </w:p>
    <w:p>
      <w:pPr>
        <w:spacing w:after="0" w:line="316" w:lineRule="auto"/>
        <w:jc w:val="left"/>
        <w:sectPr>
          <w:footerReference w:type="default" r:id="rId18"/>
          <w:pgSz w:w="11910" w:h="16840"/>
          <w:pgMar w:footer="980" w:header="745" w:top="1060" w:bottom="1160" w:left="980" w:right="0"/>
          <w:pgNumType w:start="110"/>
        </w:sectPr>
      </w:pPr>
    </w:p>
    <w:p>
      <w:pPr>
        <w:spacing w:line="240" w:lineRule="auto" w:before="9"/>
        <w:rPr>
          <w:rFonts w:ascii="宋体" w:hAnsi="宋体" w:cs="宋体" w:eastAsia="宋体" w:hint="default"/>
          <w:sz w:val="25"/>
          <w:szCs w:val="25"/>
        </w:rPr>
      </w:pPr>
    </w:p>
    <w:p>
      <w:pPr>
        <w:pStyle w:val="BodyText"/>
        <w:spacing w:line="319" w:lineRule="auto" w:before="44"/>
        <w:ind w:left="1430" w:right="1196"/>
        <w:jc w:val="left"/>
      </w:pPr>
      <w:r>
        <w:rPr/>
        <w:t>符合资本化条件的资产，是指需要经过相当长时间的购建或者生产活动才能达到预定可使用或者可销售状 态的固定资产、投资性房地产和存货等资产。</w:t>
      </w:r>
    </w:p>
    <w:p>
      <w:pPr>
        <w:pStyle w:val="BodyText"/>
        <w:spacing w:line="240" w:lineRule="auto" w:before="17"/>
        <w:ind w:left="1430" w:right="1115"/>
        <w:jc w:val="left"/>
      </w:pPr>
      <w:r>
        <w:rPr/>
        <w:t>借款费用同时满足下列条件时开始资本化：</w:t>
      </w:r>
    </w:p>
    <w:p>
      <w:pPr>
        <w:pStyle w:val="BodyText"/>
        <w:spacing w:line="300" w:lineRule="auto" w:before="76"/>
        <w:ind w:left="1430" w:right="1115"/>
        <w:jc w:val="left"/>
      </w:pPr>
      <w:r>
        <w:rPr>
          <w:spacing w:val="-1"/>
        </w:rPr>
        <w:t>（</w:t>
      </w:r>
      <w:r>
        <w:rPr>
          <w:rFonts w:ascii="Times New Roman" w:hAnsi="Times New Roman" w:cs="Times New Roman" w:eastAsia="Times New Roman" w:hint="default"/>
          <w:spacing w:val="-1"/>
        </w:rPr>
        <w:t>1</w:t>
      </w:r>
      <w:r>
        <w:rPr>
          <w:spacing w:val="-1"/>
        </w:rPr>
        <w:t>）资产支出已经发生，资产支出包括为购建或者生产符合资本化条件的资产而以支付现金、转移非现金</w:t>
      </w:r>
      <w:r>
        <w:rPr>
          <w:spacing w:val="-54"/>
        </w:rPr>
        <w:t> </w:t>
      </w:r>
      <w:r>
        <w:rPr>
          <w:spacing w:val="-54"/>
        </w:rPr>
      </w:r>
      <w:r>
        <w:rPr/>
        <w:t>资产或者承担带息债务形式发生的支出；</w:t>
      </w:r>
    </w:p>
    <w:p>
      <w:pPr>
        <w:pStyle w:val="BodyText"/>
        <w:spacing w:line="240" w:lineRule="auto" w:before="31"/>
        <w:ind w:left="1430" w:right="1115"/>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1430" w:right="1115"/>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spacing w:line="316" w:lineRule="auto" w:before="139"/>
        <w:ind w:left="1430" w:right="1196" w:hanging="36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87"/>
          <w:sz w:val="18"/>
          <w:szCs w:val="18"/>
        </w:rPr>
        <w:t> </w:t>
      </w:r>
      <w:r>
        <w:rPr>
          <w:rFonts w:ascii="宋体" w:hAnsi="宋体" w:cs="宋体" w:eastAsia="宋体" w:hint="default"/>
          <w:b/>
          <w:bCs/>
          <w:sz w:val="18"/>
          <w:szCs w:val="18"/>
        </w:rPr>
        <w:t>借款费用资本化期间</w:t>
      </w:r>
      <w:r>
        <w:rPr>
          <w:rFonts w:ascii="宋体" w:hAnsi="宋体" w:cs="宋体" w:eastAsia="宋体" w:hint="default"/>
          <w:b/>
          <w:bCs/>
          <w:w w:val="99"/>
          <w:sz w:val="18"/>
          <w:szCs w:val="18"/>
        </w:rPr>
        <w:t> </w:t>
      </w:r>
      <w:r>
        <w:rPr>
          <w:rFonts w:ascii="宋体" w:hAnsi="宋体" w:cs="宋体" w:eastAsia="宋体" w:hint="default"/>
          <w:sz w:val="18"/>
          <w:szCs w:val="18"/>
        </w:rPr>
        <w:t>资本化期间，指从借款费用开始资本化时点到停止资本化时点的期间，借款费用暂停资本化的期间不包括 在内。</w:t>
      </w:r>
    </w:p>
    <w:p>
      <w:pPr>
        <w:pStyle w:val="BodyText"/>
        <w:spacing w:line="319" w:lineRule="auto" w:before="19"/>
        <w:ind w:left="1430" w:right="1196"/>
        <w:jc w:val="left"/>
      </w:pPr>
      <w:r>
        <w:rPr/>
        <w:t>当购建或者生产符合资本化条件的资产达到预定可使用或者可销售状态时，借款费用停止资本化。 当购建或者生产符合资本化条件的资产中部分项目分别完工且可单独使用时，该部分资产借款费用停止资 本化。 购建或者生产的资产的各部分分别完工，但必须等到整体完工后才可使用或可对外销售的，在该资产整体 完工时停止借款费用资本化。</w:t>
      </w:r>
    </w:p>
    <w:p>
      <w:pPr>
        <w:spacing w:line="240" w:lineRule="auto" w:before="2"/>
        <w:rPr>
          <w:rFonts w:ascii="宋体" w:hAnsi="宋体" w:cs="宋体" w:eastAsia="宋体" w:hint="default"/>
          <w:sz w:val="25"/>
          <w:szCs w:val="25"/>
        </w:rPr>
      </w:pPr>
    </w:p>
    <w:p>
      <w:pPr>
        <w:pStyle w:val="BodyText"/>
        <w:spacing w:line="314" w:lineRule="auto"/>
        <w:ind w:left="1430" w:right="1115" w:hanging="360"/>
        <w:jc w:val="left"/>
      </w:pPr>
      <w:r>
        <w:rPr>
          <w:rFonts w:ascii="宋体" w:hAnsi="宋体" w:cs="宋体" w:eastAsia="宋体" w:hint="default"/>
          <w:b/>
          <w:bCs/>
        </w:rPr>
        <w:t>3.</w:t>
      </w:r>
      <w:r>
        <w:rPr>
          <w:rFonts w:ascii="宋体" w:hAnsi="宋体" w:cs="宋体" w:eastAsia="宋体" w:hint="default"/>
          <w:b/>
          <w:bCs/>
          <w:spacing w:val="87"/>
        </w:rPr>
        <w:t> </w:t>
      </w:r>
      <w:r>
        <w:rPr>
          <w:rFonts w:ascii="宋体" w:hAnsi="宋体" w:cs="宋体" w:eastAsia="宋体" w:hint="default"/>
          <w:b/>
          <w:bCs/>
        </w:rPr>
        <w:t>暂停资本化期间</w:t>
      </w:r>
      <w:r>
        <w:rPr>
          <w:rFonts w:ascii="宋体" w:hAnsi="宋体" w:cs="宋体" w:eastAsia="宋体" w:hint="default"/>
          <w:b/>
          <w:bCs/>
          <w:w w:val="99"/>
        </w:rPr>
        <w:t> </w:t>
      </w:r>
      <w:r>
        <w:rPr>
          <w:spacing w:val="-1"/>
        </w:rPr>
        <w:t>符合资本化条件的资产在购建或生产过程中发生的非正常中断、且中断时间连续超过</w:t>
      </w:r>
      <w:r>
        <w:rPr>
          <w:rFonts w:ascii="Times New Roman" w:hAnsi="Times New Roman" w:cs="Times New Roman" w:eastAsia="Times New Roman" w:hint="default"/>
          <w:spacing w:val="-1"/>
        </w:rPr>
        <w:t>3</w:t>
      </w:r>
      <w:r>
        <w:rPr>
          <w:spacing w:val="-1"/>
        </w:rPr>
        <w:t>个月的，则借款费用</w:t>
      </w:r>
      <w:r>
        <w:rPr/>
        <w:t> 暂停资本化；该项中断如是所购建或生产的符合资本化条件的资产达到预定可使用状态或者可销售状态必 要的程序，则借款费用继续资本化。在中断期间发生的借款费用确认为当期损益，直至资产的购建或者生 产活动重新开始后借款费用继续资本化。</w:t>
      </w:r>
    </w:p>
    <w:p>
      <w:pPr>
        <w:spacing w:line="240" w:lineRule="auto" w:before="6"/>
        <w:rPr>
          <w:rFonts w:ascii="宋体" w:hAnsi="宋体" w:cs="宋体" w:eastAsia="宋体" w:hint="default"/>
          <w:sz w:val="25"/>
          <w:szCs w:val="25"/>
        </w:rPr>
      </w:pPr>
    </w:p>
    <w:p>
      <w:pPr>
        <w:pStyle w:val="BodyText"/>
        <w:spacing w:line="316" w:lineRule="auto"/>
        <w:ind w:left="1430" w:right="1196" w:hanging="360"/>
        <w:jc w:val="left"/>
      </w:pPr>
      <w:r>
        <w:rPr>
          <w:rFonts w:ascii="宋体" w:hAnsi="宋体" w:cs="宋体" w:eastAsia="宋体" w:hint="default"/>
          <w:b/>
          <w:bCs/>
        </w:rPr>
        <w:t>4.</w:t>
      </w:r>
      <w:r>
        <w:rPr>
          <w:rFonts w:ascii="宋体" w:hAnsi="宋体" w:cs="宋体" w:eastAsia="宋体" w:hint="default"/>
          <w:b/>
          <w:bCs/>
          <w:spacing w:val="87"/>
        </w:rPr>
        <w:t> </w:t>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t>对于为购建或者生产符合资本化条件的资产而借入的专门借款，以专门借款当期实际发生的借款费用，减 去尚未动用的借款资金存入银行取得的利息收入或进行暂时性投资取得的投资收益后的金额，来确定借款 费用的资本化金额。 对于为购建或者生产符合资本化条件的资产而占用的一般借款，根据累计资产支出超过专门借款部分的资 产支出加权平均数乘以所占用一般借款的资本化率，计算确定一般借款应予资本化的借款费用金额。资本 化率根据一般借款加权平均利率计算确定。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9"/>
        <w:ind w:right="1115"/>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1115"/>
        <w:jc w:val="left"/>
      </w:pPr>
      <w:r>
        <w:rPr/>
        <w:t>软件与信息技术服务业</w:t>
      </w:r>
    </w:p>
    <w:p>
      <w:pPr>
        <w:pStyle w:val="Heading5"/>
        <w:spacing w:line="240" w:lineRule="auto" w:before="96"/>
        <w:ind w:left="1070" w:right="1115"/>
        <w:jc w:val="left"/>
        <w:rPr>
          <w:b w:val="0"/>
          <w:bCs w:val="0"/>
        </w:rPr>
      </w:pPr>
      <w:r>
        <w:rPr>
          <w:rFonts w:ascii="宋体" w:hAnsi="宋体" w:cs="宋体" w:eastAsia="宋体" w:hint="default"/>
        </w:rPr>
        <w:t>1.</w:t>
      </w:r>
      <w:r>
        <w:rPr>
          <w:rFonts w:ascii="宋体" w:hAnsi="宋体" w:cs="宋体" w:eastAsia="宋体" w:hint="default"/>
          <w:spacing w:val="44"/>
        </w:rPr>
        <w:t> </w:t>
      </w:r>
      <w:r>
        <w:rPr/>
        <w:t>无形资产的计价方法</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316" w:lineRule="auto" w:before="44"/>
        <w:ind w:left="1430" w:right="1196"/>
        <w:jc w:val="left"/>
      </w:pPr>
      <w:r>
        <w:rPr/>
        <w:t>（</w:t>
      </w:r>
      <w:r>
        <w:rPr>
          <w:rFonts w:ascii="Times New Roman" w:hAnsi="Times New Roman" w:cs="Times New Roman" w:eastAsia="Times New Roman" w:hint="default"/>
        </w:rPr>
        <w:t>1</w:t>
      </w:r>
      <w:r>
        <w:rPr/>
        <w:t>）公司取得无形资产时按成本进行初始计量； 外购无形资产的成本，包括购买价款、相关税费以及直接归属于使该项资产达到预定用途所发生的其他支 出。购买无形资产的价款超过正常信用条件延期支付，实质上具有融资性质的，无形资产的成本以购买价 款的现值为基础确定。 债务重组取得债务人用以抵债的无形资产，以该无形资产的公允价值为基础确定其入账价值，并将重组债 务的账面价值与该用以抵债的无形资产公允价值之间的差额，计入当期损益。 在非货币性资产交换具备商业实质且换入资产或换出资产的公允价值能够可靠计量的前提下，非货币性资 产交换换入的无形资产以换出资产的公允价值为基础确定其入账价值，除非有确凿证据表明换入资产的公 允价值更加可靠；不满足上述前提的非货币性资产交换，以换出资产的账面价值和应支付的相关税费作为 换入无形资产的成本，不确认损益。</w:t>
      </w:r>
    </w:p>
    <w:p>
      <w:pPr>
        <w:pStyle w:val="BodyText"/>
        <w:spacing w:line="300" w:lineRule="auto" w:before="19"/>
        <w:ind w:left="1430" w:right="6236"/>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9" w:lineRule="auto" w:before="31"/>
        <w:ind w:left="1430" w:right="1196"/>
        <w:jc w:val="left"/>
      </w:pPr>
      <w:r>
        <w:rPr/>
        <w:t>对于使用寿命有限的无形资产，在为企业带来经济利益的期限内按直线法摊销；无法预见无形资产为企业 带来经济利益期限的，视为使用寿命不确定的无形资产，不予摊销。</w:t>
      </w:r>
    </w:p>
    <w:p>
      <w:pPr>
        <w:spacing w:line="240" w:lineRule="auto" w:before="7"/>
        <w:rPr>
          <w:rFonts w:ascii="宋体" w:hAnsi="宋体" w:cs="宋体" w:eastAsia="宋体" w:hint="default"/>
          <w:sz w:val="23"/>
          <w:szCs w:val="23"/>
        </w:rPr>
      </w:pPr>
    </w:p>
    <w:p>
      <w:pPr>
        <w:pStyle w:val="Heading5"/>
        <w:spacing w:line="240" w:lineRule="auto"/>
        <w:ind w:left="957" w:right="1115"/>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8"/>
        <w:rPr>
          <w:rFonts w:ascii="宋体" w:hAnsi="宋体" w:cs="宋体" w:eastAsia="宋体" w:hint="default"/>
          <w:b/>
          <w:bCs/>
          <w:sz w:val="2"/>
          <w:szCs w:val="2"/>
        </w:rPr>
      </w:pPr>
    </w:p>
    <w:tbl>
      <w:tblPr>
        <w:tblW w:w="0" w:type="auto"/>
        <w:jc w:val="left"/>
        <w:tblInd w:w="854" w:type="dxa"/>
        <w:tblLayout w:type="fixed"/>
        <w:tblCellMar>
          <w:top w:w="0" w:type="dxa"/>
          <w:left w:w="0" w:type="dxa"/>
          <w:bottom w:w="0" w:type="dxa"/>
          <w:right w:w="0" w:type="dxa"/>
        </w:tblCellMar>
        <w:tblLook w:val="01E0"/>
      </w:tblPr>
      <w:tblGrid>
        <w:gridCol w:w="2725"/>
        <w:gridCol w:w="1699"/>
        <w:gridCol w:w="3224"/>
      </w:tblGrid>
      <w:tr>
        <w:trPr>
          <w:trHeight w:val="355" w:hRule="exact"/>
        </w:trPr>
        <w:tc>
          <w:tcPr>
            <w:tcW w:w="2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0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2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0" w:hRule="exact"/>
        </w:trPr>
        <w:tc>
          <w:tcPr>
            <w:tcW w:w="2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r>
              <w:rPr>
                <w:rFonts w:ascii="Times New Roman" w:hAnsi="Times New Roman" w:cs="Times New Roman" w:eastAsia="Times New Roman" w:hint="default"/>
                <w:sz w:val="18"/>
                <w:szCs w:val="18"/>
              </w:rPr>
              <w:t>30</w:t>
            </w:r>
            <w:r>
              <w:rPr>
                <w:rFonts w:ascii="宋体" w:hAnsi="宋体" w:cs="宋体" w:eastAsia="宋体" w:hint="default"/>
                <w:sz w:val="18"/>
                <w:szCs w:val="18"/>
              </w:rPr>
              <w:t>年</w:t>
            </w:r>
          </w:p>
        </w:tc>
        <w:tc>
          <w:tcPr>
            <w:tcW w:w="32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合同性权利期限</w:t>
            </w:r>
          </w:p>
        </w:tc>
      </w:tr>
      <w:tr>
        <w:trPr>
          <w:trHeight w:val="353" w:hRule="exact"/>
        </w:trPr>
        <w:tc>
          <w:tcPr>
            <w:tcW w:w="2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开发工具及办公软件</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2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根据预计产生经济利益期限估计</w:t>
            </w:r>
          </w:p>
        </w:tc>
      </w:tr>
    </w:tbl>
    <w:p>
      <w:pPr>
        <w:spacing w:line="316" w:lineRule="auto" w:before="8"/>
        <w:ind w:left="1226" w:right="3536" w:firstLine="204"/>
        <w:jc w:val="left"/>
        <w:rPr>
          <w:rFonts w:ascii="宋体" w:hAnsi="宋体" w:cs="宋体" w:eastAsia="宋体" w:hint="default"/>
          <w:sz w:val="18"/>
          <w:szCs w:val="18"/>
        </w:rPr>
      </w:pPr>
      <w:r>
        <w:rPr>
          <w:rFonts w:ascii="宋体" w:hAnsi="宋体" w:cs="宋体" w:eastAsia="宋体" w:hint="default"/>
          <w:sz w:val="18"/>
          <w:szCs w:val="18"/>
        </w:rPr>
        <w:t>每年度终了，对使用寿命有限的无形资产的使用寿命及摊销方法进行复核。 </w:t>
      </w:r>
      <w:r>
        <w:rPr>
          <w:rFonts w:ascii="宋体" w:hAnsi="宋体" w:cs="宋体" w:eastAsia="宋体" w:hint="default"/>
          <w:b/>
          <w:bCs/>
          <w:sz w:val="18"/>
          <w:szCs w:val="18"/>
        </w:rPr>
        <w:t>经复核，本年期末无形资产的使用寿命及摊销方法与以前估计未有不同。</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Heading5"/>
        <w:spacing w:line="240" w:lineRule="auto" w:before="139"/>
        <w:ind w:right="1115"/>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6"/>
          <w:szCs w:val="26"/>
        </w:rPr>
      </w:pPr>
    </w:p>
    <w:p>
      <w:pPr>
        <w:pStyle w:val="BodyText"/>
        <w:spacing w:line="312" w:lineRule="auto"/>
        <w:ind w:left="513" w:right="1115"/>
        <w:jc w:val="left"/>
      </w:pPr>
      <w:r>
        <w:rPr>
          <w:rFonts w:ascii="Times New Roman" w:hAnsi="Times New Roman" w:cs="Times New Roman" w:eastAsia="Times New Roman" w:hint="default"/>
        </w:rPr>
        <w:t>1</w:t>
      </w:r>
      <w:r>
        <w:rPr/>
        <w:t>、划分公司内部研究开发项目的研究阶段和开发阶段具体标准 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240" w:lineRule="auto" w:before="22"/>
        <w:ind w:right="1115"/>
        <w:jc w:val="left"/>
      </w:pPr>
      <w:r>
        <w:rPr/>
        <w:t>进的材料、装置、产品等活动的阶段。</w:t>
      </w:r>
    </w:p>
    <w:p>
      <w:pPr>
        <w:pStyle w:val="BodyText"/>
        <w:spacing w:line="300" w:lineRule="auto" w:before="76"/>
        <w:ind w:left="513" w:right="4453"/>
        <w:jc w:val="left"/>
      </w:pPr>
      <w:r>
        <w:rPr>
          <w:rFonts w:ascii="Times New Roman" w:hAnsi="Times New Roman" w:cs="Times New Roman" w:eastAsia="Times New Roman" w:hint="default"/>
        </w:rPr>
        <w:t>2</w:t>
      </w:r>
      <w:r>
        <w:rPr/>
        <w:t>、开发阶段支出符合资本化的具体标准 内部研究开发项目开发阶段的支出，同时满足下列条件时确认为无形资产：</w:t>
      </w:r>
    </w:p>
    <w:p>
      <w:pPr>
        <w:pStyle w:val="BodyText"/>
        <w:spacing w:line="240" w:lineRule="auto" w:before="31"/>
        <w:ind w:left="513" w:right="1115"/>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513" w:right="1115"/>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1124"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31"/>
        <w:ind w:left="513" w:right="1115"/>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40" w:lineRule="auto" w:before="63"/>
        <w:ind w:left="513" w:right="1753"/>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59"/>
        <w:ind w:right="1115"/>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866" w:right="998"/>
        <w:jc w:val="left"/>
      </w:pPr>
      <w:r>
        <w:rPr/>
        <w:t>长期股权投资、采用成本模式计量的投资性房地产、固定资产、在建工程、使用寿命有限的无形资产等长期资产，</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left="866" w:right="1115"/>
        <w:jc w:val="left"/>
      </w:pPr>
      <w:r>
        <w:rPr>
          <w:spacing w:val="-2"/>
        </w:rPr>
        <w:t>于资产负债表日存在减值迹象的，进行减值测试。减值测试结果表明资产的可收回金额低于其账面价值的，按其差</w:t>
      </w:r>
      <w:r>
        <w:rPr>
          <w:spacing w:val="-70"/>
        </w:rPr>
        <w:t> </w:t>
      </w:r>
      <w:r>
        <w:rPr>
          <w:spacing w:val="-70"/>
        </w:rPr>
      </w:r>
      <w:r>
        <w:rPr>
          <w:spacing w:val="-2"/>
        </w:rPr>
        <w:t>额计提减值准备并计入减值损失。可收回金额为资产的公允价值减去处置费用后的净额与资产预计未来现金流量的</w:t>
      </w:r>
      <w:r>
        <w:rPr>
          <w:spacing w:val="-67"/>
        </w:rPr>
        <w:t> </w:t>
      </w:r>
      <w:r>
        <w:rPr>
          <w:spacing w:val="-67"/>
        </w:rPr>
      </w:r>
      <w:r>
        <w:rPr>
          <w:spacing w:val="-2"/>
        </w:rPr>
        <w:t>现值两者之间的较高者。资产减值准备按单项资产为基础计算并确认，如果难以对单项资产的可收回金额进行估计</w:t>
      </w:r>
      <w:r>
        <w:rPr>
          <w:spacing w:val="-68"/>
        </w:rPr>
        <w:t> </w:t>
      </w:r>
      <w:r>
        <w:rPr>
          <w:spacing w:val="-68"/>
        </w:rPr>
      </w:r>
      <w:r>
        <w:rPr/>
        <w:t>的，以该资产所属的资产组确定资产组的可收回金额。资产组是能够独立产生现金流入的最小资产组合。 商誉和使用寿命不确定的无形资产至少在每年年度终了进行减值测试。 </w:t>
      </w:r>
      <w:r>
        <w:rPr>
          <w:spacing w:val="-2"/>
        </w:rPr>
        <w:t>本公司进行商誉减值测试，对于因企业合并形成的商誉的账面价值，自购买日起按照合理的方法分摊至相关的资产</w:t>
      </w:r>
      <w:r>
        <w:rPr>
          <w:spacing w:val="-68"/>
        </w:rPr>
        <w:t> </w:t>
      </w:r>
      <w:r>
        <w:rPr>
          <w:spacing w:val="-68"/>
        </w:rPr>
      </w:r>
      <w:r>
        <w:rPr>
          <w:spacing w:val="-2"/>
        </w:rPr>
        <w:t>组；难以分摊至相关的资产组的，将其分摊至相关的资产组组合。在将商誉的账面价值分摊至相关的资产组或者资</w:t>
      </w:r>
      <w:r>
        <w:rPr>
          <w:spacing w:val="-65"/>
        </w:rPr>
        <w:t> </w:t>
      </w:r>
      <w:r>
        <w:rPr>
          <w:spacing w:val="-65"/>
        </w:rPr>
      </w:r>
      <w:r>
        <w:rPr/>
        <w:t>产组组合时，按照各资产组或者资产组组合的公允价值占相关资产组或者资产组组合公允价值总额的比例进行分 </w:t>
      </w:r>
      <w:r>
        <w:rPr>
          <w:spacing w:val="-2"/>
        </w:rPr>
        <w:t>摊。公允价值难以可靠计量的，按照各资产组或者资产组组合的账面价值占相关资产组或者资产组组合账面价值总</w:t>
      </w:r>
      <w:r>
        <w:rPr>
          <w:spacing w:val="-68"/>
        </w:rPr>
        <w:t> </w:t>
      </w:r>
      <w:r>
        <w:rPr>
          <w:spacing w:val="-68"/>
        </w:rPr>
      </w:r>
      <w:r>
        <w:rPr/>
        <w:t>额的比例进行分摊。 </w:t>
      </w:r>
      <w:r>
        <w:rPr>
          <w:spacing w:val="-2"/>
        </w:rPr>
        <w:t>在对包含商誉的相关资产组或者资产组组合进行减值测试时，如与商誉相关的资产组或者资产组组合存在减值迹象</w:t>
      </w:r>
      <w:r>
        <w:rPr>
          <w:spacing w:val="-67"/>
        </w:rPr>
        <w:t> </w:t>
      </w:r>
      <w:r>
        <w:rPr>
          <w:spacing w:val="-67"/>
        </w:rPr>
      </w:r>
      <w:r>
        <w:rPr>
          <w:spacing w:val="-2"/>
        </w:rPr>
        <w:t>的，先对不包含商誉的资产组或者资产组组合进行减值测试，计算可收回金额，并与相关账面价值相比较，确认相</w:t>
      </w:r>
      <w:r>
        <w:rPr>
          <w:spacing w:val="-69"/>
        </w:rPr>
        <w:t> </w:t>
      </w:r>
      <w:r>
        <w:rPr>
          <w:spacing w:val="-69"/>
        </w:rPr>
      </w:r>
      <w:r>
        <w:rPr>
          <w:spacing w:val="-2"/>
        </w:rPr>
        <w:t>应的减值损失。再对包含商誉的资产组或者资产组组合进行减值测试，比较这些相关资产组或者资产组组合的账面</w:t>
      </w:r>
      <w:r>
        <w:rPr>
          <w:spacing w:val="-68"/>
        </w:rPr>
        <w:t> </w:t>
      </w:r>
      <w:r>
        <w:rPr>
          <w:spacing w:val="-68"/>
        </w:rPr>
      </w:r>
      <w:r>
        <w:rPr>
          <w:spacing w:val="-2"/>
        </w:rPr>
        <w:t>价值（包括所分摊的商誉的账面价值部分）与其可收回金额，如相关资产组或者资产组组合的可收回金额低于其账</w:t>
      </w:r>
      <w:r>
        <w:rPr>
          <w:spacing w:val="-65"/>
        </w:rPr>
        <w:t> </w:t>
      </w:r>
      <w:r>
        <w:rPr>
          <w:spacing w:val="-65"/>
        </w:rPr>
      </w:r>
      <w:r>
        <w:rPr/>
        <w:t>面价值的，确认商誉的减值损失。</w:t>
      </w:r>
      <w:r>
        <w:rPr>
          <w:spacing w:val="-18"/>
        </w:rPr>
        <w:t> </w:t>
      </w:r>
      <w:r>
        <w:rPr/>
        <w:t>上述资产减值损失一经确认，在以后会计期间不予转回。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9"/>
        <w:ind w:right="1115"/>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15"/>
        <w:jc w:val="left"/>
      </w:pPr>
      <w:r>
        <w:rPr/>
        <w:t>长期待摊费用为已经发生但应由本期和以后各期负担的分摊期限在一年以上的各项费用。</w:t>
      </w:r>
    </w:p>
    <w:p>
      <w:pPr>
        <w:pStyle w:val="BodyText"/>
        <w:spacing w:line="309" w:lineRule="auto" w:before="76"/>
        <w:ind w:left="513" w:right="7693"/>
        <w:jc w:val="left"/>
      </w:pPr>
      <w:r>
        <w:rPr>
          <w:rFonts w:ascii="Times New Roman" w:hAnsi="Times New Roman" w:cs="Times New Roman" w:eastAsia="Times New Roman" w:hint="default"/>
        </w:rPr>
        <w:t>1</w:t>
      </w:r>
      <w:r>
        <w:rPr/>
        <w:t>、摊销方法 长期待摊费用在受益期内平均摊销 </w:t>
      </w:r>
      <w:r>
        <w:rPr>
          <w:rFonts w:ascii="Times New Roman" w:hAnsi="Times New Roman" w:cs="Times New Roman" w:eastAsia="Times New Roman" w:hint="default"/>
        </w:rPr>
        <w:t>2</w:t>
      </w:r>
      <w:r>
        <w:rPr/>
        <w:t>、摊销年限</w:t>
      </w:r>
    </w:p>
    <w:p>
      <w:pPr>
        <w:pStyle w:val="BodyText"/>
        <w:spacing w:line="240" w:lineRule="auto" w:before="5"/>
        <w:ind w:left="513" w:right="1115"/>
        <w:jc w:val="left"/>
      </w:pPr>
      <w:r>
        <w:rPr/>
        <w:t>不能确定受益期限的按不超过十年的期限平均摊销。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5"/>
        <w:spacing w:line="240" w:lineRule="auto"/>
        <w:ind w:right="1115"/>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5"/>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 职工福利费为非货币性福利的，如能够可靠计量的，按照公允价值计量。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9"/>
        <w:ind w:right="1115"/>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039"/>
        <w:jc w:val="left"/>
      </w:pPr>
      <w:r>
        <w:rPr/>
        <w:t>（</w:t>
      </w:r>
      <w:r>
        <w:rPr>
          <w:rFonts w:ascii="Times New Roman" w:hAnsi="Times New Roman" w:cs="Times New Roman" w:eastAsia="Times New Roman" w:hint="default"/>
        </w:rPr>
        <w:t>1</w:t>
      </w:r>
      <w:r>
        <w:rPr/>
        <w:t>）设定提存计划 </w:t>
      </w:r>
      <w:r>
        <w:rPr>
          <w:spacing w:val="-2"/>
        </w:rPr>
        <w:t>本公司按当地政府的相关规定为职工缴纳基本养老保险和失业保险，在职工为本公司提供服务的会计期间，按以当地规定的</w:t>
      </w:r>
      <w:r>
        <w:rPr>
          <w:spacing w:val="-63"/>
        </w:rPr>
        <w:t> </w:t>
      </w:r>
      <w:r>
        <w:rPr>
          <w:spacing w:val="-63"/>
        </w:rPr>
      </w:r>
      <w:r>
        <w:rPr/>
        <w:t>缴纳基数和比例计算应缴纳金额，确认为负债，并计入当期损益或相关资产成本。 </w:t>
      </w:r>
      <w:r>
        <w:rPr>
          <w:spacing w:val="-1"/>
        </w:rPr>
        <w:t>除基本养老保险外，本公司还依据国家企业年金制度的相关政策建立了企业年金缴费制度（补充养老保险）</w:t>
      </w:r>
      <w:r>
        <w:rPr>
          <w:rFonts w:ascii="Times New Roman" w:hAnsi="Times New Roman" w:cs="Times New Roman" w:eastAsia="Times New Roman" w:hint="default"/>
          <w:spacing w:val="-1"/>
        </w:rPr>
        <w:t>/</w:t>
      </w:r>
      <w:r>
        <w:rPr>
          <w:spacing w:val="-1"/>
        </w:rPr>
        <w:t>企业年金计划。</w:t>
      </w:r>
      <w:r>
        <w:rPr>
          <w:spacing w:val="-78"/>
        </w:rPr>
        <w:t> </w:t>
      </w:r>
      <w:r>
        <w:rPr/>
        <w:t>本公司按职工工资总额的一定比例向当地社会保险机构缴费</w:t>
      </w:r>
      <w:r>
        <w:rPr>
          <w:rFonts w:ascii="Times New Roman" w:hAnsi="Times New Roman" w:cs="Times New Roman" w:eastAsia="Times New Roman" w:hint="default"/>
        </w:rPr>
        <w:t>/</w:t>
      </w:r>
      <w:r>
        <w:rPr/>
        <w:t>年金计划缴费，相应支出计入当期损益或相关资产成本。</w:t>
      </w:r>
    </w:p>
    <w:p>
      <w:pPr>
        <w:pStyle w:val="BodyText"/>
        <w:spacing w:line="300" w:lineRule="auto" w:before="5"/>
        <w:ind w:right="1115"/>
        <w:jc w:val="left"/>
      </w:pPr>
      <w:r>
        <w:rPr/>
        <w:t>（</w:t>
      </w:r>
      <w:r>
        <w:rPr>
          <w:rFonts w:ascii="Times New Roman" w:hAnsi="Times New Roman" w:cs="Times New Roman" w:eastAsia="Times New Roman" w:hint="default"/>
        </w:rPr>
        <w:t>2</w:t>
      </w:r>
      <w:r>
        <w:rPr/>
        <w:t>）设定受益计划 </w:t>
      </w:r>
      <w:r>
        <w:rPr>
          <w:spacing w:val="-2"/>
        </w:rPr>
        <w:t>本公司根据预期累计福利单位法确定的公式将设定受益计划产生的福利义务归属于职工提供服务的期间，并计入当期损益或</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15"/>
        <w:jc w:val="left"/>
      </w:pPr>
      <w:r>
        <w:rPr/>
        <w:t>相关资产成本。 </w:t>
      </w:r>
      <w:r>
        <w:rPr>
          <w:spacing w:val="-2"/>
        </w:rPr>
        <w:t>设定受益计划义务现值减去设定受益计划资产公允价值所形成的赤字或盈余确认为一项设定受益计划净负债或净资产。设定</w:t>
      </w:r>
      <w:r>
        <w:rPr>
          <w:spacing w:val="-64"/>
        </w:rPr>
        <w:t> </w:t>
      </w:r>
      <w:r>
        <w:rPr>
          <w:spacing w:val="-64"/>
        </w:rPr>
      </w:r>
      <w:r>
        <w:rPr/>
        <w:t>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所有设定受益计划义务，包括预期在职工提供服务的年度报告期间结束后的十二个月内支付的义务，根据资产负债表日与设</w:t>
      </w:r>
      <w:r>
        <w:rPr>
          <w:spacing w:val="-64"/>
        </w:rPr>
        <w:t> </w:t>
      </w:r>
      <w:r>
        <w:rPr>
          <w:spacing w:val="-64"/>
        </w:rPr>
      </w:r>
      <w:r>
        <w:rPr/>
        <w:t>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设定受益计划产生的服务成本和设定受益计划净负债或净资产的利息净额计入当期损益或相关资产成本；重新计量设定受益</w:t>
      </w:r>
      <w:r>
        <w:rPr>
          <w:spacing w:val="-64"/>
        </w:rPr>
        <w:t> </w:t>
      </w:r>
      <w:r>
        <w:rPr>
          <w:spacing w:val="-64"/>
        </w:rPr>
      </w:r>
      <w:r>
        <w:rPr>
          <w:spacing w:val="-2"/>
        </w:rPr>
        <w:t>计划净负债或净资产所产生的变动计入其他综合收益，并且在后续会计期间不转回至损益，在原设定受益计划终止时在权益</w:t>
      </w:r>
      <w:r>
        <w:rPr>
          <w:spacing w:val="-64"/>
        </w:rPr>
        <w:t> </w:t>
      </w:r>
      <w:r>
        <w:rPr>
          <w:spacing w:val="-64"/>
        </w:rPr>
      </w:r>
      <w:r>
        <w:rPr/>
        <w:t>范围内将原计入其他综合收益的部分全部结转至未分配利润。 在设定受益计划结算时，按在结算日确定的设定受益计划义务现值和结算价格两者的差额，确认结算利得或损失。</w:t>
      </w:r>
    </w:p>
    <w:p>
      <w:pPr>
        <w:spacing w:line="240" w:lineRule="auto" w:before="10"/>
        <w:rPr>
          <w:rFonts w:ascii="宋体" w:hAnsi="宋体" w:cs="宋体" w:eastAsia="宋体" w:hint="default"/>
          <w:sz w:val="22"/>
          <w:szCs w:val="22"/>
        </w:rPr>
      </w:pPr>
    </w:p>
    <w:p>
      <w:pPr>
        <w:pStyle w:val="Heading5"/>
        <w:spacing w:line="240" w:lineRule="auto"/>
        <w:ind w:right="1115"/>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229" w:right="1137"/>
        <w:jc w:val="left"/>
      </w:pPr>
      <w:r>
        <w:rPr/>
        <w:t>本公司在不能单方面撤回因解除劳动关系计划或裁减建议所提供的辞退福利时，或确认与涉及支付辞退福利的重组相关的 成本或费用时（两者孰早），确认辞退福利产生的职工薪酬负债，并计入当期损益。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7"/>
        <w:ind w:right="1115"/>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866" w:right="1115"/>
        <w:jc w:val="left"/>
      </w:pPr>
      <w:r>
        <w:rPr>
          <w:spacing w:val="-2"/>
        </w:rPr>
        <w:t>本公司涉及诉讼、债务担保、亏损合同、重组事项时，如该等事项很可能需要未来以交付资产或提供劳务、其金额</w:t>
      </w:r>
      <w:r>
        <w:rPr>
          <w:spacing w:val="-70"/>
        </w:rPr>
        <w:t> </w:t>
      </w:r>
      <w:r>
        <w:rPr>
          <w:spacing w:val="-70"/>
        </w:rPr>
      </w:r>
      <w:r>
        <w:rPr/>
        <w:t>能够可靠计量的，确认为预计负债。</w:t>
      </w:r>
    </w:p>
    <w:p>
      <w:pPr>
        <w:spacing w:line="316" w:lineRule="auto" w:before="19"/>
        <w:ind w:left="1430" w:right="1196" w:hanging="36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预计负债的确认标准</w:t>
      </w:r>
      <w:r>
        <w:rPr>
          <w:rFonts w:ascii="宋体" w:hAnsi="宋体" w:cs="宋体" w:eastAsia="宋体" w:hint="default"/>
          <w:b/>
          <w:bCs/>
          <w:w w:val="99"/>
          <w:sz w:val="18"/>
          <w:szCs w:val="18"/>
        </w:rPr>
        <w:t> </w:t>
      </w:r>
      <w:r>
        <w:rPr>
          <w:rFonts w:ascii="宋体" w:hAnsi="宋体" w:cs="宋体" w:eastAsia="宋体" w:hint="default"/>
          <w:sz w:val="18"/>
          <w:szCs w:val="18"/>
        </w:rPr>
        <w:t>与诉讼、债务担保、亏损合同、重组事项等或有事项相关的义务同时满足下列条件时，本公司确认为预计 负债：</w:t>
      </w:r>
    </w:p>
    <w:p>
      <w:pPr>
        <w:pStyle w:val="BodyText"/>
        <w:spacing w:line="240" w:lineRule="auto" w:before="19"/>
        <w:ind w:left="1430" w:right="1115"/>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left="1430" w:right="1115"/>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63"/>
        <w:ind w:left="1430" w:right="1115"/>
        <w:jc w:val="left"/>
      </w:pPr>
      <w:r>
        <w:rPr/>
        <w:t>（</w:t>
      </w: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18"/>
          <w:szCs w:val="18"/>
        </w:rPr>
      </w:pPr>
    </w:p>
    <w:p>
      <w:pPr>
        <w:pStyle w:val="BodyText"/>
        <w:spacing w:line="316" w:lineRule="auto" w:before="139"/>
        <w:ind w:left="1430" w:right="998" w:hanging="360"/>
        <w:jc w:val="left"/>
      </w:pPr>
      <w:r>
        <w:rPr>
          <w:rFonts w:ascii="宋体" w:hAnsi="宋体" w:cs="宋体" w:eastAsia="宋体" w:hint="default"/>
          <w:b/>
          <w:bCs/>
        </w:rPr>
        <w:t>2.</w:t>
      </w:r>
      <w:r>
        <w:rPr>
          <w:rFonts w:ascii="宋体" w:hAnsi="宋体" w:cs="宋体" w:eastAsia="宋体" w:hint="default"/>
          <w:b/>
          <w:bCs/>
          <w:spacing w:val="87"/>
        </w:rPr>
        <w:t> </w:t>
      </w:r>
      <w:r>
        <w:rPr>
          <w:rFonts w:ascii="宋体" w:hAnsi="宋体" w:cs="宋体" w:eastAsia="宋体" w:hint="default"/>
          <w:b/>
          <w:bCs/>
        </w:rPr>
        <w:t>各类预计负债的计量方法</w:t>
      </w:r>
      <w:r>
        <w:rPr>
          <w:rFonts w:ascii="宋体" w:hAnsi="宋体" w:cs="宋体" w:eastAsia="宋体" w:hint="default"/>
          <w:b/>
          <w:bCs/>
          <w:w w:val="99"/>
        </w:rPr>
        <w:t> </w:t>
      </w:r>
      <w:r>
        <w:rPr/>
        <w:t>本公司根据合同约定或以往年度质保费实际发生情况合理估计可能产生的质保费用，在质保期间对所交付 </w:t>
      </w:r>
      <w:r>
        <w:rPr>
          <w:spacing w:val="-1"/>
        </w:rPr>
        <w:t>的自动化物流系统项目按合同收入总额的一定比例计提预计负债，实际发生的质保费用在预计负债中列支，</w:t>
      </w:r>
      <w:r>
        <w:rPr/>
        <w:t> 不足部分计入实际发生当期损益，项目质保期满后结余的预提质保金予以冲回。 预计负债按照履行相关现时义务所需支出的最佳估计数进行初始计量，企业清偿预计负债所需支出全部或 部分预期由第三方补偿的，补偿金额只有在基本确定能够收到时才能作为资产单独确认。确认的补偿金额 不超过预计负债的账面价值。 本公司亏损合同产生的义务和因重组而承担的重组义务同时符合上述条件的，确认为预计负债。只有在承 诺出售部分业务（即签订约束性出售协议）时，才能确认因重组而承担了重组义务。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9"/>
        <w:ind w:right="1115"/>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094" w:firstLine="360"/>
        <w:jc w:val="left"/>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提供服务而授予权益工具或者承担以权益工具为基础确定的负债的交易。 本公司的股份支付分为以权益结算的股份支付和以现金结算的股份支付。</w:t>
      </w:r>
    </w:p>
    <w:p>
      <w:pPr>
        <w:pStyle w:val="BodyText"/>
        <w:spacing w:line="240" w:lineRule="auto" w:before="31"/>
        <w:ind w:left="513" w:right="1115"/>
        <w:jc w:val="left"/>
      </w:pPr>
      <w:r>
        <w:rPr>
          <w:rFonts w:ascii="宋体" w:hAnsi="宋体" w:cs="宋体" w:eastAsia="宋体" w:hint="default"/>
        </w:rPr>
        <w:t>1</w:t>
      </w:r>
      <w:r>
        <w:rPr/>
        <w:t>、以权益结算的股份支付及权益工具</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29" w:firstLine="360"/>
        <w:jc w:val="both"/>
      </w:pPr>
      <w:r>
        <w:rPr>
          <w:spacing w:val="-2"/>
        </w:rPr>
        <w:t>以权益结算的股份支付换取职工提供服务的，以授予职工权益工具的公允价值计量。本公司以限制性股票进行股份支付</w:t>
      </w:r>
      <w:r>
        <w:rPr/>
        <w:t> </w:t>
      </w:r>
      <w:r>
        <w:rPr>
          <w:spacing w:val="-2"/>
        </w:rPr>
        <w:t>的，职工出资认购股票，股票在达到解锁条件并解锁前不得上市流通或转让；如果最终股权激励计划规定的解锁条件未能达</w:t>
      </w:r>
      <w:r>
        <w:rPr>
          <w:spacing w:val="-66"/>
        </w:rPr>
        <w:t> </w:t>
      </w:r>
      <w:r>
        <w:rPr>
          <w:spacing w:val="-66"/>
        </w:rPr>
      </w:r>
      <w:r>
        <w:rPr>
          <w:spacing w:val="-2"/>
        </w:rPr>
        <w:t>到，则本公司按照事先约定的价格回购股票。本公司取得职工认购限制性股票支付的款项时，按照取得的认股款确认股本和</w:t>
      </w:r>
      <w:r>
        <w:rPr>
          <w:spacing w:val="-62"/>
        </w:rPr>
        <w:t> </w:t>
      </w:r>
      <w:r>
        <w:rPr>
          <w:spacing w:val="-62"/>
        </w:rPr>
      </w:r>
      <w:r>
        <w:rPr>
          <w:spacing w:val="-2"/>
        </w:rPr>
        <w:t>资本公积（股本溢价），同时就回购义务全额确认一项负债并确认库存股。在等待期内每个资产负债表日，本公司根据最新</w:t>
      </w:r>
      <w:r>
        <w:rPr>
          <w:spacing w:val="-65"/>
        </w:rPr>
        <w:t> </w:t>
      </w:r>
      <w:r>
        <w:rPr>
          <w:spacing w:val="-65"/>
        </w:rPr>
      </w:r>
      <w:r>
        <w:rPr/>
        <w:t>取得的</w:t>
      </w:r>
      <w:r>
        <w:rPr>
          <w:rFonts w:ascii="宋体" w:hAnsi="宋体" w:cs="宋体" w:eastAsia="宋体" w:hint="default"/>
        </w:rPr>
        <w:t>[</w:t>
      </w:r>
      <w:r>
        <w:rPr/>
        <w:t>可行权职工人数变动</w:t>
      </w:r>
      <w:r>
        <w:rPr>
          <w:rFonts w:ascii="宋体" w:hAnsi="宋体" w:cs="宋体" w:eastAsia="宋体" w:hint="default"/>
        </w:rPr>
        <w:t>]</w:t>
      </w:r>
      <w:r>
        <w:rPr>
          <w:rFonts w:ascii="宋体" w:hAnsi="宋体" w:cs="宋体" w:eastAsia="宋体" w:hint="default"/>
          <w:spacing w:val="-1"/>
        </w:rPr>
        <w:t> </w:t>
      </w:r>
      <w:r>
        <w:rPr/>
        <w:t>、</w:t>
      </w:r>
      <w:r>
        <w:rPr>
          <w:rFonts w:ascii="宋体" w:hAnsi="宋体" w:cs="宋体" w:eastAsia="宋体" w:hint="default"/>
        </w:rPr>
        <w:t>[</w:t>
      </w:r>
      <w:r>
        <w:rPr/>
        <w:t>是否达到规定业绩条件</w:t>
      </w:r>
      <w:r>
        <w:rPr>
          <w:rFonts w:ascii="宋体" w:hAnsi="宋体" w:cs="宋体" w:eastAsia="宋体" w:hint="default"/>
        </w:rPr>
        <w:t>]</w:t>
      </w:r>
      <w:r>
        <w:rPr/>
        <w:t>等后续信息对可行权权益工具数量作出最佳估计，以此为基础， </w:t>
      </w:r>
      <w:r>
        <w:rPr>
          <w:spacing w:val="-2"/>
        </w:rPr>
        <w:t>按照授予日的公允价值，将当期取得的服务计入相关成本或费用，相应增加资本公积。在可行权日之后不再对已确认的相关</w:t>
      </w:r>
      <w:r>
        <w:rPr>
          <w:spacing w:val="-66"/>
        </w:rPr>
        <w:t> </w:t>
      </w:r>
      <w:r>
        <w:rPr>
          <w:spacing w:val="-66"/>
        </w:rPr>
      </w:r>
      <w:r>
        <w:rPr>
          <w:spacing w:val="-2"/>
        </w:rPr>
        <w:t>成本或费用和所有者权益总额进行调整。但授予后立即可行权的，在授予日按照公允价值计入相关成本或费用，相应增加资</w:t>
      </w:r>
      <w:r>
        <w:rPr>
          <w:spacing w:val="-63"/>
        </w:rPr>
        <w:t> </w:t>
      </w:r>
      <w:r>
        <w:rPr>
          <w:spacing w:val="-63"/>
        </w:rPr>
      </w:r>
      <w:r>
        <w:rPr/>
        <w:t>本公积。</w:t>
      </w:r>
    </w:p>
    <w:p>
      <w:pPr>
        <w:pStyle w:val="BodyText"/>
        <w:spacing w:line="316" w:lineRule="auto" w:before="19"/>
        <w:ind w:right="1115" w:firstLine="360"/>
        <w:jc w:val="left"/>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19"/>
        <w:ind w:right="1115" w:firstLine="360"/>
        <w:jc w:val="left"/>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9" w:lineRule="auto" w:before="19"/>
        <w:ind w:right="1115" w:firstLine="360"/>
        <w:jc w:val="left"/>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3"/>
        </w:rPr>
        <w:t> </w:t>
      </w:r>
      <w:r>
        <w:rPr>
          <w:spacing w:val="-63"/>
        </w:rPr>
      </w:r>
      <w:r>
        <w:rPr/>
        <w:t>益工具授予日认定所授予的新权益工具是用于替代被取消的权益工具的，则以与处理原权益工具条款和条件修改相同的方 式，对所授予的替代权益工具进行处理。</w:t>
      </w:r>
    </w:p>
    <w:p>
      <w:pPr>
        <w:spacing w:line="240" w:lineRule="auto" w:before="9"/>
        <w:rPr>
          <w:rFonts w:ascii="宋体" w:hAnsi="宋体" w:cs="宋体" w:eastAsia="宋体" w:hint="default"/>
          <w:sz w:val="22"/>
          <w:szCs w:val="22"/>
        </w:rPr>
      </w:pPr>
    </w:p>
    <w:p>
      <w:pPr>
        <w:pStyle w:val="Heading5"/>
        <w:spacing w:line="240" w:lineRule="auto"/>
        <w:ind w:right="1115"/>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1115"/>
        <w:jc w:val="left"/>
      </w:pPr>
      <w:r>
        <w:rPr/>
        <w:t>软件与信息技术服务业</w:t>
      </w:r>
    </w:p>
    <w:p>
      <w:pPr>
        <w:pStyle w:val="BodyText"/>
        <w:spacing w:line="340" w:lineRule="auto" w:before="117"/>
        <w:ind w:right="1844"/>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rFonts w:ascii="宋体" w:hAnsi="宋体" w:cs="宋体" w:eastAsia="宋体" w:hint="default"/>
        </w:rPr>
        <w:t>1</w:t>
      </w:r>
      <w:r>
        <w:rPr/>
        <w:t>、</w:t>
      </w:r>
      <w:r>
        <w:rPr>
          <w:spacing w:val="-1"/>
        </w:rPr>
        <w:t> </w:t>
      </w:r>
      <w:r>
        <w:rPr/>
        <w:t>销售商品收入确认的一般原则：</w:t>
      </w:r>
    </w:p>
    <w:p>
      <w:pPr>
        <w:pStyle w:val="BodyText"/>
        <w:spacing w:line="316" w:lineRule="auto" w:before="1"/>
        <w:ind w:right="1115"/>
        <w:jc w:val="left"/>
      </w:pPr>
      <w:r>
        <w:rPr/>
        <w:t>（</w:t>
      </w:r>
      <w:r>
        <w:rPr>
          <w:rFonts w:ascii="宋体" w:hAnsi="宋体" w:cs="宋体" w:eastAsia="宋体" w:hint="default"/>
        </w:rPr>
        <w:t>1</w:t>
      </w:r>
      <w:r>
        <w:rPr/>
        <w:t>）销售商品收入确认和计量的总体原则： </w:t>
      </w:r>
      <w:r>
        <w:rPr>
          <w:spacing w:val="-2"/>
        </w:rPr>
        <w:t>公司已将商品所有权上的主要风险和报酬转移给购买方；公司既没有保留与所有权相联系的继续管理权，也没有对已售出的</w:t>
      </w:r>
      <w:r>
        <w:rPr>
          <w:spacing w:val="-64"/>
        </w:rPr>
        <w:t> </w:t>
      </w:r>
      <w:r>
        <w:rPr>
          <w:spacing w:val="-64"/>
        </w:rPr>
      </w:r>
      <w:r>
        <w:rPr>
          <w:spacing w:val="-2"/>
        </w:rPr>
        <w:t>商品实施有效控制；收入的金额能够可靠地计量；相关的经济利益很可能流入企业；相关的已发生或将发生的成本能够可靠</w:t>
      </w:r>
      <w:r>
        <w:rPr>
          <w:spacing w:val="-63"/>
        </w:rPr>
        <w:t> </w:t>
      </w:r>
      <w:r>
        <w:rPr>
          <w:spacing w:val="-63"/>
        </w:rPr>
      </w:r>
      <w:r>
        <w:rPr/>
        <w:t>地计量时，确认商品销售收入实现。</w:t>
      </w:r>
    </w:p>
    <w:p>
      <w:pPr>
        <w:pStyle w:val="BodyText"/>
        <w:spacing w:line="316" w:lineRule="auto" w:before="19"/>
        <w:ind w:right="998"/>
        <w:jc w:val="left"/>
      </w:pPr>
      <w:r>
        <w:rPr/>
        <w:t>（</w:t>
      </w:r>
      <w:r>
        <w:rPr>
          <w:rFonts w:ascii="宋体" w:hAnsi="宋体" w:cs="宋体" w:eastAsia="宋体" w:hint="default"/>
        </w:rPr>
        <w:t>2</w:t>
      </w:r>
      <w:r>
        <w:rPr/>
        <w:t>）本公司销售商品收入确认的确认标准及收入确认时间的具体判断标准 </w:t>
      </w:r>
      <w:r>
        <w:rPr>
          <w:spacing w:val="-4"/>
        </w:rPr>
        <w:t>本公司销售商品收入主要有工业生产型物流系统、商业配送型物流系统、自动化物流系统备品备件，收入的具体确认原则为：</w:t>
      </w:r>
    </w:p>
    <w:p>
      <w:pPr>
        <w:pStyle w:val="BodyText"/>
        <w:spacing w:line="316" w:lineRule="auto" w:before="19"/>
        <w:ind w:right="998"/>
        <w:jc w:val="left"/>
      </w:pPr>
      <w:r>
        <w:rPr/>
        <w:t>①工业生产型物流系统 </w:t>
      </w:r>
      <w:r>
        <w:rPr>
          <w:spacing w:val="-4"/>
        </w:rPr>
        <w:t>系统已按合同和技术协议的要求全部安装调试到位，并取得了购货方的初验证明，该物流系统已交付购货方进入商业运行时，</w:t>
      </w:r>
      <w:r>
        <w:rPr>
          <w:spacing w:val="-43"/>
        </w:rPr>
        <w:t> </w:t>
      </w:r>
      <w:r>
        <w:rPr>
          <w:spacing w:val="-43"/>
        </w:rPr>
      </w:r>
      <w:r>
        <w:rPr/>
        <w:t>予以确认收入。</w:t>
      </w:r>
    </w:p>
    <w:p>
      <w:pPr>
        <w:pStyle w:val="BodyText"/>
        <w:spacing w:line="319" w:lineRule="auto" w:before="19"/>
        <w:ind w:right="998"/>
        <w:jc w:val="left"/>
      </w:pPr>
      <w:r>
        <w:rPr/>
        <w:t>②商业配送型物流系统 </w:t>
      </w:r>
      <w:r>
        <w:rPr>
          <w:spacing w:val="-4"/>
        </w:rPr>
        <w:t>系统已按合同和技术协议的要求全部安装调试到位，并取得了购货方的验收证明，该物流系统已交付购货方进入商业运行时，</w:t>
      </w:r>
      <w:r>
        <w:rPr>
          <w:spacing w:val="-44"/>
        </w:rPr>
        <w:t> </w:t>
      </w:r>
      <w:r>
        <w:rPr>
          <w:spacing w:val="-44"/>
        </w:rPr>
      </w:r>
      <w:r>
        <w:rPr/>
        <w:t>予以确认收入。</w:t>
      </w:r>
    </w:p>
    <w:p>
      <w:pPr>
        <w:pStyle w:val="BodyText"/>
        <w:spacing w:line="316" w:lineRule="auto" w:before="17"/>
        <w:ind w:right="1394"/>
        <w:jc w:val="left"/>
      </w:pPr>
      <w:r>
        <w:rPr/>
        <w:t>③自动化物流系统备品备件 自动化物流系统备品、备件在产品已经发出并经购货方验收确认，收到价款或取得收取款项的证据时，予以确认收入。</w:t>
      </w:r>
    </w:p>
    <w:p>
      <w:pPr>
        <w:pStyle w:val="BodyText"/>
        <w:spacing w:line="316" w:lineRule="auto" w:before="19"/>
        <w:ind w:right="1115"/>
        <w:jc w:val="left"/>
      </w:pPr>
      <w:r>
        <w:rPr/>
        <w:t>（</w:t>
      </w:r>
      <w:r>
        <w:rPr>
          <w:rFonts w:ascii="宋体" w:hAnsi="宋体" w:cs="宋体" w:eastAsia="宋体" w:hint="default"/>
        </w:rPr>
        <w:t>3</w:t>
      </w:r>
      <w:r>
        <w:rPr/>
        <w:t>）关于本公司销售商品收入相应的业务特点分析和介绍 </w:t>
      </w:r>
      <w:r>
        <w:rPr>
          <w:spacing w:val="-2"/>
        </w:rPr>
        <w:t>本公司作为一家自动化物流系统综合解决方案提供商，自动化物流系统是公司的核心产品及收入的主要来源。自动化物流系</w:t>
      </w:r>
      <w:r>
        <w:rPr>
          <w:spacing w:val="-64"/>
        </w:rPr>
        <w:t> </w:t>
      </w:r>
      <w:r>
        <w:rPr>
          <w:spacing w:val="-64"/>
        </w:rPr>
      </w:r>
      <w:r>
        <w:rPr>
          <w:spacing w:val="-2"/>
        </w:rPr>
        <w:t>统系对各种物流软硬件设备进行安装调试后的非标准化产品，该系统具有定制化、个性化等特点，只有整个自动化物流系统</w:t>
      </w:r>
      <w:r>
        <w:rPr>
          <w:spacing w:val="-66"/>
        </w:rPr>
        <w:t> </w:t>
      </w:r>
      <w:r>
        <w:rPr>
          <w:spacing w:val="-66"/>
        </w:rPr>
      </w:r>
      <w:r>
        <w:rPr>
          <w:spacing w:val="-2"/>
        </w:rPr>
        <w:t>全部安装调试完毕且具备较稳定运行能力时，才能投入商业运行。该物流系统投入商业运行时，客户会组织相关部门进行初</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15"/>
        <w:jc w:val="left"/>
      </w:pPr>
      <w:r>
        <w:rPr>
          <w:spacing w:val="-2"/>
        </w:rPr>
        <w:t>验并签署相关证明文件。在系统投入商业运行至终验阶段，公司为客户提供系统维护及现场操作指导等后续服务，发生的支</w:t>
      </w:r>
      <w:r>
        <w:rPr>
          <w:spacing w:val="-63"/>
        </w:rPr>
        <w:t> </w:t>
      </w:r>
      <w:r>
        <w:rPr>
          <w:spacing w:val="-63"/>
        </w:rPr>
      </w:r>
      <w:r>
        <w:rPr/>
        <w:t>出很少。</w:t>
      </w:r>
    </w:p>
    <w:p>
      <w:pPr>
        <w:spacing w:line="240" w:lineRule="auto" w:before="2"/>
        <w:rPr>
          <w:rFonts w:ascii="宋体" w:hAnsi="宋体" w:cs="宋体" w:eastAsia="宋体" w:hint="default"/>
          <w:sz w:val="25"/>
          <w:szCs w:val="25"/>
        </w:rPr>
      </w:pPr>
    </w:p>
    <w:p>
      <w:pPr>
        <w:pStyle w:val="BodyText"/>
        <w:spacing w:line="316" w:lineRule="auto"/>
        <w:ind w:right="5894"/>
        <w:jc w:val="left"/>
      </w:pPr>
      <w:r>
        <w:rPr>
          <w:rFonts w:ascii="宋体" w:hAnsi="宋体" w:cs="宋体" w:eastAsia="宋体" w:hint="default"/>
        </w:rPr>
        <w:t>2</w:t>
      </w:r>
      <w:r>
        <w:rPr/>
        <w:t>、 提供技术服务收入确认和计量原则 本公司提供技术服务主要是自动化物流系统的运营维护服务。</w:t>
      </w:r>
    </w:p>
    <w:p>
      <w:pPr>
        <w:pStyle w:val="BodyText"/>
        <w:spacing w:line="316" w:lineRule="auto" w:before="19"/>
        <w:ind w:right="998"/>
        <w:jc w:val="left"/>
      </w:pPr>
      <w:r>
        <w:rPr>
          <w:spacing w:val="-4"/>
        </w:rPr>
        <w:t>公司在已根据签订的技术服务合同内容约定提供了相应服务；收到价款或取得收取款项的证据；相关成本能够可靠地计量时，</w:t>
      </w:r>
      <w:r>
        <w:rPr>
          <w:spacing w:val="-42"/>
        </w:rPr>
        <w:t> </w:t>
      </w:r>
      <w:r>
        <w:rPr>
          <w:spacing w:val="-42"/>
        </w:rPr>
      </w:r>
      <w:r>
        <w:rPr>
          <w:spacing w:val="-2"/>
        </w:rPr>
        <w:t>予以确认收入。合同明确约定服务成果需提交设备维护报告书并经客户验收确认的，在取得经客户验收确认后的设备维护报</w:t>
      </w:r>
      <w:r>
        <w:rPr>
          <w:spacing w:val="-64"/>
        </w:rPr>
        <w:t> </w:t>
      </w:r>
      <w:r>
        <w:rPr>
          <w:spacing w:val="-64"/>
        </w:rPr>
      </w:r>
      <w:r>
        <w:rPr/>
        <w:t>告书时确认收入。</w:t>
      </w:r>
    </w:p>
    <w:p>
      <w:pPr>
        <w:pStyle w:val="BodyText"/>
        <w:spacing w:line="240" w:lineRule="auto" w:before="19"/>
        <w:ind w:right="1115"/>
        <w:jc w:val="left"/>
      </w:pPr>
      <w:r>
        <w:rPr/>
        <w:t>合同明确约定服务期限的，在合同约定的服务期限内，按提供服务的进度或次数分期确认收入。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5"/>
        <w:spacing w:line="240" w:lineRule="auto"/>
        <w:ind w:right="1115"/>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998"/>
        <w:jc w:val="left"/>
      </w:pPr>
      <w:r>
        <w:rPr>
          <w:rFonts w:ascii="宋体" w:hAnsi="宋体" w:cs="宋体" w:eastAsia="宋体" w:hint="default"/>
        </w:rPr>
        <w:t>1</w:t>
      </w:r>
      <w:r>
        <w:rPr/>
        <w:t>、</w:t>
      </w:r>
      <w:r>
        <w:rPr>
          <w:spacing w:val="1"/>
        </w:rPr>
        <w:t> </w:t>
      </w:r>
      <w:r>
        <w:rPr/>
        <w:t>类型</w:t>
      </w:r>
      <w:r>
        <w:rPr/>
        <w:t> </w:t>
      </w:r>
      <w:r>
        <w:rPr>
          <w:spacing w:val="-2"/>
        </w:rPr>
        <w:t>政府补助，是本公司从政府无偿取得的货币性资产与非货币性资产。分为与资产相关的政府补助和与收益相关的政府补</w:t>
      </w:r>
      <w:r>
        <w:rPr>
          <w:spacing w:val="-68"/>
        </w:rPr>
        <w:t> </w:t>
      </w:r>
      <w:r>
        <w:rPr>
          <w:spacing w:val="-68"/>
        </w:rPr>
      </w:r>
      <w:r>
        <w:rPr/>
        <w:t>助。 </w:t>
      </w:r>
      <w:r>
        <w:rPr>
          <w:spacing w:val="-4"/>
        </w:rPr>
        <w:t>与资产相关的政府补助，是指本公司取得的、用于购建或以其他方式形成长期资产的政府补助。与收益相关的政府补助，</w:t>
      </w:r>
      <w:r>
        <w:rPr>
          <w:spacing w:val="-52"/>
        </w:rPr>
        <w:t> </w:t>
      </w:r>
      <w:r>
        <w:rPr>
          <w:spacing w:val="-52"/>
        </w:rPr>
      </w:r>
      <w:r>
        <w:rPr/>
        <w:t>是指除与资产相关的政府补助之外的政府补助。 本公司将政府补助划分为与资产相关的具体标准为：企业取得的用于购建或以其他方式形成长期资产的政府补助。 本公司将政府补助划分为与收益相关的具体标准为：除与资产相关的政府补助</w:t>
      </w:r>
    </w:p>
    <w:p>
      <w:pPr>
        <w:pStyle w:val="BodyText"/>
        <w:spacing w:line="316" w:lineRule="auto" w:before="19"/>
        <w:ind w:left="513" w:right="1115"/>
        <w:jc w:val="left"/>
      </w:pPr>
      <w:r>
        <w:rPr/>
        <w:t>之外的政府补助。 </w:t>
      </w:r>
      <w:r>
        <w:rPr>
          <w:spacing w:val="-2"/>
        </w:rPr>
        <w:t>对于政府文件未明确规定补助对象的，本公司将该政府补助划分为与资产相关或与收益相关的判断依据为：是否用于购</w:t>
      </w:r>
      <w:r>
        <w:rPr>
          <w:spacing w:val="-68"/>
        </w:rPr>
        <w:t> </w:t>
      </w:r>
      <w:r>
        <w:rPr>
          <w:spacing w:val="-68"/>
        </w:rPr>
      </w:r>
      <w:r>
        <w:rPr/>
        <w:t>建或以其他方式形成长期资产。</w:t>
      </w:r>
    </w:p>
    <w:p>
      <w:pPr>
        <w:spacing w:line="240" w:lineRule="auto" w:before="4"/>
        <w:rPr>
          <w:rFonts w:ascii="宋体" w:hAnsi="宋体" w:cs="宋体" w:eastAsia="宋体" w:hint="default"/>
          <w:sz w:val="25"/>
          <w:szCs w:val="25"/>
        </w:rPr>
      </w:pPr>
    </w:p>
    <w:p>
      <w:pPr>
        <w:pStyle w:val="BodyText"/>
        <w:spacing w:line="319" w:lineRule="auto"/>
        <w:ind w:left="513" w:right="1115"/>
        <w:jc w:val="left"/>
      </w:pPr>
      <w:r>
        <w:rPr>
          <w:rFonts w:ascii="宋体" w:hAnsi="宋体" w:cs="宋体" w:eastAsia="宋体" w:hint="default"/>
        </w:rPr>
        <w:t>2</w:t>
      </w:r>
      <w:r>
        <w:rPr/>
        <w:t>、</w:t>
      </w:r>
      <w:r>
        <w:rPr>
          <w:spacing w:val="1"/>
        </w:rPr>
        <w:t> </w:t>
      </w:r>
      <w:r>
        <w:rPr/>
        <w:t>确认时点</w:t>
      </w:r>
      <w:r>
        <w:rPr/>
        <w:t> </w:t>
      </w:r>
      <w:r>
        <w:rPr>
          <w:spacing w:val="-2"/>
        </w:rPr>
        <w:t>对期末有证据表明公司能够符合财政扶持政策规定的相关条件且预计能够收到财政扶持资金的，按应收金额确认政府补</w:t>
      </w:r>
      <w:r>
        <w:rPr>
          <w:spacing w:val="-68"/>
        </w:rPr>
        <w:t> </w:t>
      </w:r>
      <w:r>
        <w:rPr>
          <w:spacing w:val="-68"/>
        </w:rPr>
      </w:r>
      <w:r>
        <w:rPr/>
        <w:t>助。除此之外，政府补助均在实际收到时确认。</w:t>
      </w:r>
    </w:p>
    <w:p>
      <w:pPr>
        <w:spacing w:line="240" w:lineRule="auto" w:before="2"/>
        <w:rPr>
          <w:rFonts w:ascii="宋体" w:hAnsi="宋体" w:cs="宋体" w:eastAsia="宋体" w:hint="default"/>
          <w:sz w:val="25"/>
          <w:szCs w:val="25"/>
        </w:rPr>
      </w:pPr>
    </w:p>
    <w:p>
      <w:pPr>
        <w:pStyle w:val="BodyText"/>
        <w:spacing w:line="316" w:lineRule="auto"/>
        <w:ind w:left="513" w:right="998"/>
        <w:jc w:val="left"/>
      </w:pPr>
      <w:r>
        <w:rPr>
          <w:rFonts w:ascii="宋体" w:hAnsi="宋体" w:cs="宋体" w:eastAsia="宋体" w:hint="default"/>
        </w:rPr>
        <w:t>3</w:t>
      </w:r>
      <w:r>
        <w:rPr/>
        <w:t>、</w:t>
      </w:r>
      <w:r>
        <w:rPr>
          <w:spacing w:val="1"/>
        </w:rPr>
        <w:t> </w:t>
      </w:r>
      <w:r>
        <w:rPr/>
        <w:t>会计处理</w:t>
      </w:r>
      <w:r>
        <w:rPr/>
        <w:t> </w:t>
      </w:r>
      <w:r>
        <w:rPr>
          <w:spacing w:val="-2"/>
        </w:rPr>
        <w:t>与资产相关的政府补助，冲减相关资产账面价值或确认为递延收益。确认为递延收益的，在相关资产使用寿命内按照合</w:t>
      </w:r>
      <w:r>
        <w:rPr>
          <w:spacing w:val="-70"/>
        </w:rPr>
        <w:t> </w:t>
      </w:r>
      <w:r>
        <w:rPr>
          <w:spacing w:val="-70"/>
        </w:rPr>
      </w:r>
      <w:r>
        <w:rPr>
          <w:spacing w:val="-2"/>
        </w:rPr>
        <w:t>理、系统的方法分期计入当期损益（与本公司日常活动相关的，计入其他收益；与本公司日常活动无关的，计入营业外</w:t>
      </w:r>
      <w:r>
        <w:rPr>
          <w:spacing w:val="-71"/>
        </w:rPr>
        <w:t> </w:t>
      </w:r>
      <w:r>
        <w:rPr>
          <w:spacing w:val="-71"/>
        </w:rPr>
      </w:r>
      <w:r>
        <w:rPr/>
        <w:t>收入）； </w:t>
      </w:r>
      <w:r>
        <w:rPr>
          <w:spacing w:val="-2"/>
        </w:rPr>
        <w:t>与收益相关的政府补助，用于补偿本公司以后期间的相关成本费用或损失的，确认为递延收益，并在确认相关成本费用</w:t>
      </w:r>
      <w:r>
        <w:rPr>
          <w:spacing w:val="-67"/>
        </w:rPr>
        <w:t> </w:t>
      </w:r>
      <w:r>
        <w:rPr>
          <w:spacing w:val="-67"/>
        </w:rPr>
      </w:r>
      <w:r>
        <w:rPr>
          <w:spacing w:val="-4"/>
        </w:rPr>
        <w:t>或损失的期间，计入当期损益（与本公司日常活动相关的，计入其他收益；与本公司日常活动无关的，计入营业外收入）</w:t>
      </w:r>
      <w:r>
        <w:rPr>
          <w:spacing w:val="-51"/>
        </w:rPr>
        <w:t> </w:t>
      </w:r>
      <w:r>
        <w:rPr>
          <w:spacing w:val="-51"/>
        </w:rPr>
      </w:r>
      <w:r>
        <w:rPr>
          <w:spacing w:val="-2"/>
        </w:rPr>
        <w:t>或冲减相关成本费用或损失；用于补偿本公司已发生的相关成本费用或损失的，直接计入当期损益（与本公司日常活动</w:t>
      </w:r>
      <w:r>
        <w:rPr>
          <w:spacing w:val="-66"/>
        </w:rPr>
        <w:t> </w:t>
      </w:r>
      <w:r>
        <w:rPr>
          <w:spacing w:val="-66"/>
        </w:rPr>
      </w:r>
      <w:r>
        <w:rPr/>
        <w:t>相关的，计入其他收益；与本公司日常活动无关的，计入营业外收入）或冲减相关成本费用或损失。 本公司取得的政策性优惠贷款贴息，区分以下两种情况，分别进行会计处理：</w:t>
      </w:r>
    </w:p>
    <w:p>
      <w:pPr>
        <w:pStyle w:val="BodyText"/>
        <w:spacing w:line="319" w:lineRule="auto" w:before="19"/>
        <w:ind w:left="513" w:right="1123"/>
        <w:jc w:val="left"/>
      </w:pPr>
      <w:r>
        <w:rPr/>
        <w:t>（</w:t>
      </w:r>
      <w:r>
        <w:rPr>
          <w:rFonts w:ascii="宋体" w:hAnsi="宋体" w:cs="宋体" w:eastAsia="宋体" w:hint="default"/>
        </w:rPr>
        <w:t>1</w:t>
      </w:r>
      <w:r>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BodyText"/>
        <w:spacing w:line="240" w:lineRule="auto" w:before="17"/>
        <w:ind w:left="513" w:right="1115"/>
        <w:jc w:val="left"/>
      </w:pPr>
      <w:r>
        <w:rPr/>
        <w:t>（</w:t>
      </w:r>
      <w:r>
        <w:rPr>
          <w:rFonts w:ascii="宋体" w:hAnsi="宋体" w:cs="宋体" w:eastAsia="宋体" w:hint="default"/>
        </w:rPr>
        <w:t>2</w:t>
      </w:r>
      <w:r>
        <w:rPr/>
        <w:t>）财政将贴息资金直接拨付给本公司的，本公司将对应的贴息冲减相关借款费用。</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866" w:right="1115"/>
        <w:jc w:val="left"/>
      </w:pPr>
      <w:r>
        <w:rPr>
          <w:spacing w:val="-2"/>
        </w:rPr>
        <w:t>对于可抵扣暂时性差异确认递延所得税资产，以未来期间很可能取得的用来抵扣可抵扣暂时性差异的应纳税所得额</w:t>
      </w:r>
      <w:r>
        <w:rPr>
          <w:spacing w:val="-67"/>
        </w:rPr>
        <w:t> </w:t>
      </w:r>
      <w:r>
        <w:rPr>
          <w:spacing w:val="-67"/>
        </w:rPr>
      </w:r>
      <w:r>
        <w:rPr>
          <w:spacing w:val="-2"/>
        </w:rPr>
        <w:t>为限。对于能够结转以后年度的可抵扣亏损和税款抵减，以很可能获得用来抵扣可抵扣亏损和税款抵减的未来应纳</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866" w:right="5000"/>
        <w:jc w:val="left"/>
      </w:pPr>
      <w:r>
        <w:rPr/>
        <w:t>税所得额为限，确认相应的递延所得税资产。 对于应纳税暂时性差异，除特殊情况外，确认递延所得税负债。</w:t>
      </w:r>
    </w:p>
    <w:p>
      <w:pPr>
        <w:pStyle w:val="BodyText"/>
        <w:spacing w:line="316" w:lineRule="auto" w:before="17"/>
        <w:ind w:left="866" w:right="1115"/>
        <w:jc w:val="left"/>
      </w:pPr>
      <w:r>
        <w:rPr>
          <w:spacing w:val="-2"/>
        </w:rPr>
        <w:t>不确认递延所得税资产或递延所得税负债的特殊情况包括：商誉的初始确认；除企业合并以外的发生时既不影响会</w:t>
      </w:r>
      <w:r>
        <w:rPr>
          <w:spacing w:val="-68"/>
        </w:rPr>
        <w:t> </w:t>
      </w:r>
      <w:r>
        <w:rPr>
          <w:spacing w:val="-68"/>
        </w:rPr>
      </w:r>
      <w:r>
        <w:rPr/>
        <w:t>计利润也不影响应纳税所得额（或可抵扣亏损）的其他交易或事项。 </w:t>
      </w:r>
      <w:r>
        <w:rPr>
          <w:spacing w:val="-2"/>
        </w:rPr>
        <w:t>当拥有以净额结算的法定权利，且意图以净额结算或取得资产、清偿负债同时进行时，当期所得税资产及当期所得</w:t>
      </w:r>
      <w:r>
        <w:rPr>
          <w:spacing w:val="-65"/>
        </w:rPr>
        <w:t> </w:t>
      </w:r>
      <w:r>
        <w:rPr>
          <w:spacing w:val="-65"/>
        </w:rPr>
      </w:r>
      <w:r>
        <w:rPr/>
        <w:t>税负债以抵销后的净额列报。 </w:t>
      </w:r>
      <w:r>
        <w:rPr>
          <w:spacing w:val="-2"/>
        </w:rPr>
        <w:t>当拥有以净额结算当期所得税资产及当期所得税负债的法定权利，且递延所得税资产及递延所得税负债是与同一税</w:t>
      </w:r>
      <w:r>
        <w:rPr>
          <w:spacing w:val="-67"/>
        </w:rPr>
        <w:t> </w:t>
      </w:r>
      <w:r>
        <w:rPr>
          <w:spacing w:val="-67"/>
        </w:rPr>
      </w:r>
      <w:r>
        <w:rPr>
          <w:spacing w:val="-2"/>
        </w:rPr>
        <w:t>收征管部门对同一纳税主体征收的所得税相关或者是对不同的纳税主体相关，但在未来每一具有重要性的递延所得</w:t>
      </w:r>
      <w:r>
        <w:rPr>
          <w:spacing w:val="-67"/>
        </w:rPr>
        <w:t> </w:t>
      </w:r>
      <w:r>
        <w:rPr>
          <w:spacing w:val="-67"/>
        </w:rPr>
      </w:r>
      <w:r>
        <w:rPr>
          <w:spacing w:val="-2"/>
        </w:rPr>
        <w:t>税资产及负债转回的期间内，涉及的纳税主体意图以净额结算当期所得税资产和负债或是同时取得资产、清偿负债</w:t>
      </w:r>
      <w:r>
        <w:rPr>
          <w:spacing w:val="-68"/>
        </w:rPr>
        <w:t> </w:t>
      </w:r>
      <w:r>
        <w:rPr>
          <w:spacing w:val="-68"/>
        </w:rPr>
      </w:r>
      <w:r>
        <w:rPr/>
        <w:t>时，递延所得税资产及递延所得税负债以抵销后的净额列报。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9"/>
        <w:ind w:right="1115"/>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44"/>
        <w:ind w:right="1133"/>
        <w:jc w:val="right"/>
      </w:pPr>
      <w:r>
        <w:rPr/>
        <w:pict>
          <v:shape style="position:absolute;margin-left:56.400002pt;margin-top:-98.788246pt;width:479.3pt;height:263.7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95"/>
                    <w:gridCol w:w="1136"/>
                    <w:gridCol w:w="4040"/>
                  </w:tblGrid>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0" w:lineRule="auto"/>
                          <w:ind w:left="24" w:right="23"/>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）资产负债表中</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合并列示为</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 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 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 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 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509,028,360.17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元，上期金额</w:t>
                        </w:r>
                      </w:p>
                      <w:p>
                        <w:pPr>
                          <w:pStyle w:val="TableParagraph"/>
                          <w:spacing w:line="300" w:lineRule="auto" w:before="15"/>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521,718,720.50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 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258,944,180.29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元，上期金额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203,641,340.14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元；调</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增</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本期金额</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上期金额</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元，上期金额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130,334.72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调增</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本期金额</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元，上期金额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340"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）在利润表中新增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项目，将原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管理费用</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中的研发费用重分类至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单独列示；在利润表 中财务费用项下新增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 目。比较数据相应调整。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42,594,346.93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30,669,901.75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right="1133"/>
        <w:jc w:val="right"/>
      </w:pPr>
      <w:r>
        <w:rPr/>
        <w:t>，</w:t>
      </w:r>
    </w:p>
    <w:p>
      <w:pPr>
        <w:spacing w:after="0" w:line="240" w:lineRule="auto"/>
        <w:jc w:val="righ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624" w:lineRule="exact" w:before="55"/>
        <w:ind w:left="152" w:right="9134" w:firstLine="0"/>
        <w:jc w:val="left"/>
        <w:rPr>
          <w:rFonts w:ascii="宋体" w:hAnsi="宋体" w:cs="宋体" w:eastAsia="宋体" w:hint="default"/>
          <w:sz w:val="24"/>
          <w:szCs w:val="24"/>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2"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15"/>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北京今天华迅智能技术有限公司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深圳市今天国际软件技术有限公司（原名：深圳市同创智软 件技术有限公司）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今天国际物流科技有限公司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上海今天华峰智能系统有限公司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深圳市今天国际智能机器人有限公司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深圳市今天国际软件技术有限公司安徽分公司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深圳市今天国际软件技术有限公司江苏分公司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深圳市今天国际软件技术有限公司新疆分公司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深圳市今天国际物流技术股份有限公司厦门分公司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深圳市今天国际物流技术股份有限公司安徽办事处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1115"/>
        <w:jc w:val="left"/>
      </w:pPr>
      <w:r>
        <w:rPr>
          <w:rFonts w:ascii="Times New Roman" w:hAnsi="Times New Roman" w:cs="Times New Roman" w:eastAsia="Times New Roman" w:hint="default"/>
          <w:spacing w:val="-1"/>
        </w:rPr>
        <w:t>1</w:t>
      </w:r>
      <w:r>
        <w:rPr>
          <w:spacing w:val="-1"/>
        </w:rPr>
        <w:t>、根据财政部、国家税务总局财税</w:t>
      </w:r>
      <w:r>
        <w:rPr>
          <w:rFonts w:ascii="Times New Roman" w:hAnsi="Times New Roman" w:cs="Times New Roman" w:eastAsia="Times New Roman" w:hint="default"/>
          <w:spacing w:val="-1"/>
        </w:rPr>
        <w:t>[2011]100</w:t>
      </w:r>
      <w:r>
        <w:rPr>
          <w:spacing w:val="-1"/>
        </w:rPr>
        <w:t>号《关于软件产品增值税政策的通知》规定，自</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日起，对增值税一</w:t>
      </w:r>
      <w:r>
        <w:rPr>
          <w:spacing w:val="-54"/>
        </w:rPr>
        <w:t> </w:t>
      </w:r>
      <w:r>
        <w:rPr>
          <w:spacing w:val="-54"/>
        </w:rPr>
      </w:r>
      <w:r>
        <w:rPr/>
        <w:t>般纳税人销售其自行开发生产的软件产品，按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 策。 </w:t>
      </w:r>
      <w:r>
        <w:rPr>
          <w:rFonts w:ascii="Times New Roman" w:hAnsi="Times New Roman" w:cs="Times New Roman" w:eastAsia="Times New Roman" w:hint="default"/>
        </w:rPr>
        <w:t>2</w:t>
      </w:r>
      <w:r>
        <w:rPr/>
        <w:t>、本公司被认定为</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日取得编号为</w:t>
      </w:r>
      <w:r>
        <w:rPr>
          <w:rFonts w:ascii="Times New Roman" w:hAnsi="Times New Roman" w:cs="Times New Roman" w:eastAsia="Times New Roman" w:hint="default"/>
        </w:rPr>
        <w:t>GR201844203847</w:t>
      </w:r>
      <w:r>
        <w:rPr/>
        <w:t>的高新技术企业认证，认定有效期为三</w:t>
      </w:r>
    </w:p>
    <w:p>
      <w:pPr>
        <w:spacing w:after="0" w:line="307"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2" w:lineRule="auto" w:before="44"/>
        <w:ind w:right="1113"/>
        <w:jc w:val="left"/>
      </w:pPr>
      <w:r>
        <w:rPr>
          <w:spacing w:val="-2"/>
        </w:rPr>
        <w:t>年。根据《中华人民共和国企业所得税法》第二十八条及其实施条例第九十三条规定，深圳市罗湖地方税务局同意本公司实</w:t>
      </w:r>
      <w:r>
        <w:rPr>
          <w:spacing w:val="-64"/>
        </w:rPr>
        <w:t> </w:t>
      </w:r>
      <w:r>
        <w:rPr>
          <w:spacing w:val="-64"/>
        </w:rPr>
      </w:r>
      <w:r>
        <w:rPr/>
        <w:t>际执行高新技术企业的优惠企业所得税率</w:t>
      </w:r>
      <w:r>
        <w:rPr>
          <w:rFonts w:ascii="Times New Roman" w:hAnsi="Times New Roman" w:cs="Times New Roman" w:eastAsia="Times New Roman" w:hint="default"/>
        </w:rPr>
        <w:t>15%</w:t>
      </w:r>
      <w:r>
        <w:rPr/>
        <w:t>。 </w:t>
      </w:r>
      <w:r>
        <w:rPr>
          <w:rFonts w:ascii="Times New Roman" w:hAnsi="Times New Roman" w:cs="Times New Roman" w:eastAsia="Times New Roman" w:hint="default"/>
        </w:rPr>
        <w:t>3</w:t>
      </w:r>
      <w:r>
        <w:rPr/>
        <w:t>、根据《国家税务总局关于软件和集成电路企业认定管理有关问题的公告》（国家税务总局公告</w:t>
      </w:r>
      <w:r>
        <w:rPr>
          <w:rFonts w:ascii="Times New Roman" w:hAnsi="Times New Roman" w:cs="Times New Roman" w:eastAsia="Times New Roman" w:hint="default"/>
        </w:rPr>
        <w:t>2012</w:t>
      </w:r>
      <w:r>
        <w:rPr/>
        <w:t>年第</w:t>
      </w:r>
      <w:r>
        <w:rPr>
          <w:rFonts w:ascii="Times New Roman" w:hAnsi="Times New Roman" w:cs="Times New Roman" w:eastAsia="Times New Roman" w:hint="default"/>
        </w:rPr>
        <w:t>19</w:t>
      </w:r>
      <w:r>
        <w:rPr/>
        <w:t>号）；《国家 税务总局关于执行软件企业所得税优惠政策有关问题的公告》（国家税务总局公告</w:t>
      </w:r>
      <w:r>
        <w:rPr>
          <w:rFonts w:ascii="Times New Roman" w:hAnsi="Times New Roman" w:cs="Times New Roman" w:eastAsia="Times New Roman" w:hint="default"/>
        </w:rPr>
        <w:t>2013</w:t>
      </w:r>
      <w:r>
        <w:rPr/>
        <w:t>年第</w:t>
      </w:r>
      <w:r>
        <w:rPr>
          <w:rFonts w:ascii="Times New Roman" w:hAnsi="Times New Roman" w:cs="Times New Roman" w:eastAsia="Times New Roman" w:hint="default"/>
        </w:rPr>
        <w:t>43</w:t>
      </w:r>
      <w:r>
        <w:rPr/>
        <w:t>号）；《工业和信息化部</w:t>
      </w:r>
      <w:r>
        <w:rPr>
          <w:spacing w:val="-20"/>
        </w:rPr>
        <w:t> </w:t>
      </w:r>
      <w:r>
        <w:rPr/>
        <w:t>国</w:t>
      </w:r>
      <w:r>
        <w:rPr/>
        <w:t> 家发展和改革委员会</w:t>
      </w:r>
      <w:r>
        <w:rPr>
          <w:spacing w:val="-51"/>
        </w:rPr>
        <w:t> </w:t>
      </w:r>
      <w:r>
        <w:rPr/>
        <w:t>财政部</w:t>
      </w:r>
      <w:r>
        <w:rPr>
          <w:spacing w:val="-51"/>
        </w:rPr>
        <w:t> </w:t>
      </w:r>
      <w:r>
        <w:rPr/>
        <w:t>国家税务总局关于印发</w:t>
      </w:r>
      <w:r>
        <w:rPr>
          <w:rFonts w:ascii="Times New Roman" w:hAnsi="Times New Roman" w:cs="Times New Roman" w:eastAsia="Times New Roman" w:hint="default"/>
        </w:rPr>
        <w:t>&lt;</w:t>
      </w:r>
      <w:r>
        <w:rPr/>
        <w:t>软件企业认定管理办法</w:t>
      </w:r>
      <w:r>
        <w:rPr>
          <w:rFonts w:ascii="Times New Roman" w:hAnsi="Times New Roman" w:cs="Times New Roman" w:eastAsia="Times New Roman" w:hint="default"/>
        </w:rPr>
        <w:t>&gt;</w:t>
      </w:r>
      <w:r>
        <w:rPr/>
        <w:t>的通知》（工信部联软〔</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64</w:t>
      </w:r>
      <w:r>
        <w:rPr/>
        <w:t>号）；《财 政部</w:t>
      </w:r>
      <w:r>
        <w:rPr>
          <w:spacing w:val="-20"/>
        </w:rPr>
        <w:t> </w:t>
      </w:r>
      <w:r>
        <w:rPr/>
        <w:t>国家税务总局关于进一步鼓励软件产业和集成电路产业发展企业所得税政策的通知》（财税〔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号）第三条， 深圳市国家税务局于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日向本公司之子公司深圳市今天国际软件技术有限公司（原名：深圳市同创智软件技术有 </w:t>
      </w:r>
      <w:r>
        <w:rPr>
          <w:spacing w:val="-1"/>
        </w:rPr>
        <w:t>限公司）出具了深国税罗减免备案</w:t>
      </w:r>
      <w:r>
        <w:rPr>
          <w:rFonts w:ascii="Times New Roman" w:hAnsi="Times New Roman" w:cs="Times New Roman" w:eastAsia="Times New Roman" w:hint="default"/>
          <w:spacing w:val="-1"/>
        </w:rPr>
        <w:t>[2016]0003</w:t>
      </w:r>
      <w:r>
        <w:rPr>
          <w:spacing w:val="-1"/>
        </w:rPr>
        <w:t>号的企业所得税优惠事项备案通知书，同意本公司之子公司深圳市今天国际软</w:t>
      </w:r>
      <w:r>
        <w:rPr>
          <w:spacing w:val="-56"/>
        </w:rPr>
        <w:t> </w:t>
      </w:r>
      <w:r>
        <w:rPr>
          <w:spacing w:val="-56"/>
        </w:rPr>
      </w:r>
      <w:r>
        <w:rPr>
          <w:spacing w:val="-2"/>
        </w:rPr>
        <w:t>件技术有限公司（原名：深圳市同创智软件技术有限公司）定期减免企业所得税，享受优惠期间自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8"/>
        </w:rPr>
        <w:t> </w:t>
      </w:r>
      <w:r>
        <w:rPr>
          <w:spacing w:val="-2"/>
        </w:rPr>
        <w:t>月</w:t>
      </w:r>
      <w:r>
        <w:rPr>
          <w:rFonts w:ascii="Times New Roman" w:hAnsi="Times New Roman" w:cs="Times New Roman" w:eastAsia="Times New Roman" w:hint="default"/>
          <w:spacing w:val="-2"/>
        </w:rPr>
        <w:t>31</w:t>
      </w:r>
      <w:r>
        <w:rPr>
          <w:spacing w:val="-2"/>
        </w:rPr>
        <w:t>日。本公司之子公司深圳市今天国际软件技术有限公司（原名：深圳市同创智软件技术有限公司）</w:t>
      </w:r>
      <w:r>
        <w:rPr>
          <w:rFonts w:ascii="Times New Roman" w:hAnsi="Times New Roman" w:cs="Times New Roman" w:eastAsia="Times New Roman" w:hint="default"/>
          <w:spacing w:val="-2"/>
        </w:rPr>
        <w:t>2018</w:t>
      </w:r>
      <w:r>
        <w:rPr>
          <w:spacing w:val="-2"/>
        </w:rPr>
        <w:t>年度所得税税率</w:t>
      </w:r>
      <w:r>
        <w:rPr>
          <w:spacing w:val="-58"/>
        </w:rPr>
        <w:t> </w:t>
      </w:r>
      <w:r>
        <w:rPr>
          <w:spacing w:val="-58"/>
        </w:rPr>
      </w:r>
      <w:r>
        <w:rPr/>
        <w:t>为</w:t>
      </w:r>
      <w:r>
        <w:rPr>
          <w:rFonts w:ascii="Times New Roman" w:hAnsi="Times New Roman" w:cs="Times New Roman" w:eastAsia="Times New Roman" w:hint="default"/>
        </w:rPr>
        <w:t>12.5%</w:t>
      </w:r>
      <w:r>
        <w:rPr/>
        <w:t>。</w:t>
      </w:r>
    </w:p>
    <w:p>
      <w:pPr>
        <w:pStyle w:val="BodyText"/>
        <w:spacing w:line="307" w:lineRule="auto" w:before="11"/>
        <w:ind w:right="1115"/>
        <w:jc w:val="left"/>
      </w:pPr>
      <w:r>
        <w:rPr>
          <w:rFonts w:ascii="Times New Roman" w:hAnsi="Times New Roman" w:cs="Times New Roman" w:eastAsia="Times New Roman" w:hint="default"/>
        </w:rPr>
        <w:t>4</w:t>
      </w:r>
      <w:r>
        <w:rPr/>
        <w:t>、本公司之子公司深圳市今天国际智能机器人有限公司被认定为</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日取得编号为</w:t>
      </w:r>
      <w:r>
        <w:rPr>
          <w:spacing w:val="-88"/>
        </w:rPr>
        <w:t> </w:t>
      </w:r>
      <w:r>
        <w:rPr>
          <w:rFonts w:ascii="Times New Roman" w:hAnsi="Times New Roman" w:cs="Times New Roman" w:eastAsia="Times New Roman" w:hint="default"/>
        </w:rPr>
        <w:t>GR201844205355</w:t>
      </w:r>
      <w:r>
        <w:rPr/>
        <w:t>的高新技术企业认证，认定有效期为三年。根据《中华人民共和国企业所得税法》第二十八条及其实施条 </w:t>
      </w:r>
      <w:r>
        <w:rPr>
          <w:spacing w:val="-2"/>
        </w:rPr>
        <w:t>例第九十三条规定，深圳市罗湖地方税务局同意本公司之子公司深圳市今天国际智能机器人有限公司实际执行高新技术企业</w:t>
      </w:r>
      <w:r>
        <w:rPr>
          <w:spacing w:val="-64"/>
        </w:rPr>
        <w:t> </w:t>
      </w:r>
      <w:r>
        <w:rPr>
          <w:spacing w:val="-64"/>
        </w:rPr>
      </w:r>
      <w:r>
        <w:rPr/>
        <w:t>的优惠企业所得税率</w:t>
      </w:r>
      <w:r>
        <w:rPr>
          <w:rFonts w:ascii="Times New Roman" w:hAnsi="Times New Roman" w:cs="Times New Roman" w:eastAsia="Times New Roman" w:hint="default"/>
        </w:rPr>
        <w:t>15%</w:t>
      </w:r>
      <w:r>
        <w:rPr/>
        <w:t>。</w:t>
      </w:r>
    </w:p>
    <w:p>
      <w:pPr>
        <w:spacing w:line="240" w:lineRule="auto" w:before="0"/>
        <w:rPr>
          <w:rFonts w:ascii="宋体" w:hAnsi="宋体" w:cs="宋体" w:eastAsia="宋体" w:hint="default"/>
          <w:sz w:val="18"/>
          <w:szCs w:val="18"/>
        </w:rPr>
      </w:pPr>
    </w:p>
    <w:p>
      <w:pPr>
        <w:pStyle w:val="BodyText"/>
        <w:spacing w:line="240" w:lineRule="auto" w:before="124"/>
        <w:ind w:right="1115"/>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spacing w:line="487" w:lineRule="auto" w:before="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2"/>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201,048.76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153,525.33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256,886,811.36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289,259,913.32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27,225,610.13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14,426,634.62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284,313,470.25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303,840,073.27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6,765,042.06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6,545,314.11</w:t>
            </w:r>
          </w:p>
        </w:tc>
      </w:tr>
    </w:tbl>
    <w:p>
      <w:pPr>
        <w:pStyle w:val="BodyText"/>
        <w:spacing w:line="240" w:lineRule="auto" w:before="49"/>
        <w:ind w:right="1115"/>
        <w:jc w:val="left"/>
      </w:pPr>
      <w:r>
        <w:rPr/>
        <w:t>其他说明</w:t>
      </w:r>
    </w:p>
    <w:p>
      <w:pPr>
        <w:pStyle w:val="BodyText"/>
        <w:spacing w:line="240" w:lineRule="auto" w:before="115"/>
        <w:ind w:left="866" w:right="1115"/>
        <w:jc w:val="left"/>
      </w:pPr>
      <w:r>
        <w:rPr/>
        <w:t>其中因抵押、质押或冻结等对使用有限制，以及放在境外且资金汇回受到限制的货币资金明细如下：</w:t>
      </w:r>
    </w:p>
    <w:p>
      <w:pPr>
        <w:spacing w:line="240" w:lineRule="auto" w:before="3"/>
        <w:rPr>
          <w:rFonts w:ascii="宋体" w:hAnsi="宋体" w:cs="宋体" w:eastAsia="宋体" w:hint="default"/>
          <w:sz w:val="5"/>
          <w:szCs w:val="5"/>
        </w:rPr>
      </w:pPr>
    </w:p>
    <w:tbl>
      <w:tblPr>
        <w:tblW w:w="0" w:type="auto"/>
        <w:jc w:val="left"/>
        <w:tblInd w:w="753" w:type="dxa"/>
        <w:tblLayout w:type="fixed"/>
        <w:tblCellMar>
          <w:top w:w="0" w:type="dxa"/>
          <w:left w:w="0" w:type="dxa"/>
          <w:bottom w:w="0" w:type="dxa"/>
          <w:right w:w="0" w:type="dxa"/>
        </w:tblCellMar>
        <w:tblLook w:val="01E0"/>
      </w:tblPr>
      <w:tblGrid>
        <w:gridCol w:w="3337"/>
        <w:gridCol w:w="2237"/>
        <w:gridCol w:w="2240"/>
      </w:tblGrid>
      <w:tr>
        <w:trPr>
          <w:trHeight w:val="355" w:hRule="exact"/>
        </w:trPr>
        <w:tc>
          <w:tcPr>
            <w:tcW w:w="33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17,605,453.94</w:t>
            </w:r>
          </w:p>
        </w:tc>
        <w:tc>
          <w:tcPr>
            <w:tcW w:w="2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7,309,043.01</w:t>
            </w:r>
          </w:p>
        </w:tc>
      </w:tr>
      <w:tr>
        <w:trPr>
          <w:trHeight w:val="351"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3,575,209.56</w:t>
            </w:r>
          </w:p>
        </w:tc>
        <w:tc>
          <w:tcPr>
            <w:tcW w:w="2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18"/>
                <w:szCs w:val="18"/>
              </w:rPr>
            </w:pPr>
            <w:r>
              <w:rPr>
                <w:rFonts w:ascii="Times New Roman"/>
                <w:spacing w:val="-1"/>
                <w:sz w:val="18"/>
              </w:rPr>
              <w:t>5,883,580.00</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5,514,357.52</w:t>
            </w:r>
          </w:p>
        </w:tc>
        <w:tc>
          <w:tcPr>
            <w:tcW w:w="2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1,165,674.00</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存放在境外且资金汇回受到限制的款项</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6,765,042.06</w:t>
            </w:r>
          </w:p>
        </w:tc>
        <w:tc>
          <w:tcPr>
            <w:tcW w:w="2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6,545,314.11</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33,460,063.08</w:t>
            </w:r>
          </w:p>
        </w:tc>
        <w:tc>
          <w:tcPr>
            <w:tcW w:w="2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20,903,611.12</w:t>
            </w:r>
          </w:p>
        </w:tc>
      </w:tr>
    </w:tbl>
    <w:p>
      <w:pPr>
        <w:spacing w:line="240" w:lineRule="auto" w:before="1"/>
        <w:rPr>
          <w:rFonts w:ascii="宋体" w:hAnsi="宋体" w:cs="宋体" w:eastAsia="宋体" w:hint="default"/>
          <w:sz w:val="21"/>
          <w:szCs w:val="21"/>
        </w:rPr>
      </w:pPr>
    </w:p>
    <w:p>
      <w:pPr>
        <w:pStyle w:val="BodyText"/>
        <w:spacing w:line="240" w:lineRule="auto" w:before="44"/>
        <w:ind w:left="866" w:right="1115"/>
        <w:jc w:val="left"/>
      </w:pPr>
      <w:r>
        <w:rPr/>
        <w:t>（</w:t>
      </w: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日，本公司存放于境外且资金汇回受到限制的货币资金为港币</w:t>
      </w:r>
      <w:r>
        <w:rPr>
          <w:rFonts w:ascii="Times New Roman" w:hAnsi="Times New Roman" w:cs="Times New Roman" w:eastAsia="Times New Roman" w:hint="default"/>
        </w:rPr>
        <w:t>7,720,887.99</w:t>
      </w:r>
      <w:r>
        <w:rPr/>
        <w:t>，折人民币</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866" w:right="1115"/>
        <w:jc w:val="left"/>
      </w:pPr>
      <w:r>
        <w:rPr>
          <w:rFonts w:ascii="Times New Roman" w:hAnsi="Times New Roman" w:cs="Times New Roman" w:eastAsia="Times New Roman" w:hint="default"/>
        </w:rPr>
        <w:t>6,765,042.06</w:t>
      </w:r>
      <w:r>
        <w:rPr/>
        <w:t>元，均为本公司之香港子公司今天国际物流科技有限公司的银行存款。</w:t>
      </w:r>
    </w:p>
    <w:p>
      <w:pPr>
        <w:pStyle w:val="BodyText"/>
        <w:spacing w:line="280" w:lineRule="auto" w:before="63"/>
        <w:ind w:left="866" w:right="1175"/>
        <w:jc w:val="left"/>
        <w:rPr>
          <w:sz w:val="21"/>
          <w:szCs w:val="21"/>
        </w:rPr>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日，其他货币资金人民币</w:t>
      </w:r>
      <w:r>
        <w:rPr>
          <w:rFonts w:ascii="Times New Roman" w:hAnsi="Times New Roman" w:cs="Times New Roman" w:eastAsia="Times New Roman" w:hint="default"/>
        </w:rPr>
        <w:t>26,695,021.02</w:t>
      </w:r>
      <w:r>
        <w:rPr/>
        <w:t>元为本公司向银行存入的保函保证金、信用证保证 金以及银行承兑汇票保证金存款</w:t>
      </w:r>
      <w:r>
        <w:rPr>
          <w:sz w:val="21"/>
          <w:szCs w:val="21"/>
        </w:rPr>
        <w:t>。</w:t>
      </w:r>
    </w:p>
    <w:p>
      <w:pPr>
        <w:spacing w:line="240" w:lineRule="auto" w:before="1"/>
        <w:rPr>
          <w:rFonts w:ascii="宋体" w:hAnsi="宋体" w:cs="宋体" w:eastAsia="宋体" w:hint="default"/>
          <w:sz w:val="23"/>
          <w:szCs w:val="23"/>
        </w:rPr>
      </w:pPr>
    </w:p>
    <w:p>
      <w:pPr>
        <w:pStyle w:val="Heading5"/>
        <w:spacing w:line="240" w:lineRule="auto"/>
        <w:ind w:right="1115"/>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51,664,524.70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66,861,481.16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457,363,835.47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454,857,239.34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509,028,360.17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521,718,720.50</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1)</w:t>
      </w:r>
      <w:r>
        <w:rPr/>
        <w:t>应收票据分类列示</w:t>
      </w:r>
    </w:p>
    <w:p>
      <w:pPr>
        <w:pStyle w:val="BodyText"/>
        <w:spacing w:line="240" w:lineRule="auto" w:before="103"/>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21,910,144.70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26,257,192.39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2"/>
                <w:szCs w:val="12"/>
              </w:rPr>
            </w:pPr>
            <w:r>
              <w:rPr>
                <w:rFonts w:ascii="Times New Roman"/>
                <w:spacing w:val="-1"/>
                <w:sz w:val="18"/>
              </w:rPr>
              <w:t>29,754,380.00</w:t>
            </w:r>
            <w:r>
              <w:rPr>
                <w:rFonts w:ascii="Times New Roman"/>
                <w:color w:val="FF0000"/>
                <w:spacing w:val="-1"/>
                <w:position w:val="8"/>
                <w:sz w:val="12"/>
              </w:rPr>
              <w:t>01</w:t>
            </w:r>
            <w:r>
              <w:rPr>
                <w:rFonts w:ascii="Times New Roman"/>
                <w:spacing w:val="-1"/>
                <w:sz w:val="12"/>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40,604,288.77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51,664,524.70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66,861,481.16</w:t>
            </w:r>
          </w:p>
        </w:tc>
      </w:tr>
    </w:tbl>
    <w:p>
      <w:pPr>
        <w:pStyle w:val="BodyText"/>
        <w:spacing w:line="240" w:lineRule="auto" w:before="49"/>
        <w:ind w:right="998"/>
        <w:jc w:val="left"/>
      </w:pPr>
      <w:r>
        <w:rPr>
          <w:spacing w:val="-3"/>
        </w:rPr>
        <w:t>注：</w:t>
      </w:r>
      <w:r>
        <w:rPr>
          <w:rFonts w:ascii="Times New Roman" w:hAnsi="Times New Roman" w:cs="Times New Roman" w:eastAsia="Times New Roman" w:hint="default"/>
          <w:spacing w:val="-3"/>
        </w:rPr>
        <w:t>01</w:t>
      </w:r>
      <w:r>
        <w:rPr>
          <w:rFonts w:ascii="Times New Roman" w:hAnsi="Times New Roman" w:cs="Times New Roman" w:eastAsia="Times New Roman" w:hint="default"/>
          <w:spacing w:val="37"/>
        </w:rPr>
        <w:t> </w:t>
      </w:r>
      <w:r>
        <w:rPr/>
        <w:t>商业承兑票据，一年以内的按照余额</w:t>
      </w:r>
      <w:r>
        <w:rPr>
          <w:spacing w:val="-48"/>
        </w:rPr>
        <w:t> </w:t>
      </w:r>
      <w:r>
        <w:rPr>
          <w:rFonts w:ascii="Times New Roman" w:hAnsi="Times New Roman" w:cs="Times New Roman" w:eastAsia="Times New Roman" w:hint="default"/>
        </w:rPr>
        <w:t>5%</w:t>
      </w:r>
      <w:r>
        <w:rPr/>
        <w:t>计提坏账。截止</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日，商业承兑票据原值</w:t>
      </w:r>
      <w:r>
        <w:rPr>
          <w:spacing w:val="-7"/>
        </w:rPr>
        <w:t> </w:t>
      </w:r>
      <w:r>
        <w:rPr>
          <w:rFonts w:ascii="Times New Roman" w:hAnsi="Times New Roman" w:cs="Times New Roman" w:eastAsia="Times New Roman" w:hint="default"/>
        </w:rPr>
        <w:t>31,320,400</w:t>
      </w:r>
      <w:r>
        <w:rPr>
          <w:rFonts w:ascii="Times New Roman" w:hAnsi="Times New Roman" w:cs="Times New Roman" w:eastAsia="Times New Roman" w:hint="default"/>
          <w:spacing w:val="-2"/>
        </w:rPr>
        <w:t> </w:t>
      </w:r>
      <w:r>
        <w:rPr>
          <w:spacing w:val="-5"/>
        </w:rPr>
        <w:t>元，坏</w:t>
      </w:r>
    </w:p>
    <w:p>
      <w:pPr>
        <w:pStyle w:val="BodyText"/>
        <w:spacing w:line="240" w:lineRule="auto" w:before="63"/>
        <w:ind w:right="1115"/>
        <w:jc w:val="left"/>
      </w:pPr>
      <w:r>
        <w:rPr/>
        <w:t>账准备余额</w:t>
      </w:r>
      <w:r>
        <w:rPr>
          <w:spacing w:val="-47"/>
        </w:rPr>
        <w:t> </w:t>
      </w:r>
      <w:r>
        <w:rPr>
          <w:rFonts w:ascii="Times New Roman" w:hAnsi="Times New Roman" w:cs="Times New Roman" w:eastAsia="Times New Roman" w:hint="default"/>
        </w:rPr>
        <w:t>1,566,020</w:t>
      </w:r>
      <w:r>
        <w:rPr>
          <w:rFonts w:ascii="Times New Roman" w:hAnsi="Times New Roman" w:cs="Times New Roman" w:eastAsia="Times New Roman" w:hint="default"/>
          <w:spacing w:val="-1"/>
        </w:rPr>
        <w:t> </w:t>
      </w:r>
      <w:r>
        <w:rPr/>
        <w:t>元，账面余额</w:t>
      </w:r>
      <w:r>
        <w:rPr>
          <w:spacing w:val="-48"/>
        </w:rPr>
        <w:t> </w:t>
      </w:r>
      <w:r>
        <w:rPr>
          <w:rFonts w:ascii="Times New Roman" w:hAnsi="Times New Roman" w:cs="Times New Roman" w:eastAsia="Times New Roman" w:hint="default"/>
        </w:rPr>
        <w:t>29,754,380 </w:t>
      </w:r>
      <w:r>
        <w:rPr/>
        <w:t>元。</w:t>
      </w:r>
    </w:p>
    <w:p>
      <w:pPr>
        <w:pStyle w:val="BodyText"/>
        <w:spacing w:line="240" w:lineRule="auto" w:before="101"/>
        <w:ind w:right="1115"/>
        <w:jc w:val="left"/>
      </w:pPr>
      <w:r>
        <w:rPr>
          <w:rFonts w:ascii="Times New Roman" w:hAnsi="Times New Roman" w:cs="Times New Roman" w:eastAsia="Times New Roman" w:hint="default"/>
        </w:rPr>
        <w:t>2)</w:t>
      </w:r>
      <w:r>
        <w:rPr/>
        <w:t>期末公司已质押的应收票据</w:t>
      </w:r>
    </w:p>
    <w:p>
      <w:pPr>
        <w:pStyle w:val="BodyText"/>
        <w:spacing w:line="240" w:lineRule="auto" w:before="10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15"/>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18,370,006.64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980" w:header="745" w:top="1060" w:bottom="1160" w:left="980" w:right="0"/>
          <w:pgNumType w:start="12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18,370,006.64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5"/>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1)</w:t>
      </w:r>
      <w:r>
        <w:rPr/>
        <w:t>应收账款分类披露</w:t>
      </w:r>
    </w:p>
    <w:p>
      <w:pPr>
        <w:pStyle w:val="BodyText"/>
        <w:spacing w:line="240" w:lineRule="auto" w:before="101"/>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7"/>
        <w:gridCol w:w="656"/>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484,883,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222.58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99.93%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27,519,3</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87.11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457,363,8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35.47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486,548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,745.70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31,691,50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454,857,23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9.34</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485,233,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222.58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27,869,3</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87.11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457,363,8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35.47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486,548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,745.70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31,691,50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454,857,23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9.34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467,267,782.91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23,363,389.14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10,811,932.67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1,081,193.27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3,104,744.00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931,423.20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3,698,763.00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2,143,381.50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57.95%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3,110,763.00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1,555,381.50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484,883,222.58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9" w:right="0"/>
              <w:jc w:val="left"/>
              <w:rPr>
                <w:rFonts w:ascii="Times New Roman" w:hAnsi="Times New Roman" w:cs="Times New Roman" w:eastAsia="Times New Roman" w:hint="default"/>
                <w:sz w:val="18"/>
                <w:szCs w:val="18"/>
              </w:rPr>
            </w:pPr>
            <w:r>
              <w:rPr>
                <w:rFonts w:ascii="Times New Roman"/>
                <w:sz w:val="18"/>
              </w:rPr>
              <w:t>27,519,387.11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w:t>
            </w:r>
          </w:p>
        </w:tc>
      </w:tr>
    </w:tbl>
    <w:p>
      <w:pPr>
        <w:pStyle w:val="BodyText"/>
        <w:spacing w:line="357" w:lineRule="auto" w:before="49"/>
        <w:ind w:right="6434"/>
        <w:jc w:val="left"/>
      </w:pPr>
      <w:r>
        <w:rPr/>
        <w:t>确定该组合依据的说明： 组合中，采用余额百分比法计提坏账准备的应收账款：</w:t>
      </w:r>
    </w:p>
    <w:p>
      <w:pPr>
        <w:pStyle w:val="BodyText"/>
        <w:spacing w:line="338" w:lineRule="auto" w:before="29"/>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43"/>
        <w:ind w:right="1115"/>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38" w:lineRule="auto" w:before="103"/>
        <w:ind w:right="7024"/>
        <w:jc w:val="left"/>
      </w:pPr>
      <w:r>
        <w:rPr>
          <w:rFonts w:ascii="Times New Roman" w:hAnsi="Times New Roman" w:cs="Times New Roman" w:eastAsia="Times New Roman" w:hint="default"/>
        </w:rPr>
        <w:t>2)</w:t>
      </w:r>
      <w:r>
        <w:rPr/>
        <w:t>本期计提、收回或转回的坏账准备情况</w:t>
      </w:r>
      <w:r>
        <w:rPr>
          <w:w w:val="99"/>
        </w:rPr>
        <w:t> </w:t>
      </w:r>
      <w:r>
        <w:rPr/>
        <w:t>本期收回或转回坏账准备金额</w:t>
      </w:r>
      <w:r>
        <w:rPr>
          <w:spacing w:val="-48"/>
        </w:rPr>
        <w:t> </w:t>
      </w:r>
      <w:r>
        <w:rPr>
          <w:rFonts w:ascii="Times New Roman" w:hAnsi="Times New Roman" w:cs="Times New Roman" w:eastAsia="Times New Roman" w:hint="default"/>
        </w:rPr>
        <w:t>3,822,119.25</w:t>
      </w:r>
      <w:r>
        <w:rPr>
          <w:rFonts w:ascii="Times New Roman" w:hAnsi="Times New Roman" w:cs="Times New Roman" w:eastAsia="Times New Roman" w:hint="default"/>
          <w:spacing w:val="-2"/>
        </w:rPr>
        <w:t> </w:t>
      </w:r>
      <w:r>
        <w:rPr/>
        <w:t>元。</w:t>
      </w:r>
      <w:r>
        <w:rPr>
          <w:w w:val="99"/>
        </w:rPr>
        <w:t> </w:t>
      </w:r>
      <w:r>
        <w:rPr/>
        <w:t>其中本期坏账准备收回或转回金额重要的：</w:t>
      </w:r>
    </w:p>
    <w:p>
      <w:pPr>
        <w:pStyle w:val="BodyText"/>
        <w:spacing w:line="240" w:lineRule="auto" w:before="43"/>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15"/>
        <w:jc w:val="left"/>
      </w:pPr>
      <w:r>
        <w:rPr>
          <w:rFonts w:ascii="Times New Roman" w:hAnsi="Times New Roman" w:cs="Times New Roman" w:eastAsia="Times New Roman" w:hint="default"/>
        </w:rPr>
        <w:t>3)</w:t>
      </w:r>
      <w:r>
        <w:rPr/>
        <w:t>本期实际核销的应收账款情况</w:t>
      </w:r>
    </w:p>
    <w:p>
      <w:pPr>
        <w:pStyle w:val="BodyText"/>
        <w:spacing w:line="340" w:lineRule="auto" w:before="103"/>
        <w:ind w:right="8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其中重要的应收账款核销情况：</w:t>
      </w:r>
    </w:p>
    <w:p>
      <w:pPr>
        <w:pStyle w:val="BodyText"/>
        <w:spacing w:line="340" w:lineRule="auto" w:before="3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应收账款核销说明：</w:t>
      </w:r>
    </w:p>
    <w:p>
      <w:pPr>
        <w:pStyle w:val="BodyText"/>
        <w:spacing w:line="338" w:lineRule="auto" w:before="41"/>
        <w:ind w:right="68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357" w:lineRule="auto" w:before="43"/>
        <w:ind w:right="8954"/>
        <w:jc w:val="left"/>
      </w:pPr>
      <w:r>
        <w:rPr/>
        <w:t>是 软件与信息技术服务业</w:t>
      </w:r>
    </w:p>
    <w:p>
      <w:pPr>
        <w:pStyle w:val="BodyText"/>
        <w:spacing w:line="300" w:lineRule="auto" w:before="29"/>
        <w:ind w:right="1202" w:firstLine="312"/>
        <w:jc w:val="left"/>
      </w:pPr>
      <w:r>
        <w:rPr/>
        <w:t>按欠款方归集的期末余额前五名应收账款汇总金额</w:t>
      </w:r>
      <w:r>
        <w:rPr>
          <w:rFonts w:ascii="Times New Roman" w:hAnsi="Times New Roman" w:cs="Times New Roman" w:eastAsia="Times New Roman" w:hint="default"/>
        </w:rPr>
        <w:t>273,415,676.48</w:t>
      </w:r>
      <w:r>
        <w:rPr/>
        <w:t>元，占应收账款年末余额合计数的比例</w:t>
      </w:r>
      <w:r>
        <w:rPr>
          <w:rFonts w:ascii="Times New Roman" w:hAnsi="Times New Roman" w:cs="Times New Roman" w:eastAsia="Times New Roman" w:hint="default"/>
        </w:rPr>
        <w:t>56.35%</w:t>
      </w:r>
      <w:r>
        <w:rPr/>
        <w:t>，相应 计提的坏账准备期末余额汇总金额</w:t>
      </w:r>
      <w:r>
        <w:rPr>
          <w:rFonts w:ascii="Times New Roman" w:hAnsi="Times New Roman" w:cs="Times New Roman" w:eastAsia="Times New Roman" w:hint="default"/>
        </w:rPr>
        <w:t>13,670,783.83</w:t>
      </w:r>
      <w:r>
        <w:rPr/>
        <w:t>元。</w:t>
      </w:r>
    </w:p>
    <w:p>
      <w:pPr>
        <w:pStyle w:val="BodyText"/>
        <w:spacing w:line="240" w:lineRule="auto" w:before="54"/>
        <w:ind w:right="1115"/>
        <w:jc w:val="left"/>
      </w:pPr>
      <w:r>
        <w:rPr>
          <w:rFonts w:ascii="Times New Roman" w:hAnsi="Times New Roman" w:cs="Times New Roman" w:eastAsia="Times New Roman" w:hint="default"/>
        </w:rPr>
        <w:t>5)</w:t>
      </w:r>
      <w:r>
        <w:rPr/>
        <w:t>因金融资产转移而终止确认的应收账款</w:t>
      </w:r>
    </w:p>
    <w:p>
      <w:pPr>
        <w:pStyle w:val="BodyText"/>
        <w:spacing w:line="240" w:lineRule="auto" w:before="101"/>
        <w:ind w:right="1115"/>
        <w:jc w:val="left"/>
      </w:pPr>
      <w:r>
        <w:rPr>
          <w:rFonts w:ascii="Times New Roman" w:hAnsi="Times New Roman" w:cs="Times New Roman" w:eastAsia="Times New Roman" w:hint="default"/>
        </w:rPr>
        <w:t>6)</w:t>
      </w:r>
      <w:r>
        <w:rPr/>
        <w:t>转移应收账款且继续涉入形成的资产、负债金额</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40,745,486.70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18,936,903.45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1,326,345.66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122,401.80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116,515.80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297,564.78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2,555,815.55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2,363,220.00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44,744,163.71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21,720,090.03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pict>
          <v:group style="position:absolute;margin-left:85.704002pt;margin-top:36.241718pt;width:419.85pt;height:1.45pt;mso-position-horizontal-relative:page;mso-position-vertical-relative:paragraph;z-index:-893920" coordorigin="1714,725" coordsize="8397,29">
            <v:group style="position:absolute;left:1728;top:739;width:2148;height:2" coordorigin="1728,739" coordsize="2148,2">
              <v:shape style="position:absolute;left:1728;top:739;width:2148;height:2" coordorigin="1728,739" coordsize="2148,0" path="m1728,739l3876,739e" filled="false" stroked="true" strokeweight="1.44pt" strokecolor="#000000">
                <v:path arrowok="t"/>
              </v:shape>
            </v:group>
            <v:group style="position:absolute;left:3862;top:739;width:29;height:2" coordorigin="3862,739" coordsize="29,2">
              <v:shape style="position:absolute;left:3862;top:739;width:29;height:2" coordorigin="3862,739" coordsize="29,0" path="m3862,739l3891,739e" filled="false" stroked="true" strokeweight="1.44pt" strokecolor="#000000">
                <v:path arrowok="t"/>
              </v:shape>
            </v:group>
            <v:group style="position:absolute;left:3891;top:739;width:1643;height:2" coordorigin="3891,739" coordsize="1643,2">
              <v:shape style="position:absolute;left:3891;top:739;width:1643;height:2" coordorigin="3891,739" coordsize="1643,0" path="m3891,739l5533,739e" filled="false" stroked="true" strokeweight="1.44pt" strokecolor="#000000">
                <v:path arrowok="t"/>
              </v:shape>
            </v:group>
            <v:group style="position:absolute;left:5519;top:739;width:29;height:2" coordorigin="5519,739" coordsize="29,2">
              <v:shape style="position:absolute;left:5519;top:739;width:29;height:2" coordorigin="5519,739" coordsize="29,0" path="m5519,739l5547,739e" filled="false" stroked="true" strokeweight="1.44pt" strokecolor="#000000">
                <v:path arrowok="t"/>
              </v:shape>
            </v:group>
            <v:group style="position:absolute;left:5547;top:739;width:1895;height:2" coordorigin="5547,739" coordsize="1895,2">
              <v:shape style="position:absolute;left:5547;top:739;width:1895;height:2" coordorigin="5547,739" coordsize="1895,0" path="m5547,739l7441,739e" filled="false" stroked="true" strokeweight="1.44pt" strokecolor="#000000">
                <v:path arrowok="t"/>
              </v:shape>
            </v:group>
            <v:group style="position:absolute;left:7427;top:739;width:29;height:2" coordorigin="7427,739" coordsize="29,2">
              <v:shape style="position:absolute;left:7427;top:739;width:29;height:2" coordorigin="7427,739" coordsize="29,0" path="m7427,739l7456,739e" filled="false" stroked="true" strokeweight="1.44pt" strokecolor="#000000">
                <v:path arrowok="t"/>
              </v:shape>
            </v:group>
            <v:group style="position:absolute;left:7456;top:739;width:2641;height:2" coordorigin="7456,739" coordsize="2641,2">
              <v:shape style="position:absolute;left:7456;top:739;width:2641;height:2" coordorigin="7456,739" coordsize="2641,0" path="m7456,739l10096,739e" filled="false" stroked="true" strokeweight="1.44pt" strokecolor="#000000">
                <v:path arrowok="t"/>
              </v:shape>
            </v:group>
            <w10:wrap type="none"/>
          </v:group>
        </w:pic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12"/>
          <w:szCs w:val="12"/>
        </w:rPr>
      </w:pPr>
    </w:p>
    <w:tbl>
      <w:tblPr>
        <w:tblW w:w="0" w:type="auto"/>
        <w:jc w:val="left"/>
        <w:tblInd w:w="1270" w:type="dxa"/>
        <w:tblLayout w:type="fixed"/>
        <w:tblCellMar>
          <w:top w:w="0" w:type="dxa"/>
          <w:left w:w="0" w:type="dxa"/>
          <w:bottom w:w="0" w:type="dxa"/>
          <w:right w:w="0" w:type="dxa"/>
        </w:tblCellMar>
        <w:tblLook w:val="01E0"/>
      </w:tblPr>
      <w:tblGrid>
        <w:gridCol w:w="1508"/>
        <w:gridCol w:w="1839"/>
        <w:gridCol w:w="1851"/>
        <w:gridCol w:w="2240"/>
      </w:tblGrid>
      <w:tr>
        <w:trPr>
          <w:trHeight w:val="275"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预付对象</w:t>
            </w:r>
          </w:p>
        </w:tc>
        <w:tc>
          <w:tcPr>
            <w:tcW w:w="1839" w:type="dxa"/>
            <w:tcBorders>
              <w:top w:val="nil" w:sz="6" w:space="0" w:color="auto"/>
              <w:left w:val="nil" w:sz="6" w:space="0" w:color="auto"/>
              <w:bottom w:val="nil" w:sz="6" w:space="0" w:color="auto"/>
              <w:right w:val="nil" w:sz="6" w:space="0" w:color="auto"/>
            </w:tcBorders>
          </w:tcPr>
          <w:p>
            <w:pPr>
              <w:pStyle w:val="TableParagraph"/>
              <w:spacing w:line="180" w:lineRule="exact"/>
              <w:ind w:left="58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51" w:type="dxa"/>
            <w:tcBorders>
              <w:top w:val="nil" w:sz="6" w:space="0" w:color="auto"/>
              <w:left w:val="nil" w:sz="6" w:space="0" w:color="auto"/>
              <w:bottom w:val="nil" w:sz="6" w:space="0" w:color="auto"/>
              <w:right w:val="nil" w:sz="6" w:space="0" w:color="auto"/>
            </w:tcBorders>
          </w:tcPr>
          <w:p>
            <w:pPr>
              <w:pStyle w:val="TableParagraph"/>
              <w:spacing w:line="180" w:lineRule="exact"/>
              <w:ind w:left="53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240" w:type="dxa"/>
            <w:tcBorders>
              <w:top w:val="nil" w:sz="6" w:space="0" w:color="auto"/>
              <w:left w:val="nil" w:sz="6" w:space="0" w:color="auto"/>
              <w:bottom w:val="nil" w:sz="6" w:space="0" w:color="auto"/>
              <w:right w:val="nil" w:sz="6" w:space="0" w:color="auto"/>
            </w:tcBorders>
          </w:tcPr>
          <w:p>
            <w:pPr>
              <w:pStyle w:val="TableParagraph"/>
              <w:spacing w:line="180" w:lineRule="exact"/>
              <w:ind w:left="600" w:right="0"/>
              <w:jc w:val="left"/>
              <w:rPr>
                <w:rFonts w:ascii="宋体" w:hAnsi="宋体" w:cs="宋体" w:eastAsia="宋体" w:hint="default"/>
                <w:sz w:val="18"/>
                <w:szCs w:val="18"/>
              </w:rPr>
            </w:pPr>
            <w:r>
              <w:rPr>
                <w:rFonts w:ascii="宋体" w:hAnsi="宋体" w:cs="宋体" w:eastAsia="宋体" w:hint="default"/>
                <w:sz w:val="18"/>
                <w:szCs w:val="18"/>
              </w:rPr>
              <w:t>未及时结算的原因</w:t>
            </w:r>
          </w:p>
        </w:tc>
      </w:tr>
    </w:tbl>
    <w:p>
      <w:pPr>
        <w:spacing w:after="0" w:line="180" w:lineRule="exact"/>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5"/>
        <w:rPr>
          <w:rFonts w:ascii="宋体" w:hAnsi="宋体" w:cs="宋体" w:eastAsia="宋体" w:hint="default"/>
          <w:sz w:val="3"/>
          <w:szCs w:val="3"/>
        </w:rPr>
      </w:pPr>
    </w:p>
    <w:tbl>
      <w:tblPr>
        <w:tblW w:w="0" w:type="auto"/>
        <w:jc w:val="left"/>
        <w:tblInd w:w="748" w:type="dxa"/>
        <w:tblLayout w:type="fixed"/>
        <w:tblCellMar>
          <w:top w:w="0" w:type="dxa"/>
          <w:left w:w="0" w:type="dxa"/>
          <w:bottom w:w="0" w:type="dxa"/>
          <w:right w:w="0" w:type="dxa"/>
        </w:tblCellMar>
        <w:tblLook w:val="01E0"/>
      </w:tblPr>
      <w:tblGrid>
        <w:gridCol w:w="2429"/>
        <w:gridCol w:w="1850"/>
        <w:gridCol w:w="1437"/>
        <w:gridCol w:w="2653"/>
      </w:tblGrid>
      <w:tr>
        <w:trPr>
          <w:trHeight w:val="989" w:hRule="exact"/>
        </w:trPr>
        <w:tc>
          <w:tcPr>
            <w:tcW w:w="2429"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319" w:lineRule="auto"/>
              <w:ind w:left="26" w:right="420"/>
              <w:jc w:val="left"/>
              <w:rPr>
                <w:rFonts w:ascii="宋体" w:hAnsi="宋体" w:cs="宋体" w:eastAsia="宋体" w:hint="default"/>
                <w:sz w:val="18"/>
                <w:szCs w:val="18"/>
              </w:rPr>
            </w:pPr>
            <w:r>
              <w:rPr>
                <w:rFonts w:ascii="宋体" w:hAnsi="宋体" w:cs="宋体" w:eastAsia="宋体" w:hint="default"/>
                <w:sz w:val="18"/>
                <w:szCs w:val="18"/>
              </w:rPr>
              <w:t>深圳市伟创自动化设备有 限公司</w:t>
            </w:r>
          </w:p>
        </w:tc>
        <w:tc>
          <w:tcPr>
            <w:tcW w:w="1850"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422" w:right="0"/>
              <w:jc w:val="left"/>
              <w:rPr>
                <w:rFonts w:ascii="Times New Roman" w:hAnsi="Times New Roman" w:cs="Times New Roman" w:eastAsia="Times New Roman" w:hint="default"/>
                <w:sz w:val="18"/>
                <w:szCs w:val="18"/>
              </w:rPr>
            </w:pPr>
            <w:r>
              <w:rPr>
                <w:rFonts w:ascii="Times New Roman"/>
                <w:sz w:val="18"/>
              </w:rPr>
              <w:t>2,287,940.10</w:t>
            </w:r>
          </w:p>
        </w:tc>
        <w:tc>
          <w:tcPr>
            <w:tcW w:w="1437"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481" w:right="0"/>
              <w:jc w:val="left"/>
              <w:rPr>
                <w:rFonts w:ascii="Times New Roman" w:hAnsi="Times New Roman" w:cs="Times New Roman" w:eastAsia="Times New Roman" w:hint="default"/>
                <w:sz w:val="18"/>
                <w:szCs w:val="18"/>
              </w:rPr>
            </w:pPr>
            <w:r>
              <w:rPr>
                <w:rFonts w:ascii="Times New Roman"/>
                <w:sz w:val="18"/>
              </w:rPr>
              <w:t>2,287,940.10</w:t>
            </w:r>
          </w:p>
        </w:tc>
        <w:tc>
          <w:tcPr>
            <w:tcW w:w="2653"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319" w:lineRule="auto"/>
              <w:ind w:left="9" w:right="5"/>
              <w:jc w:val="left"/>
              <w:rPr>
                <w:rFonts w:ascii="宋体" w:hAnsi="宋体" w:cs="宋体" w:eastAsia="宋体" w:hint="default"/>
                <w:sz w:val="18"/>
                <w:szCs w:val="18"/>
              </w:rPr>
            </w:pPr>
            <w:r>
              <w:rPr>
                <w:rFonts w:ascii="宋体" w:hAnsi="宋体" w:cs="宋体" w:eastAsia="宋体" w:hint="default"/>
                <w:spacing w:val="-5"/>
                <w:sz w:val="18"/>
                <w:szCs w:val="18"/>
              </w:rPr>
              <w:t>预付中山百灵达项目采购款，因项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目延迟开工，设备尚未到货</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pict>
          <v:group style="position:absolute;margin-left:55.200001pt;margin-top:-62.756351pt;width:484.9pt;height:.1pt;mso-position-horizontal-relative:page;mso-position-vertical-relative:paragraph;z-index:-893896" coordorigin="1104,-1255" coordsize="9698,2">
            <v:shape style="position:absolute;left:1104;top:-1255;width:9698;height:2" coordorigin="1104,-1255" coordsize="9698,0" path="m1104,-1255l10802,-1255e" filled="false" stroked="true" strokeweight=".72pt" strokecolor="#000000">
              <v:path arrowok="t"/>
            </v:shape>
            <w10:wrap type="none"/>
          </v:group>
        </w:pict>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98"/>
        <w:jc w:val="left"/>
      </w:pPr>
      <w:r>
        <w:rPr/>
        <w:t>按预付对象集中度归集的期末余额前五名预付款项汇总金额</w:t>
      </w:r>
      <w:r>
        <w:rPr>
          <w:spacing w:val="-48"/>
        </w:rPr>
        <w:t> </w:t>
      </w:r>
      <w:r>
        <w:rPr>
          <w:rFonts w:ascii="Times New Roman" w:hAnsi="Times New Roman" w:cs="Times New Roman" w:eastAsia="Times New Roman" w:hint="default"/>
        </w:rPr>
        <w:t>24,844,643.90</w:t>
      </w:r>
      <w:r>
        <w:rPr>
          <w:rFonts w:ascii="Times New Roman" w:hAnsi="Times New Roman" w:cs="Times New Roman" w:eastAsia="Times New Roman" w:hint="default"/>
          <w:spacing w:val="-1"/>
        </w:rPr>
        <w:t> </w:t>
      </w:r>
      <w:r>
        <w:rPr/>
        <w:t>元，占预付款项期末余额合计数的比例</w:t>
      </w:r>
      <w:r>
        <w:rPr>
          <w:spacing w:val="-48"/>
        </w:rPr>
        <w:t> </w:t>
      </w:r>
      <w:r>
        <w:rPr>
          <w:rFonts w:ascii="Times New Roman" w:hAnsi="Times New Roman" w:cs="Times New Roman" w:eastAsia="Times New Roman" w:hint="default"/>
        </w:rPr>
        <w:t>55.53%</w:t>
      </w:r>
      <w:r>
        <w:rPr/>
        <w:t>。</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38,914,920.68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20,610,034.07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38,914,920.68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20,610,034.07</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1)</w:t>
      </w:r>
      <w:r>
        <w:rPr/>
        <w:t>应收利息分类</w:t>
      </w:r>
    </w:p>
    <w:p>
      <w:pPr>
        <w:pStyle w:val="BodyText"/>
        <w:spacing w:line="240" w:lineRule="auto" w:before="101"/>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15"/>
        <w:jc w:val="left"/>
      </w:pPr>
      <w:r>
        <w:rPr>
          <w:rFonts w:ascii="Times New Roman" w:hAnsi="Times New Roman" w:cs="Times New Roman" w:eastAsia="Times New Roman" w:hint="default"/>
        </w:rPr>
        <w:t>2)</w:t>
      </w:r>
      <w:r>
        <w:rPr/>
        <w:t>重要逾期利息</w:t>
      </w:r>
    </w:p>
    <w:p>
      <w:pPr>
        <w:pStyle w:val="BodyText"/>
        <w:spacing w:line="240" w:lineRule="auto" w:before="10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1)</w:t>
      </w:r>
      <w:r>
        <w:rPr/>
        <w:t>应收股利</w:t>
      </w:r>
    </w:p>
    <w:p>
      <w:pPr>
        <w:pStyle w:val="BodyText"/>
        <w:spacing w:line="240" w:lineRule="auto" w:before="103"/>
        <w:ind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15"/>
        <w:jc w:val="left"/>
      </w:pPr>
      <w:r>
        <w:rPr>
          <w:rFonts w:ascii="Times New Roman" w:hAnsi="Times New Roman" w:cs="Times New Roman" w:eastAsia="Times New Roman" w:hint="default"/>
        </w:rPr>
        <w:t>2)</w:t>
      </w:r>
      <w:r>
        <w:rPr/>
        <w:t>重要的账龄超过</w:t>
      </w:r>
      <w:r>
        <w:rPr>
          <w:spacing w:val="-45"/>
        </w:rPr>
        <w:t> </w:t>
      </w:r>
      <w:r>
        <w:rPr>
          <w:rFonts w:ascii="Times New Roman" w:hAnsi="Times New Roman" w:cs="Times New Roman" w:eastAsia="Times New Roman" w:hint="default"/>
        </w:rPr>
        <w:t>1 </w:t>
      </w:r>
      <w:r>
        <w:rPr/>
        <w:t>年的应收股利</w:t>
      </w:r>
    </w:p>
    <w:p>
      <w:pPr>
        <w:pStyle w:val="BodyText"/>
        <w:spacing w:line="240" w:lineRule="auto" w:before="10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1)</w:t>
      </w:r>
      <w:r>
        <w:rPr/>
        <w:t>其他应收款分类披露</w:t>
      </w:r>
    </w:p>
    <w:p>
      <w:pPr>
        <w:pStyle w:val="BodyText"/>
        <w:spacing w:line="240" w:lineRule="auto" w:before="101"/>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1525"/>
        <w:gridCol w:w="1526"/>
        <w:gridCol w:w="787"/>
        <w:gridCol w:w="1416"/>
        <w:gridCol w:w="1748"/>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207" w:type="dxa"/>
        <w:tblLayout w:type="fixed"/>
        <w:tblCellMar>
          <w:top w:w="0" w:type="dxa"/>
          <w:left w:w="0" w:type="dxa"/>
          <w:bottom w:w="0" w:type="dxa"/>
          <w:right w:w="0" w:type="dxa"/>
        </w:tblCellMar>
        <w:tblLook w:val="01E0"/>
      </w:tblPr>
      <w:tblGrid>
        <w:gridCol w:w="1635"/>
        <w:gridCol w:w="763"/>
        <w:gridCol w:w="761"/>
        <w:gridCol w:w="763"/>
        <w:gridCol w:w="763"/>
        <w:gridCol w:w="787"/>
        <w:gridCol w:w="656"/>
        <w:gridCol w:w="761"/>
        <w:gridCol w:w="814"/>
        <w:gridCol w:w="934"/>
        <w:gridCol w:w="931"/>
      </w:tblGrid>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37,700,5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62.49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1,061,14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36,639,42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0.68</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21,589,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080.68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979,046.6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20,610,034.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3,437,78</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9.00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1,162,28</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9.00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33.81%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2,275,500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403,789</w:t>
            </w:r>
          </w:p>
          <w:p>
            <w:pPr>
              <w:pStyle w:val="TableParagraph"/>
              <w:spacing w:line="240" w:lineRule="auto" w:before="102"/>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403,789.0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41,138,3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51.49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2,223,43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38,914,92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0.68</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21,992,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869.68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1,382,835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20,610,034.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20" w:right="0"/>
        </w:sectPr>
      </w:pPr>
    </w:p>
    <w:p>
      <w:pPr>
        <w:pStyle w:val="BodyText"/>
        <w:spacing w:line="240" w:lineRule="auto" w:before="49"/>
        <w:ind w:left="212" w:right="-20"/>
        <w:jc w:val="left"/>
      </w:pPr>
      <w:r>
        <w:rPr/>
        <w:t>期末单项金额重大并单项计提坏账准备的其他应收款：</w:t>
      </w:r>
    </w:p>
    <w:p>
      <w:pPr>
        <w:pStyle w:val="BodyText"/>
        <w:spacing w:line="340" w:lineRule="auto" w:before="115"/>
        <w:ind w:left="21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left="21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212" w:right="0"/>
        <w:jc w:val="left"/>
      </w:pPr>
      <w:r>
        <w:rPr/>
        <w:t>单位：</w:t>
      </w:r>
      <w:r>
        <w:rPr>
          <w:spacing w:val="1"/>
        </w:rPr>
        <w:t> </w:t>
      </w:r>
      <w:r>
        <w:rPr/>
        <w:t>元</w:t>
      </w:r>
    </w:p>
    <w:p>
      <w:pPr>
        <w:spacing w:after="0" w:line="240" w:lineRule="auto"/>
        <w:jc w:val="left"/>
        <w:sectPr>
          <w:type w:val="continuous"/>
          <w:pgSz w:w="11910" w:h="16840"/>
          <w:pgMar w:top="1060" w:bottom="700" w:left="920" w:right="0"/>
          <w:cols w:num="2" w:equalWidth="0">
            <w:col w:w="4533" w:space="4296"/>
            <w:col w:w="2161"/>
          </w:cols>
        </w:sectPr>
      </w:pP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1,979,177.93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98,958.90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89,722.95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8,972.30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77,079.27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955,964.29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930,086.83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97.29%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25,039.32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12,519.66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66,789.00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53,431.20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864,135.97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864,135.97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3,101,944.44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1,061,141.81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34.21%</w:t>
            </w:r>
          </w:p>
        </w:tc>
      </w:tr>
    </w:tbl>
    <w:p>
      <w:pPr>
        <w:pStyle w:val="BodyText"/>
        <w:spacing w:line="360" w:lineRule="auto" w:before="49"/>
        <w:ind w:left="212" w:right="6254"/>
        <w:jc w:val="left"/>
      </w:pPr>
      <w:r>
        <w:rPr/>
        <w:t>确定该组合依据的说明： 组合中，采用余额百分比法计提坏账准备的其他应收款：</w:t>
      </w:r>
    </w:p>
    <w:p>
      <w:pPr>
        <w:pStyle w:val="BodyText"/>
        <w:spacing w:line="340" w:lineRule="auto" w:before="25"/>
        <w:ind w:left="212"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38" w:lineRule="auto" w:before="41"/>
        <w:ind w:left="602" w:right="6044" w:hanging="3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期末单项金额不重大并单独计提坏账准备的其他应收款</w:t>
      </w:r>
    </w:p>
    <w:tbl>
      <w:tblPr>
        <w:tblW w:w="0" w:type="auto"/>
        <w:jc w:val="left"/>
        <w:tblInd w:w="104" w:type="dxa"/>
        <w:tblLayout w:type="fixed"/>
        <w:tblCellMar>
          <w:top w:w="0" w:type="dxa"/>
          <w:left w:w="0" w:type="dxa"/>
          <w:bottom w:w="0" w:type="dxa"/>
          <w:right w:w="0" w:type="dxa"/>
        </w:tblCellMar>
        <w:tblLook w:val="01E0"/>
      </w:tblPr>
      <w:tblGrid>
        <w:gridCol w:w="1808"/>
        <w:gridCol w:w="1184"/>
        <w:gridCol w:w="1070"/>
        <w:gridCol w:w="1080"/>
        <w:gridCol w:w="1025"/>
        <w:gridCol w:w="1027"/>
        <w:gridCol w:w="1003"/>
        <w:gridCol w:w="1978"/>
      </w:tblGrid>
      <w:tr>
        <w:trPr>
          <w:trHeight w:val="360" w:hRule="exact"/>
        </w:trPr>
        <w:tc>
          <w:tcPr>
            <w:tcW w:w="1808"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3334"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6"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978" w:type="dxa"/>
            <w:vMerge w:val="restart"/>
            <w:tcBorders>
              <w:top w:val="single" w:sz="12" w:space="0" w:color="000000"/>
              <w:left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85" w:lineRule="auto"/>
              <w:ind w:left="804" w:right="806"/>
              <w:jc w:val="center"/>
              <w:rPr>
                <w:rFonts w:ascii="宋体" w:hAnsi="宋体" w:cs="宋体" w:eastAsia="宋体" w:hint="default"/>
                <w:sz w:val="18"/>
                <w:szCs w:val="18"/>
              </w:rPr>
            </w:pPr>
            <w:r>
              <w:rPr>
                <w:rFonts w:ascii="宋体" w:hAnsi="宋体" w:cs="宋体" w:eastAsia="宋体" w:hint="default"/>
                <w:sz w:val="18"/>
                <w:szCs w:val="18"/>
              </w:rPr>
              <w:t>计提 理由</w:t>
            </w:r>
          </w:p>
        </w:tc>
      </w:tr>
      <w:tr>
        <w:trPr>
          <w:trHeight w:val="581" w:hRule="exact"/>
        </w:trPr>
        <w:tc>
          <w:tcPr>
            <w:tcW w:w="1808" w:type="dxa"/>
            <w:vMerge/>
            <w:tcBorders>
              <w:left w:val="nil" w:sz="6" w:space="0" w:color="auto"/>
              <w:bottom w:val="single" w:sz="12" w:space="0" w:color="000000"/>
              <w:right w:val="dotted" w:sz="4" w:space="0" w:color="000000"/>
            </w:tcBorders>
          </w:tcPr>
          <w:p>
            <w:pPr/>
          </w:p>
        </w:tc>
        <w:tc>
          <w:tcPr>
            <w:tcW w:w="11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2"/>
              <w:ind w:left="2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2"/>
              <w:ind w:left="1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left="1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pacing w:val="15"/>
                <w:sz w:val="18"/>
                <w:szCs w:val="18"/>
              </w:rPr>
              <w:t>计提比例</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78" w:type="dxa"/>
            <w:vMerge/>
            <w:tcBorders>
              <w:left w:val="dotted" w:sz="4" w:space="0" w:color="000000"/>
              <w:bottom w:val="single" w:sz="12" w:space="0" w:color="000000"/>
              <w:right w:val="nil" w:sz="6" w:space="0" w:color="auto"/>
            </w:tcBorders>
          </w:tcPr>
          <w:p>
            <w:pPr/>
          </w:p>
        </w:tc>
      </w:tr>
    </w:tbl>
    <w:p>
      <w:pPr>
        <w:spacing w:after="0"/>
        <w:sectPr>
          <w:type w:val="continuous"/>
          <w:pgSz w:w="11910" w:h="16840"/>
          <w:pgMar w:top="1060" w:bottom="700" w:left="92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822"/>
        <w:gridCol w:w="1184"/>
        <w:gridCol w:w="1070"/>
        <w:gridCol w:w="1080"/>
        <w:gridCol w:w="1025"/>
        <w:gridCol w:w="1027"/>
        <w:gridCol w:w="1003"/>
        <w:gridCol w:w="1978"/>
      </w:tblGrid>
      <w:tr>
        <w:trPr>
          <w:trHeight w:val="360" w:hRule="exact"/>
        </w:trPr>
        <w:tc>
          <w:tcPr>
            <w:tcW w:w="1822" w:type="dxa"/>
            <w:vMerge w:val="restart"/>
            <w:tcBorders>
              <w:top w:val="single" w:sz="12" w:space="0" w:color="000000"/>
              <w:left w:val="nil" w:sz="6" w:space="0" w:color="auto"/>
              <w:right w:val="dotted"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3334"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27"/>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6"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978" w:type="dxa"/>
            <w:vMerge w:val="restart"/>
            <w:tcBorders>
              <w:top w:val="single" w:sz="12" w:space="0" w:color="000000"/>
              <w:left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83" w:lineRule="auto"/>
              <w:ind w:left="804" w:right="806"/>
              <w:jc w:val="center"/>
              <w:rPr>
                <w:rFonts w:ascii="宋体" w:hAnsi="宋体" w:cs="宋体" w:eastAsia="宋体" w:hint="default"/>
                <w:sz w:val="18"/>
                <w:szCs w:val="18"/>
              </w:rPr>
            </w:pPr>
            <w:r>
              <w:rPr>
                <w:rFonts w:ascii="宋体" w:hAnsi="宋体" w:cs="宋体" w:eastAsia="宋体" w:hint="default"/>
                <w:sz w:val="18"/>
                <w:szCs w:val="18"/>
              </w:rPr>
              <w:t>计提 理由</w:t>
            </w:r>
          </w:p>
        </w:tc>
      </w:tr>
      <w:tr>
        <w:trPr>
          <w:trHeight w:val="572" w:hRule="exact"/>
        </w:trPr>
        <w:tc>
          <w:tcPr>
            <w:tcW w:w="1822" w:type="dxa"/>
            <w:vMerge/>
            <w:tcBorders>
              <w:left w:val="nil" w:sz="6" w:space="0" w:color="auto"/>
              <w:bottom w:val="dotted" w:sz="4" w:space="0" w:color="000000"/>
              <w:right w:val="dotted" w:sz="4" w:space="0" w:color="000000"/>
            </w:tcBorders>
          </w:tcPr>
          <w:p>
            <w:pPr/>
          </w:p>
        </w:tc>
        <w:tc>
          <w:tcPr>
            <w:tcW w:w="11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pacing w:val="15"/>
                <w:sz w:val="18"/>
                <w:szCs w:val="18"/>
              </w:rPr>
              <w:t>计提比例</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78" w:type="dxa"/>
            <w:vMerge/>
            <w:tcBorders>
              <w:left w:val="dotted" w:sz="4" w:space="0" w:color="000000"/>
              <w:bottom w:val="dotted" w:sz="4" w:space="0" w:color="000000"/>
              <w:right w:val="nil" w:sz="6" w:space="0" w:color="auto"/>
            </w:tcBorders>
          </w:tcPr>
          <w:p>
            <w:pPr/>
          </w:p>
        </w:tc>
      </w:tr>
      <w:tr>
        <w:trPr>
          <w:trHeight w:val="809" w:hRule="exact"/>
        </w:trPr>
        <w:tc>
          <w:tcPr>
            <w:tcW w:w="1822" w:type="dxa"/>
            <w:tcBorders>
              <w:top w:val="dotted" w:sz="4" w:space="0" w:color="000000"/>
              <w:left w:val="nil" w:sz="6" w:space="0" w:color="auto"/>
              <w:bottom w:val="dotted" w:sz="4" w:space="0" w:color="000000"/>
              <w:right w:val="dotted" w:sz="4" w:space="0" w:color="000000"/>
            </w:tcBorders>
          </w:tcPr>
          <w:p>
            <w:pPr>
              <w:pStyle w:val="TableParagraph"/>
              <w:spacing w:line="244" w:lineRule="auto" w:before="15"/>
              <w:ind w:left="122" w:right="81"/>
              <w:jc w:val="both"/>
              <w:rPr>
                <w:rFonts w:ascii="宋体" w:hAnsi="宋体" w:cs="宋体" w:eastAsia="宋体" w:hint="default"/>
                <w:sz w:val="18"/>
                <w:szCs w:val="18"/>
              </w:rPr>
            </w:pPr>
            <w:r>
              <w:rPr>
                <w:rFonts w:ascii="宋体" w:hAnsi="宋体" w:cs="宋体" w:eastAsia="宋体" w:hint="default"/>
                <w:spacing w:val="18"/>
                <w:sz w:val="18"/>
                <w:szCs w:val="18"/>
              </w:rPr>
              <w:t>深圳市龙岗天安数</w:t>
            </w:r>
            <w:r>
              <w:rPr>
                <w:rFonts w:ascii="宋体" w:hAnsi="宋体" w:cs="宋体" w:eastAsia="宋体" w:hint="default"/>
                <w:spacing w:val="-88"/>
                <w:sz w:val="18"/>
                <w:szCs w:val="18"/>
              </w:rPr>
              <w:t> </w:t>
            </w:r>
            <w:r>
              <w:rPr>
                <w:rFonts w:ascii="宋体" w:hAnsi="宋体" w:cs="宋体" w:eastAsia="宋体" w:hint="default"/>
                <w:spacing w:val="18"/>
                <w:sz w:val="18"/>
                <w:szCs w:val="18"/>
              </w:rPr>
              <w:t>码新城有限公司履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约保证金</w:t>
            </w:r>
          </w:p>
        </w:tc>
        <w:tc>
          <w:tcPr>
            <w:tcW w:w="11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403,789.00</w:t>
            </w: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403,789.00</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403,789.00</w:t>
            </w:r>
          </w:p>
        </w:tc>
        <w:tc>
          <w:tcPr>
            <w:tcW w:w="10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403,789.00</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100.00</w:t>
            </w:r>
          </w:p>
        </w:tc>
        <w:tc>
          <w:tcPr>
            <w:tcW w:w="19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预计可能无法收回</w:t>
            </w:r>
          </w:p>
        </w:tc>
      </w:tr>
      <w:tr>
        <w:trPr>
          <w:trHeight w:val="581" w:hRule="exact"/>
        </w:trPr>
        <w:tc>
          <w:tcPr>
            <w:tcW w:w="1822" w:type="dxa"/>
            <w:tcBorders>
              <w:top w:val="dotted" w:sz="4" w:space="0" w:color="000000"/>
              <w:left w:val="nil" w:sz="6" w:space="0" w:color="auto"/>
              <w:bottom w:val="single" w:sz="12" w:space="0" w:color="000000"/>
              <w:right w:val="dotted" w:sz="4" w:space="0" w:color="000000"/>
            </w:tcBorders>
          </w:tcPr>
          <w:p>
            <w:pPr>
              <w:pStyle w:val="TableParagraph"/>
              <w:spacing w:line="244" w:lineRule="auto" w:before="15"/>
              <w:ind w:left="122" w:right="81"/>
              <w:jc w:val="left"/>
              <w:rPr>
                <w:rFonts w:ascii="宋体" w:hAnsi="宋体" w:cs="宋体" w:eastAsia="宋体" w:hint="default"/>
                <w:sz w:val="18"/>
                <w:szCs w:val="18"/>
              </w:rPr>
            </w:pPr>
            <w:r>
              <w:rPr>
                <w:rFonts w:ascii="宋体" w:hAnsi="宋体" w:cs="宋体" w:eastAsia="宋体" w:hint="default"/>
                <w:spacing w:val="18"/>
                <w:sz w:val="18"/>
                <w:szCs w:val="18"/>
              </w:rPr>
              <w:t>苏州鼎虎科技有限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11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3,034,000.00</w:t>
            </w:r>
          </w:p>
        </w:tc>
        <w:tc>
          <w:tcPr>
            <w:tcW w:w="10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758,500.00</w:t>
            </w:r>
          </w:p>
        </w:tc>
        <w:tc>
          <w:tcPr>
            <w:tcW w:w="10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025" w:type="dxa"/>
            <w:tcBorders>
              <w:top w:val="dotted" w:sz="4" w:space="0" w:color="000000"/>
              <w:left w:val="dotted" w:sz="4" w:space="0" w:color="000000"/>
              <w:bottom w:val="single" w:sz="12" w:space="0" w:color="000000"/>
              <w:right w:val="dotted" w:sz="4" w:space="0" w:color="000000"/>
            </w:tcBorders>
          </w:tcPr>
          <w:p>
            <w:pPr/>
          </w:p>
        </w:tc>
        <w:tc>
          <w:tcPr>
            <w:tcW w:w="1027" w:type="dxa"/>
            <w:tcBorders>
              <w:top w:val="dotted" w:sz="4" w:space="0" w:color="000000"/>
              <w:left w:val="dotted" w:sz="4" w:space="0" w:color="000000"/>
              <w:bottom w:val="single" w:sz="12" w:space="0" w:color="000000"/>
              <w:right w:val="dotted" w:sz="4" w:space="0" w:color="000000"/>
            </w:tcBorders>
          </w:tcPr>
          <w:p>
            <w:pPr/>
          </w:p>
        </w:tc>
        <w:tc>
          <w:tcPr>
            <w:tcW w:w="1003" w:type="dxa"/>
            <w:tcBorders>
              <w:top w:val="dotted" w:sz="4" w:space="0" w:color="000000"/>
              <w:left w:val="dotted" w:sz="4" w:space="0" w:color="000000"/>
              <w:bottom w:val="single" w:sz="12" w:space="0" w:color="000000"/>
              <w:right w:val="dotted" w:sz="4" w:space="0" w:color="000000"/>
            </w:tcBorders>
          </w:tcPr>
          <w:p>
            <w:pPr/>
          </w:p>
        </w:tc>
        <w:tc>
          <w:tcPr>
            <w:tcW w:w="197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预计可收回金额</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80" w:top="1060" w:bottom="1160" w:left="880" w:right="0"/>
        </w:sectPr>
      </w:pPr>
    </w:p>
    <w:p>
      <w:pPr>
        <w:spacing w:line="240" w:lineRule="auto" w:before="5"/>
        <w:rPr>
          <w:rFonts w:ascii="宋体" w:hAnsi="宋体" w:cs="宋体" w:eastAsia="宋体" w:hint="default"/>
          <w:sz w:val="14"/>
          <w:szCs w:val="14"/>
        </w:rPr>
      </w:pPr>
    </w:p>
    <w:p>
      <w:pPr>
        <w:pStyle w:val="BodyText"/>
        <w:spacing w:line="338" w:lineRule="auto"/>
        <w:ind w:left="252" w:right="-20"/>
        <w:jc w:val="left"/>
      </w:pPr>
      <w:r>
        <w:rPr>
          <w:rFonts w:ascii="Times New Roman" w:hAnsi="Times New Roman" w:cs="Times New Roman" w:eastAsia="Times New Roman" w:hint="default"/>
        </w:rPr>
        <w:t>2)</w:t>
      </w:r>
      <w:r>
        <w:rPr/>
        <w:t>本期计提、收回或转回的坏账准备情况</w:t>
      </w:r>
      <w:r>
        <w:rPr>
          <w:w w:val="99"/>
        </w:rPr>
        <w:t> </w:t>
      </w:r>
      <w:r>
        <w:rPr/>
        <w:t>本期计提坏账准备金额</w:t>
      </w:r>
      <w:r>
        <w:rPr>
          <w:spacing w:val="-45"/>
        </w:rPr>
        <w:t> </w:t>
      </w:r>
      <w:r>
        <w:rPr>
          <w:rFonts w:ascii="Times New Roman" w:hAnsi="Times New Roman" w:cs="Times New Roman" w:eastAsia="Times New Roman" w:hint="default"/>
        </w:rPr>
        <w:t>840,595.20</w:t>
      </w:r>
      <w:r>
        <w:rPr>
          <w:rFonts w:ascii="Times New Roman" w:hAnsi="Times New Roman" w:cs="Times New Roman" w:eastAsia="Times New Roman" w:hint="default"/>
          <w:spacing w:val="1"/>
        </w:rPr>
        <w:t> </w:t>
      </w:r>
      <w:r>
        <w:rPr/>
        <w:t>元。</w:t>
      </w:r>
      <w:r>
        <w:rPr>
          <w:w w:val="99"/>
        </w:rPr>
        <w:t> </w:t>
      </w:r>
      <w:r>
        <w:rPr/>
        <w:t>其中本期坏账准备转回或收回金额重要的：</w:t>
      </w:r>
    </w:p>
    <w:p>
      <w:pPr>
        <w:pStyle w:val="BodyText"/>
        <w:spacing w:line="240" w:lineRule="auto" w:before="41"/>
        <w:ind w:left="25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left="252" w:right="-2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25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252"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BodyText"/>
        <w:spacing w:line="240" w:lineRule="auto"/>
        <w:ind w:left="252" w:right="0"/>
        <w:jc w:val="left"/>
      </w:pPr>
      <w:r>
        <w:rPr/>
        <w:t>单位：</w:t>
      </w:r>
      <w:r>
        <w:rPr>
          <w:spacing w:val="1"/>
        </w:rPr>
        <w:t> </w:t>
      </w:r>
      <w:r>
        <w:rPr/>
        <w:t>元</w:t>
      </w:r>
    </w:p>
    <w:p>
      <w:pPr>
        <w:spacing w:after="0" w:line="240" w:lineRule="auto"/>
        <w:jc w:val="left"/>
        <w:sectPr>
          <w:type w:val="continuous"/>
          <w:pgSz w:w="11910" w:h="16840"/>
          <w:pgMar w:top="1060" w:bottom="700" w:left="880" w:right="0"/>
          <w:cols w:num="2" w:equalWidth="0">
            <w:col w:w="3673" w:space="5156"/>
            <w:col w:w="2201"/>
          </w:cols>
        </w:sectPr>
      </w:pPr>
    </w:p>
    <w:p>
      <w:pPr>
        <w:spacing w:line="240" w:lineRule="auto" w:before="4"/>
        <w:rPr>
          <w:rFonts w:ascii="宋体" w:hAnsi="宋体" w:cs="宋体" w:eastAsia="宋体" w:hint="default"/>
          <w:sz w:val="8"/>
          <w:szCs w:val="8"/>
        </w:rPr>
      </w:pPr>
    </w:p>
    <w:tbl>
      <w:tblPr>
        <w:tblW w:w="0" w:type="auto"/>
        <w:jc w:val="left"/>
        <w:tblInd w:w="24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33,280,209.79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17,516,070.73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员工备用金及代扣代缴款项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1,318,408.26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1,056,945.65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6,539,733.44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3,419,853.30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41,138,351.49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21,992,869.68</w:t>
            </w:r>
          </w:p>
        </w:tc>
      </w:tr>
    </w:tbl>
    <w:p>
      <w:pPr>
        <w:pStyle w:val="BodyText"/>
        <w:spacing w:line="240" w:lineRule="auto" w:before="49"/>
        <w:ind w:left="252" w:right="6254"/>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47"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华润万家生活超市</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（东莞）有限公司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18,136,789.00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44.09%</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陕西中烟工业有限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6,152,949.34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14.96%</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苏州鼎虎科技有限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758,500.00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云南招标股份有限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贵州中烟工业有限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1,377,967.68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31,101,706.02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75.60%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758,500.00</w:t>
            </w:r>
          </w:p>
        </w:tc>
      </w:tr>
    </w:tbl>
    <w:p>
      <w:pPr>
        <w:pStyle w:val="BodyText"/>
        <w:spacing w:line="240" w:lineRule="auto" w:before="49"/>
        <w:ind w:left="252" w:right="6254"/>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252"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700" w:left="880" w:right="0"/>
        </w:sectPr>
      </w:pPr>
    </w:p>
    <w:p>
      <w:pPr>
        <w:spacing w:line="240" w:lineRule="auto" w:before="9"/>
        <w:rPr>
          <w:rFonts w:ascii="宋体" w:hAnsi="宋体" w:cs="宋体" w:eastAsia="宋体" w:hint="default"/>
          <w:sz w:val="25"/>
          <w:szCs w:val="25"/>
        </w:rPr>
      </w:pPr>
    </w:p>
    <w:p>
      <w:pPr>
        <w:pStyle w:val="BodyText"/>
        <w:spacing w:line="240" w:lineRule="auto" w:before="44"/>
        <w:ind w:right="1115"/>
        <w:jc w:val="left"/>
      </w:pPr>
      <w:r>
        <w:rPr>
          <w:rFonts w:ascii="Times New Roman" w:hAnsi="Times New Roman" w:cs="Times New Roman" w:eastAsia="Times New Roman" w:hint="default"/>
        </w:rPr>
        <w:t>7)</w:t>
      </w:r>
      <w:r>
        <w:rPr/>
        <w:t>因金融资产转移而终止确认的其他应收款</w:t>
      </w:r>
    </w:p>
    <w:p>
      <w:pPr>
        <w:pStyle w:val="BodyText"/>
        <w:spacing w:line="240" w:lineRule="auto" w:before="104"/>
        <w:ind w:right="1115"/>
        <w:jc w:val="left"/>
      </w:pPr>
      <w:r>
        <w:rPr>
          <w:rFonts w:ascii="Times New Roman" w:hAnsi="Times New Roman" w:cs="Times New Roman" w:eastAsia="Times New Roman" w:hint="default"/>
        </w:rPr>
        <w:t>8)</w:t>
      </w:r>
      <w:r>
        <w:rPr/>
        <w:t>转移其他应收款且继续涉入形成的资产、负债金额</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514"/>
        <w:jc w:val="left"/>
      </w:pPr>
      <w:r>
        <w:rPr/>
        <w:t>公司是否需要遵守房地产行业的披露要求 否</w:t>
      </w:r>
    </w:p>
    <w:p>
      <w:pPr>
        <w:spacing w:line="240" w:lineRule="auto" w:before="4"/>
        <w:rPr>
          <w:rFonts w:ascii="宋体" w:hAnsi="宋体" w:cs="宋体" w:eastAsia="宋体" w:hint="default"/>
          <w:sz w:val="20"/>
          <w:szCs w:val="20"/>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315,540.11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315,540.11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201,172.07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201,172.07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6,632.48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6,632.48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6,632.48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6,632.48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199,266,449.51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199,266,449.51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99,469,115.98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99,469,115.98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备品备件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4,909,045.24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4,909,045.24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4,686,741.37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4,686,741.37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运营维护成本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11,871,628.34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11,871,628.34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12,831,473.16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12,831,473.16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29,122.58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29,122.58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216,398,418.26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216,398,418.26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117,195,135.06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117,195,135.06</w:t>
            </w:r>
          </w:p>
        </w:tc>
      </w:tr>
    </w:tbl>
    <w:p>
      <w:pPr>
        <w:pStyle w:val="BodyText"/>
        <w:spacing w:line="338" w:lineRule="auto" w:before="49"/>
        <w:ind w:right="24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4"/>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39"/>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5"/>
        <w:rPr>
          <w:rFonts w:ascii="宋体" w:hAnsi="宋体" w:cs="宋体" w:eastAsia="宋体" w:hint="default"/>
          <w:sz w:val="21"/>
          <w:szCs w:val="21"/>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3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日，存货可变现净值不存在低于存货成本的情况，故无需计提存货跌价准备。</w:t>
      </w:r>
    </w:p>
    <w:p>
      <w:pPr>
        <w:spacing w:line="240" w:lineRule="auto" w:before="12"/>
        <w:rPr>
          <w:rFonts w:ascii="宋体" w:hAnsi="宋体" w:cs="宋体" w:eastAsia="宋体" w:hint="default"/>
          <w:sz w:val="19"/>
          <w:szCs w:val="19"/>
        </w:rPr>
      </w:pPr>
    </w:p>
    <w:p>
      <w:pPr>
        <w:pStyle w:val="Heading5"/>
        <w:spacing w:line="240" w:lineRule="auto"/>
        <w:ind w:right="1115"/>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增值税借方余额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13,983,795.68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6,039,828.44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123,983,795.68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66,058,428.44</w:t>
            </w:r>
          </w:p>
        </w:tc>
      </w:tr>
    </w:tbl>
    <w:p>
      <w:pPr>
        <w:pStyle w:val="BodyText"/>
        <w:spacing w:line="240" w:lineRule="auto" w:before="49"/>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9"/>
        <w:gridCol w:w="1366"/>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800"/>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深圳市旭 龙昇电子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37,788,88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4,142,998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59,450.12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41,991,33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4.13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深圳市科 佛科技有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941,592.1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9,636,681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37,788,88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3,838,088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59,450.12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941,592.1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51,628,01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6.06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37,788,88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3,838,088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59,450.12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941,592.1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51,628,01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6.06</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5"/>
        <w:jc w:val="left"/>
      </w:pPr>
      <w:r>
        <w:rPr/>
        <w:t>其他说明</w:t>
      </w:r>
    </w:p>
    <w:p>
      <w:pPr>
        <w:pStyle w:val="BodyText"/>
        <w:spacing w:line="300" w:lineRule="auto" w:before="115"/>
        <w:ind w:right="2684"/>
        <w:jc w:val="left"/>
      </w:pPr>
      <w:r>
        <w:rPr/>
        <w:t>本公司持有深圳市旭龙昇电子有限公司</w:t>
      </w:r>
      <w:r>
        <w:rPr>
          <w:rFonts w:ascii="Times New Roman" w:hAnsi="Times New Roman" w:cs="Times New Roman" w:eastAsia="Times New Roman" w:hint="default"/>
        </w:rPr>
        <w:t>33%</w:t>
      </w:r>
      <w:r>
        <w:rPr/>
        <w:t>股权，投资成本</w:t>
      </w:r>
      <w:r>
        <w:rPr>
          <w:rFonts w:ascii="Times New Roman" w:hAnsi="Times New Roman" w:cs="Times New Roman" w:eastAsia="Times New Roman" w:hint="default"/>
        </w:rPr>
        <w:t>34,731,499.62</w:t>
      </w:r>
      <w:r>
        <w:rPr/>
        <w:t>元，本公司按权益法核算。 本公司持有深深圳市科佛科技有限公司</w:t>
      </w:r>
      <w:r>
        <w:rPr>
          <w:rFonts w:ascii="Times New Roman" w:hAnsi="Times New Roman" w:cs="Times New Roman" w:eastAsia="Times New Roman" w:hint="default"/>
        </w:rPr>
        <w:t>23.125%</w:t>
      </w:r>
      <w:r>
        <w:rPr/>
        <w:t>股权，投资成本</w:t>
      </w:r>
      <w:r>
        <w:rPr>
          <w:rFonts w:ascii="Times New Roman" w:hAnsi="Times New Roman" w:cs="Times New Roman" w:eastAsia="Times New Roman" w:hint="default"/>
        </w:rPr>
        <w:t>9,000,000.00</w:t>
      </w:r>
      <w:r>
        <w:rPr/>
        <w:t>元，本公司按权益法核算。</w:t>
      </w:r>
    </w:p>
    <w:p>
      <w:pPr>
        <w:spacing w:line="240" w:lineRule="auto" w:before="4"/>
        <w:rPr>
          <w:rFonts w:ascii="宋体" w:hAnsi="宋体" w:cs="宋体" w:eastAsia="宋体" w:hint="default"/>
          <w:sz w:val="22"/>
          <w:szCs w:val="22"/>
        </w:rPr>
      </w:pPr>
    </w:p>
    <w:p>
      <w:pPr>
        <w:pStyle w:val="Heading5"/>
        <w:spacing w:line="240" w:lineRule="auto"/>
        <w:ind w:right="1115"/>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20,308,155.68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20,308,155.68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20,308,155.68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20,308,155.68</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3,803,397.97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3,803,397.97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687,621.22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687,621.22</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687,621.22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687,621.22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4,491,019.19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4,491,019.19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15,817,136.49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15,817,136.49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16,504,757.71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16,504,757.71</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188"/>
        <w:gridCol w:w="3188"/>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85,200,416.16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71,505,732.47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85,200,416.16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71,505,732.47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65,120,059.24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3,392,972.12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13,232,584.69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6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13,232,584.69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6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65,120,059.24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16,625,556.81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930,549.13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415,931.57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2,122,749.72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789,535.90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2,122,749.72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789,535.90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3,053,298.85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1,205,467.47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62,066,760.39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15,420,089.34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64,189,510.11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2,977,040.55</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21"/>
        <w:ind w:right="1115"/>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商业房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8,315,883.68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截至报告期末正在办理中，已于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日取得产权证书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多层厂房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10,267,475.44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人才住房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4,711,993.92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人才住房，有限产权</w:t>
            </w:r>
          </w:p>
        </w:tc>
      </w:tr>
    </w:tbl>
    <w:p>
      <w:pPr>
        <w:pStyle w:val="BodyText"/>
        <w:spacing w:line="240" w:lineRule="auto" w:before="49"/>
        <w:ind w:right="1115"/>
        <w:jc w:val="left"/>
      </w:pPr>
      <w:r>
        <w:rPr/>
        <w:t>其他说明</w:t>
      </w:r>
    </w:p>
    <w:p>
      <w:pPr>
        <w:pStyle w:val="BodyText"/>
        <w:spacing w:line="307" w:lineRule="auto" w:before="115"/>
        <w:ind w:right="1047"/>
        <w:jc w:val="left"/>
      </w:pPr>
      <w:r>
        <w:rPr/>
        <w:t>（</w:t>
      </w:r>
      <w:r>
        <w:rPr>
          <w:rFonts w:ascii="Times New Roman" w:hAnsi="Times New Roman" w:cs="Times New Roman" w:eastAsia="Times New Roman" w:hint="default"/>
        </w:rPr>
        <w:t>1</w:t>
      </w:r>
      <w:r>
        <w:rPr/>
        <w:t>）房屋及建筑物</w:t>
      </w:r>
      <w:r>
        <w:rPr>
          <w:rFonts w:ascii="Times New Roman" w:hAnsi="Times New Roman" w:cs="Times New Roman" w:eastAsia="Times New Roman" w:hint="default"/>
        </w:rPr>
        <w:t>-</w:t>
      </w:r>
      <w:r>
        <w:rPr/>
        <w:t>人才住房为本公司购置的位于深圳市罗湖区连馨家园（住宅小区）</w:t>
      </w:r>
      <w:r>
        <w:rPr>
          <w:rFonts w:ascii="Times New Roman" w:hAnsi="Times New Roman" w:cs="Times New Roman" w:eastAsia="Times New Roman" w:hint="default"/>
        </w:rPr>
        <w:t>7 </w:t>
      </w:r>
      <w:r>
        <w:rPr/>
        <w:t>栋 </w:t>
      </w:r>
      <w:r>
        <w:rPr>
          <w:rFonts w:ascii="Times New Roman" w:hAnsi="Times New Roman" w:cs="Times New Roman" w:eastAsia="Times New Roman" w:hint="default"/>
        </w:rPr>
        <w:t>28E</w:t>
      </w:r>
      <w:r>
        <w:rPr/>
        <w:t>、</w:t>
      </w:r>
      <w:r>
        <w:rPr>
          <w:rFonts w:ascii="Times New Roman" w:hAnsi="Times New Roman" w:cs="Times New Roman" w:eastAsia="Times New Roman" w:hint="default"/>
        </w:rPr>
        <w:t>28F</w:t>
      </w:r>
      <w:r>
        <w:rPr/>
        <w:t>、</w:t>
      </w:r>
      <w:r>
        <w:rPr>
          <w:rFonts w:ascii="Times New Roman" w:hAnsi="Times New Roman" w:cs="Times New Roman" w:eastAsia="Times New Roman" w:hint="default"/>
        </w:rPr>
        <w:t>28G</w:t>
      </w:r>
      <w:r>
        <w:rPr/>
        <w:t>、</w:t>
      </w:r>
      <w:r>
        <w:rPr>
          <w:rFonts w:ascii="Times New Roman" w:hAnsi="Times New Roman" w:cs="Times New Roman" w:eastAsia="Times New Roman" w:hint="default"/>
        </w:rPr>
        <w:t>2 </w:t>
      </w:r>
      <w:r>
        <w:rPr/>
        <w:t>栋</w:t>
      </w:r>
      <w:r>
        <w:rPr>
          <w:spacing w:val="-53"/>
        </w:rPr>
        <w:t> </w:t>
      </w:r>
      <w:r>
        <w:rPr>
          <w:rFonts w:ascii="Times New Roman" w:hAnsi="Times New Roman" w:cs="Times New Roman" w:eastAsia="Times New Roman" w:hint="default"/>
        </w:rPr>
        <w:t>22E</w:t>
      </w:r>
      <w:r>
        <w:rPr/>
        <w:t>、</w:t>
      </w:r>
      <w:r>
        <w:rPr>
          <w:rFonts w:ascii="Times New Roman" w:hAnsi="Times New Roman" w:cs="Times New Roman" w:eastAsia="Times New Roman" w:hint="default"/>
        </w:rPr>
        <w:t>3 </w:t>
      </w:r>
      <w:r>
        <w:rPr>
          <w:rFonts w:ascii="Times New Roman" w:hAnsi="Times New Roman" w:cs="Times New Roman" w:eastAsia="Times New Roman" w:hint="default"/>
        </w:rPr>
        <w:t> </w:t>
      </w:r>
      <w:r>
        <w:rPr/>
        <w:t>栋</w:t>
      </w:r>
      <w:r>
        <w:rPr>
          <w:spacing w:val="-45"/>
        </w:rPr>
        <w:t> </w:t>
      </w:r>
      <w:r>
        <w:rPr>
          <w:rFonts w:ascii="Times New Roman" w:hAnsi="Times New Roman" w:cs="Times New Roman" w:eastAsia="Times New Roman" w:hint="default"/>
        </w:rPr>
        <w:t>16D</w:t>
      </w:r>
      <w:r>
        <w:rPr/>
        <w:t>，深圳市罗湖区宝翠苑</w:t>
      </w:r>
      <w:r>
        <w:rPr>
          <w:spacing w:val="-48"/>
        </w:rPr>
        <w:t> </w:t>
      </w:r>
      <w:r>
        <w:rPr>
          <w:rFonts w:ascii="Times New Roman" w:hAnsi="Times New Roman" w:cs="Times New Roman" w:eastAsia="Times New Roman" w:hint="default"/>
        </w:rPr>
        <w:t>B</w:t>
      </w:r>
      <w:r>
        <w:rPr>
          <w:rFonts w:ascii="Times New Roman" w:hAnsi="Times New Roman" w:cs="Times New Roman" w:eastAsia="Times New Roman" w:hint="default"/>
          <w:spacing w:val="-11"/>
        </w:rPr>
        <w:t> </w:t>
      </w:r>
      <w:r>
        <w:rPr/>
        <w:t>栋</w:t>
      </w:r>
      <w:r>
        <w:rPr>
          <w:spacing w:val="-46"/>
        </w:rPr>
        <w:t> </w:t>
      </w:r>
      <w:r>
        <w:rPr>
          <w:rFonts w:ascii="Times New Roman" w:hAnsi="Times New Roman" w:cs="Times New Roman" w:eastAsia="Times New Roman" w:hint="default"/>
        </w:rPr>
        <w:t>203</w:t>
      </w:r>
      <w:r>
        <w:rPr>
          <w:rFonts w:ascii="Times New Roman" w:hAnsi="Times New Roman" w:cs="Times New Roman" w:eastAsia="Times New Roman" w:hint="default"/>
          <w:spacing w:val="-9"/>
        </w:rPr>
        <w:t> </w:t>
      </w:r>
      <w:r>
        <w:rPr/>
        <w:t>以及位于深圳市南山区深云村（住宅小区）</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栋</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楼</w:t>
      </w:r>
      <w:r>
        <w:rPr>
          <w:spacing w:val="-46"/>
        </w:rPr>
        <w:t> </w:t>
      </w:r>
      <w:r>
        <w:rPr>
          <w:rFonts w:ascii="Times New Roman" w:hAnsi="Times New Roman" w:cs="Times New Roman" w:eastAsia="Times New Roman" w:hint="default"/>
        </w:rPr>
        <w:t>E</w:t>
      </w:r>
      <w:r>
        <w:rPr>
          <w:rFonts w:ascii="Times New Roman" w:hAnsi="Times New Roman" w:cs="Times New Roman" w:eastAsia="Times New Roman" w:hint="default"/>
          <w:spacing w:val="-10"/>
        </w:rPr>
        <w:t> </w:t>
      </w:r>
      <w:r>
        <w:rPr/>
        <w:t>房。该住房为有限产权，无 法办理产权证。根据购房合同，本公司不能向政府以外的任何单位或个人进行任何形式的产权交易，不能上市交易、过户、 抵押，本公司因特殊原因确需转让该房的，按照合同回购条款由政府回购。</w:t>
      </w:r>
    </w:p>
    <w:p>
      <w:pPr>
        <w:pStyle w:val="BodyText"/>
        <w:spacing w:line="240" w:lineRule="auto" w:before="67"/>
        <w:ind w:right="998"/>
        <w:jc w:val="left"/>
      </w:pPr>
      <w:r>
        <w:rPr/>
        <w:t>（</w:t>
      </w:r>
      <w:r>
        <w:rPr>
          <w:rFonts w:ascii="Times New Roman" w:hAnsi="Times New Roman" w:cs="Times New Roman" w:eastAsia="Times New Roman" w:hint="default"/>
        </w:rPr>
        <w:t>2</w:t>
      </w:r>
      <w:r>
        <w:rPr/>
        <w:t>）房屋及建筑物</w:t>
      </w:r>
      <w:r>
        <w:rPr>
          <w:rFonts w:ascii="Times New Roman" w:hAnsi="Times New Roman" w:cs="Times New Roman" w:eastAsia="Times New Roman" w:hint="default"/>
        </w:rPr>
        <w:t>-</w:t>
      </w:r>
      <w:r>
        <w:rPr/>
        <w:t>商业房为本公司购置的位于昆明市万达广场的商业房，自交付后已向有关部门提交相关申请材料。截至</w:t>
      </w:r>
    </w:p>
    <w:p>
      <w:pPr>
        <w:pStyle w:val="BodyText"/>
        <w:spacing w:line="240" w:lineRule="auto" w:before="63"/>
        <w:ind w:right="1115"/>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日，有关部门正在审核材料中，已于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 </w:t>
      </w:r>
      <w:r>
        <w:rPr/>
        <w:t>月</w:t>
      </w:r>
      <w:r>
        <w:rPr>
          <w:spacing w:val="-48"/>
        </w:rPr>
        <w:t> </w:t>
      </w:r>
      <w:r>
        <w:rPr>
          <w:rFonts w:ascii="Times New Roman" w:hAnsi="Times New Roman" w:cs="Times New Roman" w:eastAsia="Times New Roman" w:hint="default"/>
        </w:rPr>
        <w:t>22 </w:t>
      </w:r>
      <w:r>
        <w:rPr/>
        <w:t>日取得产权证书。</w:t>
      </w:r>
    </w:p>
    <w:p>
      <w:pPr>
        <w:pStyle w:val="BodyText"/>
        <w:spacing w:line="300" w:lineRule="auto" w:before="101"/>
        <w:ind w:right="1119"/>
        <w:jc w:val="left"/>
      </w:pPr>
      <w:r>
        <w:rPr>
          <w:spacing w:val="-1"/>
        </w:rPr>
        <w:t>（</w:t>
      </w:r>
      <w:r>
        <w:rPr>
          <w:rFonts w:ascii="Times New Roman" w:hAnsi="Times New Roman" w:cs="Times New Roman" w:eastAsia="Times New Roman" w:hint="default"/>
          <w:spacing w:val="-1"/>
        </w:rPr>
        <w:t>3</w:t>
      </w:r>
      <w:r>
        <w:rPr>
          <w:spacing w:val="-1"/>
        </w:rPr>
        <w:t>）房屋及建筑物</w:t>
      </w:r>
      <w:r>
        <w:rPr>
          <w:rFonts w:ascii="Times New Roman" w:hAnsi="Times New Roman" w:cs="Times New Roman" w:eastAsia="Times New Roman" w:hint="default"/>
          <w:spacing w:val="-1"/>
        </w:rPr>
        <w:t>-</w:t>
      </w:r>
      <w:r>
        <w:rPr>
          <w:spacing w:val="-1"/>
        </w:rPr>
        <w:t>多层厂房为本公司建设的位于深圳市龙岗区龙岗街道的多层厂房，自竣工后已向有关部门提交相关申请</w:t>
      </w:r>
      <w:r>
        <w:rPr/>
        <w:t> 材料。截至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日，有关部门正在审核材料中。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5"/>
        <w:spacing w:line="240" w:lineRule="auto"/>
        <w:ind w:right="1115"/>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96"/>
        <w:gridCol w:w="3815"/>
        <w:gridCol w:w="3860"/>
      </w:tblGrid>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112,208,415.07</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95,562,603.83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60"/>
      </w:tblGrid>
      <w:tr>
        <w:trPr>
          <w:trHeight w:val="403"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112,208,415.07</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95,562,603.83</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今天国际科技园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112,208,415.07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112,208,415.07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95,448,524.78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95,448,524.78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北京办公室装修 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54,054.05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54,054.05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上海办公室装修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60,025.00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60,025.00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112,208,415.07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112,208,415.07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95,562,603.83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95,562,603.83</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4"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今天国 际科技 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95,448,5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29,992,4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13,232,5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84.69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112,208,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415.07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90.75%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7"/>
              <w:jc w:val="center"/>
              <w:rPr>
                <w:rFonts w:ascii="Times New Roman" w:hAnsi="Times New Roman" w:cs="Times New Roman" w:eastAsia="Times New Roman" w:hint="default"/>
                <w:sz w:val="18"/>
                <w:szCs w:val="18"/>
              </w:rPr>
            </w:pPr>
            <w:r>
              <w:rPr>
                <w:rFonts w:ascii="Times New Roman"/>
                <w:sz w:val="18"/>
              </w:rPr>
              <w:t>90.75%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95,448,5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29,992,4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13,232,5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84.69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112,208,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415.07</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755"/>
        <w:jc w:val="left"/>
      </w:pPr>
      <w:r>
        <w:rPr/>
        <w:t>公司是否需遵守《深圳证券交易所创业板行业信息披露指引第</w:t>
      </w:r>
      <w:r>
        <w:rPr>
          <w:spacing w:val="-46"/>
        </w:rPr>
        <w:t> </w:t>
      </w:r>
      <w:r>
        <w:rPr>
          <w:rFonts w:ascii="Times New Roman" w:hAnsi="Times New Roman" w:cs="Times New Roman" w:eastAsia="Times New Roman" w:hint="default"/>
        </w:rPr>
        <w:t>5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39"/>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486"/>
        <w:gridCol w:w="1596"/>
        <w:gridCol w:w="1594"/>
        <w:gridCol w:w="1594"/>
        <w:gridCol w:w="1594"/>
      </w:tblGrid>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软件开发工具及办 公软件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13,377,022.00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12,626,330.92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26,003,352.92</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1,038,584.21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1,038,584.21</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1,038,584.21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1,038,584.21</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）内部研发</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5,932,526.74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5,932,526.74</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5,932,526.74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5,932,526.74</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13,377,022.00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7,732,388.39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21,109,410.39</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2,335,171.13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9,782,025.58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12,117,196.71</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452,181.12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1,059,601.05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1,511,782.17</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452,181.12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1,059,601.05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1,511,782.17</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5,588,123.82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5,588,123.82</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5,588,123.82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5,588,123.82</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2,787,352.25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5,253,502.81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8,040,855.06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2"/>
        <w:gridCol w:w="1486"/>
        <w:gridCol w:w="1596"/>
        <w:gridCol w:w="1594"/>
        <w:gridCol w:w="1594"/>
        <w:gridCol w:w="1594"/>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10,589,669.75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2,478,885.58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13,068,555.33</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11,041,850.87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2,844,305.34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13,886,156.21</w:t>
            </w:r>
          </w:p>
        </w:tc>
      </w:tr>
    </w:tbl>
    <w:p>
      <w:pPr>
        <w:pStyle w:val="BodyText"/>
        <w:spacing w:line="240" w:lineRule="auto" w:before="49"/>
        <w:ind w:right="1115"/>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预付技术支持款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78,146.54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72,135.36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6,011.18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500,007.95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124,679.45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375,328.50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78,146.54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500,007.95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196,814.81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381,339.68</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31,658,837.92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4,742,487.97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35,211,071.97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5,281,772.78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3,437,357.73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515,603.66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4,552,659.13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682,898.87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18,792,669.11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3,337,495.21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2,989,113.11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747,278.28</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确认为递延收益的政府 补助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8,483,333.33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1,272,500.00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13,835,799.25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2,075,369.89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预提物流项目质保费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15,941,535.28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2,350,923.71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15,218,201.83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2,261,607.33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暂估费用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17,472,692.13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2,527,196.22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13,288,194.44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1,918,891.21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5,858,660.60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878,799.09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9,450,864.00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1,417,629.60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预提税项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27,229.20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3,403.65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127,817.21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19,172.58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101,672,315.30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15,628,409.51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94,673,720.94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14,404,620.54</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固定资产加速折旧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1,889,763.64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275,984.64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268,245.92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33,530.74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递延税项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974,641.80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146,196.27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288,665.68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72,166.42</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2,864,405.44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422,180.91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556,911.60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105,697.16</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15,628,409.51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14,404,620.54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422,180.91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105,697.16</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1,477,764.44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244,408.38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1,477,764.44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244,746.20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241,975.63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244,408.38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1,235,788.81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1,477,764.44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244,408.38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31"/>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54,024,777.58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11,656,740.00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204,919,402.71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191,984,600.14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258,944,180.29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203,641,340.14</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54,024,777.58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11,656,740.00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54,024,777.58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11,656,740.00</w:t>
            </w:r>
          </w:p>
        </w:tc>
      </w:tr>
    </w:tbl>
    <w:p>
      <w:pPr>
        <w:pStyle w:val="BodyText"/>
        <w:spacing w:line="240" w:lineRule="auto" w:before="49"/>
        <w:ind w:right="1115"/>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204,919,402.71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191,984,600.14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204,919,402.71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191,984,600.14</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旭龙昇（香港）光电科技有限公司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5,825,505.74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珠海创思新能源科技有限公司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12,211,193.13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18,036,698.87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355,907,321.95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110,753,457.95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355,907,321.95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110,753,457.95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深圳市伟创自动化设备有限公司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10,904,205.11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82,607,168.03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78,864,952.06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14,646,421.08</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36,820.14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6,364,433.98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6,382,644.42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18,609.70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444,624.00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444,624.00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10,941,025.25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89,416,226.01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85,692,220.48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14,665,030.78</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10,844,540.46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77,653,819.05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73,891,300.13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14,607,059.38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46,142.75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46,142.75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20,594.65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2,164,900.03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2,175,871.98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9,622.70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20,022.08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1,879,072.62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1,890,470.60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8,624.10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102,438.39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102,920.16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183,389.02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182,481.22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907.80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2,742,306.20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2,751,637.20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29,739.00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10,904,205.11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82,607,168.03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78,864,952.06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14,646,421.08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35,596.37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6,237,050.26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6,254,490.83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18,155.80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1,223.77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127,383.72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128,153.59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453.90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36,820.14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6,364,433.98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6,382,644.42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18,609.70</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1,211,107.76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6,731,358.33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3,606,467.90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340,822.69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396,444.89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1,488,634.77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2,918,729.65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670,251.10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1,283,148.88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393,059.49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801,658.01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68,507.63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27,498.91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152,493.80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281,918.62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4,274,458.04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16,115,732.82</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130,334.72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61,024,417.13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64,214,682.19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61,024,417.13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64,345,016.91</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130,334.72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130,334.72</w:t>
            </w:r>
          </w:p>
        </w:tc>
      </w:tr>
    </w:tbl>
    <w:p>
      <w:pPr>
        <w:pStyle w:val="BodyText"/>
        <w:spacing w:line="240" w:lineRule="auto" w:before="49"/>
        <w:ind w:right="1115"/>
        <w:jc w:val="left"/>
      </w:pPr>
      <w:r>
        <w:rPr/>
        <w:t>重要的已逾期未支付的利息情况：</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股份支付回购义务款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39,530,196.00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49,800,960.00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暂估实施费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17,472,692.15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13,287,810.44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4,021,528.98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1,125,911.75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61,024,417.13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64,214,682.19</w:t>
            </w:r>
          </w:p>
        </w:tc>
      </w:tr>
    </w:tbl>
    <w:p>
      <w:pPr>
        <w:pStyle w:val="BodyText"/>
        <w:spacing w:line="240" w:lineRule="auto" w:before="49"/>
        <w:ind w:right="1115"/>
        <w:jc w:val="left"/>
      </w:pP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 </w:t>
      </w:r>
      <w:r>
        <w:rPr/>
        <w:t>年的重要其他应付款</w:t>
      </w:r>
    </w:p>
    <w:p>
      <w:pPr>
        <w:pStyle w:val="BodyText"/>
        <w:spacing w:line="240" w:lineRule="auto" w:before="10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528,897.87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23,093,506.44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41,061,057.63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23,426,839.77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41,589,955.50</w:t>
            </w:r>
          </w:p>
        </w:tc>
      </w:tr>
    </w:tbl>
    <w:p>
      <w:pPr>
        <w:pStyle w:val="BodyText"/>
        <w:spacing w:line="240" w:lineRule="auto" w:before="49"/>
        <w:ind w:right="1115"/>
        <w:jc w:val="left"/>
      </w:pPr>
      <w:r>
        <w:rPr/>
        <w:t>短期应付债券的增减变动：</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BodyText"/>
        <w:spacing w:line="240" w:lineRule="auto" w:before="39"/>
        <w:ind w:right="1115"/>
        <w:jc w:val="left"/>
      </w:pPr>
      <w:r>
        <w:rPr/>
        <w:t>其他流动负债</w:t>
      </w:r>
      <w:r>
        <w:rPr>
          <w:rFonts w:ascii="Times New Roman" w:hAnsi="Times New Roman" w:cs="Times New Roman" w:eastAsia="Times New Roman" w:hint="default"/>
        </w:rPr>
        <w:t>-</w:t>
      </w:r>
      <w:r>
        <w:rPr/>
        <w:t>政府补助，系与资产相关的政府补助将在一年内转入营业外收入的金额。</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15,941,535.30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15,218,201.83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预提完工项目质保费</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15,941,535.30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15,218,201.83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其他说明，包括重要预计负债的相关重要假设、估计说明：</w:t>
      </w:r>
    </w:p>
    <w:p>
      <w:pPr>
        <w:pStyle w:val="BodyText"/>
        <w:spacing w:line="300" w:lineRule="auto" w:before="115"/>
        <w:ind w:left="866" w:right="1160"/>
        <w:jc w:val="left"/>
      </w:pPr>
      <w:r>
        <w:rPr/>
        <w:t>预计负债说明：自动化物流系统质保费是根据当期所交付的工业生产型物流系统项目收入总额的</w:t>
      </w:r>
      <w:r>
        <w:rPr>
          <w:rFonts w:ascii="Times New Roman" w:hAnsi="Times New Roman" w:cs="Times New Roman" w:eastAsia="Times New Roman" w:hint="default"/>
        </w:rPr>
        <w:t>1%</w:t>
      </w:r>
      <w:r>
        <w:rPr/>
        <w:t>以及商业配送 物流系统集成项目收入的</w:t>
      </w:r>
      <w:r>
        <w:rPr>
          <w:rFonts w:ascii="Times New Roman" w:hAnsi="Times New Roman" w:cs="Times New Roman" w:eastAsia="Times New Roman" w:hint="default"/>
        </w:rPr>
        <w:t>1.5%</w:t>
      </w:r>
      <w:r>
        <w:rPr/>
        <w:t>予以计提，用于列支该项目在质保期内实际发生的质保费用。</w:t>
      </w:r>
    </w:p>
    <w:p>
      <w:pPr>
        <w:spacing w:line="240" w:lineRule="auto" w:before="4"/>
        <w:rPr>
          <w:rFonts w:ascii="宋体" w:hAnsi="宋体" w:cs="宋体" w:eastAsia="宋体" w:hint="default"/>
          <w:sz w:val="22"/>
          <w:szCs w:val="22"/>
        </w:rPr>
      </w:pPr>
    </w:p>
    <w:p>
      <w:pPr>
        <w:pStyle w:val="Heading5"/>
        <w:spacing w:line="240" w:lineRule="auto"/>
        <w:ind w:right="1115"/>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13,306,901.38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5,156,901.38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与资产相关的政府 补助</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13,306,901.38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5,156,901.38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涉及政府补助的项目：</w:t>
      </w:r>
    </w:p>
    <w:p>
      <w:pPr>
        <w:pStyle w:val="BodyText"/>
        <w:spacing w:line="240" w:lineRule="auto" w:before="115"/>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4"/>
        <w:gridCol w:w="1063"/>
        <w:gridCol w:w="1064"/>
        <w:gridCol w:w="1063"/>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5"/>
              <w:jc w:val="righ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9"/>
              <w:jc w:val="right"/>
              <w:rPr>
                <w:rFonts w:ascii="宋体" w:hAnsi="宋体" w:cs="宋体" w:eastAsia="宋体" w:hint="default"/>
                <w:sz w:val="18"/>
                <w:szCs w:val="18"/>
              </w:rPr>
            </w:pPr>
            <w:r>
              <w:rPr>
                <w:rFonts w:ascii="宋体" w:hAnsi="宋体" w:cs="宋体" w:eastAsia="宋体" w:hint="default"/>
                <w:sz w:val="18"/>
                <w:szCs w:val="18"/>
              </w:rPr>
              <w:t>今天国际物</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22,231.21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22,231.21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4"/>
        <w:gridCol w:w="1063"/>
        <w:gridCol w:w="1064"/>
        <w:gridCol w:w="1063"/>
      </w:tblGrid>
      <w:tr>
        <w:trPr>
          <w:trHeight w:val="129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9"/>
              <w:jc w:val="both"/>
              <w:rPr>
                <w:rFonts w:ascii="宋体" w:hAnsi="宋体" w:cs="宋体" w:eastAsia="宋体" w:hint="default"/>
                <w:sz w:val="18"/>
                <w:szCs w:val="18"/>
              </w:rPr>
            </w:pPr>
            <w:r>
              <w:rPr>
                <w:rFonts w:ascii="宋体" w:hAnsi="宋体" w:cs="宋体" w:eastAsia="宋体" w:hint="default"/>
                <w:sz w:val="18"/>
                <w:szCs w:val="18"/>
              </w:rPr>
              <w:t>流系统集成 平台产业化 项目补助资 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深圳市仓储 智能化工程 技术研究开 发中心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483,333.33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506,666.66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173,333.33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自动搬运机 器人产业化 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智能物流装 备及软件产 业化项目专 项贷款财政 贴息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4,823,568.05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588,125.00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-4,235,443.05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技术研发中 心及产品试 验基地建设 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现代物流高 频率移动拣 选系统研发 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154,029,600.00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123,223,680.00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123,223,680.00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277,253,280.00</w:t>
            </w:r>
          </w:p>
        </w:tc>
      </w:tr>
    </w:tbl>
    <w:p>
      <w:pPr>
        <w:pStyle w:val="BodyText"/>
        <w:spacing w:line="240" w:lineRule="auto" w:before="49"/>
        <w:ind w:right="1115"/>
        <w:jc w:val="left"/>
      </w:pPr>
      <w:r>
        <w:rPr/>
        <w:t>其他说明：</w:t>
      </w:r>
    </w:p>
    <w:p>
      <w:pPr>
        <w:pStyle w:val="BodyText"/>
        <w:spacing w:line="240" w:lineRule="auto" w:before="115"/>
        <w:ind w:right="1115"/>
        <w:jc w:val="left"/>
      </w:pPr>
      <w:r>
        <w:rPr/>
        <w:t>本公司本期按每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股的比例，以资本公积向全体股东转增股份总额</w:t>
      </w:r>
      <w:r>
        <w:rPr>
          <w:rFonts w:ascii="Times New Roman" w:hAnsi="Times New Roman" w:cs="Times New Roman" w:eastAsia="Times New Roman" w:hint="default"/>
        </w:rPr>
        <w:t>12,322.368</w:t>
      </w:r>
      <w:r>
        <w:rPr/>
        <w:t>万股</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每股面值</w:t>
      </w:r>
      <w:r>
        <w:rPr>
          <w:rFonts w:ascii="Times New Roman" w:hAnsi="Times New Roman" w:cs="Times New Roman" w:eastAsia="Times New Roman" w:hint="default"/>
        </w:rPr>
        <w:t>1.00</w:t>
      </w:r>
      <w:r>
        <w:rPr/>
        <w:t>元，增加股本</w:t>
      </w:r>
    </w:p>
    <w:p>
      <w:pPr>
        <w:pStyle w:val="BodyText"/>
        <w:spacing w:line="240" w:lineRule="auto" w:before="62"/>
        <w:ind w:right="1115"/>
        <w:jc w:val="left"/>
      </w:pPr>
      <w:r>
        <w:rPr>
          <w:rFonts w:ascii="Times New Roman" w:hAnsi="Times New Roman" w:cs="Times New Roman" w:eastAsia="Times New Roman" w:hint="default"/>
        </w:rPr>
        <w:t>12,322.368</w:t>
      </w:r>
      <w:r>
        <w:rPr/>
        <w:t>万元，减少资本公积</w:t>
      </w:r>
      <w:r>
        <w:rPr>
          <w:rFonts w:ascii="Times New Roman" w:hAnsi="Times New Roman" w:cs="Times New Roman" w:eastAsia="Times New Roman" w:hint="default"/>
        </w:rPr>
        <w:t>12,322.368</w:t>
      </w:r>
      <w:r>
        <w:rPr/>
        <w:t>万元。</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3"/>
        <w:gridCol w:w="1064"/>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15"/>
        <w:jc w:val="left"/>
      </w:pPr>
      <w:r>
        <w:rPr/>
        <w:t>其他权益工具本期增减变动情况、变动原因说明，以及相关会计处理的依据：</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338,308,360.35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5,652,482.40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124,442,190.39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219,518,652.36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9,450,864.00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3,001,871.16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5,652,482.40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6,800,252.76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347,759,224.35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8,654,353.56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130,094,672.79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226,318,905.12</w:t>
            </w:r>
          </w:p>
        </w:tc>
      </w:tr>
    </w:tbl>
    <w:p>
      <w:pPr>
        <w:pStyle w:val="BodyText"/>
        <w:spacing w:line="338" w:lineRule="auto" w:before="49"/>
        <w:ind w:right="6614"/>
        <w:jc w:val="left"/>
      </w:pPr>
      <w:r>
        <w:rPr/>
        <w:t>其他说明，包括本期增减变动情况、变动原因说明： 本期增减变动情况说明： </w:t>
      </w:r>
      <w:r>
        <w:rPr>
          <w:rFonts w:ascii="宋体" w:hAnsi="宋体" w:cs="宋体" w:eastAsia="宋体" w:hint="default"/>
        </w:rPr>
        <w:t>1</w:t>
      </w:r>
      <w:r>
        <w:rPr/>
        <w:t>、本期资本公积增加情况说明</w:t>
      </w:r>
    </w:p>
    <w:p>
      <w:pPr>
        <w:pStyle w:val="BodyText"/>
        <w:spacing w:line="240" w:lineRule="auto" w:before="2"/>
        <w:ind w:right="1115"/>
        <w:jc w:val="left"/>
      </w:pPr>
      <w:r>
        <w:rPr/>
        <w:t>（</w:t>
      </w:r>
      <w:r>
        <w:rPr>
          <w:rFonts w:ascii="宋体" w:hAnsi="宋体" w:cs="宋体" w:eastAsia="宋体" w:hint="default"/>
        </w:rPr>
        <w:t>1</w:t>
      </w:r>
      <w:r>
        <w:rPr/>
        <w:t>）本期以权益结算的股份支付计入资本公积的累计金额</w:t>
      </w:r>
      <w:r>
        <w:rPr>
          <w:rFonts w:ascii="宋体" w:hAnsi="宋体" w:cs="宋体" w:eastAsia="宋体" w:hint="default"/>
        </w:rPr>
        <w:t>2,060,279.00</w:t>
      </w:r>
      <w:r>
        <w:rPr/>
        <w:t>元。</w:t>
      </w:r>
    </w:p>
    <w:p>
      <w:pPr>
        <w:pStyle w:val="BodyText"/>
        <w:spacing w:line="240" w:lineRule="auto" w:before="77"/>
        <w:ind w:right="1115"/>
        <w:jc w:val="left"/>
      </w:pPr>
      <w:r>
        <w:rPr/>
        <w:t>（</w:t>
      </w:r>
      <w:r>
        <w:rPr>
          <w:rFonts w:ascii="宋体" w:hAnsi="宋体" w:cs="宋体" w:eastAsia="宋体" w:hint="default"/>
        </w:rPr>
        <w:t>2</w:t>
      </w:r>
      <w:r>
        <w:rPr/>
        <w:t>）本期解禁限制性股票，增加股本溢价</w:t>
      </w:r>
      <w:r>
        <w:rPr>
          <w:rFonts w:ascii="宋体" w:hAnsi="宋体" w:cs="宋体" w:eastAsia="宋体" w:hint="default"/>
        </w:rPr>
        <w:t>5,652,482.40</w:t>
      </w:r>
      <w:r>
        <w:rPr/>
        <w:t>元。</w:t>
      </w:r>
    </w:p>
    <w:p>
      <w:pPr>
        <w:pStyle w:val="BodyText"/>
        <w:spacing w:line="316" w:lineRule="auto" w:before="76"/>
        <w:ind w:right="1124"/>
        <w:jc w:val="left"/>
      </w:pPr>
      <w:r>
        <w:rPr/>
        <w:t>（</w:t>
      </w:r>
      <w:r>
        <w:rPr>
          <w:rFonts w:ascii="宋体" w:hAnsi="宋体" w:cs="宋体" w:eastAsia="宋体" w:hint="default"/>
        </w:rPr>
        <w:t>3</w:t>
      </w:r>
      <w:r>
        <w:rPr/>
        <w:t>）联营单位深圳市科佛科技有限公司其他股东增资，除净损益、其他综合收益和利润分配以外所有者权益的其他变动金 额</w:t>
      </w:r>
      <w:r>
        <w:rPr>
          <w:rFonts w:ascii="宋体" w:hAnsi="宋体" w:cs="宋体" w:eastAsia="宋体" w:hint="default"/>
        </w:rPr>
        <w:t>941,592.16</w:t>
      </w:r>
      <w:r>
        <w:rPr/>
        <w:t>元增加资本公积。</w:t>
      </w:r>
    </w:p>
    <w:p>
      <w:pPr>
        <w:pStyle w:val="BodyText"/>
        <w:spacing w:line="240" w:lineRule="auto" w:before="19"/>
        <w:ind w:right="1115"/>
        <w:jc w:val="left"/>
      </w:pPr>
      <w:r>
        <w:rPr>
          <w:rFonts w:ascii="宋体" w:hAnsi="宋体" w:cs="宋体" w:eastAsia="宋体" w:hint="default"/>
        </w:rPr>
        <w:t>2</w:t>
      </w:r>
      <w:r>
        <w:rPr/>
        <w:t>、本期资本公积减少情况说明</w:t>
      </w:r>
    </w:p>
    <w:p>
      <w:pPr>
        <w:pStyle w:val="BodyText"/>
        <w:spacing w:line="316" w:lineRule="auto" w:before="76"/>
        <w:ind w:right="1117"/>
        <w:jc w:val="left"/>
      </w:pPr>
      <w:r>
        <w:rPr/>
        <w:t>（</w:t>
      </w:r>
      <w:r>
        <w:rPr>
          <w:rFonts w:ascii="宋体" w:hAnsi="宋体" w:cs="宋体" w:eastAsia="宋体" w:hint="default"/>
        </w:rPr>
        <w:t>1</w:t>
      </w:r>
      <w:r>
        <w:rPr/>
        <w:t>）本公司本期按每</w:t>
      </w:r>
      <w:r>
        <w:rPr>
          <w:rFonts w:ascii="宋体" w:hAnsi="宋体" w:cs="宋体" w:eastAsia="宋体" w:hint="default"/>
        </w:rPr>
        <w:t>10</w:t>
      </w:r>
      <w:r>
        <w:rPr/>
        <w:t>股转增</w:t>
      </w:r>
      <w:r>
        <w:rPr>
          <w:rFonts w:ascii="宋体" w:hAnsi="宋体" w:cs="宋体" w:eastAsia="宋体" w:hint="default"/>
        </w:rPr>
        <w:t>8</w:t>
      </w:r>
      <w:r>
        <w:rPr/>
        <w:t>股的比例，以资本公积向全体股东转增股份总额</w:t>
      </w:r>
      <w:r>
        <w:rPr>
          <w:rFonts w:ascii="宋体" w:hAnsi="宋体" w:cs="宋体" w:eastAsia="宋体" w:hint="default"/>
        </w:rPr>
        <w:t>12,322.368</w:t>
      </w:r>
      <w:r>
        <w:rPr/>
        <w:t>万股</w:t>
      </w:r>
      <w:r>
        <w:rPr>
          <w:rFonts w:ascii="宋体" w:hAnsi="宋体" w:cs="宋体" w:eastAsia="宋体" w:hint="default"/>
        </w:rPr>
        <w:t>,</w:t>
      </w:r>
      <w:r>
        <w:rPr>
          <w:rFonts w:ascii="宋体" w:hAnsi="宋体" w:cs="宋体" w:eastAsia="宋体" w:hint="default"/>
          <w:spacing w:val="-44"/>
        </w:rPr>
        <w:t> </w:t>
      </w:r>
      <w:r>
        <w:rPr>
          <w:spacing w:val="-3"/>
        </w:rPr>
        <w:t>每股面值</w:t>
      </w:r>
      <w:r>
        <w:rPr>
          <w:rFonts w:ascii="宋体" w:hAnsi="宋体" w:cs="宋体" w:eastAsia="宋体" w:hint="default"/>
          <w:spacing w:val="-3"/>
        </w:rPr>
        <w:t>1.00</w:t>
      </w:r>
      <w:r>
        <w:rPr>
          <w:spacing w:val="-3"/>
        </w:rPr>
        <w:t>元，增加股</w:t>
      </w:r>
      <w:r>
        <w:rPr/>
        <w:t> 本</w:t>
      </w:r>
      <w:r>
        <w:rPr>
          <w:rFonts w:ascii="宋体" w:hAnsi="宋体" w:cs="宋体" w:eastAsia="宋体" w:hint="default"/>
        </w:rPr>
        <w:t>12,322.368</w:t>
      </w:r>
      <w:r>
        <w:rPr/>
        <w:t>万元，减少资本公积</w:t>
      </w:r>
      <w:r>
        <w:rPr>
          <w:rFonts w:ascii="宋体" w:hAnsi="宋体" w:cs="宋体" w:eastAsia="宋体" w:hint="default"/>
        </w:rPr>
        <w:t>12,322.368</w:t>
      </w:r>
      <w:r>
        <w:rPr/>
        <w:t>万元。</w:t>
      </w:r>
    </w:p>
    <w:p>
      <w:pPr>
        <w:pStyle w:val="BodyText"/>
        <w:spacing w:line="240" w:lineRule="auto" w:before="19"/>
        <w:ind w:right="1115"/>
        <w:jc w:val="left"/>
      </w:pPr>
      <w:r>
        <w:rPr/>
        <w:t>（</w:t>
      </w:r>
      <w:r>
        <w:rPr>
          <w:rFonts w:ascii="宋体" w:hAnsi="宋体" w:cs="宋体" w:eastAsia="宋体" w:hint="default"/>
        </w:rPr>
        <w:t>2</w:t>
      </w:r>
      <w:r>
        <w:rPr/>
        <w:t>）本期解禁限制性股票，减少其他资本公积</w:t>
      </w:r>
      <w:r>
        <w:rPr>
          <w:rFonts w:ascii="宋体" w:hAnsi="宋体" w:cs="宋体" w:eastAsia="宋体" w:hint="default"/>
        </w:rPr>
        <w:t>5,652,482.40</w:t>
      </w:r>
      <w:r>
        <w:rPr/>
        <w:t>元。</w:t>
      </w:r>
    </w:p>
    <w:p>
      <w:pPr>
        <w:pStyle w:val="BodyText"/>
        <w:spacing w:line="316" w:lineRule="auto" w:before="76"/>
        <w:ind w:right="1124"/>
        <w:jc w:val="left"/>
      </w:pPr>
      <w:r>
        <w:rPr>
          <w:spacing w:val="-2"/>
        </w:rPr>
        <w:t>（</w:t>
      </w:r>
      <w:r>
        <w:rPr>
          <w:rFonts w:ascii="宋体" w:hAnsi="宋体" w:cs="宋体" w:eastAsia="宋体" w:hint="default"/>
          <w:spacing w:val="-2"/>
        </w:rPr>
        <w:t>3</w:t>
      </w:r>
      <w:r>
        <w:rPr>
          <w:spacing w:val="-2"/>
        </w:rPr>
        <w:t>）收购子公司北京今天华迅智能技术有限公司少数股东权益，收购价款与净资产份额的差额</w:t>
      </w:r>
      <w:r>
        <w:rPr>
          <w:rFonts w:ascii="宋体" w:hAnsi="宋体" w:cs="宋体" w:eastAsia="宋体" w:hint="default"/>
          <w:spacing w:val="-2"/>
        </w:rPr>
        <w:t>1,218,510.39</w:t>
      </w:r>
      <w:r>
        <w:rPr>
          <w:rFonts w:ascii="宋体" w:hAnsi="宋体" w:cs="宋体" w:eastAsia="宋体" w:hint="default"/>
          <w:spacing w:val="24"/>
        </w:rPr>
        <w:t> </w:t>
      </w:r>
      <w:r>
        <w:rPr>
          <w:spacing w:val="-1"/>
        </w:rPr>
        <w:t>元冲减资本公</w:t>
      </w:r>
      <w:r>
        <w:rPr>
          <w:spacing w:val="-87"/>
        </w:rPr>
        <w:t> </w:t>
      </w:r>
      <w:r>
        <w:rPr>
          <w:spacing w:val="-87"/>
        </w:rPr>
      </w:r>
      <w:r>
        <w:rPr/>
        <w:t>积。</w:t>
      </w:r>
    </w:p>
    <w:p>
      <w:pPr>
        <w:spacing w:line="240" w:lineRule="auto" w:before="10"/>
        <w:rPr>
          <w:rFonts w:ascii="宋体" w:hAnsi="宋体" w:cs="宋体" w:eastAsia="宋体" w:hint="default"/>
          <w:sz w:val="22"/>
          <w:szCs w:val="22"/>
        </w:rPr>
      </w:pPr>
    </w:p>
    <w:p>
      <w:pPr>
        <w:pStyle w:val="Heading5"/>
        <w:spacing w:line="240" w:lineRule="auto"/>
        <w:ind w:right="1115"/>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49,800,960.00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9,928,512.00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39,872,448.00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49,800,960.00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9,928,512.00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39,872,448.00</w:t>
            </w:r>
          </w:p>
        </w:tc>
      </w:tr>
    </w:tbl>
    <w:p>
      <w:pPr>
        <w:pStyle w:val="BodyText"/>
        <w:spacing w:line="357" w:lineRule="auto" w:before="49"/>
        <w:ind w:left="866" w:right="4685" w:hanging="714"/>
        <w:jc w:val="left"/>
      </w:pPr>
      <w:r>
        <w:rPr/>
        <w:t>其他说明，包括本期增减变动情况、变动原因说明： 本期解禁限制性股票共计</w:t>
      </w:r>
      <w:r>
        <w:rPr>
          <w:rFonts w:ascii="Times New Roman" w:hAnsi="Times New Roman" w:cs="Times New Roman" w:eastAsia="Times New Roman" w:hint="default"/>
        </w:rPr>
        <w:t>564,120.00</w:t>
      </w:r>
      <w:r>
        <w:rPr/>
        <w:t>股，冲减库存股</w:t>
      </w:r>
      <w:r>
        <w:rPr>
          <w:rFonts w:ascii="Times New Roman" w:hAnsi="Times New Roman" w:cs="Times New Roman" w:eastAsia="Times New Roman" w:hint="default"/>
        </w:rPr>
        <w:t>9,928,512.00</w:t>
      </w:r>
      <w:r>
        <w:rPr/>
        <w:t>元。</w:t>
      </w:r>
    </w:p>
    <w:p>
      <w:pPr>
        <w:spacing w:after="0" w:line="357"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8"/>
        <w:gridCol w:w="1079"/>
        <w:gridCol w:w="936"/>
        <w:gridCol w:w="1152"/>
        <w:gridCol w:w="696"/>
        <w:gridCol w:w="994"/>
        <w:gridCol w:w="850"/>
        <w:gridCol w:w="1063"/>
      </w:tblGrid>
      <w:tr>
        <w:trPr>
          <w:trHeight w:val="403" w:hRule="exact"/>
        </w:trPr>
        <w:tc>
          <w:tcPr>
            <w:tcW w:w="2788" w:type="dxa"/>
            <w:vMerge w:val="restart"/>
            <w:tcBorders>
              <w:top w:val="single" w:sz="4" w:space="0" w:color="000000"/>
              <w:left w:val="single" w:sz="4" w:space="0" w:color="000000"/>
              <w:right w:val="single" w:sz="4" w:space="0" w:color="000000"/>
            </w:tcBorders>
            <w:shd w:val="clear" w:color="auto" w:fill="D2D2D2"/>
          </w:tcPr>
          <w:p>
            <w:pPr/>
          </w:p>
        </w:tc>
        <w:tc>
          <w:tcPr>
            <w:tcW w:w="10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62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5" w:hRule="exact"/>
        </w:trPr>
        <w:tc>
          <w:tcPr>
            <w:tcW w:w="2788" w:type="dxa"/>
            <w:vMerge/>
            <w:tcBorders>
              <w:left w:val="single" w:sz="4" w:space="0" w:color="000000"/>
              <w:bottom w:val="nil" w:sz="6" w:space="0" w:color="auto"/>
              <w:right w:val="single" w:sz="4" w:space="0" w:color="000000"/>
            </w:tcBorders>
            <w:shd w:val="clear" w:color="auto" w:fill="D2D2D2"/>
          </w:tcPr>
          <w:p>
            <w:pPr/>
          </w:p>
        </w:tc>
        <w:tc>
          <w:tcPr>
            <w:tcW w:w="1079"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19" w:hanging="51"/>
              <w:jc w:val="left"/>
              <w:rPr>
                <w:rFonts w:ascii="宋体" w:hAnsi="宋体" w:cs="宋体" w:eastAsia="宋体" w:hint="default"/>
                <w:sz w:val="18"/>
                <w:szCs w:val="18"/>
              </w:rPr>
            </w:pPr>
            <w:r>
              <w:rPr>
                <w:rFonts w:ascii="宋体" w:hAnsi="宋体" w:cs="宋体" w:eastAsia="宋体" w:hint="default"/>
                <w:spacing w:val="-20"/>
                <w:sz w:val="18"/>
                <w:szCs w:val="18"/>
              </w:rPr>
              <w:t>减：所得</w:t>
            </w:r>
            <w:r>
              <w:rPr>
                <w:rFonts w:ascii="宋体" w:hAnsi="宋体" w:cs="宋体" w:eastAsia="宋体" w:hint="default"/>
                <w:sz w:val="18"/>
                <w:szCs w:val="18"/>
              </w:rPr>
              <w:t> 税费用</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9" w:right="5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063" w:type="dxa"/>
            <w:vMerge/>
            <w:tcBorders>
              <w:left w:val="single" w:sz="4" w:space="0" w:color="000000"/>
              <w:right w:val="single" w:sz="4" w:space="0" w:color="000000"/>
            </w:tcBorders>
            <w:shd w:val="clear" w:color="auto" w:fill="D2D2D2"/>
          </w:tcPr>
          <w:p>
            <w:pPr/>
          </w:p>
        </w:tc>
      </w:tr>
      <w:tr>
        <w:trPr>
          <w:trHeight w:val="391" w:hRule="exact"/>
        </w:trPr>
        <w:tc>
          <w:tcPr>
            <w:tcW w:w="2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9"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696"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518" w:hRule="exact"/>
        </w:trPr>
        <w:tc>
          <w:tcPr>
            <w:tcW w:w="2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9"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696"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 收益</w:t>
            </w:r>
          </w:p>
        </w:tc>
        <w:tc>
          <w:tcPr>
            <w:tcW w:w="1079" w:type="dxa"/>
            <w:tcBorders>
              <w:top w:val="single" w:sz="4" w:space="0" w:color="000000"/>
              <w:left w:val="single" w:sz="12"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其中：重新计量设定受益计划变动 额</w:t>
            </w:r>
          </w:p>
        </w:tc>
        <w:tc>
          <w:tcPr>
            <w:tcW w:w="1079" w:type="dxa"/>
            <w:tcBorders>
              <w:top w:val="single" w:sz="4" w:space="0" w:color="000000"/>
              <w:left w:val="single" w:sz="12"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3" w:firstLine="540"/>
              <w:jc w:val="left"/>
              <w:rPr>
                <w:rFonts w:ascii="宋体" w:hAnsi="宋体" w:cs="宋体" w:eastAsia="宋体" w:hint="default"/>
                <w:sz w:val="18"/>
                <w:szCs w:val="18"/>
              </w:rPr>
            </w:pPr>
            <w:r>
              <w:rPr>
                <w:rFonts w:ascii="宋体" w:hAnsi="宋体" w:cs="宋体" w:eastAsia="宋体" w:hint="default"/>
                <w:sz w:val="18"/>
                <w:szCs w:val="18"/>
              </w:rPr>
              <w:t>权益法下不能转进损益的其 他综合收益</w:t>
            </w:r>
          </w:p>
        </w:tc>
        <w:tc>
          <w:tcPr>
            <w:tcW w:w="1079" w:type="dxa"/>
            <w:tcBorders>
              <w:top w:val="single" w:sz="4" w:space="0" w:color="000000"/>
              <w:left w:val="single" w:sz="12"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-508,568.50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401,037.36</w:t>
            </w:r>
          </w:p>
        </w:tc>
        <w:tc>
          <w:tcPr>
            <w:tcW w:w="115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401,037.36</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-107,531.14</w:t>
            </w:r>
          </w:p>
        </w:tc>
      </w:tr>
      <w:tr>
        <w:trPr>
          <w:trHeight w:val="715"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-19,927.65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59,450.12</w:t>
            </w:r>
          </w:p>
        </w:tc>
        <w:tc>
          <w:tcPr>
            <w:tcW w:w="115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59,450.12</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39,522.47</w:t>
            </w:r>
          </w:p>
        </w:tc>
      </w:tr>
      <w:tr>
        <w:trPr>
          <w:trHeight w:val="713"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9" w:type="dxa"/>
            <w:tcBorders>
              <w:top w:val="single" w:sz="4" w:space="0" w:color="000000"/>
              <w:left w:val="single" w:sz="12"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79" w:type="dxa"/>
            <w:tcBorders>
              <w:top w:val="single" w:sz="4" w:space="0" w:color="000000"/>
              <w:left w:val="single" w:sz="12"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79" w:type="dxa"/>
            <w:tcBorders>
              <w:top w:val="single" w:sz="4" w:space="0" w:color="000000"/>
              <w:left w:val="single" w:sz="12"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-488,640.85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341,587.24</w:t>
            </w:r>
          </w:p>
        </w:tc>
        <w:tc>
          <w:tcPr>
            <w:tcW w:w="115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341,587.24</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-147,053.61</w:t>
            </w:r>
          </w:p>
        </w:tc>
      </w:tr>
      <w:tr>
        <w:trPr>
          <w:trHeight w:val="401" w:hRule="exact"/>
        </w:trPr>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-508,568.50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401,037.36</w:t>
            </w:r>
          </w:p>
        </w:tc>
        <w:tc>
          <w:tcPr>
            <w:tcW w:w="115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401,037.36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4"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-107,531.14</w:t>
            </w:r>
          </w:p>
        </w:tc>
      </w:tr>
    </w:tbl>
    <w:p>
      <w:pPr>
        <w:pStyle w:val="BodyText"/>
        <w:spacing w:line="240" w:lineRule="auto" w:before="49"/>
        <w:ind w:right="1115"/>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43,174,929.12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1,835,660.96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45,010,590.08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43,174,929.12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1,835,660.96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45,010,590.08</w:t>
            </w:r>
          </w:p>
        </w:tc>
      </w:tr>
    </w:tbl>
    <w:p>
      <w:pPr>
        <w:pStyle w:val="BodyText"/>
        <w:spacing w:line="360" w:lineRule="auto" w:before="49"/>
        <w:ind w:right="6254"/>
        <w:jc w:val="left"/>
      </w:pPr>
      <w:r>
        <w:rPr/>
        <w:t>盈余公积说明，包括本期增减变动情况、变动原因说明： 本公司根据当年实现净利润的</w:t>
      </w:r>
      <w:r>
        <w:rPr>
          <w:rFonts w:ascii="Times New Roman" w:hAnsi="Times New Roman" w:cs="Times New Roman" w:eastAsia="Times New Roman" w:hint="default"/>
        </w:rPr>
        <w:t>10%</w:t>
      </w:r>
      <w:r>
        <w:rPr/>
        <w:t>提取法定盈余公积。</w:t>
      </w:r>
    </w:p>
    <w:p>
      <w:pPr>
        <w:spacing w:after="0" w:line="36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289,439,097.51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254,864,170.05</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289,439,097.51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254,864,170.05</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18,219,848.27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93,204,793.30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1,835,660.96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8,229,865.84</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45,866,628.00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50,400,000.00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259,956,656.82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289,439,097.51</w:t>
            </w:r>
          </w:p>
        </w:tc>
      </w:tr>
    </w:tbl>
    <w:p>
      <w:pPr>
        <w:pStyle w:val="BodyText"/>
        <w:spacing w:line="240" w:lineRule="auto" w:before="49"/>
        <w:ind w:right="1115"/>
        <w:jc w:val="left"/>
      </w:pPr>
      <w:r>
        <w:rPr/>
        <w:t>调整期初未分配利润明细：</w:t>
      </w:r>
    </w:p>
    <w:p>
      <w:pPr>
        <w:pStyle w:val="BodyText"/>
        <w:spacing w:line="240" w:lineRule="auto" w:before="115"/>
        <w:ind w:right="1115"/>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15"/>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15"/>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15"/>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15"/>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414,544,935.47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271,794,706.33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568,291,999.88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359,515,045.75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1,602,373.40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635,972.76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1,325,745.13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649,382.21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416,147,308.87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272,430,679.09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569,617,745.01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360,164,427.96</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298,178.61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2,713,831.87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212,984.72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1,938,451.33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523,101.22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287,350.05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57,014.69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55,835.07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23,452.12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856,856.88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375,162.62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1,971,588.24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5,391,630.94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14,351,874.41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11,784,742.46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170,651.14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94,214.42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8,413,567.69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6,610,436.79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574,847.22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341,514.57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7,434,739.92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6,101,556.68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3,742,313.33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2,713,642.61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4,861,367.67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742,478.12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11,629.15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1,284,623.87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635,944.54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1,249,657.66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1,341,313.28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1,555,636.86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861,457.66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43,639,279.77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31,238,930.28</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32,825,022.56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23,268,935.54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3,646,597.42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3,167,694.06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1,882,148.26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2,076,123.54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5,659,824.31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4,118,369.80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1,118,364.01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977,715.85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3,551,737.19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2,611,666.54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4,131,594.25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2,713,817.34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989,918.72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1,042,642.85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3,293,315.38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1,743,693.06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2,607,585.79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限制性股票成本摊销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2,060,279.00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9,450,864.00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1,159,525.84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1,193,812.13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60,318,326.94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54,972,920.50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31,777,694.79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22,635,965.31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研发外购材料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5,329,134.28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3,146,877.80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3,199,593.41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2,244,100.26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692,212.95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1,051,245.33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324,908.22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412,545.11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133,873.99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119,861.79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378,348.92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272,678.19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758,580.37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786,627.96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42,594,346.93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30,669,901.75</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1,583,216.97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1,871,104.57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166,875.72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62,392.19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75,472.18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216,887.80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-780,611.45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319,945.86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-2,272,424.88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-1,705,654.32</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-3,552,571.88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5,051,336.15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-3,552,571.88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5,051,336.15</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5,267,128.03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5,953,119.17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深圳市交通运输委员会</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年物博会参 展商展补贴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56,323.00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深圳市交通运输委员会</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年物博会参 展商展补贴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17,962.56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307,362.35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年企业研究 开发资助计划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年第七批产业转型升级专项资金项 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1,743,900.00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年企业研究 开发资助计划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年第八次产业转型升级专项扶持资 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深圳市软件行业协会软博会参展展位补 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年国家高新技术企业认定奖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深圳市社会保险基金管理局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年度社 保稳岗补贴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43,816.17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生育津贴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81,739.83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3,838,088.39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3,077,313.42</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3,725,550.47</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购买短期理财产品收益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2,668,640.52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5,288,905.04</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6,506,728.91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12,091,768.93</w:t>
            </w:r>
          </w:p>
        </w:tc>
      </w:tr>
    </w:tbl>
    <w:p>
      <w:pPr>
        <w:pStyle w:val="BodyText"/>
        <w:spacing w:line="240" w:lineRule="auto" w:before="49"/>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15"/>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106,401.42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50,017.56</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528,897.87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6,891,485.46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528,897.87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2,624.64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19,247.52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2,624.64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531,522.51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6,910,732.98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531,522.51</w:t>
            </w:r>
          </w:p>
        </w:tc>
      </w:tr>
    </w:tbl>
    <w:p>
      <w:pPr>
        <w:pStyle w:val="BodyText"/>
        <w:spacing w:line="240" w:lineRule="auto" w:before="49"/>
        <w:ind w:right="1115"/>
        <w:jc w:val="left"/>
      </w:pPr>
      <w:r>
        <w:rPr/>
        <w:t>计入当期损益的政府补助：</w:t>
      </w:r>
    </w:p>
    <w:p>
      <w:pPr>
        <w:pStyle w:val="BodyText"/>
        <w:spacing w:line="240" w:lineRule="auto" w:before="115"/>
        <w:ind w:right="1131"/>
        <w:jc w:val="right"/>
      </w:pPr>
      <w:r>
        <w:rPr/>
        <w:t>单位：</w:t>
      </w:r>
      <w:r>
        <w:rPr>
          <w:spacing w:val="1"/>
        </w:rPr>
        <w:t> </w:t>
      </w:r>
      <w:r>
        <w:rPr/>
        <w:t>元</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80" w:top="1060" w:bottom="1160" w:left="980" w:right="0"/>
        </w:sectPr>
      </w:pPr>
    </w:p>
    <w:p>
      <w:pPr>
        <w:pStyle w:val="BodyText"/>
        <w:spacing w:line="196" w:lineRule="exact" w:before="44"/>
        <w:ind w:left="0" w:right="0"/>
        <w:jc w:val="right"/>
      </w:pPr>
      <w:r>
        <w:rPr/>
        <w:pict>
          <v:group style="position:absolute;margin-left:56.400002pt;margin-top:-.968295pt;width:479.05pt;height:402.45pt;mso-position-horizontal-relative:page;mso-position-vertical-relative:paragraph;z-index:-893848" coordorigin="1128,-19" coordsize="9581,8049">
            <v:group style="position:absolute;left:1140;top:-5;width:1407;height:704" coordorigin="1140,-5" coordsize="1407,704">
              <v:shape style="position:absolute;left:1140;top:-5;width:1407;height:704" coordorigin="1140,-5" coordsize="1407,704" path="m1140,698l2547,698,2547,-5,1140,-5,1140,698xe" filled="true" fillcolor="#d2d2d2" stroked="false">
                <v:path arrowok="t"/>
                <v:fill type="solid"/>
              </v:shape>
            </v:group>
            <v:group style="position:absolute;left:1162;top:151;width:1364;height:392" coordorigin="1162,151" coordsize="1364,392">
              <v:shape style="position:absolute;left:1162;top:151;width:1364;height:392" coordorigin="1162,151" coordsize="1364,392" path="m1162,542l2525,542,2525,151,1162,151,1162,542xe" filled="true" fillcolor="#d2d2d2" stroked="false">
                <v:path arrowok="t"/>
                <v:fill type="solid"/>
              </v:shape>
            </v:group>
            <v:group style="position:absolute;left:2556;top:-5;width:1126;height:704" coordorigin="2556,-5" coordsize="1126,704">
              <v:shape style="position:absolute;left:2556;top:-5;width:1126;height:704" coordorigin="2556,-5" coordsize="1126,704" path="m2556,698l3682,698,3682,-5,2556,-5,2556,698xe" filled="true" fillcolor="#d2d2d2" stroked="false">
                <v:path arrowok="t"/>
                <v:fill type="solid"/>
              </v:shape>
            </v:group>
            <v:group style="position:absolute;left:2580;top:151;width:1078;height:392" coordorigin="2580,151" coordsize="1078,392">
              <v:shape style="position:absolute;left:2580;top:151;width:1078;height:392" coordorigin="2580,151" coordsize="1078,392" path="m2580,542l3658,542,3658,151,2580,151,2580,542xe" filled="true" fillcolor="#d2d2d2" stroked="false">
                <v:path arrowok="t"/>
                <v:fill type="solid"/>
              </v:shape>
            </v:group>
            <v:group style="position:absolute;left:3692;top:-5;width:558;height:704" coordorigin="3692,-5" coordsize="558,704">
              <v:shape style="position:absolute;left:3692;top:-5;width:558;height:704" coordorigin="3692,-5" coordsize="558,704" path="m3692,698l4249,698,4249,-5,3692,-5,3692,698xe" filled="true" fillcolor="#d2d2d2" stroked="false">
                <v:path arrowok="t"/>
                <v:fill type="solid"/>
              </v:shape>
            </v:group>
            <v:group style="position:absolute;left:3713;top:-5;width:512;height:353" coordorigin="3713,-5" coordsize="512,353">
              <v:shape style="position:absolute;left:3713;top:-5;width:512;height:353" coordorigin="3713,-5" coordsize="512,353" path="m3713,348l4225,348,4225,-5,3713,-5,3713,348xe" filled="true" fillcolor="#d2d2d2" stroked="false">
                <v:path arrowok="t"/>
                <v:fill type="solid"/>
              </v:shape>
            </v:group>
            <v:group style="position:absolute;left:3713;top:348;width:512;height:351" coordorigin="3713,348" coordsize="512,351">
              <v:shape style="position:absolute;left:3713;top:348;width:512;height:351" coordorigin="3713,348" coordsize="512,351" path="m3713,698l4225,698,4225,348,3713,348,3713,698xe" filled="true" fillcolor="#d2d2d2" stroked="false">
                <v:path arrowok="t"/>
                <v:fill type="solid"/>
              </v:shape>
            </v:group>
            <v:group style="position:absolute;left:4259;top:-5;width:1407;height:704" coordorigin="4259,-5" coordsize="1407,704">
              <v:shape style="position:absolute;left:4259;top:-5;width:1407;height:704" coordorigin="4259,-5" coordsize="1407,704" path="m4259,698l5665,698,5665,-5,4259,-5,4259,698xe" filled="true" fillcolor="#d2d2d2" stroked="false">
                <v:path arrowok="t"/>
                <v:fill type="solid"/>
              </v:shape>
            </v:group>
            <v:group style="position:absolute;left:4283;top:151;width:1361;height:392" coordorigin="4283,151" coordsize="1361,392">
              <v:shape style="position:absolute;left:4283;top:151;width:1361;height:392" coordorigin="4283,151" coordsize="1361,392" path="m4283,542l5643,542,5643,151,4283,151,4283,542xe" filled="true" fillcolor="#d2d2d2" stroked="false">
                <v:path arrowok="t"/>
                <v:fill type="solid"/>
              </v:shape>
            </v:group>
            <v:group style="position:absolute;left:5677;top:-5;width:1124;height:704" coordorigin="5677,-5" coordsize="1124,704">
              <v:shape style="position:absolute;left:5677;top:-5;width:1124;height:704" coordorigin="5677,-5" coordsize="1124,704" path="m5677,698l6801,698,6801,-5,5677,-5,5677,698xe" filled="true" fillcolor="#d2d2d2" stroked="false">
                <v:path arrowok="t"/>
                <v:fill type="solid"/>
              </v:shape>
            </v:group>
            <v:group style="position:absolute;left:5699;top:-5;width:1079;height:353" coordorigin="5699,-5" coordsize="1079,353">
              <v:shape style="position:absolute;left:5699;top:-5;width:1079;height:353" coordorigin="5699,-5" coordsize="1079,353" path="m5699,348l6777,348,6777,-5,5699,-5,5699,348xe" filled="true" fillcolor="#d2d2d2" stroked="false">
                <v:path arrowok="t"/>
                <v:fill type="solid"/>
              </v:shape>
            </v:group>
            <v:group style="position:absolute;left:5699;top:348;width:1079;height:351" coordorigin="5699,348" coordsize="1079,351">
              <v:shape style="position:absolute;left:5699;top:348;width:1079;height:351" coordorigin="5699,348" coordsize="1079,351" path="m5699,698l6777,698,6777,348,5699,348,5699,698xe" filled="true" fillcolor="#d2d2d2" stroked="false">
                <v:path arrowok="t"/>
                <v:fill type="solid"/>
              </v:shape>
            </v:group>
            <v:group style="position:absolute;left:6810;top:-5;width:843;height:704" coordorigin="6810,-5" coordsize="843,704">
              <v:shape style="position:absolute;left:6810;top:-5;width:843;height:704" coordorigin="6810,-5" coordsize="843,704" path="m6810,698l7653,698,7653,-5,6810,-5,6810,698xe" filled="true" fillcolor="#d2d2d2" stroked="false">
                <v:path arrowok="t"/>
                <v:fill type="solid"/>
              </v:shape>
            </v:group>
            <v:group style="position:absolute;left:6834;top:-5;width:795;height:353" coordorigin="6834,-5" coordsize="795,353">
              <v:shape style="position:absolute;left:6834;top:-5;width:795;height:353" coordorigin="6834,-5" coordsize="795,353" path="m6834,348l7629,348,7629,-5,6834,-5,6834,348xe" filled="true" fillcolor="#d2d2d2" stroked="false">
                <v:path arrowok="t"/>
                <v:fill type="solid"/>
              </v:shape>
            </v:group>
            <v:group style="position:absolute;left:6834;top:348;width:795;height:351" coordorigin="6834,348" coordsize="795,351">
              <v:shape style="position:absolute;left:6834;top:348;width:795;height:351" coordorigin="6834,348" coordsize="795,351" path="m6834,698l7629,698,7629,348,6834,348,6834,698xe" filled="true" fillcolor="#d2d2d2" stroked="false">
                <v:path arrowok="t"/>
                <v:fill type="solid"/>
              </v:shape>
            </v:group>
            <v:group style="position:absolute;left:7662;top:-5;width:912;height:704" coordorigin="7662,-5" coordsize="912,704">
              <v:shape style="position:absolute;left:7662;top:-5;width:912;height:704" coordorigin="7662,-5" coordsize="912,704" path="m7662,698l8574,698,8574,-5,7662,-5,7662,698xe" filled="true" fillcolor="#d2d2d2" stroked="false">
                <v:path arrowok="t"/>
                <v:fill type="solid"/>
              </v:shape>
            </v:group>
            <v:group style="position:absolute;left:7684;top:-5;width:867;height:353" coordorigin="7684,-5" coordsize="867,353">
              <v:shape style="position:absolute;left:7684;top:-5;width:867;height:353" coordorigin="7684,-5" coordsize="867,353" path="m7684,348l8550,348,8550,-5,7684,-5,7684,348xe" filled="true" fillcolor="#d2d2d2" stroked="false">
                <v:path arrowok="t"/>
                <v:fill type="solid"/>
              </v:shape>
            </v:group>
            <v:group style="position:absolute;left:7684;top:348;width:867;height:351" coordorigin="7684,348" coordsize="867,351">
              <v:shape style="position:absolute;left:7684;top:348;width:867;height:351" coordorigin="7684,348" coordsize="867,351" path="m7684,698l8550,698,8550,348,7684,348,7684,698xe" filled="true" fillcolor="#d2d2d2" stroked="false">
                <v:path arrowok="t"/>
                <v:fill type="solid"/>
              </v:shape>
            </v:group>
            <v:group style="position:absolute;left:8584;top:-5;width:1055;height:704" coordorigin="8584,-5" coordsize="1055,704">
              <v:shape style="position:absolute;left:8584;top:-5;width:1055;height:704" coordorigin="8584,-5" coordsize="1055,704" path="m8584,698l9638,698,9638,-5,8584,-5,8584,698xe" filled="true" fillcolor="#d2d2d2" stroked="false">
                <v:path arrowok="t"/>
                <v:fill type="solid"/>
              </v:shape>
            </v:group>
            <v:group style="position:absolute;left:8605;top:-5;width:1009;height:353" coordorigin="8605,-5" coordsize="1009,353">
              <v:shape style="position:absolute;left:8605;top:-5;width:1009;height:353" coordorigin="8605,-5" coordsize="1009,353" path="m8605,348l9614,348,9614,-5,8605,-5,8605,348xe" filled="true" fillcolor="#d2d2d2" stroked="false">
                <v:path arrowok="t"/>
                <v:fill type="solid"/>
              </v:shape>
            </v:group>
            <v:group style="position:absolute;left:8605;top:348;width:1009;height:351" coordorigin="8605,348" coordsize="1009,351">
              <v:shape style="position:absolute;left:8605;top:348;width:1009;height:351" coordorigin="8605,348" coordsize="1009,351" path="m8605,698l9614,698,9614,348,8605,348,8605,698xe" filled="true" fillcolor="#d2d2d2" stroked="false">
                <v:path arrowok="t"/>
                <v:fill type="solid"/>
              </v:shape>
            </v:group>
            <v:group style="position:absolute;left:9648;top:-5;width:1052;height:704" coordorigin="9648,-5" coordsize="1052,704">
              <v:shape style="position:absolute;left:9648;top:-5;width:1052;height:704" coordorigin="9648,-5" coordsize="1052,704" path="m9648,698l10699,698,10699,-5,9648,-5,9648,698xe" filled="true" fillcolor="#d2d2d2" stroked="false">
                <v:path arrowok="t"/>
                <v:fill type="solid"/>
              </v:shape>
            </v:group>
            <v:group style="position:absolute;left:9669;top:-5;width:1008;height:353" coordorigin="9669,-5" coordsize="1008,353">
              <v:shape style="position:absolute;left:9669;top:-5;width:1008;height:353" coordorigin="9669,-5" coordsize="1008,353" path="m9669,348l10677,348,10677,-5,9669,-5,9669,348xe" filled="true" fillcolor="#d2d2d2" stroked="false">
                <v:path arrowok="t"/>
                <v:fill type="solid"/>
              </v:shape>
            </v:group>
            <v:group style="position:absolute;left:9669;top:348;width:1008;height:351" coordorigin="9669,348" coordsize="1008,351">
              <v:shape style="position:absolute;left:9669;top:348;width:1008;height:351" coordorigin="9669,348" coordsize="1008,351" path="m9669,698l10677,698,10677,348,9669,348,9669,698xe" filled="true" fillcolor="#d2d2d2" stroked="false">
                <v:path arrowok="t"/>
                <v:fill type="solid"/>
              </v:shape>
            </v:group>
            <v:group style="position:absolute;left:1138;top:-10;width:1410;height:2" coordorigin="1138,-10" coordsize="1410,2">
              <v:shape style="position:absolute;left:1138;top:-10;width:1410;height:2" coordorigin="1138,-10" coordsize="1410,0" path="m1138,-10l2547,-10e" filled="false" stroked="true" strokeweight=".48001pt" strokecolor="#000000">
                <v:path arrowok="t"/>
              </v:shape>
            </v:group>
            <v:group style="position:absolute;left:2556;top:-10;width:1124;height:2" coordorigin="2556,-10" coordsize="1124,2">
              <v:shape style="position:absolute;left:2556;top:-10;width:1124;height:2" coordorigin="2556,-10" coordsize="1124,0" path="m2556,-10l3680,-10e" filled="false" stroked="true" strokeweight=".48001pt" strokecolor="#000000">
                <v:path arrowok="t"/>
              </v:shape>
            </v:group>
            <v:group style="position:absolute;left:3689;top:-10;width:560;height:2" coordorigin="3689,-10" coordsize="560,2">
              <v:shape style="position:absolute;left:3689;top:-10;width:560;height:2" coordorigin="3689,-10" coordsize="560,0" path="m3689,-10l4249,-10e" filled="false" stroked="true" strokeweight=".48001pt" strokecolor="#000000">
                <v:path arrowok="t"/>
              </v:shape>
            </v:group>
            <v:group style="position:absolute;left:4259;top:-10;width:1407;height:2" coordorigin="4259,-10" coordsize="1407,2">
              <v:shape style="position:absolute;left:4259;top:-10;width:1407;height:2" coordorigin="4259,-10" coordsize="1407,0" path="m4259,-10l5665,-10e" filled="false" stroked="true" strokeweight=".48001pt" strokecolor="#000000">
                <v:path arrowok="t"/>
              </v:shape>
            </v:group>
            <v:group style="position:absolute;left:5675;top:-10;width:1127;height:2" coordorigin="5675,-10" coordsize="1127,2">
              <v:shape style="position:absolute;left:5675;top:-10;width:1127;height:2" coordorigin="5675,-10" coordsize="1127,0" path="m5675,-10l6801,-10e" filled="false" stroked="true" strokeweight=".48001pt" strokecolor="#000000">
                <v:path arrowok="t"/>
              </v:shape>
            </v:group>
            <v:group style="position:absolute;left:6810;top:-10;width:840;height:2" coordorigin="6810,-10" coordsize="840,2">
              <v:shape style="position:absolute;left:6810;top:-10;width:840;height:2" coordorigin="6810,-10" coordsize="840,0" path="m6810,-10l7650,-10e" filled="false" stroked="true" strokeweight=".48001pt" strokecolor="#000000">
                <v:path arrowok="t"/>
              </v:shape>
            </v:group>
            <v:group style="position:absolute;left:7660;top:-10;width:912;height:2" coordorigin="7660,-10" coordsize="912,2">
              <v:shape style="position:absolute;left:7660;top:-10;width:912;height:2" coordorigin="7660,-10" coordsize="912,0" path="m7660,-10l8572,-10e" filled="false" stroked="true" strokeweight=".48001pt" strokecolor="#000000">
                <v:path arrowok="t"/>
              </v:shape>
            </v:group>
            <v:group style="position:absolute;left:8581;top:-10;width:1055;height:2" coordorigin="8581,-10" coordsize="1055,2">
              <v:shape style="position:absolute;left:8581;top:-10;width:1055;height:2" coordorigin="8581,-10" coordsize="1055,0" path="m8581,-10l9635,-10e" filled="false" stroked="true" strokeweight=".48001pt" strokecolor="#000000">
                <v:path arrowok="t"/>
              </v:shape>
            </v:group>
            <v:group style="position:absolute;left:9645;top:-10;width:1054;height:2" coordorigin="9645,-10" coordsize="1054,2">
              <v:shape style="position:absolute;left:9645;top:-10;width:1054;height:2" coordorigin="9645,-10" coordsize="1054,0" path="m9645,-10l10699,-10e" filled="false" stroked="true" strokeweight=".48001pt" strokecolor="#000000">
                <v:path arrowok="t"/>
              </v:shape>
            </v:group>
            <v:group style="position:absolute;left:5677;top:708;width:1124;height:1643" coordorigin="5677,708" coordsize="1124,1643">
              <v:shape style="position:absolute;left:5677;top:708;width:1124;height:1643" coordorigin="5677,708" coordsize="1124,1643" path="m5677,2350l6801,2350,6801,708,5677,708,5677,2350xe" filled="true" fillcolor="#ffffff" stroked="false">
                <v:path arrowok="t"/>
                <v:fill type="solid"/>
              </v:shape>
            </v:group>
            <v:group style="position:absolute;left:5699;top:1332;width:1079;height:394" coordorigin="5699,1332" coordsize="1079,394">
              <v:shape style="position:absolute;left:5699;top:1332;width:1079;height:394" coordorigin="5699,1332" coordsize="1079,394" path="m5699,1725l6777,1725,6777,1332,5699,1332,5699,1725xe" filled="true" fillcolor="#ffffff" stroked="false">
                <v:path arrowok="t"/>
                <v:fill type="solid"/>
              </v:shape>
            </v:group>
            <v:group style="position:absolute;left:1138;top:703;width:1410;height:2" coordorigin="1138,703" coordsize="1410,2">
              <v:shape style="position:absolute;left:1138;top:703;width:1410;height:2" coordorigin="1138,703" coordsize="1410,0" path="m1138,703l2547,703e" filled="false" stroked="true" strokeweight=".47998pt" strokecolor="#000000">
                <v:path arrowok="t"/>
              </v:shape>
            </v:group>
            <v:group style="position:absolute;left:2556;top:703;width:1124;height:2" coordorigin="2556,703" coordsize="1124,2">
              <v:shape style="position:absolute;left:2556;top:703;width:1124;height:2" coordorigin="2556,703" coordsize="1124,0" path="m2556,703l3680,703e" filled="false" stroked="true" strokeweight=".47998pt" strokecolor="#000000">
                <v:path arrowok="t"/>
              </v:shape>
            </v:group>
            <v:group style="position:absolute;left:3689;top:703;width:560;height:2" coordorigin="3689,703" coordsize="560,2">
              <v:shape style="position:absolute;left:3689;top:703;width:560;height:2" coordorigin="3689,703" coordsize="560,0" path="m3689,703l4249,703e" filled="false" stroked="true" strokeweight=".47998pt" strokecolor="#000000">
                <v:path arrowok="t"/>
              </v:shape>
            </v:group>
            <v:group style="position:absolute;left:4259;top:703;width:1407;height:2" coordorigin="4259,703" coordsize="1407,2">
              <v:shape style="position:absolute;left:4259;top:703;width:1407;height:2" coordorigin="4259,703" coordsize="1407,0" path="m4259,703l5665,703e" filled="false" stroked="true" strokeweight=".47998pt" strokecolor="#000000">
                <v:path arrowok="t"/>
              </v:shape>
            </v:group>
            <v:group style="position:absolute;left:5675;top:703;width:1127;height:2" coordorigin="5675,703" coordsize="1127,2">
              <v:shape style="position:absolute;left:5675;top:703;width:1127;height:2" coordorigin="5675,703" coordsize="1127,0" path="m5675,703l6801,703e" filled="false" stroked="true" strokeweight=".47998pt" strokecolor="#000000">
                <v:path arrowok="t"/>
              </v:shape>
            </v:group>
            <v:group style="position:absolute;left:6810;top:703;width:840;height:2" coordorigin="6810,703" coordsize="840,2">
              <v:shape style="position:absolute;left:6810;top:703;width:840;height:2" coordorigin="6810,703" coordsize="840,0" path="m6810,703l7650,703e" filled="false" stroked="true" strokeweight=".47998pt" strokecolor="#000000">
                <v:path arrowok="t"/>
              </v:shape>
            </v:group>
            <v:group style="position:absolute;left:7660;top:703;width:912;height:2" coordorigin="7660,703" coordsize="912,2">
              <v:shape style="position:absolute;left:7660;top:703;width:912;height:2" coordorigin="7660,703" coordsize="912,0" path="m7660,703l8572,703e" filled="false" stroked="true" strokeweight=".47998pt" strokecolor="#000000">
                <v:path arrowok="t"/>
              </v:shape>
            </v:group>
            <v:group style="position:absolute;left:8581;top:703;width:1055;height:2" coordorigin="8581,703" coordsize="1055,2">
              <v:shape style="position:absolute;left:8581;top:703;width:1055;height:2" coordorigin="8581,703" coordsize="1055,0" path="m8581,703l9635,703e" filled="false" stroked="true" strokeweight=".47998pt" strokecolor="#000000">
                <v:path arrowok="t"/>
              </v:shape>
            </v:group>
            <v:group style="position:absolute;left:9645;top:703;width:1054;height:2" coordorigin="9645,703" coordsize="1054,2">
              <v:shape style="position:absolute;left:9645;top:703;width:1054;height:2" coordorigin="9645,703" coordsize="1054,0" path="m9645,703l10699,703e" filled="false" stroked="true" strokeweight=".47998pt" strokecolor="#000000">
                <v:path arrowok="t"/>
              </v:shape>
            </v:group>
            <v:group style="position:absolute;left:5677;top:2359;width:1124;height:1640" coordorigin="5677,2359" coordsize="1124,1640">
              <v:shape style="position:absolute;left:5677;top:2359;width:1124;height:1640" coordorigin="5677,2359" coordsize="1124,1640" path="m5677,3999l6801,3999,6801,2359,5677,2359,5677,3999xe" filled="true" fillcolor="#ffffff" stroked="false">
                <v:path arrowok="t"/>
                <v:fill type="solid"/>
              </v:shape>
            </v:group>
            <v:group style="position:absolute;left:5699;top:2983;width:1079;height:392" coordorigin="5699,2983" coordsize="1079,392">
              <v:shape style="position:absolute;left:5699;top:2983;width:1079;height:392" coordorigin="5699,2983" coordsize="1079,392" path="m5699,3375l6777,3375,6777,2983,5699,2983,5699,3375xe" filled="true" fillcolor="#ffffff" stroked="false">
                <v:path arrowok="t"/>
                <v:fill type="solid"/>
              </v:shape>
            </v:group>
            <v:group style="position:absolute;left:1138;top:2355;width:1410;height:2" coordorigin="1138,2355" coordsize="1410,2">
              <v:shape style="position:absolute;left:1138;top:2355;width:1410;height:2" coordorigin="1138,2355" coordsize="1410,0" path="m1138,2355l2547,2355e" filled="false" stroked="true" strokeweight=".48001pt" strokecolor="#000000">
                <v:path arrowok="t"/>
              </v:shape>
            </v:group>
            <v:group style="position:absolute;left:2556;top:2355;width:1124;height:2" coordorigin="2556,2355" coordsize="1124,2">
              <v:shape style="position:absolute;left:2556;top:2355;width:1124;height:2" coordorigin="2556,2355" coordsize="1124,0" path="m2556,2355l3680,2355e" filled="false" stroked="true" strokeweight=".48001pt" strokecolor="#000000">
                <v:path arrowok="t"/>
              </v:shape>
            </v:group>
            <v:group style="position:absolute;left:3689;top:2355;width:560;height:2" coordorigin="3689,2355" coordsize="560,2">
              <v:shape style="position:absolute;left:3689;top:2355;width:560;height:2" coordorigin="3689,2355" coordsize="560,0" path="m3689,2355l4249,2355e" filled="false" stroked="true" strokeweight=".48001pt" strokecolor="#000000">
                <v:path arrowok="t"/>
              </v:shape>
            </v:group>
            <v:group style="position:absolute;left:4259;top:2355;width:1407;height:2" coordorigin="4259,2355" coordsize="1407,2">
              <v:shape style="position:absolute;left:4259;top:2355;width:1407;height:2" coordorigin="4259,2355" coordsize="1407,0" path="m4259,2355l5665,2355e" filled="false" stroked="true" strokeweight=".48001pt" strokecolor="#000000">
                <v:path arrowok="t"/>
              </v:shape>
            </v:group>
            <v:group style="position:absolute;left:5675;top:2355;width:1127;height:2" coordorigin="5675,2355" coordsize="1127,2">
              <v:shape style="position:absolute;left:5675;top:2355;width:1127;height:2" coordorigin="5675,2355" coordsize="1127,0" path="m5675,2355l6801,2355e" filled="false" stroked="true" strokeweight=".48001pt" strokecolor="#000000">
                <v:path arrowok="t"/>
              </v:shape>
            </v:group>
            <v:group style="position:absolute;left:6810;top:2355;width:840;height:2" coordorigin="6810,2355" coordsize="840,2">
              <v:shape style="position:absolute;left:6810;top:2355;width:840;height:2" coordorigin="6810,2355" coordsize="840,0" path="m6810,2355l7650,2355e" filled="false" stroked="true" strokeweight=".48001pt" strokecolor="#000000">
                <v:path arrowok="t"/>
              </v:shape>
            </v:group>
            <v:group style="position:absolute;left:7660;top:2355;width:912;height:2" coordorigin="7660,2355" coordsize="912,2">
              <v:shape style="position:absolute;left:7660;top:2355;width:912;height:2" coordorigin="7660,2355" coordsize="912,0" path="m7660,2355l8572,2355e" filled="false" stroked="true" strokeweight=".48001pt" strokecolor="#000000">
                <v:path arrowok="t"/>
              </v:shape>
            </v:group>
            <v:group style="position:absolute;left:8581;top:2355;width:1055;height:2" coordorigin="8581,2355" coordsize="1055,2">
              <v:shape style="position:absolute;left:8581;top:2355;width:1055;height:2" coordorigin="8581,2355" coordsize="1055,0" path="m8581,2355l9635,2355e" filled="false" stroked="true" strokeweight=".48001pt" strokecolor="#000000">
                <v:path arrowok="t"/>
              </v:shape>
            </v:group>
            <v:group style="position:absolute;left:9645;top:2355;width:1054;height:2" coordorigin="9645,2355" coordsize="1054,2">
              <v:shape style="position:absolute;left:9645;top:2355;width:1054;height:2" coordorigin="9645,2355" coordsize="1054,0" path="m9645,2355l10699,2355e" filled="false" stroked="true" strokeweight=".48001pt" strokecolor="#000000">
                <v:path arrowok="t"/>
              </v:shape>
            </v:group>
            <v:group style="position:absolute;left:5677;top:4008;width:1124;height:1642" coordorigin="5677,4008" coordsize="1124,1642">
              <v:shape style="position:absolute;left:5677;top:4008;width:1124;height:1642" coordorigin="5677,4008" coordsize="1124,1642" path="m5677,5650l6801,5650,6801,4008,5677,4008,5677,5650xe" filled="true" fillcolor="#ffffff" stroked="false">
                <v:path arrowok="t"/>
                <v:fill type="solid"/>
              </v:shape>
            </v:group>
            <v:group style="position:absolute;left:5699;top:4632;width:1079;height:394" coordorigin="5699,4632" coordsize="1079,394">
              <v:shape style="position:absolute;left:5699;top:4632;width:1079;height:394" coordorigin="5699,4632" coordsize="1079,394" path="m5699,5026l6777,5026,6777,4632,5699,4632,5699,5026xe" filled="true" fillcolor="#ffffff" stroked="false">
                <v:path arrowok="t"/>
                <v:fill type="solid"/>
              </v:shape>
            </v:group>
            <v:group style="position:absolute;left:1138;top:4003;width:1410;height:2" coordorigin="1138,4003" coordsize="1410,2">
              <v:shape style="position:absolute;left:1138;top:4003;width:1410;height:2" coordorigin="1138,4003" coordsize="1410,0" path="m1138,4003l2547,4003e" filled="false" stroked="true" strokeweight=".47998pt" strokecolor="#000000">
                <v:path arrowok="t"/>
              </v:shape>
            </v:group>
            <v:group style="position:absolute;left:2556;top:4003;width:1124;height:2" coordorigin="2556,4003" coordsize="1124,2">
              <v:shape style="position:absolute;left:2556;top:4003;width:1124;height:2" coordorigin="2556,4003" coordsize="1124,0" path="m2556,4003l3680,4003e" filled="false" stroked="true" strokeweight=".47998pt" strokecolor="#000000">
                <v:path arrowok="t"/>
              </v:shape>
            </v:group>
            <v:group style="position:absolute;left:3689;top:4003;width:560;height:2" coordorigin="3689,4003" coordsize="560,2">
              <v:shape style="position:absolute;left:3689;top:4003;width:560;height:2" coordorigin="3689,4003" coordsize="560,0" path="m3689,4003l4249,4003e" filled="false" stroked="true" strokeweight=".47998pt" strokecolor="#000000">
                <v:path arrowok="t"/>
              </v:shape>
            </v:group>
            <v:group style="position:absolute;left:4259;top:4003;width:1407;height:2" coordorigin="4259,4003" coordsize="1407,2">
              <v:shape style="position:absolute;left:4259;top:4003;width:1407;height:2" coordorigin="4259,4003" coordsize="1407,0" path="m4259,4003l5665,4003e" filled="false" stroked="true" strokeweight=".47998pt" strokecolor="#000000">
                <v:path arrowok="t"/>
              </v:shape>
            </v:group>
            <v:group style="position:absolute;left:5675;top:4003;width:1127;height:2" coordorigin="5675,4003" coordsize="1127,2">
              <v:shape style="position:absolute;left:5675;top:4003;width:1127;height:2" coordorigin="5675,4003" coordsize="1127,0" path="m5675,4003l6801,4003e" filled="false" stroked="true" strokeweight=".47998pt" strokecolor="#000000">
                <v:path arrowok="t"/>
              </v:shape>
            </v:group>
            <v:group style="position:absolute;left:6810;top:4003;width:840;height:2" coordorigin="6810,4003" coordsize="840,2">
              <v:shape style="position:absolute;left:6810;top:4003;width:840;height:2" coordorigin="6810,4003" coordsize="840,0" path="m6810,4003l7650,4003e" filled="false" stroked="true" strokeweight=".47998pt" strokecolor="#000000">
                <v:path arrowok="t"/>
              </v:shape>
            </v:group>
            <v:group style="position:absolute;left:7660;top:4003;width:912;height:2" coordorigin="7660,4003" coordsize="912,2">
              <v:shape style="position:absolute;left:7660;top:4003;width:912;height:2" coordorigin="7660,4003" coordsize="912,0" path="m7660,4003l8572,4003e" filled="false" stroked="true" strokeweight=".47998pt" strokecolor="#000000">
                <v:path arrowok="t"/>
              </v:shape>
            </v:group>
            <v:group style="position:absolute;left:8581;top:4003;width:1055;height:2" coordorigin="8581,4003" coordsize="1055,2">
              <v:shape style="position:absolute;left:8581;top:4003;width:1055;height:2" coordorigin="8581,4003" coordsize="1055,0" path="m8581,4003l9635,4003e" filled="false" stroked="true" strokeweight=".47998pt" strokecolor="#000000">
                <v:path arrowok="t"/>
              </v:shape>
            </v:group>
            <v:group style="position:absolute;left:9645;top:4003;width:1054;height:2" coordorigin="9645,4003" coordsize="1054,2">
              <v:shape style="position:absolute;left:9645;top:4003;width:1054;height:2" coordorigin="9645,4003" coordsize="1054,0" path="m9645,4003l10699,4003e" filled="false" stroked="true" strokeweight=".47998pt" strokecolor="#000000">
                <v:path arrowok="t"/>
              </v:shape>
            </v:group>
            <v:group style="position:absolute;left:1138;top:5655;width:1410;height:2" coordorigin="1138,5655" coordsize="1410,2">
              <v:shape style="position:absolute;left:1138;top:5655;width:1410;height:2" coordorigin="1138,5655" coordsize="1410,0" path="m1138,5655l2547,5655e" filled="false" stroked="true" strokeweight=".47998pt" strokecolor="#000000">
                <v:path arrowok="t"/>
              </v:shape>
            </v:group>
            <v:group style="position:absolute;left:2556;top:5655;width:1124;height:2" coordorigin="2556,5655" coordsize="1124,2">
              <v:shape style="position:absolute;left:2556;top:5655;width:1124;height:2" coordorigin="2556,5655" coordsize="1124,0" path="m2556,5655l3680,5655e" filled="false" stroked="true" strokeweight=".47998pt" strokecolor="#000000">
                <v:path arrowok="t"/>
              </v:shape>
            </v:group>
            <v:group style="position:absolute;left:3689;top:5655;width:560;height:2" coordorigin="3689,5655" coordsize="560,2">
              <v:shape style="position:absolute;left:3689;top:5655;width:560;height:2" coordorigin="3689,5655" coordsize="560,0" path="m3689,5655l4249,5655e" filled="false" stroked="true" strokeweight=".47998pt" strokecolor="#000000">
                <v:path arrowok="t"/>
              </v:shape>
            </v:group>
            <v:group style="position:absolute;left:4259;top:5655;width:1407;height:2" coordorigin="4259,5655" coordsize="1407,2">
              <v:shape style="position:absolute;left:4259;top:5655;width:1407;height:2" coordorigin="4259,5655" coordsize="1407,0" path="m4259,5655l5665,5655e" filled="false" stroked="true" strokeweight=".47998pt" strokecolor="#000000">
                <v:path arrowok="t"/>
              </v:shape>
            </v:group>
            <v:group style="position:absolute;left:5675;top:5655;width:1127;height:2" coordorigin="5675,5655" coordsize="1127,2">
              <v:shape style="position:absolute;left:5675;top:5655;width:1127;height:2" coordorigin="5675,5655" coordsize="1127,0" path="m5675,5655l6801,5655e" filled="false" stroked="true" strokeweight=".47998pt" strokecolor="#000000">
                <v:path arrowok="t"/>
              </v:shape>
            </v:group>
            <v:group style="position:absolute;left:6810;top:5655;width:840;height:2" coordorigin="6810,5655" coordsize="840,2">
              <v:shape style="position:absolute;left:6810;top:5655;width:840;height:2" coordorigin="6810,5655" coordsize="840,0" path="m6810,5655l7650,5655e" filled="false" stroked="true" strokeweight=".47998pt" strokecolor="#000000">
                <v:path arrowok="t"/>
              </v:shape>
            </v:group>
            <v:group style="position:absolute;left:7660;top:5655;width:912;height:2" coordorigin="7660,5655" coordsize="912,2">
              <v:shape style="position:absolute;left:7660;top:5655;width:912;height:2" coordorigin="7660,5655" coordsize="912,0" path="m7660,5655l8572,5655e" filled="false" stroked="true" strokeweight=".47998pt" strokecolor="#000000">
                <v:path arrowok="t"/>
              </v:shape>
            </v:group>
            <v:group style="position:absolute;left:8581;top:5655;width:1055;height:2" coordorigin="8581,5655" coordsize="1055,2">
              <v:shape style="position:absolute;left:8581;top:5655;width:1055;height:2" coordorigin="8581,5655" coordsize="1055,0" path="m8581,5655l9635,5655e" filled="false" stroked="true" strokeweight=".47998pt" strokecolor="#000000">
                <v:path arrowok="t"/>
              </v:shape>
            </v:group>
            <v:group style="position:absolute;left:9645;top:5655;width:1054;height:2" coordorigin="9645,5655" coordsize="1054,2">
              <v:shape style="position:absolute;left:9645;top:5655;width:1054;height:2" coordorigin="9645,5655" coordsize="1054,0" path="m9645,5655l10699,5655e" filled="false" stroked="true" strokeweight=".47998pt" strokecolor="#000000">
                <v:path arrowok="t"/>
              </v:shape>
            </v:group>
            <v:group style="position:absolute;left:5677;top:6685;width:1124;height:1330" coordorigin="5677,6685" coordsize="1124,1330">
              <v:shape style="position:absolute;left:5677;top:6685;width:1124;height:1330" coordorigin="5677,6685" coordsize="1124,1330" path="m5677,8014l6801,8014,6801,6685,5677,6685,5677,8014xe" filled="true" fillcolor="#ffffff" stroked="false">
                <v:path arrowok="t"/>
                <v:fill type="solid"/>
              </v:shape>
            </v:group>
            <v:group style="position:absolute;left:5699;top:7153;width:1079;height:394" coordorigin="5699,7153" coordsize="1079,394">
              <v:shape style="position:absolute;left:5699;top:7153;width:1079;height:394" coordorigin="5699,7153" coordsize="1079,394" path="m5699,7546l6777,7546,6777,7153,5699,7153,5699,7546xe" filled="true" fillcolor="#ffffff" stroked="false">
                <v:path arrowok="t"/>
                <v:fill type="solid"/>
              </v:shape>
            </v:group>
            <v:group style="position:absolute;left:1138;top:6680;width:1410;height:2" coordorigin="1138,6680" coordsize="1410,2">
              <v:shape style="position:absolute;left:1138;top:6680;width:1410;height:2" coordorigin="1138,6680" coordsize="1410,0" path="m1138,6680l2547,6680e" filled="false" stroked="true" strokeweight=".47998pt" strokecolor="#000000">
                <v:path arrowok="t"/>
              </v:shape>
            </v:group>
            <v:group style="position:absolute;left:2556;top:6680;width:1124;height:2" coordorigin="2556,6680" coordsize="1124,2">
              <v:shape style="position:absolute;left:2556;top:6680;width:1124;height:2" coordorigin="2556,6680" coordsize="1124,0" path="m2556,6680l3680,6680e" filled="false" stroked="true" strokeweight=".47998pt" strokecolor="#000000">
                <v:path arrowok="t"/>
              </v:shape>
            </v:group>
            <v:group style="position:absolute;left:3689;top:6680;width:560;height:2" coordorigin="3689,6680" coordsize="560,2">
              <v:shape style="position:absolute;left:3689;top:6680;width:560;height:2" coordorigin="3689,6680" coordsize="560,0" path="m3689,6680l4249,6680e" filled="false" stroked="true" strokeweight=".47998pt" strokecolor="#000000">
                <v:path arrowok="t"/>
              </v:shape>
            </v:group>
            <v:group style="position:absolute;left:4259;top:6680;width:1407;height:2" coordorigin="4259,6680" coordsize="1407,2">
              <v:shape style="position:absolute;left:4259;top:6680;width:1407;height:2" coordorigin="4259,6680" coordsize="1407,0" path="m4259,6680l5665,6680e" filled="false" stroked="true" strokeweight=".47998pt" strokecolor="#000000">
                <v:path arrowok="t"/>
              </v:shape>
            </v:group>
            <v:group style="position:absolute;left:5675;top:6680;width:1127;height:2" coordorigin="5675,6680" coordsize="1127,2">
              <v:shape style="position:absolute;left:5675;top:6680;width:1127;height:2" coordorigin="5675,6680" coordsize="1127,0" path="m5675,6680l6801,6680e" filled="false" stroked="true" strokeweight=".47998pt" strokecolor="#000000">
                <v:path arrowok="t"/>
              </v:shape>
            </v:group>
            <v:group style="position:absolute;left:6810;top:6680;width:840;height:2" coordorigin="6810,6680" coordsize="840,2">
              <v:shape style="position:absolute;left:6810;top:6680;width:840;height:2" coordorigin="6810,6680" coordsize="840,0" path="m6810,6680l7650,6680e" filled="false" stroked="true" strokeweight=".47998pt" strokecolor="#000000">
                <v:path arrowok="t"/>
              </v:shape>
            </v:group>
            <v:group style="position:absolute;left:7660;top:6680;width:912;height:2" coordorigin="7660,6680" coordsize="912,2">
              <v:shape style="position:absolute;left:7660;top:6680;width:912;height:2" coordorigin="7660,6680" coordsize="912,0" path="m7660,6680l8572,6680e" filled="false" stroked="true" strokeweight=".47998pt" strokecolor="#000000">
                <v:path arrowok="t"/>
              </v:shape>
            </v:group>
            <v:group style="position:absolute;left:8581;top:6680;width:1055;height:2" coordorigin="8581,6680" coordsize="1055,2">
              <v:shape style="position:absolute;left:8581;top:6680;width:1055;height:2" coordorigin="8581,6680" coordsize="1055,0" path="m8581,6680l9635,6680e" filled="false" stroked="true" strokeweight=".47998pt" strokecolor="#000000">
                <v:path arrowok="t"/>
              </v:shape>
            </v:group>
            <v:group style="position:absolute;left:9645;top:6680;width:1054;height:2" coordorigin="9645,6680" coordsize="1054,2">
              <v:shape style="position:absolute;left:9645;top:6680;width:1054;height:2" coordorigin="9645,6680" coordsize="1054,0" path="m9645,6680l10699,6680e" filled="false" stroked="true" strokeweight=".47998pt" strokecolor="#000000">
                <v:path arrowok="t"/>
              </v:shape>
            </v:group>
            <v:group style="position:absolute;left:1133;top:-15;width:2;height:8039" coordorigin="1133,-15" coordsize="2,8039">
              <v:shape style="position:absolute;left:1133;top:-15;width:2;height:8039" coordorigin="1133,-15" coordsize="0,8039" path="m1133,-15l1133,8024e" filled="false" stroked="true" strokeweight=".48pt" strokecolor="#000000">
                <v:path arrowok="t"/>
              </v:shape>
            </v:group>
            <v:group style="position:absolute;left:1138;top:8019;width:1410;height:2" coordorigin="1138,8019" coordsize="1410,2">
              <v:shape style="position:absolute;left:1138;top:8019;width:1410;height:2" coordorigin="1138,8019" coordsize="1410,0" path="m1138,8019l2547,8019e" filled="false" stroked="true" strokeweight=".48004pt" strokecolor="#000000">
                <v:path arrowok="t"/>
              </v:shape>
            </v:group>
            <v:group style="position:absolute;left:2552;top:-15;width:2;height:8039" coordorigin="2552,-15" coordsize="2,8039">
              <v:shape style="position:absolute;left:2552;top:-15;width:2;height:8039" coordorigin="2552,-15" coordsize="0,8039" path="m2552,-15l2552,8024e" filled="false" stroked="true" strokeweight=".48pt" strokecolor="#000000">
                <v:path arrowok="t"/>
              </v:shape>
            </v:group>
            <v:group style="position:absolute;left:2556;top:8019;width:1124;height:2" coordorigin="2556,8019" coordsize="1124,2">
              <v:shape style="position:absolute;left:2556;top:8019;width:1124;height:2" coordorigin="2556,8019" coordsize="1124,0" path="m2556,8019l3680,8019e" filled="false" stroked="true" strokeweight=".48004pt" strokecolor="#000000">
                <v:path arrowok="t"/>
              </v:shape>
            </v:group>
            <v:group style="position:absolute;left:3684;top:-15;width:2;height:8039" coordorigin="3684,-15" coordsize="2,8039">
              <v:shape style="position:absolute;left:3684;top:-15;width:2;height:8039" coordorigin="3684,-15" coordsize="0,8039" path="m3684,-15l3684,8024e" filled="false" stroked="true" strokeweight=".48pt" strokecolor="#000000">
                <v:path arrowok="t"/>
              </v:shape>
            </v:group>
            <v:group style="position:absolute;left:3689;top:8019;width:560;height:2" coordorigin="3689,8019" coordsize="560,2">
              <v:shape style="position:absolute;left:3689;top:8019;width:560;height:2" coordorigin="3689,8019" coordsize="560,0" path="m3689,8019l4249,8019e" filled="false" stroked="true" strokeweight=".48004pt" strokecolor="#000000">
                <v:path arrowok="t"/>
              </v:shape>
            </v:group>
            <v:group style="position:absolute;left:4254;top:-15;width:2;height:8039" coordorigin="4254,-15" coordsize="2,8039">
              <v:shape style="position:absolute;left:4254;top:-15;width:2;height:8039" coordorigin="4254,-15" coordsize="0,8039" path="m4254,-15l4254,8024e" filled="false" stroked="true" strokeweight=".48001pt" strokecolor="#000000">
                <v:path arrowok="t"/>
              </v:shape>
            </v:group>
            <v:group style="position:absolute;left:4259;top:8019;width:1407;height:2" coordorigin="4259,8019" coordsize="1407,2">
              <v:shape style="position:absolute;left:4259;top:8019;width:1407;height:2" coordorigin="4259,8019" coordsize="1407,0" path="m4259,8019l5665,8019e" filled="false" stroked="true" strokeweight=".48004pt" strokecolor="#000000">
                <v:path arrowok="t"/>
              </v:shape>
            </v:group>
            <v:group style="position:absolute;left:5670;top:-15;width:2;height:8039" coordorigin="5670,-15" coordsize="2,8039">
              <v:shape style="position:absolute;left:5670;top:-15;width:2;height:8039" coordorigin="5670,-15" coordsize="0,8039" path="m5670,-15l5670,8024e" filled="false" stroked="true" strokeweight=".47998pt" strokecolor="#000000">
                <v:path arrowok="t"/>
              </v:shape>
            </v:group>
            <v:group style="position:absolute;left:5675;top:8019;width:1127;height:2" coordorigin="5675,8019" coordsize="1127,2">
              <v:shape style="position:absolute;left:5675;top:8019;width:1127;height:2" coordorigin="5675,8019" coordsize="1127,0" path="m5675,8019l6801,8019e" filled="false" stroked="true" strokeweight=".48004pt" strokecolor="#000000">
                <v:path arrowok="t"/>
              </v:shape>
            </v:group>
            <v:group style="position:absolute;left:6805;top:-15;width:2;height:8039" coordorigin="6805,-15" coordsize="2,8039">
              <v:shape style="position:absolute;left:6805;top:-15;width:2;height:8039" coordorigin="6805,-15" coordsize="0,8039" path="m6805,-15l6805,8024e" filled="false" stroked="true" strokeweight=".47998pt" strokecolor="#000000">
                <v:path arrowok="t"/>
              </v:shape>
            </v:group>
            <v:group style="position:absolute;left:6810;top:8019;width:840;height:2" coordorigin="6810,8019" coordsize="840,2">
              <v:shape style="position:absolute;left:6810;top:8019;width:840;height:2" coordorigin="6810,8019" coordsize="840,0" path="m6810,8019l7650,8019e" filled="false" stroked="true" strokeweight=".48004pt" strokecolor="#000000">
                <v:path arrowok="t"/>
              </v:shape>
            </v:group>
            <v:group style="position:absolute;left:7655;top:-15;width:2;height:8039" coordorigin="7655,-15" coordsize="2,8039">
              <v:shape style="position:absolute;left:7655;top:-15;width:2;height:8039" coordorigin="7655,-15" coordsize="0,8039" path="m7655,-15l7655,8024e" filled="false" stroked="true" strokeweight=".48001pt" strokecolor="#000000">
                <v:path arrowok="t"/>
              </v:shape>
            </v:group>
            <v:group style="position:absolute;left:7660;top:8019;width:912;height:2" coordorigin="7660,8019" coordsize="912,2">
              <v:shape style="position:absolute;left:7660;top:8019;width:912;height:2" coordorigin="7660,8019" coordsize="912,0" path="m7660,8019l8572,8019e" filled="false" stroked="true" strokeweight=".48004pt" strokecolor="#000000">
                <v:path arrowok="t"/>
              </v:shape>
            </v:group>
            <v:group style="position:absolute;left:8577;top:-15;width:2;height:8039" coordorigin="8577,-15" coordsize="2,8039">
              <v:shape style="position:absolute;left:8577;top:-15;width:2;height:8039" coordorigin="8577,-15" coordsize="0,8039" path="m8577,-15l8577,8024e" filled="false" stroked="true" strokeweight=".47998pt" strokecolor="#000000">
                <v:path arrowok="t"/>
              </v:shape>
            </v:group>
            <v:group style="position:absolute;left:8581;top:8019;width:1055;height:2" coordorigin="8581,8019" coordsize="1055,2">
              <v:shape style="position:absolute;left:8581;top:8019;width:1055;height:2" coordorigin="8581,8019" coordsize="1055,0" path="m8581,8019l9635,8019e" filled="false" stroked="true" strokeweight=".48004pt" strokecolor="#000000">
                <v:path arrowok="t"/>
              </v:shape>
            </v:group>
            <v:group style="position:absolute;left:9640;top:-15;width:2;height:8039" coordorigin="9640,-15" coordsize="2,8039">
              <v:shape style="position:absolute;left:9640;top:-15;width:2;height:8039" coordorigin="9640,-15" coordsize="0,8039" path="m9640,-15l9640,8024e" filled="false" stroked="true" strokeweight=".48001pt" strokecolor="#000000">
                <v:path arrowok="t"/>
              </v:shape>
            </v:group>
            <v:group style="position:absolute;left:9645;top:8019;width:1054;height:2" coordorigin="9645,8019" coordsize="1054,2">
              <v:shape style="position:absolute;left:9645;top:8019;width:1054;height:2" coordorigin="9645,8019" coordsize="1054,0" path="m9645,8019l10699,8019e" filled="false" stroked="true" strokeweight=".48004pt" strokecolor="#000000">
                <v:path arrowok="t"/>
              </v:shape>
            </v:group>
            <v:group style="position:absolute;left:10704;top:-15;width:2;height:8039" coordorigin="10704,-15" coordsize="2,8039">
              <v:shape style="position:absolute;left:10704;top:-15;width:2;height:8039" coordorigin="10704,-15" coordsize="0,8039" path="m10704,-15l10704,8024e" filled="false" stroked="true" strokeweight=".47998pt" strokecolor="#000000">
                <v:path arrowok="t"/>
              </v:shape>
            </v:group>
            <w10:wrap type="none"/>
          </v:group>
        </w:pict>
      </w:r>
      <w:r>
        <w:rPr/>
        <w:t>发放</w:t>
      </w:r>
    </w:p>
    <w:p>
      <w:pPr>
        <w:pStyle w:val="BodyText"/>
        <w:tabs>
          <w:tab w:pos="1777" w:val="left" w:leader="none"/>
        </w:tabs>
        <w:spacing w:line="156" w:lineRule="exact"/>
        <w:ind w:left="503" w:right="0"/>
        <w:jc w:val="left"/>
      </w:pPr>
      <w:r>
        <w:rPr/>
        <w:t>补助项目</w:t>
        <w:tab/>
        <w:t>发放主体</w:t>
      </w:r>
    </w:p>
    <w:p>
      <w:pPr>
        <w:pStyle w:val="BodyText"/>
        <w:spacing w:line="196" w:lineRule="exact"/>
        <w:ind w:left="0" w:right="0"/>
        <w:jc w:val="right"/>
      </w:pPr>
      <w:r>
        <w:rPr/>
        <w:t>原因</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414" w:right="-20"/>
        <w:jc w:val="left"/>
      </w:pPr>
      <w:r>
        <w:rPr/>
        <w:t>性质类型</w:t>
      </w:r>
    </w:p>
    <w:p>
      <w:pPr>
        <w:pStyle w:val="BodyText"/>
        <w:spacing w:line="316" w:lineRule="auto" w:before="44"/>
        <w:ind w:left="425" w:right="-20"/>
        <w:jc w:val="left"/>
      </w:pPr>
      <w:r>
        <w:rPr/>
        <w:br w:type="column"/>
      </w:r>
      <w:r>
        <w:rPr/>
        <w:t>补贴是否影 响当年盈亏</w:t>
      </w:r>
    </w:p>
    <w:p>
      <w:pPr>
        <w:pStyle w:val="BodyText"/>
        <w:spacing w:line="316" w:lineRule="auto" w:before="44"/>
        <w:ind w:left="322" w:right="-20" w:hanging="180"/>
        <w:jc w:val="left"/>
      </w:pPr>
      <w:r>
        <w:rPr/>
        <w:br w:type="column"/>
      </w:r>
      <w:r>
        <w:rPr/>
        <w:t>是否特殊 补贴</w:t>
      </w:r>
    </w:p>
    <w:p>
      <w:pPr>
        <w:pStyle w:val="BodyText"/>
        <w:spacing w:line="316" w:lineRule="auto" w:before="44"/>
        <w:ind w:left="305" w:right="-20" w:hanging="180"/>
        <w:jc w:val="left"/>
      </w:pPr>
      <w:r>
        <w:rPr/>
        <w:br w:type="column"/>
      </w:r>
      <w:r>
        <w:rPr/>
        <w:t>本期发生 金额</w:t>
      </w:r>
    </w:p>
    <w:p>
      <w:pPr>
        <w:pStyle w:val="BodyText"/>
        <w:spacing w:line="316" w:lineRule="auto" w:before="44"/>
        <w:ind w:left="502" w:right="-20" w:hanging="360"/>
        <w:jc w:val="left"/>
      </w:pPr>
      <w:r>
        <w:rPr/>
        <w:br w:type="column"/>
      </w:r>
      <w:r>
        <w:rPr/>
        <w:t>上期发生金 额</w:t>
      </w:r>
    </w:p>
    <w:p>
      <w:pPr>
        <w:pStyle w:val="BodyText"/>
        <w:spacing w:line="300" w:lineRule="auto" w:before="44"/>
        <w:ind w:left="123" w:right="1239" w:hanging="24"/>
        <w:jc w:val="left"/>
      </w:pPr>
      <w:r>
        <w:rPr/>
        <w:br w:type="column"/>
      </w:r>
      <w:r>
        <w:rPr/>
        <w:t>与资产相关</w:t>
      </w:r>
      <w:r>
        <w:rPr>
          <w:rFonts w:ascii="Times New Roman" w:hAnsi="Times New Roman" w:cs="Times New Roman" w:eastAsia="Times New Roman" w:hint="default"/>
        </w:rPr>
        <w:t>/ </w:t>
      </w:r>
      <w:r>
        <w:rPr/>
        <w:t>与收益相关</w:t>
      </w:r>
    </w:p>
    <w:p>
      <w:pPr>
        <w:spacing w:after="0" w:line="300" w:lineRule="auto"/>
        <w:jc w:val="left"/>
        <w:sectPr>
          <w:type w:val="continuous"/>
          <w:pgSz w:w="11910" w:h="16840"/>
          <w:pgMar w:top="1060" w:bottom="700" w:left="980" w:right="0"/>
          <w:cols w:num="7" w:equalWidth="0">
            <w:col w:w="3168" w:space="40"/>
            <w:col w:w="1135" w:space="40"/>
            <w:col w:w="1326" w:space="40"/>
            <w:col w:w="863" w:space="40"/>
            <w:col w:w="846" w:space="40"/>
            <w:col w:w="1043" w:space="40"/>
            <w:col w:w="2309"/>
          </w:cols>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240" w:lineRule="auto"/>
        <w:ind w:left="181" w:right="-19"/>
        <w:jc w:val="left"/>
      </w:pPr>
      <w:r>
        <w:rPr/>
        <w:t>深圳市罗湖区财</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25"/>
          <w:szCs w:val="25"/>
        </w:rPr>
      </w:pPr>
    </w:p>
    <w:p>
      <w:pPr>
        <w:pStyle w:val="BodyText"/>
        <w:spacing w:line="212" w:lineRule="exact"/>
        <w:ind w:left="118" w:right="-20"/>
        <w:jc w:val="left"/>
      </w:pPr>
      <w:r>
        <w:rPr/>
        <w:t>深圳市罗湖</w:t>
      </w:r>
    </w:p>
    <w:p>
      <w:pPr>
        <w:pStyle w:val="BodyText"/>
        <w:spacing w:line="316" w:lineRule="auto" w:before="107"/>
        <w:ind w:left="181" w:right="6164"/>
        <w:jc w:val="left"/>
      </w:pPr>
      <w:r>
        <w:rPr/>
        <w:br w:type="column"/>
      </w:r>
      <w:r>
        <w:rPr/>
        <w:t>因从事国家鼓励 和扶持特定行业、</w:t>
      </w:r>
    </w:p>
    <w:p>
      <w:pPr>
        <w:spacing w:after="0" w:line="316" w:lineRule="auto"/>
        <w:jc w:val="left"/>
        <w:sectPr>
          <w:type w:val="continuous"/>
          <w:pgSz w:w="11910" w:h="16840"/>
          <w:pgMar w:top="1060" w:bottom="700" w:left="980" w:right="0"/>
          <w:cols w:num="3" w:equalWidth="0">
            <w:col w:w="1443" w:space="40"/>
            <w:col w:w="1019" w:space="620"/>
            <w:col w:w="7808"/>
          </w:cols>
        </w:sectPr>
      </w:pPr>
    </w:p>
    <w:p>
      <w:pPr>
        <w:pStyle w:val="BodyText"/>
        <w:spacing w:line="180" w:lineRule="exact"/>
        <w:ind w:left="181" w:right="-20"/>
        <w:jc w:val="left"/>
      </w:pPr>
      <w:r>
        <w:rPr/>
        <w:t>政局高新技术企</w:t>
      </w:r>
    </w:p>
    <w:p>
      <w:pPr>
        <w:pStyle w:val="BodyText"/>
        <w:spacing w:line="240" w:lineRule="auto" w:before="76"/>
        <w:ind w:left="181" w:right="-20"/>
        <w:jc w:val="left"/>
      </w:pPr>
      <w:r>
        <w:rPr/>
        <w:t>业补贴</w:t>
      </w:r>
    </w:p>
    <w:p>
      <w:pPr>
        <w:pStyle w:val="BodyText"/>
        <w:spacing w:line="240" w:lineRule="auto" w:before="100"/>
        <w:ind w:left="118" w:right="-20"/>
        <w:jc w:val="left"/>
      </w:pPr>
      <w:r>
        <w:rPr/>
        <w:br w:type="column"/>
      </w:r>
      <w:r>
        <w:rPr/>
        <w:t>区财政局</w:t>
      </w:r>
    </w:p>
    <w:p>
      <w:pPr>
        <w:pStyle w:val="BodyText"/>
        <w:tabs>
          <w:tab w:pos="750" w:val="left" w:leader="none"/>
        </w:tabs>
        <w:spacing w:line="180" w:lineRule="exact"/>
        <w:ind w:left="181" w:right="-20"/>
        <w:jc w:val="left"/>
      </w:pPr>
      <w:r>
        <w:rPr/>
        <w:br w:type="column"/>
      </w:r>
      <w:r>
        <w:rPr/>
        <w:t>补助</w:t>
        <w:tab/>
        <w:t>产业而获得的补</w:t>
      </w:r>
    </w:p>
    <w:p>
      <w:pPr>
        <w:pStyle w:val="BodyText"/>
        <w:spacing w:line="316" w:lineRule="auto" w:before="76"/>
        <w:ind w:left="751" w:right="-20"/>
        <w:jc w:val="left"/>
      </w:pPr>
      <w:r>
        <w:rPr>
          <w:spacing w:val="-10"/>
        </w:rPr>
        <w:t>助（按国家级政策</w:t>
      </w:r>
      <w:r>
        <w:rPr/>
        <w:t> 规定依法取得）</w:t>
      </w:r>
    </w:p>
    <w:p>
      <w:pPr>
        <w:pStyle w:val="BodyText"/>
        <w:tabs>
          <w:tab w:pos="1150" w:val="left" w:leader="none"/>
          <w:tab w:pos="3118" w:val="left" w:leader="none"/>
        </w:tabs>
        <w:spacing w:line="194" w:lineRule="exact"/>
        <w:ind w:left="15" w:right="0"/>
        <w:jc w:val="left"/>
      </w:pPr>
      <w:r>
        <w:rPr/>
        <w:br w:type="column"/>
      </w:r>
      <w:r>
        <w:rPr/>
        <w:t>否</w:t>
        <w:tab/>
        <w:t>否</w:t>
        <w:tab/>
      </w:r>
      <w:r>
        <w:rPr>
          <w:rFonts w:ascii="Times New Roman" w:hAnsi="Times New Roman" w:cs="Times New Roman" w:eastAsia="Times New Roman" w:hint="default"/>
        </w:rPr>
        <w:t>300,000.00</w:t>
      </w:r>
      <w:r>
        <w:rPr>
          <w:rFonts w:ascii="Times New Roman" w:hAnsi="Times New Roman" w:cs="Times New Roman" w:eastAsia="Times New Roman" w:hint="default"/>
          <w:spacing w:val="9"/>
        </w:rPr>
        <w:t> </w:t>
      </w:r>
      <w:r>
        <w:rPr/>
        <w:t>与收益相关</w:t>
      </w:r>
    </w:p>
    <w:p>
      <w:pPr>
        <w:spacing w:after="0" w:line="194" w:lineRule="exact"/>
        <w:jc w:val="left"/>
        <w:sectPr>
          <w:type w:val="continuous"/>
          <w:pgSz w:w="11910" w:h="16840"/>
          <w:pgMar w:top="1060" w:bottom="700" w:left="980" w:right="0"/>
          <w:cols w:num="4" w:equalWidth="0">
            <w:col w:w="1442" w:space="40"/>
            <w:col w:w="839" w:space="231"/>
            <w:col w:w="2112" w:space="40"/>
            <w:col w:w="6226"/>
          </w:cols>
        </w:sect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181" w:right="-20"/>
        <w:jc w:val="left"/>
      </w:pPr>
      <w:r>
        <w:rPr/>
        <w:t>深圳市罗湖区产</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6"/>
          <w:szCs w:val="26"/>
        </w:rPr>
      </w:pPr>
    </w:p>
    <w:p>
      <w:pPr>
        <w:pStyle w:val="BodyText"/>
        <w:spacing w:line="212" w:lineRule="exact"/>
        <w:ind w:left="118" w:right="-20"/>
        <w:jc w:val="left"/>
      </w:pPr>
      <w:r>
        <w:rPr/>
        <w:t>深圳市罗湖</w:t>
      </w:r>
    </w:p>
    <w:p>
      <w:pPr>
        <w:pStyle w:val="BodyText"/>
        <w:spacing w:line="316" w:lineRule="auto" w:before="110"/>
        <w:ind w:left="181" w:right="6164"/>
        <w:jc w:val="left"/>
      </w:pPr>
      <w:r>
        <w:rPr/>
        <w:br w:type="column"/>
      </w:r>
      <w:r>
        <w:rPr/>
        <w:t>因从事国家鼓励 和扶持特定行业、</w:t>
      </w:r>
    </w:p>
    <w:p>
      <w:pPr>
        <w:spacing w:after="0" w:line="316" w:lineRule="auto"/>
        <w:jc w:val="left"/>
        <w:sectPr>
          <w:type w:val="continuous"/>
          <w:pgSz w:w="11910" w:h="16840"/>
          <w:pgMar w:top="1060" w:bottom="700" w:left="980" w:right="0"/>
          <w:cols w:num="3" w:equalWidth="0">
            <w:col w:w="1442" w:space="40"/>
            <w:col w:w="1019" w:space="620"/>
            <w:col w:w="7809"/>
          </w:cols>
        </w:sectPr>
      </w:pPr>
    </w:p>
    <w:p>
      <w:pPr>
        <w:pStyle w:val="BodyText"/>
        <w:spacing w:line="180" w:lineRule="exact"/>
        <w:ind w:left="181" w:right="-20"/>
        <w:jc w:val="left"/>
      </w:pPr>
      <w:r>
        <w:rPr/>
        <w:t>业转型升级专项</w:t>
      </w:r>
    </w:p>
    <w:p>
      <w:pPr>
        <w:pStyle w:val="BodyText"/>
        <w:spacing w:line="240" w:lineRule="auto" w:before="76"/>
        <w:ind w:left="181" w:right="-20"/>
        <w:jc w:val="left"/>
      </w:pPr>
      <w:r>
        <w:rPr/>
        <w:t>资金</w:t>
      </w:r>
    </w:p>
    <w:p>
      <w:pPr>
        <w:pStyle w:val="BodyText"/>
        <w:spacing w:line="240" w:lineRule="auto" w:before="100"/>
        <w:ind w:left="118" w:right="-20"/>
        <w:jc w:val="left"/>
      </w:pPr>
      <w:r>
        <w:rPr/>
        <w:br w:type="column"/>
      </w:r>
      <w:r>
        <w:rPr/>
        <w:t>区财政局</w:t>
      </w:r>
    </w:p>
    <w:p>
      <w:pPr>
        <w:pStyle w:val="BodyText"/>
        <w:tabs>
          <w:tab w:pos="750" w:val="left" w:leader="none"/>
        </w:tabs>
        <w:spacing w:line="180" w:lineRule="exact"/>
        <w:ind w:left="181" w:right="-20"/>
        <w:jc w:val="left"/>
      </w:pPr>
      <w:r>
        <w:rPr/>
        <w:br w:type="column"/>
      </w:r>
      <w:r>
        <w:rPr/>
        <w:t>补助</w:t>
        <w:tab/>
        <w:t>产业而获得的补</w:t>
      </w:r>
    </w:p>
    <w:p>
      <w:pPr>
        <w:pStyle w:val="BodyText"/>
        <w:spacing w:line="316" w:lineRule="auto" w:before="76"/>
        <w:ind w:left="751" w:right="-20"/>
        <w:jc w:val="left"/>
      </w:pPr>
      <w:r>
        <w:rPr>
          <w:spacing w:val="-10"/>
        </w:rPr>
        <w:t>助（按国家级政策</w:t>
      </w:r>
      <w:r>
        <w:rPr/>
        <w:t> 规定依法取得）</w:t>
      </w:r>
    </w:p>
    <w:p>
      <w:pPr>
        <w:pStyle w:val="BodyText"/>
        <w:tabs>
          <w:tab w:pos="1150" w:val="left" w:leader="none"/>
          <w:tab w:pos="2984" w:val="left" w:leader="none"/>
        </w:tabs>
        <w:spacing w:line="194" w:lineRule="exact"/>
        <w:ind w:left="15" w:right="0"/>
        <w:jc w:val="left"/>
      </w:pPr>
      <w:r>
        <w:rPr/>
        <w:br w:type="column"/>
      </w:r>
      <w:r>
        <w:rPr/>
        <w:t>否</w:t>
        <w:tab/>
        <w:t>否</w:t>
        <w:tab/>
      </w:r>
      <w:r>
        <w:rPr>
          <w:rFonts w:ascii="Times New Roman" w:hAnsi="Times New Roman" w:cs="Times New Roman" w:eastAsia="Times New Roman" w:hint="default"/>
        </w:rPr>
        <w:t>5,550,000.00</w:t>
      </w:r>
      <w:r>
        <w:rPr>
          <w:rFonts w:ascii="Times New Roman" w:hAnsi="Times New Roman" w:cs="Times New Roman" w:eastAsia="Times New Roman" w:hint="default"/>
          <w:spacing w:val="8"/>
        </w:rPr>
        <w:t> </w:t>
      </w:r>
      <w:r>
        <w:rPr/>
        <w:t>与收益相关</w:t>
      </w:r>
    </w:p>
    <w:p>
      <w:pPr>
        <w:spacing w:after="0" w:line="194" w:lineRule="exact"/>
        <w:jc w:val="left"/>
        <w:sectPr>
          <w:type w:val="continuous"/>
          <w:pgSz w:w="11910" w:h="16840"/>
          <w:pgMar w:top="1060" w:bottom="700" w:left="980" w:right="0"/>
          <w:cols w:num="4" w:equalWidth="0">
            <w:col w:w="1442" w:space="40"/>
            <w:col w:w="839" w:space="231"/>
            <w:col w:w="2112" w:space="40"/>
            <w:col w:w="6226"/>
          </w:cols>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240" w:lineRule="auto"/>
        <w:ind w:left="181" w:right="-20"/>
        <w:jc w:val="left"/>
      </w:pPr>
      <w:r>
        <w:rPr/>
        <w:t>今天国际物流系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25"/>
          <w:szCs w:val="25"/>
        </w:rPr>
      </w:pPr>
    </w:p>
    <w:p>
      <w:pPr>
        <w:pStyle w:val="BodyText"/>
        <w:spacing w:line="212" w:lineRule="exact"/>
        <w:ind w:left="118" w:right="-20"/>
        <w:jc w:val="left"/>
      </w:pPr>
      <w:r>
        <w:rPr/>
        <w:t>深圳市财政</w:t>
      </w:r>
    </w:p>
    <w:p>
      <w:pPr>
        <w:pStyle w:val="BodyText"/>
        <w:spacing w:line="316" w:lineRule="auto" w:before="107"/>
        <w:ind w:left="181" w:right="6164"/>
        <w:jc w:val="left"/>
      </w:pPr>
      <w:r>
        <w:rPr/>
        <w:br w:type="column"/>
      </w:r>
      <w:r>
        <w:rPr/>
        <w:t>因从事国家鼓励 和扶持特定行业、</w:t>
      </w:r>
    </w:p>
    <w:p>
      <w:pPr>
        <w:spacing w:after="0" w:line="316" w:lineRule="auto"/>
        <w:jc w:val="left"/>
        <w:sectPr>
          <w:type w:val="continuous"/>
          <w:pgSz w:w="11910" w:h="16840"/>
          <w:pgMar w:top="1060" w:bottom="700" w:left="980" w:right="0"/>
          <w:cols w:num="3" w:equalWidth="0">
            <w:col w:w="1442" w:space="40"/>
            <w:col w:w="1019" w:space="620"/>
            <w:col w:w="7809"/>
          </w:cols>
        </w:sectPr>
      </w:pPr>
    </w:p>
    <w:p>
      <w:pPr>
        <w:pStyle w:val="BodyText"/>
        <w:spacing w:line="180" w:lineRule="exact"/>
        <w:ind w:left="181" w:right="-20"/>
        <w:jc w:val="left"/>
      </w:pPr>
      <w:r>
        <w:rPr/>
        <w:t>统集成平台产业</w:t>
      </w:r>
    </w:p>
    <w:p>
      <w:pPr>
        <w:pStyle w:val="BodyText"/>
        <w:spacing w:line="240" w:lineRule="auto" w:before="76"/>
        <w:ind w:left="181" w:right="-20"/>
        <w:jc w:val="left"/>
      </w:pPr>
      <w:r>
        <w:rPr/>
        <w:t>化项目补助资金</w:t>
      </w:r>
    </w:p>
    <w:p>
      <w:pPr>
        <w:spacing w:before="100"/>
        <w:ind w:left="11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委员会</w:t>
      </w:r>
    </w:p>
    <w:p>
      <w:pPr>
        <w:pStyle w:val="BodyText"/>
        <w:tabs>
          <w:tab w:pos="750" w:val="left" w:leader="none"/>
        </w:tabs>
        <w:spacing w:line="180" w:lineRule="exact"/>
        <w:ind w:left="181" w:right="-20"/>
        <w:jc w:val="left"/>
      </w:pPr>
      <w:r>
        <w:rPr/>
        <w:br w:type="column"/>
      </w:r>
      <w:r>
        <w:rPr/>
        <w:t>补助</w:t>
        <w:tab/>
        <w:t>产业而获得的补</w:t>
      </w:r>
    </w:p>
    <w:p>
      <w:pPr>
        <w:pStyle w:val="BodyText"/>
        <w:spacing w:line="316" w:lineRule="auto" w:before="76"/>
        <w:ind w:left="751" w:right="-20"/>
        <w:jc w:val="left"/>
      </w:pPr>
      <w:r>
        <w:rPr>
          <w:spacing w:val="-10"/>
        </w:rPr>
        <w:t>助（按国家级政策</w:t>
      </w:r>
      <w:r>
        <w:rPr/>
        <w:t> 规定依法取得）</w:t>
      </w:r>
    </w:p>
    <w:p>
      <w:pPr>
        <w:pStyle w:val="BodyText"/>
        <w:tabs>
          <w:tab w:pos="1150" w:val="left" w:leader="none"/>
          <w:tab w:pos="2146" w:val="left" w:leader="none"/>
          <w:tab w:pos="3118" w:val="left" w:leader="none"/>
        </w:tabs>
        <w:spacing w:line="194" w:lineRule="exact"/>
        <w:ind w:left="15" w:right="0"/>
        <w:jc w:val="left"/>
      </w:pPr>
      <w:r>
        <w:rPr/>
        <w:br w:type="column"/>
      </w:r>
      <w:r>
        <w:rPr/>
        <w:t>否</w:t>
        <w:tab/>
        <w:t>否</w:t>
        <w:tab/>
      </w:r>
      <w:r>
        <w:rPr>
          <w:rFonts w:ascii="Times New Roman" w:hAnsi="Times New Roman" w:cs="Times New Roman" w:eastAsia="Times New Roman" w:hint="default"/>
          <w:spacing w:val="-1"/>
        </w:rPr>
        <w:t>22,231.21</w:t>
        <w:tab/>
        <w:t>301,485.46</w:t>
      </w:r>
      <w:r>
        <w:rPr>
          <w:rFonts w:ascii="Times New Roman" w:hAnsi="Times New Roman" w:cs="Times New Roman" w:eastAsia="Times New Roman" w:hint="default"/>
          <w:spacing w:val="19"/>
        </w:rPr>
        <w:t> </w:t>
      </w:r>
      <w:r>
        <w:rPr/>
        <w:t>与资产相关</w:t>
      </w:r>
    </w:p>
    <w:p>
      <w:pPr>
        <w:spacing w:after="0" w:line="194" w:lineRule="exact"/>
        <w:jc w:val="left"/>
        <w:sectPr>
          <w:type w:val="continuous"/>
          <w:pgSz w:w="11910" w:h="16840"/>
          <w:pgMar w:top="1060" w:bottom="700" w:left="980" w:right="0"/>
          <w:cols w:num="4" w:equalWidth="0">
            <w:col w:w="1442" w:space="40"/>
            <w:col w:w="659" w:space="411"/>
            <w:col w:w="2112" w:space="40"/>
            <w:col w:w="6226"/>
          </w:cols>
        </w:sectPr>
      </w:pPr>
    </w:p>
    <w:p>
      <w:pPr>
        <w:pStyle w:val="BodyText"/>
        <w:spacing w:line="319" w:lineRule="auto" w:before="110"/>
        <w:ind w:left="181" w:right="0"/>
        <w:jc w:val="both"/>
      </w:pPr>
      <w:r>
        <w:rPr/>
        <w:t>深圳市仓储智能 化工程技术研究 开发中心</w:t>
      </w:r>
    </w:p>
    <w:p>
      <w:pPr>
        <w:spacing w:line="240" w:lineRule="auto" w:before="5"/>
        <w:rPr>
          <w:rFonts w:ascii="宋体" w:hAnsi="宋体" w:cs="宋体" w:eastAsia="宋体" w:hint="default"/>
          <w:sz w:val="20"/>
          <w:szCs w:val="20"/>
        </w:rPr>
      </w:pPr>
      <w:r>
        <w:rPr/>
        <w:br w:type="column"/>
      </w:r>
      <w:r>
        <w:rPr>
          <w:rFonts w:ascii="宋体"/>
          <w:sz w:val="20"/>
        </w:rPr>
      </w:r>
    </w:p>
    <w:p>
      <w:pPr>
        <w:pStyle w:val="BodyText"/>
        <w:spacing w:line="316" w:lineRule="auto"/>
        <w:ind w:left="118" w:right="-20"/>
        <w:jc w:val="left"/>
      </w:pPr>
      <w:r>
        <w:rPr/>
        <w:t>深圳市财政 委员会</w:t>
      </w:r>
    </w:p>
    <w:p>
      <w:pPr>
        <w:pStyle w:val="BodyText"/>
        <w:tabs>
          <w:tab w:pos="750" w:val="left" w:leader="none"/>
        </w:tabs>
        <w:spacing w:line="319" w:lineRule="auto" w:before="110"/>
        <w:ind w:left="181" w:right="0" w:firstLine="569"/>
        <w:jc w:val="left"/>
      </w:pPr>
      <w:r>
        <w:rPr>
          <w:spacing w:val="-10"/>
        </w:rPr>
        <w:br w:type="column"/>
      </w:r>
      <w:r>
        <w:rPr>
          <w:spacing w:val="-10"/>
        </w:rPr>
        <w:t>因研究开发、技术</w:t>
      </w:r>
      <w:r>
        <w:rPr/>
        <w:t> 补助</w:t>
        <w:tab/>
        <w:t>更新及改造等获</w:t>
      </w:r>
    </w:p>
    <w:p>
      <w:pPr>
        <w:pStyle w:val="BodyText"/>
        <w:spacing w:line="240" w:lineRule="auto" w:before="17"/>
        <w:ind w:left="751" w:right="-20"/>
        <w:jc w:val="left"/>
      </w:pPr>
      <w:r>
        <w:rPr/>
        <w:t>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4"/>
          <w:szCs w:val="14"/>
        </w:rPr>
      </w:pPr>
    </w:p>
    <w:p>
      <w:pPr>
        <w:pStyle w:val="BodyText"/>
        <w:tabs>
          <w:tab w:pos="1150" w:val="left" w:leader="none"/>
          <w:tab w:pos="2055" w:val="left" w:leader="none"/>
          <w:tab w:pos="3118" w:val="left" w:leader="none"/>
        </w:tabs>
        <w:spacing w:line="240" w:lineRule="auto"/>
        <w:ind w:left="15" w:right="0"/>
        <w:jc w:val="left"/>
      </w:pPr>
      <w:r>
        <w:rPr/>
        <w:t>否</w:t>
        <w:tab/>
        <w:t>否</w:t>
        <w:tab/>
      </w:r>
      <w:r>
        <w:rPr>
          <w:rFonts w:ascii="Times New Roman" w:hAnsi="Times New Roman" w:cs="Times New Roman" w:eastAsia="Times New Roman" w:hint="default"/>
          <w:spacing w:val="-1"/>
        </w:rPr>
        <w:t>506,666.66</w:t>
        <w:tab/>
        <w:t>740,000.00</w:t>
      </w:r>
      <w:r>
        <w:rPr>
          <w:rFonts w:ascii="Times New Roman" w:hAnsi="Times New Roman" w:cs="Times New Roman" w:eastAsia="Times New Roman" w:hint="default"/>
          <w:spacing w:val="19"/>
        </w:rPr>
        <w:t> </w:t>
      </w:r>
      <w:r>
        <w:rPr/>
        <w:t>与资产相关</w:t>
      </w:r>
    </w:p>
    <w:p>
      <w:pPr>
        <w:spacing w:after="0" w:line="240" w:lineRule="auto"/>
        <w:jc w:val="left"/>
        <w:sectPr>
          <w:type w:val="continuous"/>
          <w:pgSz w:w="11910" w:h="16840"/>
          <w:pgMar w:top="1060" w:bottom="700" w:left="980" w:right="0"/>
          <w:cols w:num="4" w:equalWidth="0">
            <w:col w:w="1442" w:space="40"/>
            <w:col w:w="1019" w:space="51"/>
            <w:col w:w="2112" w:space="40"/>
            <w:col w:w="6226"/>
          </w:cols>
        </w:sectPr>
      </w:pPr>
    </w:p>
    <w:p>
      <w:pPr>
        <w:pStyle w:val="BodyText"/>
        <w:spacing w:line="312" w:lineRule="auto" w:before="106"/>
        <w:ind w:left="181" w:right="0"/>
        <w:jc w:val="both"/>
      </w:pPr>
      <w:r>
        <w:rPr/>
        <w:t>深圳市社会保险 基金管理局</w:t>
      </w:r>
      <w:r>
        <w:rPr>
          <w:spacing w:val="-44"/>
        </w:rPr>
        <w:t> </w:t>
      </w:r>
      <w:r>
        <w:rPr>
          <w:rFonts w:ascii="Times New Roman" w:hAnsi="Times New Roman" w:cs="Times New Roman" w:eastAsia="Times New Roman" w:hint="default"/>
        </w:rPr>
        <w:t>2018 </w:t>
      </w:r>
      <w:r>
        <w:rPr/>
        <w:t>年度社保稳岗补 贴</w:t>
      </w:r>
    </w:p>
    <w:p>
      <w:pPr>
        <w:pStyle w:val="BodyText"/>
        <w:spacing w:line="310" w:lineRule="atLeast" w:before="53"/>
        <w:ind w:left="751" w:right="6163"/>
        <w:jc w:val="left"/>
      </w:pPr>
      <w:r>
        <w:rPr/>
        <w:br w:type="column"/>
      </w:r>
      <w:r>
        <w:rPr/>
        <w:t>因从事国家鼓励 和扶持特定行业、</w:t>
      </w:r>
    </w:p>
    <w:p>
      <w:pPr>
        <w:pStyle w:val="BodyText"/>
        <w:tabs>
          <w:tab w:pos="2166" w:val="left" w:leader="none"/>
          <w:tab w:pos="6137" w:val="left" w:leader="none"/>
        </w:tabs>
        <w:spacing w:line="107" w:lineRule="exact"/>
        <w:ind w:left="181" w:right="0"/>
        <w:jc w:val="left"/>
      </w:pPr>
      <w:r>
        <w:rPr/>
        <w:t>补助</w:t>
        <w:tab/>
        <w:t>否</w:t>
        <w:tab/>
        <w:t>与收益相关</w:t>
      </w:r>
    </w:p>
    <w:p>
      <w:pPr>
        <w:pStyle w:val="BodyText"/>
        <w:spacing w:line="205" w:lineRule="exact"/>
        <w:ind w:left="751" w:right="6163"/>
        <w:jc w:val="left"/>
      </w:pPr>
      <w:r>
        <w:rPr/>
        <w:t>产业而获得的补</w:t>
      </w:r>
    </w:p>
    <w:p>
      <w:pPr>
        <w:pStyle w:val="BodyText"/>
        <w:spacing w:line="240" w:lineRule="auto" w:before="76"/>
        <w:ind w:left="751" w:right="6163"/>
        <w:jc w:val="left"/>
      </w:pPr>
      <w:r>
        <w:rPr>
          <w:spacing w:val="-80"/>
        </w:rPr>
        <w:t>助</w:t>
      </w:r>
      <w:r>
        <w:rPr/>
        <w:t>（按国家级政策</w:t>
      </w:r>
    </w:p>
    <w:p>
      <w:pPr>
        <w:spacing w:after="0" w:line="240" w:lineRule="auto"/>
        <w:jc w:val="left"/>
        <w:sectPr>
          <w:type w:val="continuous"/>
          <w:pgSz w:w="11910" w:h="16840"/>
          <w:pgMar w:top="1060" w:bottom="700" w:left="980" w:right="0"/>
          <w:cols w:num="2" w:equalWidth="0">
            <w:col w:w="1489" w:space="1063"/>
            <w:col w:w="8378"/>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569"/>
        <w:gridCol w:w="1416"/>
        <w:gridCol w:w="1136"/>
        <w:gridCol w:w="850"/>
        <w:gridCol w:w="922"/>
        <w:gridCol w:w="1064"/>
        <w:gridCol w:w="1063"/>
      </w:tblGrid>
      <w:tr>
        <w:trPr>
          <w:trHeight w:val="362"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规定依法取得）</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04"/>
        <w:gridCol w:w="2482"/>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234,711.92</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5,811.02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234,711.92</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其中：固定资产处置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988.61</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5,811.02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988.61</w:t>
            </w:r>
          </w:p>
        </w:tc>
      </w:tr>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1"/>
              <w:jc w:val="right"/>
              <w:rPr>
                <w:rFonts w:ascii="宋体" w:hAnsi="宋体" w:cs="宋体" w:eastAsia="宋体" w:hint="default"/>
                <w:sz w:val="18"/>
                <w:szCs w:val="18"/>
              </w:rPr>
            </w:pPr>
            <w:r>
              <w:rPr>
                <w:rFonts w:ascii="宋体" w:hAnsi="宋体" w:cs="宋体" w:eastAsia="宋体" w:hint="default"/>
                <w:sz w:val="18"/>
                <w:szCs w:val="18"/>
              </w:rPr>
              <w:t>无形资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233,723.31</w:t>
            </w:r>
          </w:p>
        </w:tc>
        <w:tc>
          <w:tcPr>
            <w:tcW w:w="230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233,723.31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451,829.34</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1,782,724.42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451,829.34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686,541.26</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1,828,535.44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452,155.43</w:t>
            </w:r>
          </w:p>
        </w:tc>
      </w:tr>
    </w:tbl>
    <w:p>
      <w:pPr>
        <w:pStyle w:val="BodyText"/>
        <w:spacing w:line="240" w:lineRule="auto" w:before="49"/>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127,742.60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19,232,532.88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-907,305.22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-4,982,418.31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-779,562.62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14,250,114.57</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16,591,042.62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2,488,656.39</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-1,224,145.07</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66,182.98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-575,713.26</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1,431,823.66</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1,251,237.37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-4,498,587.75</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280,983.05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-779,562.62</w:t>
            </w:r>
          </w:p>
        </w:tc>
      </w:tr>
    </w:tbl>
    <w:p>
      <w:pPr>
        <w:pStyle w:val="BodyText"/>
        <w:spacing w:line="240" w:lineRule="auto" w:before="49"/>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rFonts w:ascii="Times New Roman" w:hAnsi="Times New Roman" w:cs="Times New Roman" w:eastAsia="Times New Roman" w:hint="default"/>
        </w:rPr>
        <w:t>66</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详见附注。</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rFonts w:ascii="Times New Roman" w:hAnsi="Times New Roman" w:cs="Times New Roman" w:eastAsia="Times New Roman" w:hint="default"/>
        </w:rPr>
        <w:t>67</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42,328,444.55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45,136,629.41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238,821.23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3,814.51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收到利息收入及政府补贴等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6,715,420.10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7,814,637.65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49,282,685.88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52,955,081.57</w:t>
            </w:r>
          </w:p>
        </w:tc>
      </w:tr>
    </w:tbl>
    <w:p>
      <w:pPr>
        <w:pStyle w:val="BodyText"/>
        <w:spacing w:line="240" w:lineRule="auto" w:before="49"/>
        <w:ind w:right="1115"/>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71,033,177.73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29,870,821.41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支付往来款项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1,054,822.20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支付的期间费用及营业外支出等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57,389,068.48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42,529,434.51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128,422,246.21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73,455,078.12</w:t>
            </w:r>
          </w:p>
        </w:tc>
      </w:tr>
    </w:tbl>
    <w:p>
      <w:pPr>
        <w:pStyle w:val="BodyText"/>
        <w:spacing w:line="240" w:lineRule="auto" w:before="49"/>
        <w:ind w:right="1115"/>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15"/>
        <w:jc w:val="left"/>
      </w:pPr>
      <w:r>
        <w:rPr/>
        <w:t>收到的其他与投资活动有关的现金说明：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处置子公司支付的现金净额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919,617.58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919,617.58</w:t>
            </w:r>
          </w:p>
        </w:tc>
      </w:tr>
    </w:tbl>
    <w:p>
      <w:pPr>
        <w:pStyle w:val="BodyText"/>
        <w:spacing w:line="240" w:lineRule="auto" w:before="49"/>
        <w:ind w:right="1115"/>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15"/>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15"/>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17,370,605.24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92,835,525.94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-3,552,571.88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5,051,336.15</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5,343,539.73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3,115,357.77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1,511,782.17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2,150,156.96</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-106,401.42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230,406.23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190.100006pt;margin-top:92.635986pt;width:185.6pt;height:19.6pt;mso-position-horizontal-relative:page;mso-position-vertical-relative:page;z-index:-893824"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90.100006pt;margin-top:112.699982pt;width:185.6pt;height:19.6pt;mso-position-horizontal-relative:page;mso-position-vertical-relative:page;z-index:-893800"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1043"/>
        <w:gridCol w:w="2016"/>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-6,802,863.89</w:t>
            </w:r>
          </w:p>
        </w:tc>
      </w:tr>
      <w:tr>
        <w:trPr>
          <w:trHeight w:val="404"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6"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4"/>
              <w:ind w:right="11"/>
              <w:jc w:val="right"/>
              <w:rPr>
                <w:rFonts w:ascii="Times New Roman" w:hAnsi="Times New Roman" w:cs="Times New Roman" w:eastAsia="Times New Roman" w:hint="default"/>
                <w:sz w:val="18"/>
                <w:szCs w:val="18"/>
              </w:rPr>
            </w:pPr>
            <w:r>
              <w:rPr>
                <w:rFonts w:ascii="Times New Roman"/>
                <w:spacing w:val="-1"/>
                <w:sz w:val="18"/>
              </w:rPr>
              <w:t>-1,223,788.97</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-5,021,933.56</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6"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316,483.75</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57,952.37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29" w:right="0"/>
              <w:jc w:val="left"/>
              <w:rPr>
                <w:rFonts w:ascii="Times New Roman" w:hAnsi="Times New Roman" w:cs="Times New Roman" w:eastAsia="Times New Roman" w:hint="default"/>
                <w:sz w:val="18"/>
                <w:szCs w:val="18"/>
              </w:rPr>
            </w:pPr>
            <w:r>
              <w:rPr>
                <w:rFonts w:ascii="Times New Roman"/>
                <w:sz w:val="18"/>
              </w:rPr>
              <w:t>-99,203,283.20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-65,713,287.70</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-33,928,425.16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-85,566,087.10</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91" w:right="0"/>
              <w:jc w:val="left"/>
              <w:rPr>
                <w:rFonts w:ascii="Times New Roman" w:hAnsi="Times New Roman" w:cs="Times New Roman" w:eastAsia="Times New Roman" w:hint="default"/>
                <w:sz w:val="18"/>
                <w:szCs w:val="18"/>
              </w:rPr>
            </w:pPr>
            <w:r>
              <w:rPr>
                <w:rFonts w:ascii="Times New Roman"/>
                <w:sz w:val="18"/>
              </w:rPr>
              <w:t>275,489,156.87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59,896,345.58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-12,335,142.78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-304,436.67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149,681,954.35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-71,527.92</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257,618,449.23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289,481,776.26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289,481,776.26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248,562,844.09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-31,863,327.03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40,918,932.17</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257,618,449.23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289,481,776.26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201,048.76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153,525.33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256,886,811.36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289,259,913.32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530,589.11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68,337.61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257,618,449.23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289,481,776.26</w:t>
            </w:r>
          </w:p>
        </w:tc>
      </w:tr>
    </w:tbl>
    <w:p>
      <w:pPr>
        <w:pStyle w:val="BodyText"/>
        <w:spacing w:line="240" w:lineRule="auto" w:before="49"/>
        <w:ind w:right="1115"/>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6"/>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26,695,021.02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保函、信用证、承兑汇票保证金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4,711,993.92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本公司购置的人才住房，为有限产权</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10,589,669.75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贷款抵押</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41,996,684.69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6,827,849.93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5,069.64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34,793.95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3,569.88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28,013.92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7,720,887.99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6,765,042.06</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5"/>
        <w:jc w:val="left"/>
      </w:pPr>
      <w:r>
        <w:rPr/>
        <w:t>其他说明：</w:t>
      </w:r>
    </w:p>
    <w:p>
      <w:pPr>
        <w:spacing w:line="240" w:lineRule="auto" w:before="0"/>
        <w:rPr>
          <w:rFonts w:ascii="宋体" w:hAnsi="宋体" w:cs="宋体" w:eastAsia="宋体" w:hint="default"/>
          <w:sz w:val="18"/>
          <w:szCs w:val="18"/>
        </w:rPr>
      </w:pPr>
    </w:p>
    <w:p>
      <w:pPr>
        <w:pStyle w:val="Heading5"/>
        <w:spacing w:line="259" w:lineRule="auto" w:before="118"/>
        <w:ind w:right="1115"/>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3,351,200.00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43,816.17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43,816.17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5,267,128.03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5,267,128.03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1,894,425.00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1,894,425.00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物博会参展商展补贴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科技创新资助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高新技术企业认定奖励补助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4"/>
        <w:ind w:right="1115"/>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是否存在通过多次交易分步实现企业合并且在报告期内取得控制权的交易</w:t>
      </w:r>
    </w:p>
    <w:p>
      <w:pPr>
        <w:pStyle w:val="BodyText"/>
        <w:spacing w:line="240" w:lineRule="auto" w:before="115"/>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5"/>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t>是否存在单次处置对子公司投资即丧失控制权的情形</w:t>
      </w:r>
    </w:p>
    <w:p>
      <w:pPr>
        <w:pStyle w:val="BodyText"/>
        <w:spacing w:line="340" w:lineRule="auto" w:before="115"/>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7" w:lineRule="auto" w:before="12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4"/>
        <w:ind w:right="1115"/>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404"/>
        <w:gridCol w:w="1133"/>
        <w:gridCol w:w="994"/>
        <w:gridCol w:w="991"/>
        <w:gridCol w:w="991"/>
        <w:gridCol w:w="1136"/>
        <w:gridCol w:w="924"/>
      </w:tblGrid>
      <w:tr>
        <w:trPr>
          <w:trHeight w:val="403" w:hRule="exact"/>
        </w:trPr>
        <w:tc>
          <w:tcPr>
            <w:tcW w:w="3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340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深圳市今天国际软件技术有限公司（原公司</w:t>
            </w:r>
            <w:r>
              <w:rPr>
                <w:rFonts w:ascii="宋体" w:hAnsi="宋体" w:cs="宋体" w:eastAsia="宋体" w:hint="default"/>
                <w:sz w:val="18"/>
                <w:szCs w:val="18"/>
              </w:rPr>
              <w:t> 名称：深圳市同创智软件技术有限公司）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软件研发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今天国际物流科技有限公司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COPR</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100.00%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深圳市今天国际智能机器人有限公司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机器人研发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100.00%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北京今天华迅智能技术有限公司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智能系统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100.00%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上海今天华峰智能系统有限公司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智能系统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100.00%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974"/>
        <w:jc w:val="left"/>
      </w:pPr>
      <w:r>
        <w:rPr/>
        <w:t>在子公司的持股比例不同于表决权比例的说明： 不适用</w:t>
      </w:r>
    </w:p>
    <w:p>
      <w:pPr>
        <w:pStyle w:val="BodyText"/>
        <w:spacing w:line="360" w:lineRule="auto" w:before="29"/>
        <w:ind w:right="2834"/>
        <w:jc w:val="left"/>
      </w:pPr>
      <w:r>
        <w:rPr/>
        <w:t>持有半数或以下表决权但仍控制被投资单位、以及持有半数以上表决权但不控制被投资单位的依据： 不适用</w:t>
      </w:r>
    </w:p>
    <w:p>
      <w:pPr>
        <w:pStyle w:val="BodyText"/>
        <w:spacing w:line="357" w:lineRule="auto" w:before="27"/>
        <w:ind w:right="6434"/>
        <w:jc w:val="left"/>
      </w:pPr>
      <w:r>
        <w:rPr/>
        <w:t>对于纳入合并范围的重要的结构化主体，控制的依据： 不适用</w:t>
      </w:r>
    </w:p>
    <w:p>
      <w:pPr>
        <w:pStyle w:val="BodyText"/>
        <w:spacing w:line="357" w:lineRule="auto" w:before="29"/>
        <w:ind w:right="7694"/>
        <w:jc w:val="left"/>
      </w:pPr>
      <w:r>
        <w:rPr/>
        <w:t>确定公司是代理人还是委托人的依据： 不适用</w:t>
      </w:r>
    </w:p>
    <w:p>
      <w:pPr>
        <w:pStyle w:val="BodyText"/>
        <w:spacing w:line="360" w:lineRule="auto" w:before="29"/>
        <w:ind w:right="9854"/>
        <w:jc w:val="left"/>
      </w:pPr>
      <w:r>
        <w:rPr/>
        <w:t>其他说明： 不适用</w:t>
      </w:r>
    </w:p>
    <w:p>
      <w:pPr>
        <w:spacing w:line="240" w:lineRule="auto" w:before="4"/>
        <w:rPr>
          <w:rFonts w:ascii="宋体" w:hAnsi="宋体" w:cs="宋体" w:eastAsia="宋体" w:hint="default"/>
          <w:sz w:val="20"/>
          <w:szCs w:val="20"/>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15" w:firstLine="420"/>
        <w:jc w:val="left"/>
        <w:rPr>
          <w:rFonts w:ascii="Times New Roman" w:hAnsi="Times New Roman" w:cs="Times New Roman" w:eastAsia="Times New Roman" w:hint="default"/>
        </w:rPr>
      </w:pPr>
      <w:r>
        <w:rPr>
          <w:spacing w:val="-2"/>
        </w:rPr>
        <w:t>本公司与北京皖江科技合伙企业，北京卓天城科技合伙企业于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月签署股权转让协议，收购其持有的北京今天华</w:t>
      </w:r>
      <w:r>
        <w:rPr/>
        <w:t> 迅智能技术有限公司</w:t>
      </w:r>
      <w:r>
        <w:rPr>
          <w:rFonts w:ascii="Times New Roman" w:hAnsi="Times New Roman" w:cs="Times New Roman" w:eastAsia="Times New Roman" w:hint="default"/>
        </w:rPr>
        <w:t>37.80%</w:t>
      </w:r>
      <w:r>
        <w:rPr/>
        <w:t>的股权。本公司实际持股比例由</w:t>
      </w:r>
      <w:r>
        <w:rPr>
          <w:rFonts w:ascii="Times New Roman" w:hAnsi="Times New Roman" w:cs="Times New Roman" w:eastAsia="Times New Roman" w:hint="default"/>
        </w:rPr>
        <w:t>62.90%</w:t>
      </w:r>
      <w:r>
        <w:rPr/>
        <w:t>变更为</w:t>
      </w:r>
      <w:r>
        <w:rPr>
          <w:rFonts w:ascii="Times New Roman" w:hAnsi="Times New Roman" w:cs="Times New Roman" w:eastAsia="Times New Roman" w:hint="default"/>
        </w:rPr>
        <w:t>100.00%</w:t>
      </w:r>
    </w:p>
    <w:p>
      <w:pPr>
        <w:spacing w:line="240" w:lineRule="auto" w:before="5"/>
        <w:rPr>
          <w:rFonts w:ascii="Times New Roman" w:hAnsi="Times New Roman" w:cs="Times New Roman" w:eastAsia="Times New Roman" w:hint="default"/>
          <w:sz w:val="25"/>
          <w:szCs w:val="25"/>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7"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1,134,000.00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-84,510.39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1,218,510.39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1,218,510.39</w:t>
            </w:r>
          </w:p>
        </w:tc>
      </w:tr>
    </w:tbl>
    <w:p>
      <w:pPr>
        <w:pStyle w:val="BodyText"/>
        <w:spacing w:line="240" w:lineRule="auto" w:before="49"/>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15"/>
        <w:jc w:val="left"/>
      </w:pPr>
      <w:r>
        <w:rPr/>
        <w:t>在合营企业或联营企业的持股比例不同于表决权比例的说明：</w:t>
      </w:r>
    </w:p>
    <w:p>
      <w:pPr>
        <w:pStyle w:val="BodyText"/>
        <w:spacing w:line="240" w:lineRule="auto" w:before="117"/>
        <w:ind w:right="1115"/>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51,628,016.06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37,788,885.39</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3,838,088.39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3,077,313.42</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1,001,042.28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-19,927.65</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4,839,130.67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3,057,385.77</w:t>
            </w:r>
          </w:p>
        </w:tc>
      </w:tr>
    </w:tbl>
    <w:p>
      <w:pPr>
        <w:pStyle w:val="BodyText"/>
        <w:spacing w:line="240" w:lineRule="auto" w:before="49"/>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534"/>
        <w:jc w:val="left"/>
      </w:pPr>
      <w:r>
        <w:rPr/>
        <w:t>□ 适用 √</w:t>
      </w:r>
      <w:r>
        <w:rPr>
          <w:spacing w:val="3"/>
        </w:rPr>
        <w:t> </w:t>
      </w:r>
      <w:r>
        <w:rPr/>
        <w:t>不适用</w:t>
      </w:r>
      <w:r>
        <w:rPr/>
        <w:t> 在共同经营中的持股比例或享有的份额不同于表决权比例的说明： 共同经营为单独主体的，分类为共同经营的依据：</w:t>
      </w:r>
    </w:p>
    <w:p>
      <w:pPr>
        <w:pStyle w:val="BodyText"/>
        <w:spacing w:line="240" w:lineRule="auto" w:before="29"/>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未纳入合并财务报表范围的结构化主体的相关说明：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ind w:right="1115"/>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866" w:right="1040"/>
        <w:jc w:val="left"/>
      </w:pPr>
      <w:r>
        <w:rPr>
          <w:spacing w:val="-2"/>
        </w:rPr>
        <w:t>本公司在经营过程中面临各种金融风险：信用风险、市场风险和流动性风险。公司董事会全面负责风险管理目标和</w:t>
      </w:r>
      <w:r>
        <w:rPr>
          <w:spacing w:val="-68"/>
        </w:rPr>
        <w:t> </w:t>
      </w:r>
      <w:r>
        <w:rPr>
          <w:spacing w:val="-68"/>
        </w:rPr>
      </w:r>
      <w:r>
        <w:rPr>
          <w:spacing w:val="-2"/>
        </w:rPr>
        <w:t>政策的确定，并对风险管理目标和政策承担最终责任，但是董事会已授权本公司内部审计部门设计和实施能确保风</w:t>
      </w:r>
      <w:r>
        <w:rPr>
          <w:spacing w:val="-68"/>
        </w:rPr>
        <w:t> </w:t>
      </w:r>
      <w:r>
        <w:rPr>
          <w:spacing w:val="-68"/>
        </w:rPr>
      </w:r>
      <w:r>
        <w:rPr/>
        <w:t>险管理目标和政策得以有效执行的程序。 本公司风险管理的总体目标是在不过度影响公司竞争力和应变力的情况下，制定尽可能降低风险的风险管理政策。</w:t>
      </w:r>
    </w:p>
    <w:p>
      <w:pPr>
        <w:spacing w:line="240" w:lineRule="auto" w:before="4"/>
        <w:rPr>
          <w:rFonts w:ascii="宋体" w:hAnsi="宋体" w:cs="宋体" w:eastAsia="宋体" w:hint="default"/>
          <w:sz w:val="25"/>
          <w:szCs w:val="25"/>
        </w:rPr>
      </w:pPr>
    </w:p>
    <w:p>
      <w:pPr>
        <w:pStyle w:val="Heading6"/>
        <w:spacing w:line="240" w:lineRule="auto"/>
        <w:ind w:left="501" w:right="1115"/>
        <w:jc w:val="left"/>
        <w:rPr>
          <w:b w:val="0"/>
          <w:bCs w:val="0"/>
        </w:rPr>
      </w:pPr>
      <w:r>
        <w:rPr>
          <w:rFonts w:ascii="宋体" w:hAnsi="宋体" w:cs="宋体" w:eastAsia="宋体" w:hint="default"/>
        </w:rPr>
        <w:t>1.</w:t>
      </w:r>
      <w:r>
        <w:rPr>
          <w:rFonts w:ascii="宋体" w:hAnsi="宋体" w:cs="宋体" w:eastAsia="宋体" w:hint="default"/>
          <w:spacing w:val="86"/>
        </w:rPr>
        <w:t> </w:t>
      </w:r>
      <w:r>
        <w:rPr/>
        <w:t>信用风险</w:t>
      </w:r>
      <w:r>
        <w:rPr>
          <w:b w:val="0"/>
          <w:bCs w:val="0"/>
        </w:rPr>
      </w:r>
    </w:p>
    <w:p>
      <w:pPr>
        <w:pStyle w:val="BodyText"/>
        <w:spacing w:line="319" w:lineRule="auto" w:before="76"/>
        <w:ind w:left="866" w:right="1115"/>
        <w:jc w:val="left"/>
      </w:pPr>
      <w:r>
        <w:rPr>
          <w:spacing w:val="-2"/>
        </w:rPr>
        <w:t>信用风险是指金融工具的一方不履行义务，造成另一方发生财务损失的风险。本公司主要面临客户不按合同条款履</w:t>
      </w:r>
      <w:r>
        <w:rPr>
          <w:spacing w:val="-68"/>
        </w:rPr>
        <w:t> </w:t>
      </w:r>
      <w:r>
        <w:rPr>
          <w:spacing w:val="-68"/>
        </w:rPr>
      </w:r>
      <w:r>
        <w:rPr>
          <w:spacing w:val="-2"/>
        </w:rPr>
        <w:t>行及时付款的客户信用风险。本公司目前签订的大项目销售合同客户对象基本上是综合实力强、资金实力雄厚、资</w:t>
      </w:r>
      <w:r>
        <w:rPr>
          <w:spacing w:val="-68"/>
        </w:rPr>
        <w:t> </w:t>
      </w:r>
      <w:r>
        <w:rPr>
          <w:spacing w:val="-68"/>
        </w:rPr>
      </w:r>
      <w:r>
        <w:rPr>
          <w:spacing w:val="-2"/>
        </w:rPr>
        <w:t>信水平较高的大型知名企业，因此在合同履行方面的信用风险相对较低，同时本公司在签订合同时会严格约定相应</w:t>
      </w:r>
      <w:r>
        <w:rPr>
          <w:spacing w:val="-68"/>
        </w:rPr>
        <w:t> </w:t>
      </w:r>
      <w:r>
        <w:rPr>
          <w:spacing w:val="-68"/>
        </w:rPr>
      </w:r>
      <w:r>
        <w:rPr/>
        <w:t>的付款条款以降低风险。 </w:t>
      </w:r>
      <w:r>
        <w:rPr>
          <w:spacing w:val="-2"/>
        </w:rPr>
        <w:t>另外公司会定期编制项目收款控制表，对客户的回款进行跟踪及催收，并由相关责任人负责落实，同时纳入考评机</w:t>
      </w:r>
      <w:r>
        <w:rPr>
          <w:spacing w:val="-67"/>
        </w:rPr>
        <w:t> </w:t>
      </w:r>
      <w:r>
        <w:rPr>
          <w:spacing w:val="-67"/>
        </w:rPr>
      </w:r>
      <w:r>
        <w:rPr/>
        <w:t>制，保证应收款的及时收回，使公司的整体信用风险在可控范围内。</w:t>
      </w:r>
    </w:p>
    <w:p>
      <w:pPr>
        <w:spacing w:line="240" w:lineRule="auto" w:before="2"/>
        <w:rPr>
          <w:rFonts w:ascii="宋体" w:hAnsi="宋体" w:cs="宋体" w:eastAsia="宋体" w:hint="default"/>
          <w:sz w:val="25"/>
          <w:szCs w:val="25"/>
        </w:rPr>
      </w:pPr>
    </w:p>
    <w:p>
      <w:pPr>
        <w:pStyle w:val="Heading6"/>
        <w:spacing w:line="240" w:lineRule="auto"/>
        <w:ind w:left="501" w:right="1115"/>
        <w:jc w:val="left"/>
        <w:rPr>
          <w:b w:val="0"/>
          <w:bCs w:val="0"/>
        </w:rPr>
      </w:pPr>
      <w:r>
        <w:rPr>
          <w:rFonts w:ascii="宋体" w:hAnsi="宋体" w:cs="宋体" w:eastAsia="宋体" w:hint="default"/>
        </w:rPr>
        <w:t>1.</w:t>
      </w:r>
      <w:r>
        <w:rPr>
          <w:rFonts w:ascii="宋体" w:hAnsi="宋体" w:cs="宋体" w:eastAsia="宋体" w:hint="default"/>
          <w:spacing w:val="86"/>
        </w:rPr>
        <w:t> </w:t>
      </w:r>
      <w:r>
        <w:rPr/>
        <w:t>市场风险</w:t>
      </w:r>
      <w:r>
        <w:rPr>
          <w:b w:val="0"/>
          <w:bCs w:val="0"/>
        </w:rPr>
      </w:r>
    </w:p>
    <w:p>
      <w:pPr>
        <w:pStyle w:val="BodyText"/>
        <w:spacing w:line="316" w:lineRule="auto" w:before="76"/>
        <w:ind w:left="866" w:right="998"/>
        <w:jc w:val="left"/>
      </w:pPr>
      <w:r>
        <w:rPr>
          <w:spacing w:val="-4"/>
        </w:rPr>
        <w:t>金融工具的市场风险，是指金融工具的公允价值或未来现金流量因市场价格变动而发生波动的风险，包括汇率风险、</w:t>
      </w:r>
      <w:r>
        <w:rPr>
          <w:spacing w:val="-56"/>
        </w:rPr>
        <w:t> </w:t>
      </w:r>
      <w:r>
        <w:rPr>
          <w:spacing w:val="-56"/>
        </w:rPr>
      </w:r>
      <w:r>
        <w:rPr/>
        <w:t>利率风险和其他价格风险。</w:t>
      </w:r>
    </w:p>
    <w:p>
      <w:pPr>
        <w:pStyle w:val="BodyText"/>
        <w:spacing w:line="309" w:lineRule="auto" w:before="19"/>
        <w:ind w:left="866" w:right="1115"/>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w:t>
      </w:r>
      <w:r>
        <w:rPr>
          <w:spacing w:val="-68"/>
        </w:rPr>
        <w:t> </w:t>
      </w:r>
      <w:r>
        <w:rPr>
          <w:spacing w:val="-68"/>
        </w:rPr>
      </w:r>
      <w:r>
        <w:rPr/>
        <w:t>要来源于银行长期借款以及应付债券。截止报告期公司目前尚未涉及银行借贷业务以及应付债券业务。</w:t>
      </w:r>
    </w:p>
    <w:p>
      <w:pPr>
        <w:pStyle w:val="BodyText"/>
        <w:spacing w:line="314" w:lineRule="auto" w:before="24"/>
        <w:ind w:left="866" w:right="1115"/>
        <w:jc w:val="left"/>
      </w:pPr>
      <w:r>
        <w:rPr/>
        <w:t>（</w:t>
      </w:r>
      <w:r>
        <w:rPr>
          <w:rFonts w:ascii="Times New Roman" w:hAnsi="Times New Roman" w:cs="Times New Roman" w:eastAsia="Times New Roman" w:hint="default"/>
        </w:rPr>
        <w:t>2</w:t>
      </w:r>
      <w:r>
        <w:rPr/>
        <w:t>）外汇风险 </w:t>
      </w:r>
      <w:r>
        <w:rPr>
          <w:spacing w:val="-2"/>
        </w:rPr>
        <w:t>外汇风险，是指金融工具的公允价值或未来现金流量因外汇汇率变动而发生波动的风险。本公司尽可能将外币收入</w:t>
      </w:r>
      <w:r>
        <w:rPr>
          <w:spacing w:val="-68"/>
        </w:rPr>
        <w:t> </w:t>
      </w:r>
      <w:r>
        <w:rPr>
          <w:spacing w:val="-68"/>
        </w:rPr>
      </w:r>
      <w:r>
        <w:rPr/>
        <w:t>与外币支出相匹配以降低外汇风险。 </w:t>
      </w:r>
      <w:r>
        <w:rPr>
          <w:spacing w:val="-2"/>
        </w:rPr>
        <w:t>本公司面临的汇率风险主要来源于以美元计价的金融资产和金融负债，外币金融资产和外币金融负债折算成人民币</w:t>
      </w:r>
      <w:r>
        <w:rPr>
          <w:spacing w:val="-67"/>
        </w:rPr>
        <w:t> </w:t>
      </w:r>
      <w:r>
        <w:rPr>
          <w:spacing w:val="-67"/>
        </w:rPr>
      </w:r>
      <w:r>
        <w:rPr/>
        <w:t>的金额列示如下：</w:t>
      </w:r>
    </w:p>
    <w:tbl>
      <w:tblPr>
        <w:tblW w:w="0" w:type="auto"/>
        <w:jc w:val="left"/>
        <w:tblInd w:w="753" w:type="dxa"/>
        <w:tblLayout w:type="fixed"/>
        <w:tblCellMar>
          <w:top w:w="0" w:type="dxa"/>
          <w:left w:w="0" w:type="dxa"/>
          <w:bottom w:w="0" w:type="dxa"/>
          <w:right w:w="0" w:type="dxa"/>
        </w:tblCellMar>
        <w:tblLook w:val="01E0"/>
      </w:tblPr>
      <w:tblGrid>
        <w:gridCol w:w="1116"/>
        <w:gridCol w:w="1251"/>
        <w:gridCol w:w="936"/>
        <w:gridCol w:w="1250"/>
        <w:gridCol w:w="1162"/>
        <w:gridCol w:w="936"/>
        <w:gridCol w:w="1162"/>
      </w:tblGrid>
      <w:tr>
        <w:trPr>
          <w:trHeight w:val="355" w:hRule="exact"/>
        </w:trPr>
        <w:tc>
          <w:tcPr>
            <w:tcW w:w="1116"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37"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0"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116" w:type="dxa"/>
            <w:vMerge/>
            <w:tcBorders>
              <w:left w:val="single" w:sz="6" w:space="0" w:color="000000"/>
              <w:bottom w:val="single" w:sz="12" w:space="0" w:color="000000"/>
              <w:right w:val="single" w:sz="6" w:space="0" w:color="000000"/>
            </w:tcBorders>
          </w:tcPr>
          <w:p>
            <w:pPr/>
          </w:p>
        </w:tc>
        <w:tc>
          <w:tcPr>
            <w:tcW w:w="1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外币余额</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12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人民币余额</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外币余额</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11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人民币余额</w:t>
            </w:r>
          </w:p>
        </w:tc>
      </w:tr>
      <w:tr>
        <w:trPr>
          <w:trHeight w:val="353" w:hRule="exact"/>
        </w:trPr>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1" w:type="dxa"/>
            <w:tcBorders>
              <w:top w:val="single" w:sz="12" w:space="0" w:color="000000"/>
              <w:left w:val="single" w:sz="6" w:space="0" w:color="000000"/>
              <w:bottom w:val="single" w:sz="12" w:space="0" w:color="000000"/>
              <w:right w:val="single" w:sz="6" w:space="0" w:color="000000"/>
            </w:tcBorders>
          </w:tcPr>
          <w:p>
            <w:pPr/>
          </w:p>
        </w:tc>
        <w:tc>
          <w:tcPr>
            <w:tcW w:w="936" w:type="dxa"/>
            <w:tcBorders>
              <w:top w:val="single" w:sz="12" w:space="0" w:color="000000"/>
              <w:left w:val="single" w:sz="6" w:space="0" w:color="000000"/>
              <w:bottom w:val="single" w:sz="12" w:space="0" w:color="000000"/>
              <w:right w:val="single" w:sz="6" w:space="0" w:color="000000"/>
            </w:tcBorders>
          </w:tcPr>
          <w:p>
            <w:pPr/>
          </w:p>
        </w:tc>
        <w:tc>
          <w:tcPr>
            <w:tcW w:w="1250" w:type="dxa"/>
            <w:tcBorders>
              <w:top w:val="single" w:sz="12" w:space="0" w:color="000000"/>
              <w:left w:val="single" w:sz="6" w:space="0" w:color="000000"/>
              <w:bottom w:val="single" w:sz="12" w:space="0" w:color="000000"/>
              <w:right w:val="single" w:sz="6" w:space="0" w:color="000000"/>
            </w:tcBorders>
          </w:tcPr>
          <w:p>
            <w:pPr/>
          </w:p>
        </w:tc>
        <w:tc>
          <w:tcPr>
            <w:tcW w:w="1162" w:type="dxa"/>
            <w:tcBorders>
              <w:top w:val="single" w:sz="12" w:space="0" w:color="000000"/>
              <w:left w:val="single" w:sz="6" w:space="0" w:color="000000"/>
              <w:bottom w:val="single" w:sz="12" w:space="0" w:color="000000"/>
              <w:right w:val="single" w:sz="6" w:space="0" w:color="000000"/>
            </w:tcBorders>
          </w:tcPr>
          <w:p>
            <w:pPr/>
          </w:p>
        </w:tc>
        <w:tc>
          <w:tcPr>
            <w:tcW w:w="936" w:type="dxa"/>
            <w:tcBorders>
              <w:top w:val="single" w:sz="12" w:space="0" w:color="000000"/>
              <w:left w:val="single" w:sz="6" w:space="0" w:color="000000"/>
              <w:bottom w:val="single" w:sz="12" w:space="0" w:color="000000"/>
              <w:right w:val="single" w:sz="6" w:space="0" w:color="000000"/>
            </w:tcBorders>
          </w:tcPr>
          <w:p>
            <w:pPr/>
          </w:p>
        </w:tc>
        <w:tc>
          <w:tcPr>
            <w:tcW w:w="1162"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5,069.64</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6.86</w:t>
            </w:r>
          </w:p>
        </w:tc>
        <w:tc>
          <w:tcPr>
            <w:tcW w:w="12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34,793.95</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67.85</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6.94</w:t>
            </w:r>
          </w:p>
        </w:tc>
        <w:tc>
          <w:tcPr>
            <w:tcW w:w="11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470.68</w:t>
            </w:r>
          </w:p>
        </w:tc>
      </w:tr>
      <w:tr>
        <w:trPr>
          <w:trHeight w:val="350" w:hRule="exact"/>
        </w:trPr>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3,569.88</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7.85</w:t>
            </w:r>
          </w:p>
        </w:tc>
        <w:tc>
          <w:tcPr>
            <w:tcW w:w="12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28,013.92</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8,252.78</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7.31</w:t>
            </w:r>
          </w:p>
        </w:tc>
        <w:tc>
          <w:tcPr>
            <w:tcW w:w="11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60,301.41</w:t>
            </w:r>
          </w:p>
        </w:tc>
      </w:tr>
      <w:tr>
        <w:trPr>
          <w:trHeight w:val="353" w:hRule="exact"/>
        </w:trPr>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7,720,887.99</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0.88</w:t>
            </w:r>
          </w:p>
        </w:tc>
        <w:tc>
          <w:tcPr>
            <w:tcW w:w="12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6,765,042.06</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7,625,569.34</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0.89</w:t>
            </w:r>
          </w:p>
        </w:tc>
        <w:tc>
          <w:tcPr>
            <w:tcW w:w="11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6,821,071.77</w:t>
            </w:r>
          </w:p>
        </w:tc>
      </w:tr>
      <w:tr>
        <w:trPr>
          <w:trHeight w:val="353" w:hRule="exact"/>
        </w:trPr>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51" w:type="dxa"/>
            <w:tcBorders>
              <w:top w:val="single" w:sz="12" w:space="0" w:color="000000"/>
              <w:left w:val="single" w:sz="6" w:space="0" w:color="000000"/>
              <w:bottom w:val="single" w:sz="12" w:space="0" w:color="000000"/>
              <w:right w:val="single" w:sz="6" w:space="0" w:color="000000"/>
            </w:tcBorders>
          </w:tcPr>
          <w:p>
            <w:pPr/>
          </w:p>
        </w:tc>
        <w:tc>
          <w:tcPr>
            <w:tcW w:w="936" w:type="dxa"/>
            <w:tcBorders>
              <w:top w:val="single" w:sz="12" w:space="0" w:color="000000"/>
              <w:left w:val="single" w:sz="6" w:space="0" w:color="000000"/>
              <w:bottom w:val="single" w:sz="12" w:space="0" w:color="000000"/>
              <w:right w:val="single" w:sz="6" w:space="0" w:color="000000"/>
            </w:tcBorders>
          </w:tcPr>
          <w:p>
            <w:pPr/>
          </w:p>
        </w:tc>
        <w:tc>
          <w:tcPr>
            <w:tcW w:w="1250" w:type="dxa"/>
            <w:tcBorders>
              <w:top w:val="single" w:sz="12" w:space="0" w:color="000000"/>
              <w:left w:val="single" w:sz="6" w:space="0" w:color="000000"/>
              <w:bottom w:val="single" w:sz="12" w:space="0" w:color="000000"/>
              <w:right w:val="single" w:sz="6" w:space="0" w:color="000000"/>
            </w:tcBorders>
          </w:tcPr>
          <w:p>
            <w:pPr/>
          </w:p>
        </w:tc>
        <w:tc>
          <w:tcPr>
            <w:tcW w:w="1162" w:type="dxa"/>
            <w:tcBorders>
              <w:top w:val="single" w:sz="12" w:space="0" w:color="000000"/>
              <w:left w:val="single" w:sz="6" w:space="0" w:color="000000"/>
              <w:bottom w:val="single" w:sz="12" w:space="0" w:color="000000"/>
              <w:right w:val="single" w:sz="6" w:space="0" w:color="000000"/>
            </w:tcBorders>
          </w:tcPr>
          <w:p>
            <w:pPr/>
          </w:p>
        </w:tc>
        <w:tc>
          <w:tcPr>
            <w:tcW w:w="936" w:type="dxa"/>
            <w:tcBorders>
              <w:top w:val="single" w:sz="12" w:space="0" w:color="000000"/>
              <w:left w:val="single" w:sz="6" w:space="0" w:color="000000"/>
              <w:bottom w:val="single" w:sz="12" w:space="0" w:color="000000"/>
              <w:right w:val="single" w:sz="6" w:space="0" w:color="000000"/>
            </w:tcBorders>
          </w:tcPr>
          <w:p>
            <w:pPr/>
          </w:p>
        </w:tc>
        <w:tc>
          <w:tcPr>
            <w:tcW w:w="1162"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1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1,225,394.72</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7.80</w:t>
            </w:r>
          </w:p>
        </w:tc>
        <w:tc>
          <w:tcPr>
            <w:tcW w:w="11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9,560,897.21</w:t>
            </w:r>
          </w:p>
        </w:tc>
      </w:tr>
      <w:tr>
        <w:trPr>
          <w:trHeight w:val="353" w:hRule="exact"/>
        </w:trPr>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1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64,400.00</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0.79</w:t>
            </w:r>
          </w:p>
        </w:tc>
        <w:tc>
          <w:tcPr>
            <w:tcW w:w="11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7"/>
              <w:jc w:val="right"/>
              <w:rPr>
                <w:rFonts w:ascii="Times New Roman" w:hAnsi="Times New Roman" w:cs="Times New Roman" w:eastAsia="Times New Roman" w:hint="default"/>
                <w:sz w:val="18"/>
                <w:szCs w:val="18"/>
              </w:rPr>
            </w:pPr>
            <w:r>
              <w:rPr>
                <w:rFonts w:ascii="Times New Roman"/>
                <w:spacing w:val="-1"/>
                <w:sz w:val="18"/>
              </w:rPr>
              <w:t>51,011.24</w:t>
            </w:r>
          </w:p>
        </w:tc>
      </w:tr>
    </w:tbl>
    <w:p>
      <w:pPr>
        <w:pStyle w:val="BodyText"/>
        <w:spacing w:line="300" w:lineRule="auto" w:before="20"/>
        <w:ind w:left="866" w:right="1125"/>
        <w:jc w:val="left"/>
      </w:pP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日，在所有其他变量保持不变的情况下，如果美元对人民币升值或贬值</w:t>
      </w:r>
      <w:r>
        <w:rPr>
          <w:rFonts w:ascii="Times New Roman" w:hAnsi="Times New Roman" w:cs="Times New Roman" w:eastAsia="Times New Roman" w:hint="default"/>
          <w:spacing w:val="-1"/>
        </w:rPr>
        <w:t>10%</w:t>
      </w:r>
      <w:r>
        <w:rPr>
          <w:spacing w:val="-1"/>
        </w:rPr>
        <w:t>，则公司将增加或减少</w:t>
      </w:r>
      <w:r>
        <w:rPr>
          <w:spacing w:val="-87"/>
        </w:rPr>
        <w:t> </w:t>
      </w:r>
      <w:r>
        <w:rPr>
          <w:spacing w:val="-87"/>
        </w:rPr>
      </w:r>
      <w:r>
        <w:rPr/>
        <w:t>净利润</w:t>
      </w:r>
      <w:r>
        <w:rPr>
          <w:rFonts w:ascii="Times New Roman" w:hAnsi="Times New Roman" w:cs="Times New Roman" w:eastAsia="Times New Roman" w:hint="default"/>
        </w:rPr>
        <w:t>2,957.49</w:t>
      </w:r>
      <w:r>
        <w:rPr/>
        <w:t>元。 </w:t>
      </w: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日，在所有其他变量保持不变的情况下，如果欧元对人民币升值或贬值</w:t>
      </w:r>
      <w:r>
        <w:rPr>
          <w:rFonts w:ascii="Times New Roman" w:hAnsi="Times New Roman" w:cs="Times New Roman" w:eastAsia="Times New Roman" w:hint="default"/>
          <w:spacing w:val="-1"/>
        </w:rPr>
        <w:t>10%</w:t>
      </w:r>
      <w:r>
        <w:rPr>
          <w:spacing w:val="-1"/>
        </w:rPr>
        <w:t>，则公司将增加或减少</w:t>
      </w:r>
      <w:r>
        <w:rPr>
          <w:spacing w:val="-87"/>
        </w:rPr>
        <w:t> </w:t>
      </w:r>
      <w:r>
        <w:rPr>
          <w:spacing w:val="-87"/>
        </w:rPr>
      </w:r>
      <w:r>
        <w:rPr/>
        <w:t>净利润</w:t>
      </w:r>
      <w:r>
        <w:rPr>
          <w:rFonts w:ascii="Times New Roman" w:hAnsi="Times New Roman" w:cs="Times New Roman" w:eastAsia="Times New Roman" w:hint="default"/>
        </w:rPr>
        <w:t>2,381.18</w:t>
      </w:r>
      <w:r>
        <w:rPr/>
        <w:t>元。 </w:t>
      </w: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日，在所有其他变量保持不变的情况下，如果港币对人民币升值或贬值</w:t>
      </w:r>
      <w:r>
        <w:rPr>
          <w:rFonts w:ascii="Times New Roman" w:hAnsi="Times New Roman" w:cs="Times New Roman" w:eastAsia="Times New Roman" w:hint="default"/>
          <w:spacing w:val="-1"/>
        </w:rPr>
        <w:t>10%</w:t>
      </w:r>
      <w:r>
        <w:rPr>
          <w:spacing w:val="-1"/>
        </w:rPr>
        <w:t>，则公司将增加或减少</w:t>
      </w:r>
      <w:r>
        <w:rPr>
          <w:spacing w:val="-87"/>
        </w:rPr>
        <w:t> </w:t>
      </w:r>
      <w:r>
        <w:rPr>
          <w:spacing w:val="-87"/>
        </w:rPr>
      </w:r>
      <w:r>
        <w:rPr/>
        <w:t>净利润</w:t>
      </w:r>
      <w:r>
        <w:rPr>
          <w:rFonts w:ascii="Times New Roman" w:hAnsi="Times New Roman" w:cs="Times New Roman" w:eastAsia="Times New Roman" w:hint="default"/>
        </w:rPr>
        <w:t>575,028.58</w:t>
      </w:r>
      <w:r>
        <w:rPr/>
        <w:t>元。</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866" w:right="1115"/>
        <w:jc w:val="left"/>
      </w:pPr>
      <w:r>
        <w:rPr/>
        <w:t>管理层认为</w:t>
      </w:r>
      <w:r>
        <w:rPr>
          <w:rFonts w:ascii="Times New Roman" w:hAnsi="Times New Roman" w:cs="Times New Roman" w:eastAsia="Times New Roman" w:hint="default"/>
        </w:rPr>
        <w:t>10%</w:t>
      </w:r>
      <w:r>
        <w:rPr/>
        <w:t>合理反映了下一年度人民币对美元，欧元及港币可能发生变动的合理范围。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314" w:lineRule="auto"/>
        <w:ind w:left="866" w:right="1040" w:hanging="365"/>
        <w:jc w:val="left"/>
      </w:pPr>
      <w:r>
        <w:rPr>
          <w:rFonts w:ascii="宋体" w:hAnsi="宋体" w:cs="宋体" w:eastAsia="宋体" w:hint="default"/>
          <w:b/>
          <w:bCs/>
        </w:rPr>
        <w:t>1.</w:t>
      </w:r>
      <w:r>
        <w:rPr>
          <w:rFonts w:ascii="宋体" w:hAnsi="宋体" w:cs="宋体" w:eastAsia="宋体" w:hint="default"/>
          <w:b/>
          <w:bCs/>
          <w:spacing w:val="87"/>
        </w:rPr>
        <w:t> </w:t>
      </w:r>
      <w:r>
        <w:rPr>
          <w:rFonts w:ascii="宋体" w:hAnsi="宋体" w:cs="宋体" w:eastAsia="宋体" w:hint="default"/>
          <w:b/>
          <w:bCs/>
        </w:rPr>
        <w:t>流动性风险</w:t>
      </w:r>
      <w:r>
        <w:rPr>
          <w:rFonts w:ascii="宋体" w:hAnsi="宋体" w:cs="宋体" w:eastAsia="宋体" w:hint="default"/>
          <w:b/>
          <w:bCs/>
          <w:w w:val="99"/>
        </w:rPr>
        <w:t> </w:t>
      </w:r>
      <w:r>
        <w:rPr>
          <w:spacing w:val="-2"/>
        </w:rPr>
        <w:t>流动性风险，是指企业在履行以交付现金或其他金融资产的方式结算的义务时发生资金短缺的风险。本公司的政策</w:t>
      </w:r>
      <w:r>
        <w:rPr/>
        <w:t> 是确保拥有充足的现金以偿还到期债务。流动性风险由本公司的财务部门集中控制。财务部门通过监控现金余额、 </w:t>
      </w:r>
      <w:r>
        <w:rPr>
          <w:spacing w:val="-2"/>
        </w:rPr>
        <w:t>可随时变现的有价证券以及对未来</w:t>
      </w:r>
      <w:r>
        <w:rPr>
          <w:rFonts w:ascii="Times New Roman" w:hAnsi="Times New Roman" w:cs="Times New Roman" w:eastAsia="Times New Roman" w:hint="default"/>
          <w:spacing w:val="-2"/>
        </w:rPr>
        <w:t>12</w:t>
      </w:r>
      <w:r>
        <w:rPr>
          <w:spacing w:val="-2"/>
        </w:rPr>
        <w:t>个月现金流量的滚动预测，确保公司在所有合理预测的情况下拥有充足的资金</w:t>
      </w:r>
      <w:r>
        <w:rPr/>
        <w:t> 偿还债务。</w:t>
      </w:r>
    </w:p>
    <w:p>
      <w:pPr>
        <w:pStyle w:val="BodyText"/>
        <w:spacing w:line="240" w:lineRule="auto" w:before="20"/>
        <w:ind w:left="866" w:right="1115"/>
        <w:jc w:val="left"/>
      </w:pPr>
      <w:r>
        <w:rPr/>
        <w:t>本公司各项金融负债以未折现的合同现金流量按到期日列示如下：</w:t>
      </w:r>
    </w:p>
    <w:p>
      <w:pPr>
        <w:spacing w:line="240" w:lineRule="auto" w:before="3"/>
        <w:rPr>
          <w:rFonts w:ascii="宋体" w:hAnsi="宋体" w:cs="宋体" w:eastAsia="宋体" w:hint="default"/>
          <w:sz w:val="5"/>
          <w:szCs w:val="5"/>
        </w:rPr>
      </w:pPr>
    </w:p>
    <w:tbl>
      <w:tblPr>
        <w:tblW w:w="0" w:type="auto"/>
        <w:jc w:val="left"/>
        <w:tblInd w:w="753" w:type="dxa"/>
        <w:tblLayout w:type="fixed"/>
        <w:tblCellMar>
          <w:top w:w="0" w:type="dxa"/>
          <w:left w:w="0" w:type="dxa"/>
          <w:bottom w:w="0" w:type="dxa"/>
          <w:right w:w="0" w:type="dxa"/>
        </w:tblCellMar>
        <w:tblLook w:val="01E0"/>
      </w:tblPr>
      <w:tblGrid>
        <w:gridCol w:w="1560"/>
        <w:gridCol w:w="1563"/>
        <w:gridCol w:w="1562"/>
        <w:gridCol w:w="1565"/>
        <w:gridCol w:w="1563"/>
      </w:tblGrid>
      <w:tr>
        <w:trPr>
          <w:trHeight w:val="355" w:hRule="exact"/>
        </w:trPr>
        <w:tc>
          <w:tcPr>
            <w:tcW w:w="1560"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253" w:type="dxa"/>
            <w:gridSpan w:val="4"/>
            <w:tcBorders>
              <w:top w:val="single" w:sz="6" w:space="0" w:color="000000"/>
              <w:left w:val="single" w:sz="6" w:space="0" w:color="000000"/>
              <w:bottom w:val="single" w:sz="12"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1560" w:type="dxa"/>
            <w:vMerge/>
            <w:tcBorders>
              <w:left w:val="single" w:sz="6" w:space="0" w:color="000000"/>
              <w:bottom w:val="single" w:sz="12" w:space="0" w:color="000000"/>
              <w:right w:val="single" w:sz="6" w:space="0" w:color="000000"/>
            </w:tcBorders>
          </w:tcPr>
          <w:p>
            <w:pPr/>
          </w:p>
        </w:tc>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4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565"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4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563"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3"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pacing w:val="-1"/>
                <w:sz w:val="21"/>
              </w:rPr>
              <w:t>54,024,777.58</w:t>
            </w:r>
          </w:p>
        </w:tc>
        <w:tc>
          <w:tcPr>
            <w:tcW w:w="1562" w:type="dxa"/>
            <w:tcBorders>
              <w:top w:val="single" w:sz="12" w:space="0" w:color="000000"/>
              <w:left w:val="single" w:sz="6" w:space="0" w:color="000000"/>
              <w:bottom w:val="single" w:sz="12" w:space="0" w:color="000000"/>
              <w:right w:val="single" w:sz="6" w:space="0" w:color="000000"/>
            </w:tcBorders>
          </w:tcPr>
          <w:p>
            <w:pPr/>
          </w:p>
        </w:tc>
        <w:tc>
          <w:tcPr>
            <w:tcW w:w="1565" w:type="dxa"/>
            <w:tcBorders>
              <w:top w:val="single" w:sz="12" w:space="0" w:color="000000"/>
              <w:left w:val="single" w:sz="6" w:space="0" w:color="000000"/>
              <w:bottom w:val="single" w:sz="12" w:space="0" w:color="000000"/>
              <w:right w:val="single" w:sz="6" w:space="0" w:color="000000"/>
            </w:tcBorders>
          </w:tcPr>
          <w:p>
            <w:pPr/>
          </w:p>
        </w:tc>
        <w:tc>
          <w:tcPr>
            <w:tcW w:w="1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54,024,777.58</w:t>
            </w:r>
          </w:p>
        </w:tc>
      </w:tr>
      <w:tr>
        <w:trPr>
          <w:trHeight w:val="353"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131,225,480.04</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60,190,867.79</w:t>
            </w:r>
          </w:p>
        </w:tc>
        <w:tc>
          <w:tcPr>
            <w:tcW w:w="15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13,503,054.88</w:t>
            </w:r>
          </w:p>
        </w:tc>
        <w:tc>
          <w:tcPr>
            <w:tcW w:w="1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204,919,402.71</w:t>
            </w:r>
          </w:p>
        </w:tc>
      </w:tr>
      <w:tr>
        <w:trPr>
          <w:trHeight w:val="353"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185,250,257.62</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60,190,867.79</w:t>
            </w:r>
          </w:p>
        </w:tc>
        <w:tc>
          <w:tcPr>
            <w:tcW w:w="15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13,503,054.88</w:t>
            </w:r>
          </w:p>
        </w:tc>
        <w:tc>
          <w:tcPr>
            <w:tcW w:w="1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258,944,180.29</w:t>
            </w:r>
          </w:p>
        </w:tc>
      </w:tr>
    </w:tbl>
    <w:p>
      <w:pPr>
        <w:spacing w:line="240" w:lineRule="auto" w:before="11"/>
        <w:rPr>
          <w:rFonts w:ascii="宋体" w:hAnsi="宋体" w:cs="宋体" w:eastAsia="宋体" w:hint="default"/>
          <w:sz w:val="23"/>
          <w:szCs w:val="23"/>
        </w:rPr>
      </w:pPr>
    </w:p>
    <w:tbl>
      <w:tblPr>
        <w:tblW w:w="0" w:type="auto"/>
        <w:jc w:val="left"/>
        <w:tblInd w:w="753" w:type="dxa"/>
        <w:tblLayout w:type="fixed"/>
        <w:tblCellMar>
          <w:top w:w="0" w:type="dxa"/>
          <w:left w:w="0" w:type="dxa"/>
          <w:bottom w:w="0" w:type="dxa"/>
          <w:right w:w="0" w:type="dxa"/>
        </w:tblCellMar>
        <w:tblLook w:val="01E0"/>
      </w:tblPr>
      <w:tblGrid>
        <w:gridCol w:w="1560"/>
        <w:gridCol w:w="1563"/>
        <w:gridCol w:w="1562"/>
        <w:gridCol w:w="1565"/>
        <w:gridCol w:w="1563"/>
      </w:tblGrid>
      <w:tr>
        <w:trPr>
          <w:trHeight w:val="353" w:hRule="exact"/>
        </w:trPr>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253"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1560" w:type="dxa"/>
            <w:vMerge/>
            <w:tcBorders>
              <w:left w:val="single" w:sz="6" w:space="0" w:color="000000"/>
              <w:bottom w:val="single" w:sz="12" w:space="0" w:color="000000"/>
              <w:right w:val="single" w:sz="6" w:space="0" w:color="000000"/>
            </w:tcBorders>
          </w:tcPr>
          <w:p>
            <w:pPr/>
          </w:p>
        </w:tc>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5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13" w:right="0"/>
              <w:jc w:val="left"/>
              <w:rPr>
                <w:rFonts w:ascii="Times New Roman" w:hAnsi="Times New Roman" w:cs="Times New Roman" w:eastAsia="Times New Roman" w:hint="default"/>
                <w:sz w:val="18"/>
                <w:szCs w:val="18"/>
              </w:rPr>
            </w:pPr>
            <w:r>
              <w:rPr>
                <w:rFonts w:ascii="Times New Roman"/>
                <w:sz w:val="18"/>
              </w:rPr>
              <w:t>11,656,740.00</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11,656,740.00</w:t>
            </w:r>
          </w:p>
        </w:tc>
      </w:tr>
      <w:tr>
        <w:trPr>
          <w:trHeight w:val="350"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2" w:right="0"/>
              <w:jc w:val="left"/>
              <w:rPr>
                <w:rFonts w:ascii="Times New Roman" w:hAnsi="Times New Roman" w:cs="Times New Roman" w:eastAsia="Times New Roman" w:hint="default"/>
                <w:sz w:val="18"/>
                <w:szCs w:val="18"/>
              </w:rPr>
            </w:pPr>
            <w:r>
              <w:rPr>
                <w:rFonts w:ascii="Times New Roman"/>
                <w:sz w:val="18"/>
              </w:rPr>
              <w:t>141,199,319.39</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41,721,430.75</w:t>
            </w:r>
          </w:p>
        </w:tc>
        <w:tc>
          <w:tcPr>
            <w:tcW w:w="15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9,063,850.00</w:t>
            </w:r>
          </w:p>
        </w:tc>
        <w:tc>
          <w:tcPr>
            <w:tcW w:w="1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191,984,600.14</w:t>
            </w:r>
          </w:p>
        </w:tc>
      </w:tr>
      <w:tr>
        <w:trPr>
          <w:trHeight w:val="353"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13" w:right="0"/>
              <w:jc w:val="left"/>
              <w:rPr>
                <w:rFonts w:ascii="Times New Roman" w:hAnsi="Times New Roman" w:cs="Times New Roman" w:eastAsia="Times New Roman" w:hint="default"/>
                <w:sz w:val="18"/>
                <w:szCs w:val="18"/>
              </w:rPr>
            </w:pPr>
            <w:r>
              <w:rPr>
                <w:rFonts w:ascii="Times New Roman"/>
                <w:sz w:val="18"/>
              </w:rPr>
              <w:t>40,000,000.00</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53"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2" w:right="0"/>
              <w:jc w:val="left"/>
              <w:rPr>
                <w:rFonts w:ascii="Times New Roman" w:hAnsi="Times New Roman" w:cs="Times New Roman" w:eastAsia="Times New Roman" w:hint="default"/>
                <w:sz w:val="18"/>
                <w:szCs w:val="18"/>
              </w:rPr>
            </w:pPr>
            <w:r>
              <w:rPr>
                <w:rFonts w:ascii="Times New Roman"/>
                <w:sz w:val="18"/>
              </w:rPr>
              <w:t>192,856,059.39</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41,721,430.75</w:t>
            </w:r>
          </w:p>
        </w:tc>
        <w:tc>
          <w:tcPr>
            <w:tcW w:w="15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9,063,850.00</w:t>
            </w:r>
          </w:p>
        </w:tc>
        <w:tc>
          <w:tcPr>
            <w:tcW w:w="1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243,641,340.14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4"/>
        <w:spacing w:line="240" w:lineRule="auto" w:before="26"/>
        <w:ind w:right="1115"/>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7"/>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49"/>
        <w:ind w:right="8502"/>
        <w:jc w:val="left"/>
      </w:pPr>
      <w:r>
        <w:rPr/>
        <w:t>本企业的母公司情况的说明 不适用 本企业最终控制方是。 其他说明：</w:t>
      </w:r>
    </w:p>
    <w:p>
      <w:pPr>
        <w:spacing w:line="240" w:lineRule="auto" w:before="3"/>
        <w:rPr>
          <w:rFonts w:ascii="宋体" w:hAnsi="宋体" w:cs="宋体" w:eastAsia="宋体" w:hint="default"/>
          <w:sz w:val="20"/>
          <w:szCs w:val="20"/>
        </w:rPr>
      </w:pPr>
    </w:p>
    <w:p>
      <w:pPr>
        <w:pStyle w:val="Heading5"/>
        <w:spacing w:line="240" w:lineRule="auto"/>
        <w:ind w:right="1115"/>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本企业子公司的情况详见附注。</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2294"/>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深圳市旭龙昇电子有限公司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70"/>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陈茂清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实际控制人邵健伟的母亲</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邵健锋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股东、实际控制人邵健伟的弟弟及公司关键管理人员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刘俊杰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公司关键管理人员邵健锋妻弟</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实际控制人邵健伟配偶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陈伟国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皖江（芜湖）物流产业投资基金（有限合伙）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深圳市华锐丰投资合伙企业（有限合伙）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深圳市盛桥创源投资合伙企业（有限合伙）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颜明霞</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陈锦棣</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深圳市新智丰投资合伙企业（有限合伙）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深圳市金美华投资合伙企业（有限合伙）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巨丰企业管理咨询（深圳）有限公司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林宜生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bl>
    <w:p>
      <w:pPr>
        <w:pStyle w:val="BodyText"/>
        <w:spacing w:line="240" w:lineRule="auto" w:before="49"/>
        <w:ind w:right="1115"/>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6"/>
          <w:szCs w:val="26"/>
        </w:rPr>
      </w:pPr>
    </w:p>
    <w:p>
      <w:pPr>
        <w:pStyle w:val="BodyText"/>
        <w:spacing w:line="345" w:lineRule="auto"/>
        <w:ind w:right="8724"/>
        <w:jc w:val="left"/>
      </w:pPr>
      <w:r>
        <w:rPr/>
        <w:t>采购商品</w:t>
      </w:r>
      <w:r>
        <w:rPr>
          <w:rFonts w:ascii="Times New Roman" w:hAnsi="Times New Roman" w:cs="Times New Roman" w:eastAsia="Times New Roman" w:hint="default"/>
        </w:rPr>
        <w:t>/</w:t>
      </w:r>
      <w:r>
        <w:rPr/>
        <w:t>接受劳务情况表 不适用 出售商品</w:t>
      </w:r>
      <w:r>
        <w:rPr>
          <w:rFonts w:ascii="Times New Roman" w:hAnsi="Times New Roman" w:cs="Times New Roman" w:eastAsia="Times New Roman" w:hint="default"/>
        </w:rPr>
        <w:t>/</w:t>
      </w:r>
      <w:r>
        <w:rPr/>
        <w:t>提供劳务情况表 不适用</w:t>
      </w:r>
    </w:p>
    <w:p>
      <w:pPr>
        <w:pStyle w:val="BodyText"/>
        <w:spacing w:line="357" w:lineRule="auto" w:before="38"/>
        <w:ind w:right="7334"/>
        <w:jc w:val="left"/>
      </w:pPr>
      <w:r>
        <w:rPr/>
        <w:t>购销商品、提供和接受劳务的关联交易说明 不适用</w:t>
      </w:r>
    </w:p>
    <w:p>
      <w:pPr>
        <w:spacing w:line="240" w:lineRule="auto" w:before="6"/>
        <w:rPr>
          <w:rFonts w:ascii="宋体" w:hAnsi="宋体" w:cs="宋体" w:eastAsia="宋体" w:hint="default"/>
          <w:sz w:val="20"/>
          <w:szCs w:val="20"/>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50" w:lineRule="auto" w:before="44"/>
        <w:ind w:right="0"/>
        <w:jc w:val="left"/>
      </w:pPr>
      <w:r>
        <w:rPr/>
        <w:t>本公司受托管理</w:t>
      </w:r>
      <w:r>
        <w:rPr>
          <w:rFonts w:ascii="Times New Roman" w:hAnsi="Times New Roman" w:cs="Times New Roman" w:eastAsia="Times New Roman" w:hint="default"/>
        </w:rPr>
        <w:t>/</w:t>
      </w:r>
      <w:r>
        <w:rPr/>
        <w:t>承包情况表： 不适用 关联托管</w:t>
      </w:r>
      <w:r>
        <w:rPr>
          <w:rFonts w:ascii="Times New Roman" w:hAnsi="Times New Roman" w:cs="Times New Roman" w:eastAsia="Times New Roman" w:hint="default"/>
        </w:rPr>
        <w:t>/</w:t>
      </w:r>
      <w:r>
        <w:rPr/>
        <w:t>承包情况说明 不适用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1"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0"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8904"/>
        <w:jc w:val="left"/>
      </w:pPr>
      <w:r>
        <w:rPr/>
        <w:t>关联管理</w:t>
      </w:r>
      <w:r>
        <w:rPr>
          <w:rFonts w:ascii="Times New Roman" w:hAnsi="Times New Roman" w:cs="Times New Roman" w:eastAsia="Times New Roman" w:hint="default"/>
        </w:rPr>
        <w:t>/</w:t>
      </w:r>
      <w:r>
        <w:rPr/>
        <w:t>出包情况说明 不适用</w:t>
      </w:r>
    </w:p>
    <w:p>
      <w:pPr>
        <w:spacing w:line="240" w:lineRule="auto" w:before="5"/>
        <w:rPr>
          <w:rFonts w:ascii="宋体" w:hAnsi="宋体" w:cs="宋体" w:eastAsia="宋体" w:hint="default"/>
          <w:sz w:val="21"/>
          <w:szCs w:val="21"/>
        </w:rPr>
      </w:pPr>
    </w:p>
    <w:p>
      <w:pPr>
        <w:pStyle w:val="Heading5"/>
        <w:spacing w:line="240" w:lineRule="auto"/>
        <w:ind w:right="1115"/>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本公司作为出租方：</w:t>
      </w:r>
    </w:p>
    <w:p>
      <w:pPr>
        <w:pStyle w:val="BodyText"/>
        <w:spacing w:line="3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本公司作为承租方：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1773" w:space="705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陈茂清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384,000.00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邵健锋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288,000.00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邵建莲</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15"/>
        <w:jc w:val="left"/>
      </w:pPr>
      <w:r>
        <w:rPr/>
        <w:t>关联租赁情况说明</w:t>
      </w:r>
    </w:p>
    <w:p>
      <w:pPr>
        <w:pStyle w:val="BodyText"/>
        <w:spacing w:line="300" w:lineRule="auto" w:before="115"/>
        <w:ind w:left="229" w:right="1131" w:firstLine="360"/>
        <w:jc w:val="both"/>
      </w:pPr>
      <w:r>
        <w:rPr/>
        <w:t>（</w:t>
      </w:r>
      <w:r>
        <w:rPr>
          <w:rFonts w:ascii="Times New Roman" w:hAnsi="Times New Roman" w:cs="Times New Roman" w:eastAsia="Times New Roman" w:hint="default"/>
        </w:rPr>
        <w:t>1</w:t>
      </w:r>
      <w:r>
        <w:rPr/>
        <w:t>）本公司关联方陈茂清将其位于深圳市罗湖区笋岗东路宝安广场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10</w:t>
      </w:r>
      <w:r>
        <w:rPr/>
        <w:t>楼</w:t>
      </w:r>
      <w:r>
        <w:rPr>
          <w:rFonts w:ascii="Times New Roman" w:hAnsi="Times New Roman" w:cs="Times New Roman" w:eastAsia="Times New Roman" w:hint="default"/>
        </w:rPr>
        <w:t>F</w:t>
      </w:r>
      <w:r>
        <w:rPr/>
        <w:t>室、</w:t>
      </w:r>
      <w:r>
        <w:rPr>
          <w:rFonts w:ascii="Times New Roman" w:hAnsi="Times New Roman" w:cs="Times New Roman" w:eastAsia="Times New Roman" w:hint="default"/>
        </w:rPr>
        <w:t>G</w:t>
      </w:r>
      <w:r>
        <w:rPr/>
        <w:t>室、</w:t>
      </w:r>
      <w:r>
        <w:rPr>
          <w:rFonts w:ascii="Times New Roman" w:hAnsi="Times New Roman" w:cs="Times New Roman" w:eastAsia="Times New Roman" w:hint="default"/>
        </w:rPr>
        <w:t>H</w:t>
      </w:r>
      <w:r>
        <w:rPr/>
        <w:t>室共计</w:t>
      </w:r>
      <w:r>
        <w:rPr>
          <w:rFonts w:ascii="Times New Roman" w:hAnsi="Times New Roman" w:cs="Times New Roman" w:eastAsia="Times New Roman" w:hint="default"/>
        </w:rPr>
        <w:t>298.89</w:t>
      </w:r>
      <w:r>
        <w:rPr/>
        <w:t>平方米的房屋 提供给公司办公使用。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日，陈茂清又将其位于深圳市罗湖区笋岗东路宝安广场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10</w:t>
      </w:r>
      <w:r>
        <w:rPr/>
        <w:t>楼</w:t>
      </w:r>
      <w:r>
        <w:rPr>
          <w:rFonts w:ascii="Times New Roman" w:hAnsi="Times New Roman" w:cs="Times New Roman" w:eastAsia="Times New Roman" w:hint="default"/>
        </w:rPr>
        <w:t>E</w:t>
      </w:r>
      <w:r>
        <w:rPr/>
        <w:t>室、</w:t>
      </w:r>
      <w:r>
        <w:rPr>
          <w:rFonts w:ascii="Times New Roman" w:hAnsi="Times New Roman" w:cs="Times New Roman" w:eastAsia="Times New Roman" w:hint="default"/>
        </w:rPr>
        <w:t>F</w:t>
      </w:r>
      <w:r>
        <w:rPr/>
        <w:t>室、</w:t>
      </w:r>
      <w:r>
        <w:rPr>
          <w:rFonts w:ascii="Times New Roman" w:hAnsi="Times New Roman" w:cs="Times New Roman" w:eastAsia="Times New Roman" w:hint="default"/>
        </w:rPr>
        <w:t>G</w:t>
      </w:r>
      <w:r>
        <w:rPr/>
        <w:t>室、</w:t>
      </w:r>
      <w:r>
        <w:rPr>
          <w:rFonts w:ascii="Times New Roman" w:hAnsi="Times New Roman" w:cs="Times New Roman" w:eastAsia="Times New Roman" w:hint="default"/>
        </w:rPr>
        <w:t>H</w:t>
      </w:r>
      <w:r>
        <w:rPr/>
        <w:t>室</w:t>
      </w:r>
      <w:r>
        <w:rPr>
          <w:spacing w:val="-50"/>
        </w:rPr>
        <w:t> </w:t>
      </w:r>
      <w:r>
        <w:rPr/>
        <w:t>共计</w:t>
      </w:r>
      <w:r>
        <w:rPr>
          <w:rFonts w:ascii="Times New Roman" w:hAnsi="Times New Roman" w:cs="Times New Roman" w:eastAsia="Times New Roman" w:hint="default"/>
        </w:rPr>
        <w:t>397.11</w:t>
      </w:r>
      <w:r>
        <w:rPr/>
        <w:t>平方米的房屋提供给公司办公使用，租赁价格每月</w:t>
      </w:r>
      <w:r>
        <w:rPr>
          <w:rFonts w:ascii="Times New Roman" w:hAnsi="Times New Roman" w:cs="Times New Roman" w:eastAsia="Times New Roman" w:hint="default"/>
        </w:rPr>
        <w:t>32,000</w:t>
      </w:r>
      <w:r>
        <w:rPr/>
        <w:t>元，租赁期自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w:t>
      </w:r>
    </w:p>
    <w:p>
      <w:pPr>
        <w:pStyle w:val="BodyText"/>
        <w:spacing w:line="300" w:lineRule="auto" w:before="13"/>
        <w:ind w:right="1128" w:firstLine="360"/>
        <w:jc w:val="both"/>
      </w:pPr>
      <w:r>
        <w:rPr>
          <w:spacing w:val="-1"/>
        </w:rPr>
        <w:t>（</w:t>
      </w:r>
      <w:r>
        <w:rPr>
          <w:rFonts w:ascii="Times New Roman" w:hAnsi="Times New Roman" w:cs="Times New Roman" w:eastAsia="Times New Roman" w:hint="default"/>
          <w:spacing w:val="-1"/>
        </w:rPr>
        <w:t>2</w:t>
      </w:r>
      <w:r>
        <w:rPr>
          <w:spacing w:val="-1"/>
        </w:rPr>
        <w:t>）本公司关联方邵健锋将其位于深圳市罗湖区笋岗东路宝安广场</w:t>
      </w:r>
      <w:r>
        <w:rPr>
          <w:rFonts w:ascii="Times New Roman" w:hAnsi="Times New Roman" w:cs="Times New Roman" w:eastAsia="Times New Roman" w:hint="default"/>
          <w:spacing w:val="-1"/>
        </w:rPr>
        <w:t>A</w:t>
      </w:r>
      <w:r>
        <w:rPr>
          <w:spacing w:val="-1"/>
        </w:rPr>
        <w:t>座</w:t>
      </w:r>
      <w:r>
        <w:rPr>
          <w:rFonts w:ascii="Times New Roman" w:hAnsi="Times New Roman" w:cs="Times New Roman" w:eastAsia="Times New Roman" w:hint="default"/>
          <w:spacing w:val="-1"/>
        </w:rPr>
        <w:t>9</w:t>
      </w:r>
      <w:r>
        <w:rPr>
          <w:spacing w:val="-1"/>
        </w:rPr>
        <w:t>楼</w:t>
      </w:r>
      <w:r>
        <w:rPr>
          <w:rFonts w:ascii="Times New Roman" w:hAnsi="Times New Roman" w:cs="Times New Roman" w:eastAsia="Times New Roman" w:hint="default"/>
          <w:spacing w:val="-1"/>
        </w:rPr>
        <w:t>A</w:t>
      </w:r>
      <w:r>
        <w:rPr>
          <w:spacing w:val="-1"/>
        </w:rPr>
        <w:t>室、</w:t>
      </w:r>
      <w:r>
        <w:rPr>
          <w:rFonts w:ascii="Times New Roman" w:hAnsi="Times New Roman" w:cs="Times New Roman" w:eastAsia="Times New Roman" w:hint="default"/>
          <w:spacing w:val="-1"/>
        </w:rPr>
        <w:t>10</w:t>
      </w:r>
      <w:r>
        <w:rPr>
          <w:spacing w:val="-1"/>
        </w:rPr>
        <w:t>楼</w:t>
      </w:r>
      <w:r>
        <w:rPr>
          <w:rFonts w:ascii="Times New Roman" w:hAnsi="Times New Roman" w:cs="Times New Roman" w:eastAsia="Times New Roman" w:hint="default"/>
          <w:spacing w:val="-1"/>
        </w:rPr>
        <w:t>C</w:t>
      </w:r>
      <w:r>
        <w:rPr>
          <w:spacing w:val="-1"/>
        </w:rPr>
        <w:t>室、</w:t>
      </w:r>
      <w:r>
        <w:rPr>
          <w:rFonts w:ascii="Times New Roman" w:hAnsi="Times New Roman" w:cs="Times New Roman" w:eastAsia="Times New Roman" w:hint="default"/>
          <w:spacing w:val="-1"/>
        </w:rPr>
        <w:t>D</w:t>
      </w:r>
      <w:r>
        <w:rPr>
          <w:spacing w:val="-1"/>
        </w:rPr>
        <w:t>室共计</w:t>
      </w:r>
      <w:r>
        <w:rPr>
          <w:rFonts w:ascii="Times New Roman" w:hAnsi="Times New Roman" w:cs="Times New Roman" w:eastAsia="Times New Roman" w:hint="default"/>
          <w:spacing w:val="-1"/>
        </w:rPr>
        <w:t>304.14</w:t>
      </w:r>
      <w:r>
        <w:rPr>
          <w:spacing w:val="-1"/>
        </w:rPr>
        <w:t>平方米的房</w:t>
      </w:r>
      <w:r>
        <w:rPr/>
        <w:t> 屋提供给公司办公使用，租赁价格每月</w:t>
      </w:r>
      <w:r>
        <w:rPr>
          <w:rFonts w:ascii="Times New Roman" w:hAnsi="Times New Roman" w:cs="Times New Roman" w:eastAsia="Times New Roman" w:hint="default"/>
        </w:rPr>
        <w:t>24,000</w:t>
      </w:r>
      <w:r>
        <w:rPr/>
        <w:t>元，租赁期自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w:t>
      </w:r>
    </w:p>
    <w:p>
      <w:pPr>
        <w:pStyle w:val="BodyText"/>
        <w:spacing w:line="300" w:lineRule="auto" w:before="13"/>
        <w:ind w:right="1201" w:firstLine="432"/>
        <w:jc w:val="both"/>
      </w:pPr>
      <w:r>
        <w:rPr>
          <w:rFonts w:ascii="Times New Roman" w:hAnsi="Times New Roman" w:cs="Times New Roman" w:eastAsia="Times New Roman" w:hint="default"/>
        </w:rPr>
        <w:t>(3)</w:t>
      </w:r>
      <w:r>
        <w:rPr/>
        <w:t>本公司关联方邵建莲将其位于罗湖区笋岗东路宝安广场</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23E</w:t>
      </w:r>
      <w:r>
        <w:rPr/>
        <w:t>共计</w:t>
      </w:r>
      <w:r>
        <w:rPr>
          <w:rFonts w:ascii="Times New Roman" w:hAnsi="Times New Roman" w:cs="Times New Roman" w:eastAsia="Times New Roman" w:hint="default"/>
        </w:rPr>
        <w:t>98.22</w:t>
      </w:r>
      <w:r>
        <w:rPr/>
        <w:t>㎡的房屋提供给公司办公使用，租赁价格 每月</w:t>
      </w:r>
      <w:r>
        <w:rPr>
          <w:rFonts w:ascii="Times New Roman" w:hAnsi="Times New Roman" w:cs="Times New Roman" w:eastAsia="Times New Roman" w:hint="default"/>
        </w:rPr>
        <w:t>9000</w:t>
      </w:r>
      <w:r>
        <w:rPr/>
        <w:t>元，租赁期自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w:t>
      </w:r>
    </w:p>
    <w:p>
      <w:pPr>
        <w:spacing w:line="240" w:lineRule="auto" w:before="4"/>
        <w:rPr>
          <w:rFonts w:ascii="宋体" w:hAnsi="宋体" w:cs="宋体" w:eastAsia="宋体" w:hint="default"/>
          <w:sz w:val="22"/>
          <w:szCs w:val="22"/>
        </w:rPr>
      </w:pPr>
    </w:p>
    <w:p>
      <w:pPr>
        <w:pStyle w:val="Heading5"/>
        <w:spacing w:line="240" w:lineRule="auto"/>
        <w:ind w:right="1115"/>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700" w:left="980" w:right="0"/>
        </w:sectPr>
      </w:pPr>
    </w:p>
    <w:p>
      <w:pPr>
        <w:pStyle w:val="BodyText"/>
        <w:spacing w:line="240" w:lineRule="auto" w:before="44"/>
        <w:ind w:right="-20"/>
        <w:jc w:val="left"/>
      </w:pPr>
      <w:r>
        <w:rPr/>
        <w:t>本公司作为担保方</w:t>
      </w:r>
    </w:p>
    <w:p>
      <w:pPr>
        <w:pStyle w:val="BodyText"/>
        <w:spacing w:line="338"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1773" w:space="705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邵健伟、马琳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60" w:lineRule="auto" w:before="49"/>
        <w:ind w:right="3554"/>
        <w:jc w:val="left"/>
      </w:pPr>
      <w:r>
        <w:rPr/>
        <w:t>关联担保情况说明 报告期内发生之关联担保主要是公司控股股东及其配偶无偿为公司获取银行授信提供担保。</w:t>
      </w:r>
    </w:p>
    <w:p>
      <w:pPr>
        <w:spacing w:line="240" w:lineRule="auto" w:before="4"/>
        <w:rPr>
          <w:rFonts w:ascii="宋体" w:hAnsi="宋体" w:cs="宋体" w:eastAsia="宋体" w:hint="default"/>
          <w:sz w:val="20"/>
          <w:szCs w:val="20"/>
        </w:rPr>
      </w:pPr>
    </w:p>
    <w:p>
      <w:pPr>
        <w:pStyle w:val="Heading5"/>
        <w:spacing w:line="240" w:lineRule="auto"/>
        <w:ind w:right="1115"/>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70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4,981,915.20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5,454,064.50</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深圳市旭龙昇电子有限公司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1,940,006.22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2,050,631.04</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15"/>
        <w:jc w:val="left"/>
      </w:pPr>
      <w:r>
        <w:rPr/>
        <w:t>关联方无关联交易相关的承诺，其他承诺事项参见本报告第五节</w:t>
      </w:r>
      <w:r>
        <w:rPr>
          <w:rFonts w:ascii="Times New Roman" w:hAnsi="Times New Roman" w:cs="Times New Roman" w:eastAsia="Times New Roman" w:hint="default"/>
        </w:rPr>
        <w:t>.  </w:t>
      </w:r>
      <w:r>
        <w:rPr/>
        <w:t>重要事项</w:t>
      </w:r>
      <w:r>
        <w:rPr>
          <w:spacing w:val="37"/>
        </w:rPr>
        <w:t> </w:t>
      </w:r>
      <w:r>
        <w:rPr/>
        <w:t>二、承诺事项履行情况。</w:t>
      </w:r>
    </w:p>
    <w:p>
      <w:pPr>
        <w:spacing w:line="240" w:lineRule="auto" w:before="2"/>
        <w:rPr>
          <w:rFonts w:ascii="宋体" w:hAnsi="宋体" w:cs="宋体" w:eastAsia="宋体" w:hint="default"/>
          <w:sz w:val="26"/>
          <w:szCs w:val="26"/>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564,120.00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1,131,840.00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合同剩余期限：</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bl>
    <w:p>
      <w:pPr>
        <w:pStyle w:val="BodyText"/>
        <w:spacing w:line="240" w:lineRule="auto" w:before="49"/>
        <w:ind w:right="1115"/>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公司采用授予日市价做为公允价值</w:t>
            </w:r>
          </w:p>
        </w:tc>
      </w:tr>
      <w:tr>
        <w:trPr>
          <w:trHeight w:val="71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51"/>
              <w:jc w:val="left"/>
              <w:rPr>
                <w:rFonts w:ascii="宋体" w:hAnsi="宋体" w:cs="宋体" w:eastAsia="宋体" w:hint="default"/>
                <w:sz w:val="18"/>
                <w:szCs w:val="18"/>
              </w:rPr>
            </w:pPr>
            <w:r>
              <w:rPr>
                <w:rFonts w:ascii="宋体" w:hAnsi="宋体" w:cs="宋体" w:eastAsia="宋体" w:hint="default"/>
                <w:sz w:val="18"/>
                <w:szCs w:val="18"/>
              </w:rPr>
              <w:t>根据最新取得的可行权职工人数变动等后续信息作出最佳 估计，修正预计可行权的权益工具数量</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11,511,143.00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2,060,279.00</w:t>
            </w:r>
          </w:p>
        </w:tc>
      </w:tr>
    </w:tbl>
    <w:p>
      <w:pPr>
        <w:pStyle w:val="BodyText"/>
        <w:spacing w:line="240" w:lineRule="auto" w:before="49"/>
        <w:ind w:right="0"/>
        <w:jc w:val="both"/>
      </w:pPr>
      <w:r>
        <w:rPr/>
        <w:t>其他说明</w:t>
      </w:r>
    </w:p>
    <w:p>
      <w:pPr>
        <w:pStyle w:val="BodyText"/>
        <w:spacing w:line="300" w:lineRule="auto" w:before="115"/>
        <w:ind w:right="1138"/>
        <w:jc w:val="both"/>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日，公司召</w:t>
      </w:r>
      <w:r>
        <w:rPr>
          <w:spacing w:val="-3"/>
        </w:rPr>
        <w:t>开</w:t>
      </w:r>
      <w:r>
        <w:rPr/>
        <w:t>第三届董事会第三次会议，会议审议通过《关于公司〈</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年限制性股票激励计划（草案</w:t>
      </w:r>
      <w:r>
        <w:rPr>
          <w:spacing w:val="-89"/>
        </w:rPr>
        <w:t>）</w:t>
      </w:r>
      <w:r>
        <w:rPr/>
        <w:t>〉</w:t>
      </w:r>
      <w:r>
        <w:rPr/>
        <w:t> 及其摘要的议案</w:t>
      </w:r>
      <w:r>
        <w:rPr>
          <w:spacing w:val="-92"/>
        </w:rPr>
        <w:t>》、</w:t>
      </w:r>
      <w:r>
        <w:rPr/>
        <w:t>《关于公</w:t>
      </w:r>
      <w:r>
        <w:rPr>
          <w:spacing w:val="2"/>
        </w:rPr>
        <w:t>司</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年限制性股票激励计</w:t>
      </w:r>
      <w:r>
        <w:rPr>
          <w:spacing w:val="-3"/>
        </w:rPr>
        <w:t>划</w:t>
      </w:r>
      <w:r>
        <w:rPr/>
        <w:t>实施考核管理办法〉的议案》以及《关于提请公司股东大会授</w:t>
      </w:r>
      <w:r>
        <w:rPr/>
        <w:t> 权董事会办理</w:t>
      </w:r>
      <w:r>
        <w:rPr>
          <w:spacing w:val="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  </w:t>
      </w:r>
      <w:r>
        <w:rPr/>
        <w:t>年限制</w:t>
      </w:r>
      <w:r>
        <w:rPr>
          <w:spacing w:val="-3"/>
        </w:rPr>
        <w:t>性</w:t>
      </w:r>
      <w:r>
        <w:rPr/>
        <w:t>股票计划有关事项的议案</w:t>
      </w:r>
      <w:r>
        <w:rPr>
          <w:spacing w:val="-92"/>
        </w:rPr>
        <w:t>》</w:t>
      </w:r>
      <w:r>
        <w:rPr/>
        <w:t>。</w:t>
      </w:r>
    </w:p>
    <w:p>
      <w:pPr>
        <w:pStyle w:val="BodyText"/>
        <w:spacing w:line="240" w:lineRule="auto" w:before="53"/>
        <w:ind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日，公司召开第三届监事会第四次会议，对本次激励计划的激励对象名单进行核查，并审议通过《关于公司</w:t>
      </w:r>
    </w:p>
    <w:p>
      <w:pPr>
        <w:pStyle w:val="BodyText"/>
        <w:spacing w:line="300" w:lineRule="auto" w:before="63"/>
        <w:ind w:right="1136"/>
        <w:jc w:val="both"/>
      </w:pP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 </w:t>
      </w:r>
      <w:r>
        <w:rPr>
          <w:rFonts w:ascii="Times New Roman" w:hAnsi="Times New Roman" w:cs="Times New Roman" w:eastAsia="Times New Roman" w:hint="default"/>
          <w:spacing w:val="3"/>
        </w:rPr>
        <w:t> </w:t>
      </w:r>
      <w:r>
        <w:rPr/>
        <w:t>年限制性股票激励计</w:t>
      </w:r>
      <w:r>
        <w:rPr>
          <w:spacing w:val="-3"/>
        </w:rPr>
        <w:t>划</w:t>
      </w:r>
      <w:r>
        <w:rPr/>
        <w:t>（草案</w:t>
      </w:r>
      <w:r>
        <w:rPr>
          <w:spacing w:val="-92"/>
        </w:rPr>
        <w:t>）</w:t>
      </w:r>
      <w:r>
        <w:rPr/>
        <w:t>〉及其摘要的议案</w:t>
      </w:r>
      <w:r>
        <w:rPr>
          <w:spacing w:val="-89"/>
        </w:rPr>
        <w:t>》</w:t>
      </w:r>
      <w:r>
        <w:rPr>
          <w:spacing w:val="-92"/>
        </w:rPr>
        <w:t>、</w:t>
      </w:r>
      <w:r>
        <w:rPr>
          <w:spacing w:val="2"/>
        </w:rPr>
        <w:t>《</w:t>
      </w:r>
      <w:r>
        <w:rPr/>
        <w:t>关于公司</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 </w:t>
      </w:r>
      <w:r>
        <w:rPr>
          <w:rFonts w:ascii="Times New Roman" w:hAnsi="Times New Roman" w:cs="Times New Roman" w:eastAsia="Times New Roman" w:hint="default"/>
          <w:spacing w:val="2"/>
        </w:rPr>
        <w:t> </w:t>
      </w:r>
      <w:r>
        <w:rPr/>
        <w:t>年限制性股</w:t>
      </w:r>
      <w:r>
        <w:rPr>
          <w:spacing w:val="-3"/>
        </w:rPr>
        <w:t>票</w:t>
      </w:r>
      <w:r>
        <w:rPr/>
        <w:t>激励计划实施考核管理办法〉</w:t>
      </w:r>
      <w:r>
        <w:rPr/>
        <w:t> 的议案》以及《关于核实</w:t>
      </w:r>
      <w:r>
        <w:rPr>
          <w:rFonts w:ascii="Times New Roman" w:hAnsi="Times New Roman" w:cs="Times New Roman" w:eastAsia="Times New Roman" w:hint="default"/>
          <w:spacing w:val="-1"/>
        </w:rPr>
        <w:t>&lt;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  </w:t>
      </w:r>
      <w:r>
        <w:rPr/>
        <w:t>年限制性股票激励计划激励对象名单</w:t>
      </w:r>
      <w:r>
        <w:rPr>
          <w:rFonts w:ascii="Times New Roman" w:hAnsi="Times New Roman" w:cs="Times New Roman" w:eastAsia="Times New Roman" w:hint="default"/>
          <w:spacing w:val="-1"/>
        </w:rPr>
        <w:t>&gt;</w:t>
      </w:r>
      <w:r>
        <w:rPr/>
        <w:t>的议案</w:t>
      </w:r>
      <w:r>
        <w:rPr>
          <w:spacing w:val="-92"/>
        </w:rPr>
        <w:t>》</w:t>
      </w:r>
      <w:r>
        <w:rPr/>
        <w:t>。</w:t>
      </w:r>
    </w:p>
    <w:p>
      <w:pPr>
        <w:pStyle w:val="BodyText"/>
        <w:spacing w:line="300" w:lineRule="auto" w:before="51"/>
        <w:ind w:right="1131"/>
        <w:jc w:val="both"/>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r>
        <w:rPr>
          <w:spacing w:val="-17"/>
        </w:rPr>
        <w:t>，</w:t>
      </w:r>
      <w:r>
        <w:rPr/>
        <w:t>公司召开</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年度股东大会审议通过</w:t>
      </w:r>
      <w:r>
        <w:rPr>
          <w:spacing w:val="-20"/>
        </w:rPr>
        <w:t>了</w:t>
      </w:r>
      <w:r>
        <w:rPr/>
        <w:t>《关于公</w:t>
      </w:r>
      <w:r>
        <w:rPr>
          <w:spacing w:val="-17"/>
        </w:rPr>
        <w:t>司</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年限制性</w:t>
      </w:r>
      <w:r>
        <w:rPr>
          <w:spacing w:val="-3"/>
        </w:rPr>
        <w:t>股</w:t>
      </w:r>
      <w:r>
        <w:rPr/>
        <w:t>票激励计</w:t>
      </w:r>
      <w:r>
        <w:rPr>
          <w:spacing w:val="-17"/>
        </w:rPr>
        <w:t>划</w:t>
      </w:r>
      <w:r>
        <w:rPr/>
        <w:t>（草案</w:t>
      </w:r>
      <w:r>
        <w:rPr>
          <w:spacing w:val="-92"/>
        </w:rPr>
        <w:t>）</w:t>
      </w:r>
      <w:r>
        <w:rPr>
          <w:spacing w:val="-17"/>
        </w:rPr>
        <w:t>〉</w:t>
      </w:r>
      <w:r>
        <w:rPr/>
        <w:t>及其摘</w:t>
      </w:r>
      <w:r>
        <w:rPr>
          <w:spacing w:val="2"/>
        </w:rPr>
        <w:t>要</w:t>
      </w:r>
      <w:r>
        <w:rPr/>
        <w:t>的</w:t>
      </w:r>
      <w:r>
        <w:rPr/>
        <w:t> 议案</w:t>
      </w:r>
      <w:r>
        <w:rPr>
          <w:spacing w:val="-92"/>
        </w:rPr>
        <w:t>》</w:t>
      </w:r>
      <w:r>
        <w:rPr>
          <w:spacing w:val="-108"/>
        </w:rPr>
        <w:t>、</w:t>
      </w:r>
      <w:r>
        <w:rPr/>
        <w:t>《关于公</w:t>
      </w:r>
      <w:r>
        <w:rPr>
          <w:spacing w:val="-17"/>
        </w:rPr>
        <w:t>司</w:t>
      </w:r>
      <w:r>
        <w:rPr/>
        <w:t>〈</w:t>
      </w:r>
      <w:r>
        <w:rPr>
          <w:rFonts w:ascii="Times New Roman" w:hAnsi="Times New Roman" w:cs="Times New Roman" w:eastAsia="Times New Roman" w:hint="default"/>
          <w:spacing w:val="1"/>
        </w:rPr>
        <w:t>201</w:t>
      </w:r>
      <w:r>
        <w:rPr>
          <w:rFonts w:ascii="Times New Roman" w:hAnsi="Times New Roman" w:cs="Times New Roman" w:eastAsia="Times New Roman" w:hint="default"/>
        </w:rPr>
        <w:t>7 </w:t>
      </w:r>
      <w:r>
        <w:rPr>
          <w:rFonts w:ascii="Times New Roman" w:hAnsi="Times New Roman" w:cs="Times New Roman" w:eastAsia="Times New Roman" w:hint="default"/>
          <w:spacing w:val="2"/>
        </w:rPr>
        <w:t> </w:t>
      </w:r>
      <w:r>
        <w:rPr/>
        <w:t>年</w:t>
      </w:r>
      <w:r>
        <w:rPr>
          <w:spacing w:val="-3"/>
        </w:rPr>
        <w:t>限</w:t>
      </w:r>
      <w:r>
        <w:rPr/>
        <w:t>制性股票激励计划实施考核管理办法</w:t>
      </w:r>
      <w:r>
        <w:rPr>
          <w:spacing w:val="-17"/>
        </w:rPr>
        <w:t>〉</w:t>
      </w:r>
      <w:r>
        <w:rPr/>
        <w:t>的议案</w:t>
      </w:r>
      <w:r>
        <w:rPr>
          <w:spacing w:val="-92"/>
        </w:rPr>
        <w:t>》</w:t>
      </w:r>
      <w:r>
        <w:rPr>
          <w:spacing w:val="-17"/>
        </w:rPr>
        <w:t>、</w:t>
      </w:r>
      <w:r>
        <w:rPr/>
        <w:t>以</w:t>
      </w:r>
      <w:r>
        <w:rPr>
          <w:spacing w:val="-17"/>
        </w:rPr>
        <w:t>及</w:t>
      </w:r>
      <w:r>
        <w:rPr/>
        <w:t>《关</w:t>
      </w:r>
      <w:r>
        <w:rPr>
          <w:spacing w:val="2"/>
        </w:rPr>
        <w:t>于</w:t>
      </w:r>
      <w:r>
        <w:rPr/>
        <w:t>提请公司股东大会授权董事会办</w:t>
      </w:r>
      <w:r>
        <w:rPr/>
        <w:t> 理</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年限制性股票计划有</w:t>
      </w:r>
      <w:r>
        <w:rPr>
          <w:spacing w:val="-3"/>
        </w:rPr>
        <w:t>关</w:t>
      </w:r>
      <w:r>
        <w:rPr/>
        <w:t>事项的议案</w:t>
      </w:r>
      <w:r>
        <w:rPr>
          <w:spacing w:val="-92"/>
        </w:rPr>
        <w:t>》</w:t>
      </w:r>
      <w:r>
        <w:rPr/>
        <w:t>。</w:t>
      </w:r>
    </w:p>
    <w:p>
      <w:pPr>
        <w:pStyle w:val="BodyText"/>
        <w:spacing w:line="300" w:lineRule="auto" w:before="53"/>
        <w:ind w:right="1132"/>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t>日，公司分别召开第三届董事会第六次会议和第三届监事会第七次会议，审议通过了《关于调整限制性股票 </w:t>
      </w:r>
      <w:r>
        <w:rPr>
          <w:spacing w:val="-3"/>
        </w:rPr>
        <w:t>激励计划相关事项的议案》和《关于向激励对象首次授予限制性股票的议案》。</w:t>
      </w:r>
    </w:p>
    <w:p>
      <w:pPr>
        <w:pStyle w:val="BodyText"/>
        <w:spacing w:line="319" w:lineRule="auto" w:before="72"/>
        <w:ind w:right="1124"/>
        <w:jc w:val="left"/>
      </w:pPr>
      <w:r>
        <w:rPr/>
        <w:t>本激励计划授予的激励对象总人数为</w:t>
      </w:r>
      <w:r>
        <w:rPr>
          <w:spacing w:val="-45"/>
        </w:rPr>
        <w:t> </w:t>
      </w:r>
      <w:r>
        <w:rPr>
          <w:rFonts w:ascii="Times New Roman" w:hAnsi="Times New Roman" w:cs="Times New Roman" w:eastAsia="Times New Roman" w:hint="default"/>
        </w:rPr>
        <w:t>91 </w:t>
      </w:r>
      <w:r>
        <w:rPr/>
        <w:t>人，括公司公告本计划时符合公司（含子公司）任职资格的董事、高级管理人员、 </w:t>
      </w:r>
      <w:r>
        <w:rPr>
          <w:spacing w:val="-2"/>
        </w:rPr>
        <w:t>核心管理人员和核心技术（业务）人员（不包括独立董事、监事）。由于部分激励对象因个人原因自愿放弃其可获授的部分</w:t>
      </w:r>
      <w:r>
        <w:rPr>
          <w:spacing w:val="-71"/>
        </w:rPr>
        <w:t> </w:t>
      </w:r>
      <w:r>
        <w:rPr>
          <w:spacing w:val="-71"/>
        </w:rPr>
      </w:r>
      <w:r>
        <w:rPr/>
        <w:t>或全部限制性股票，实际授予人数为</w:t>
      </w:r>
      <w:r>
        <w:rPr>
          <w:spacing w:val="-45"/>
        </w:rPr>
        <w:t> </w:t>
      </w:r>
      <w:r>
        <w:rPr>
          <w:rFonts w:ascii="Times New Roman" w:hAnsi="Times New Roman" w:cs="Times New Roman" w:eastAsia="Times New Roman" w:hint="default"/>
        </w:rPr>
        <w:t>89 </w:t>
      </w:r>
      <w:r>
        <w:rPr/>
        <w:t>人，授予股数为</w:t>
      </w:r>
      <w:r>
        <w:rPr>
          <w:spacing w:val="-46"/>
        </w:rPr>
        <w:t> </w:t>
      </w:r>
      <w:r>
        <w:rPr>
          <w:rFonts w:ascii="Times New Roman" w:hAnsi="Times New Roman" w:cs="Times New Roman" w:eastAsia="Times New Roman" w:hint="default"/>
        </w:rPr>
        <w:t>2,829,600.00</w:t>
      </w:r>
      <w:r>
        <w:rPr>
          <w:rFonts w:ascii="Times New Roman" w:hAnsi="Times New Roman" w:cs="Times New Roman" w:eastAsia="Times New Roman" w:hint="default"/>
          <w:spacing w:val="1"/>
        </w:rPr>
        <w:t> </w:t>
      </w:r>
      <w:r>
        <w:rPr/>
        <w:t>股。 本激励计划首次授予的限制性股票的解除限售期及各期解除限售时间安排如下表所示：</w:t>
      </w:r>
    </w:p>
    <w:p>
      <w:pPr>
        <w:spacing w:line="240" w:lineRule="auto" w:before="10"/>
        <w:rPr>
          <w:rFonts w:ascii="宋体" w:hAnsi="宋体" w:cs="宋体" w:eastAsia="宋体" w:hint="default"/>
          <w:sz w:val="3"/>
          <w:szCs w:val="3"/>
        </w:rPr>
      </w:pPr>
    </w:p>
    <w:tbl>
      <w:tblPr>
        <w:tblW w:w="0" w:type="auto"/>
        <w:jc w:val="left"/>
        <w:tblInd w:w="755" w:type="dxa"/>
        <w:tblLayout w:type="fixed"/>
        <w:tblCellMar>
          <w:top w:w="0" w:type="dxa"/>
          <w:left w:w="0" w:type="dxa"/>
          <w:bottom w:w="0" w:type="dxa"/>
          <w:right w:w="0" w:type="dxa"/>
        </w:tblCellMar>
        <w:tblLook w:val="01E0"/>
      </w:tblPr>
      <w:tblGrid>
        <w:gridCol w:w="1802"/>
        <w:gridCol w:w="5672"/>
        <w:gridCol w:w="1275"/>
      </w:tblGrid>
      <w:tr>
        <w:trPr>
          <w:trHeight w:val="341"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55"/>
              <w:jc w:val="right"/>
              <w:rPr>
                <w:rFonts w:ascii="宋体" w:hAnsi="宋体" w:cs="宋体" w:eastAsia="宋体" w:hint="default"/>
                <w:sz w:val="18"/>
                <w:szCs w:val="18"/>
              </w:rPr>
            </w:pPr>
            <w:r>
              <w:rPr>
                <w:rFonts w:ascii="宋体" w:hAnsi="宋体" w:cs="宋体" w:eastAsia="宋体" w:hint="default"/>
                <w:sz w:val="18"/>
                <w:szCs w:val="18"/>
              </w:rPr>
              <w:t>解除限售安排</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1" w:right="0"/>
              <w:jc w:val="left"/>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655"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45"/>
              <w:jc w:val="right"/>
              <w:rPr>
                <w:rFonts w:ascii="宋体" w:hAnsi="宋体" w:cs="宋体" w:eastAsia="宋体" w:hint="default"/>
                <w:sz w:val="18"/>
                <w:szCs w:val="18"/>
              </w:rPr>
            </w:pPr>
            <w:r>
              <w:rPr>
                <w:rFonts w:ascii="宋体" w:hAnsi="宋体" w:cs="宋体" w:eastAsia="宋体" w:hint="default"/>
                <w:sz w:val="18"/>
                <w:szCs w:val="18"/>
              </w:rPr>
              <w:t>第一个解除限售期</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74"/>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 后一个交易日当日止</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20%</w:t>
            </w:r>
          </w:p>
        </w:tc>
      </w:tr>
      <w:tr>
        <w:trPr>
          <w:trHeight w:val="653"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45"/>
              <w:jc w:val="right"/>
              <w:rPr>
                <w:rFonts w:ascii="宋体" w:hAnsi="宋体" w:cs="宋体" w:eastAsia="宋体" w:hint="default"/>
                <w:sz w:val="18"/>
                <w:szCs w:val="18"/>
              </w:rPr>
            </w:pPr>
            <w:r>
              <w:rPr>
                <w:rFonts w:ascii="宋体" w:hAnsi="宋体" w:cs="宋体" w:eastAsia="宋体" w:hint="default"/>
                <w:sz w:val="18"/>
                <w:szCs w:val="18"/>
              </w:rPr>
              <w:t>第二个解除限售期</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 w:right="74"/>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 后一个交易日当日止</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40%</w:t>
            </w:r>
          </w:p>
        </w:tc>
      </w:tr>
      <w:tr>
        <w:trPr>
          <w:trHeight w:val="655"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45"/>
              <w:jc w:val="right"/>
              <w:rPr>
                <w:rFonts w:ascii="宋体" w:hAnsi="宋体" w:cs="宋体" w:eastAsia="宋体" w:hint="default"/>
                <w:sz w:val="18"/>
                <w:szCs w:val="18"/>
              </w:rPr>
            </w:pPr>
            <w:r>
              <w:rPr>
                <w:rFonts w:ascii="宋体" w:hAnsi="宋体" w:cs="宋体" w:eastAsia="宋体" w:hint="default"/>
                <w:sz w:val="18"/>
                <w:szCs w:val="18"/>
              </w:rPr>
              <w:t>第三个解除限售期</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74"/>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 后一个交易日当日止</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40%</w:t>
            </w:r>
          </w:p>
        </w:tc>
      </w:tr>
    </w:tbl>
    <w:p>
      <w:pPr>
        <w:pStyle w:val="BodyText"/>
        <w:spacing w:line="240" w:lineRule="auto" w:before="49"/>
        <w:ind w:right="998"/>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日，立信会计师事务所（特殊普通合伙）就公司新增注册资本的实收情况出具了《深圳市今天国际物流技术</w:t>
      </w:r>
    </w:p>
    <w:p>
      <w:pPr>
        <w:pStyle w:val="BodyText"/>
        <w:spacing w:line="240" w:lineRule="auto" w:before="63"/>
        <w:ind w:right="998"/>
        <w:jc w:val="left"/>
      </w:pPr>
      <w:r>
        <w:rPr/>
        <w:t>股份有限公司验资报告</w:t>
      </w:r>
      <w:r>
        <w:rPr>
          <w:spacing w:val="-104"/>
        </w:rPr>
        <w:t>》</w:t>
      </w:r>
      <w:r>
        <w:rPr/>
        <w:t>（信</w:t>
      </w:r>
      <w:r>
        <w:rPr>
          <w:spacing w:val="2"/>
        </w:rPr>
        <w:t>会</w:t>
      </w:r>
      <w:r>
        <w:rPr/>
        <w:t>师报</w:t>
      </w:r>
      <w:r>
        <w:rPr>
          <w:spacing w:val="-13"/>
        </w:rPr>
        <w:t>字</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spacing w:val="-12"/>
        </w:rPr>
        <w:t>】</w:t>
      </w:r>
      <w:r>
        <w:rPr/>
        <w:t>第</w:t>
      </w:r>
      <w:r>
        <w:rPr>
          <w:spacing w:val="-45"/>
        </w:rPr>
        <w:t> </w:t>
      </w:r>
      <w:r>
        <w:rPr>
          <w:rFonts w:ascii="Times New Roman" w:hAnsi="Times New Roman" w:cs="Times New Roman" w:eastAsia="Times New Roman" w:hint="default"/>
        </w:rPr>
        <w:t>Z</w:t>
      </w:r>
      <w:r>
        <w:rPr>
          <w:rFonts w:ascii="Times New Roman" w:hAnsi="Times New Roman" w:cs="Times New Roman" w:eastAsia="Times New Roman" w:hint="default"/>
          <w:spacing w:val="-2"/>
        </w:rPr>
        <w:t>I</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0</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号</w:t>
      </w:r>
      <w:r>
        <w:rPr>
          <w:spacing w:val="-94"/>
        </w:rPr>
        <w:t>）</w:t>
      </w:r>
      <w:r>
        <w:rPr>
          <w:spacing w:val="-13"/>
        </w:rPr>
        <w:t>。</w:t>
      </w:r>
      <w:r>
        <w:rPr/>
        <w:t>根据该验资报告</w:t>
      </w:r>
      <w:r>
        <w:rPr>
          <w:spacing w:val="-13"/>
        </w:rPr>
        <w:t>，</w:t>
      </w:r>
      <w:r>
        <w:rPr/>
        <w:t>截至</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日止</w:t>
      </w:r>
      <w:r>
        <w:rPr>
          <w:spacing w:val="-13"/>
        </w:rPr>
        <w:t>，</w:t>
      </w:r>
      <w:r>
        <w:rPr/>
        <w:t>公司实际收到</w:t>
      </w:r>
    </w:p>
    <w:p>
      <w:pPr>
        <w:pStyle w:val="BodyText"/>
        <w:spacing w:line="240" w:lineRule="auto" w:before="63"/>
        <w:ind w:right="1115"/>
        <w:jc w:val="left"/>
      </w:pPr>
      <w:r>
        <w:rPr>
          <w:rFonts w:ascii="Times New Roman" w:hAnsi="Times New Roman" w:cs="Times New Roman" w:eastAsia="Times New Roman" w:hint="default"/>
        </w:rPr>
        <w:t>88 </w:t>
      </w:r>
      <w:r>
        <w:rPr/>
        <w:t>名股权激励对象认购</w:t>
      </w:r>
      <w:r>
        <w:rPr>
          <w:spacing w:val="-49"/>
        </w:rPr>
        <w:t> </w:t>
      </w:r>
      <w:r>
        <w:rPr>
          <w:rFonts w:ascii="Times New Roman" w:hAnsi="Times New Roman" w:cs="Times New Roman" w:eastAsia="Times New Roman" w:hint="default"/>
        </w:rPr>
        <w:t>2,829,600 </w:t>
      </w:r>
      <w:r>
        <w:rPr/>
        <w:t>股缴纳的人民币</w:t>
      </w:r>
      <w:r>
        <w:rPr>
          <w:spacing w:val="-49"/>
        </w:rPr>
        <w:t> </w:t>
      </w:r>
      <w:r>
        <w:rPr>
          <w:rFonts w:ascii="Times New Roman" w:hAnsi="Times New Roman" w:cs="Times New Roman" w:eastAsia="Times New Roman" w:hint="default"/>
        </w:rPr>
        <w:t>49,800,960</w:t>
      </w:r>
      <w:r>
        <w:rPr>
          <w:rFonts w:ascii="Times New Roman" w:hAnsi="Times New Roman" w:cs="Times New Roman" w:eastAsia="Times New Roman" w:hint="default"/>
          <w:spacing w:val="-2"/>
        </w:rPr>
        <w:t> </w:t>
      </w:r>
      <w:r>
        <w:rPr/>
        <w:t>元，其中新增注册资本（股本）合计人民币</w:t>
      </w:r>
      <w:r>
        <w:rPr>
          <w:spacing w:val="-46"/>
        </w:rPr>
        <w:t> </w:t>
      </w:r>
      <w:r>
        <w:rPr>
          <w:rFonts w:ascii="Times New Roman" w:hAnsi="Times New Roman" w:cs="Times New Roman" w:eastAsia="Times New Roman" w:hint="default"/>
        </w:rPr>
        <w:t>2,829,600 </w:t>
      </w:r>
      <w:r>
        <w:rPr/>
        <w:t>元。</w:t>
      </w:r>
    </w:p>
    <w:p>
      <w:pPr>
        <w:pStyle w:val="BodyText"/>
        <w:spacing w:line="240" w:lineRule="auto" w:before="101"/>
        <w:ind w:right="998"/>
        <w:jc w:val="left"/>
      </w:pPr>
      <w:r>
        <w:rPr/>
        <w:t>根据《企业会计准则第</w:t>
      </w:r>
      <w:r>
        <w:rPr>
          <w:spacing w:val="-6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0"/>
        </w:rPr>
        <w:t> </w:t>
      </w:r>
      <w:r>
        <w:rPr/>
        <w:t>号</w:t>
      </w:r>
      <w:r>
        <w:rPr>
          <w:rFonts w:ascii="Times New Roman" w:hAnsi="Times New Roman" w:cs="Times New Roman" w:eastAsia="Times New Roman" w:hint="default"/>
        </w:rPr>
        <w:t>——</w:t>
      </w:r>
      <w:r>
        <w:rPr/>
        <w:t>股份支付》及《企业会计准则第</w:t>
      </w:r>
      <w:r>
        <w:rPr>
          <w:spacing w:val="-65"/>
        </w:rPr>
        <w:t> </w:t>
      </w:r>
      <w:r>
        <w:rPr>
          <w:rFonts w:ascii="Times New Roman" w:hAnsi="Times New Roman" w:cs="Times New Roman" w:eastAsia="Times New Roman" w:hint="default"/>
        </w:rPr>
        <w:t>22</w:t>
      </w:r>
      <w:r>
        <w:rPr>
          <w:rFonts w:ascii="Times New Roman" w:hAnsi="Times New Roman" w:cs="Times New Roman" w:eastAsia="Times New Roman" w:hint="default"/>
          <w:spacing w:val="-20"/>
        </w:rPr>
        <w:t> </w:t>
      </w:r>
      <w:r>
        <w:rPr/>
        <w:t>号</w:t>
      </w:r>
      <w:r>
        <w:rPr>
          <w:rFonts w:ascii="Times New Roman" w:hAnsi="Times New Roman" w:cs="Times New Roman" w:eastAsia="Times New Roman" w:hint="default"/>
        </w:rPr>
        <w:t>——</w:t>
      </w:r>
      <w:r>
        <w:rPr/>
        <w:t>金融工具确认和计量》的相关规定，公司以授予</w:t>
      </w:r>
    </w:p>
    <w:p>
      <w:pPr>
        <w:pStyle w:val="BodyText"/>
        <w:spacing w:line="300" w:lineRule="auto" w:before="63"/>
        <w:ind w:right="998"/>
        <w:jc w:val="left"/>
      </w:pPr>
      <w:r>
        <w:rPr/>
        <w:t>日今天国际股票收盘价</w:t>
      </w:r>
      <w:r>
        <w:rPr>
          <w:spacing w:val="-54"/>
        </w:rPr>
        <w:t> </w:t>
      </w:r>
      <w:r>
        <w:rPr>
          <w:rFonts w:ascii="Times New Roman" w:hAnsi="Times New Roman" w:cs="Times New Roman" w:eastAsia="Times New Roman" w:hint="default"/>
        </w:rPr>
        <w:t>27.62</w:t>
      </w:r>
      <w:r>
        <w:rPr>
          <w:rFonts w:ascii="Times New Roman" w:hAnsi="Times New Roman" w:cs="Times New Roman" w:eastAsia="Times New Roman" w:hint="default"/>
          <w:spacing w:val="-10"/>
        </w:rPr>
        <w:t> </w:t>
      </w:r>
      <w:r>
        <w:rPr/>
        <w:t>元做为公允价值。授予日激励对象获授的权益工具的公允价值应当等于当日未考虑限制性因素 </w:t>
      </w:r>
      <w:r>
        <w:rPr>
          <w:spacing w:val="-4"/>
        </w:rPr>
        <w:t>的权益工具价值扣除限制性因素带来的成本（即激励对象为锁定未来合理预期收益而进行的权证投资成本）得出，结果如下：</w:t>
      </w:r>
    </w:p>
    <w:p>
      <w:pPr>
        <w:spacing w:line="240" w:lineRule="auto" w:before="12"/>
        <w:rPr>
          <w:rFonts w:ascii="宋体" w:hAnsi="宋体" w:cs="宋体" w:eastAsia="宋体" w:hint="default"/>
          <w:sz w:val="4"/>
          <w:szCs w:val="4"/>
        </w:rPr>
      </w:pPr>
    </w:p>
    <w:tbl>
      <w:tblPr>
        <w:tblW w:w="0" w:type="auto"/>
        <w:jc w:val="left"/>
        <w:tblInd w:w="755" w:type="dxa"/>
        <w:tblLayout w:type="fixed"/>
        <w:tblCellMar>
          <w:top w:w="0" w:type="dxa"/>
          <w:left w:w="0" w:type="dxa"/>
          <w:bottom w:w="0" w:type="dxa"/>
          <w:right w:w="0" w:type="dxa"/>
        </w:tblCellMar>
        <w:tblLook w:val="01E0"/>
      </w:tblPr>
      <w:tblGrid>
        <w:gridCol w:w="5180"/>
        <w:gridCol w:w="1027"/>
        <w:gridCol w:w="1162"/>
        <w:gridCol w:w="1162"/>
      </w:tblGrid>
      <w:tr>
        <w:trPr>
          <w:trHeight w:val="346" w:hRule="exact"/>
        </w:trPr>
        <w:tc>
          <w:tcPr>
            <w:tcW w:w="518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7"/>
              <w:ind w:left="235" w:right="0"/>
              <w:jc w:val="left"/>
              <w:rPr>
                <w:rFonts w:ascii="宋体" w:hAnsi="宋体" w:cs="宋体" w:eastAsia="宋体" w:hint="default"/>
                <w:sz w:val="18"/>
                <w:szCs w:val="18"/>
              </w:rPr>
            </w:pPr>
            <w:r>
              <w:rPr>
                <w:rFonts w:ascii="宋体" w:hAnsi="宋体" w:cs="宋体" w:eastAsia="宋体" w:hint="default"/>
                <w:sz w:val="18"/>
                <w:szCs w:val="18"/>
              </w:rPr>
              <w:t>一年期</w:t>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二年期</w:t>
            </w:r>
          </w:p>
        </w:tc>
        <w:tc>
          <w:tcPr>
            <w:tcW w:w="1162"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三年期</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755" w:type="dxa"/>
        <w:tblLayout w:type="fixed"/>
        <w:tblCellMar>
          <w:top w:w="0" w:type="dxa"/>
          <w:left w:w="0" w:type="dxa"/>
          <w:bottom w:w="0" w:type="dxa"/>
          <w:right w:w="0" w:type="dxa"/>
        </w:tblCellMar>
        <w:tblLook w:val="01E0"/>
      </w:tblPr>
      <w:tblGrid>
        <w:gridCol w:w="5180"/>
        <w:gridCol w:w="1027"/>
        <w:gridCol w:w="1162"/>
        <w:gridCol w:w="1162"/>
      </w:tblGrid>
      <w:tr>
        <w:trPr>
          <w:trHeight w:val="668" w:hRule="exact"/>
        </w:trPr>
        <w:tc>
          <w:tcPr>
            <w:tcW w:w="5180"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17"/>
              <w:ind w:left="4" w:right="58"/>
              <w:jc w:val="left"/>
              <w:rPr>
                <w:rFonts w:ascii="宋体" w:hAnsi="宋体" w:cs="宋体" w:eastAsia="宋体" w:hint="default"/>
                <w:sz w:val="18"/>
                <w:szCs w:val="18"/>
              </w:rPr>
            </w:pPr>
            <w:r>
              <w:rPr>
                <w:rFonts w:ascii="宋体" w:hAnsi="宋体" w:cs="宋体" w:eastAsia="宋体" w:hint="default"/>
                <w:sz w:val="18"/>
                <w:szCs w:val="18"/>
              </w:rPr>
              <w:t>未考虑限制性因素的权益工具价值（元）（授予日收盘价</w:t>
            </w:r>
            <w:r>
              <w:rPr>
                <w:rFonts w:ascii="Times New Roman" w:hAnsi="Times New Roman" w:cs="Times New Roman" w:eastAsia="Times New Roman" w:hint="default"/>
                <w:sz w:val="18"/>
                <w:szCs w:val="18"/>
              </w:rPr>
              <w:t>-</w:t>
            </w:r>
            <w:r>
              <w:rPr>
                <w:rFonts w:ascii="宋体" w:hAnsi="宋体" w:cs="宋体" w:eastAsia="宋体" w:hint="default"/>
                <w:sz w:val="18"/>
                <w:szCs w:val="18"/>
              </w:rPr>
              <w:t>授予价 格）</w:t>
            </w:r>
          </w:p>
        </w:tc>
        <w:tc>
          <w:tcPr>
            <w:tcW w:w="1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10.02</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10.02</w:t>
            </w:r>
          </w:p>
        </w:tc>
        <w:tc>
          <w:tcPr>
            <w:tcW w:w="11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10.02</w:t>
            </w:r>
          </w:p>
        </w:tc>
      </w:tr>
      <w:tr>
        <w:trPr>
          <w:trHeight w:val="360" w:hRule="exact"/>
        </w:trPr>
        <w:tc>
          <w:tcPr>
            <w:tcW w:w="5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限制性因素带来的成本（元）</w:t>
            </w:r>
          </w:p>
        </w:tc>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5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每股限制性股票的公允价值（元）</w:t>
            </w:r>
          </w:p>
        </w:tc>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10.02</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10.02</w:t>
            </w:r>
          </w:p>
        </w:tc>
        <w:tc>
          <w:tcPr>
            <w:tcW w:w="11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10.02</w:t>
            </w:r>
          </w:p>
        </w:tc>
      </w:tr>
      <w:tr>
        <w:trPr>
          <w:trHeight w:val="362" w:hRule="exact"/>
        </w:trPr>
        <w:tc>
          <w:tcPr>
            <w:tcW w:w="5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解除限售份额（万股）</w:t>
            </w:r>
          </w:p>
        </w:tc>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56.60</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113.18</w:t>
            </w:r>
          </w:p>
        </w:tc>
        <w:tc>
          <w:tcPr>
            <w:tcW w:w="11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113.18</w:t>
            </w:r>
          </w:p>
        </w:tc>
      </w:tr>
      <w:tr>
        <w:trPr>
          <w:trHeight w:val="353" w:hRule="exact"/>
        </w:trPr>
        <w:tc>
          <w:tcPr>
            <w:tcW w:w="5180"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当期股权激励公允价值总额（万元）</w:t>
            </w:r>
          </w:p>
        </w:tc>
        <w:tc>
          <w:tcPr>
            <w:tcW w:w="1027"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567.14</w:t>
            </w:r>
          </w:p>
        </w:tc>
        <w:tc>
          <w:tcPr>
            <w:tcW w:w="116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1,134.06</w:t>
            </w:r>
          </w:p>
        </w:tc>
        <w:tc>
          <w:tcPr>
            <w:tcW w:w="1162"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5"/>
                <w:sz w:val="18"/>
              </w:rPr>
              <w:t>1,134.06</w:t>
            </w:r>
          </w:p>
        </w:tc>
      </w:tr>
    </w:tbl>
    <w:p>
      <w:pPr>
        <w:pStyle w:val="BodyText"/>
        <w:spacing w:line="300" w:lineRule="auto" w:before="49"/>
        <w:ind w:right="1131"/>
        <w:jc w:val="both"/>
      </w:pPr>
      <w:r>
        <w:rPr/>
        <w:t>根据上述计算，授予日公司向激励对象授予的权益工具公允价值总额为</w:t>
      </w:r>
      <w:r>
        <w:rPr>
          <w:spacing w:val="-58"/>
        </w:rPr>
        <w:t> </w:t>
      </w:r>
      <w:r>
        <w:rPr>
          <w:rFonts w:ascii="Times New Roman" w:hAnsi="Times New Roman" w:cs="Times New Roman" w:eastAsia="Times New Roman" w:hint="default"/>
        </w:rPr>
        <w:t>2,835.26</w:t>
      </w:r>
      <w:r>
        <w:rPr>
          <w:rFonts w:ascii="Times New Roman" w:hAnsi="Times New Roman" w:cs="Times New Roman" w:eastAsia="Times New Roman" w:hint="default"/>
          <w:spacing w:val="-13"/>
        </w:rPr>
        <w:t> </w:t>
      </w:r>
      <w:r>
        <w:rPr>
          <w:spacing w:val="-3"/>
        </w:rPr>
        <w:t>万元，该等公允价值总额作为公司本次限制</w:t>
      </w:r>
      <w:r>
        <w:rPr/>
        <w:t> 性股票激励计划的总成本将在限制性股票激励计划的实施过程中按照解除限售比例进行分期确认。因此，</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w:t>
      </w:r>
      <w:r>
        <w:rPr>
          <w:rFonts w:ascii="Times New Roman" w:hAnsi="Times New Roman" w:cs="Times New Roman" w:eastAsia="Times New Roman" w:hint="default"/>
        </w:rPr>
        <w:t>-2020</w:t>
      </w:r>
      <w:r>
        <w:rPr>
          <w:rFonts w:ascii="Times New Roman" w:hAnsi="Times New Roman" w:cs="Times New Roman" w:eastAsia="Times New Roman" w:hint="default"/>
          <w:spacing w:val="-22"/>
        </w:rPr>
        <w:t> </w:t>
      </w:r>
      <w:r>
        <w:rPr>
          <w:spacing w:val="-3"/>
        </w:rPr>
        <w:t>年限 </w:t>
      </w:r>
      <w:r>
        <w:rPr/>
        <w:t>制性股票成本摊销情况见下表：</w:t>
      </w:r>
    </w:p>
    <w:p>
      <w:pPr>
        <w:pStyle w:val="BodyText"/>
        <w:spacing w:line="240" w:lineRule="auto" w:before="70"/>
        <w:ind w:right="1131"/>
        <w:jc w:val="right"/>
      </w:pPr>
      <w:r>
        <w:rPr/>
        <w:t>单位：万元</w:t>
      </w:r>
    </w:p>
    <w:p>
      <w:pPr>
        <w:spacing w:line="240" w:lineRule="auto" w:before="3"/>
        <w:rPr>
          <w:rFonts w:ascii="宋体" w:hAnsi="宋体" w:cs="宋体" w:eastAsia="宋体" w:hint="default"/>
          <w:sz w:val="5"/>
          <w:szCs w:val="5"/>
        </w:rPr>
      </w:pPr>
    </w:p>
    <w:tbl>
      <w:tblPr>
        <w:tblW w:w="0" w:type="auto"/>
        <w:jc w:val="left"/>
        <w:tblInd w:w="755" w:type="dxa"/>
        <w:tblLayout w:type="fixed"/>
        <w:tblCellMar>
          <w:top w:w="0" w:type="dxa"/>
          <w:left w:w="0" w:type="dxa"/>
          <w:bottom w:w="0" w:type="dxa"/>
          <w:right w:w="0" w:type="dxa"/>
        </w:tblCellMar>
        <w:tblLook w:val="01E0"/>
      </w:tblPr>
      <w:tblGrid>
        <w:gridCol w:w="2854"/>
        <w:gridCol w:w="1774"/>
        <w:gridCol w:w="963"/>
        <w:gridCol w:w="1015"/>
        <w:gridCol w:w="963"/>
        <w:gridCol w:w="962"/>
      </w:tblGrid>
      <w:tr>
        <w:trPr>
          <w:trHeight w:val="355" w:hRule="exact"/>
        </w:trPr>
        <w:tc>
          <w:tcPr>
            <w:tcW w:w="28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授予的限制性股票（万股）</w:t>
            </w:r>
          </w:p>
        </w:tc>
        <w:tc>
          <w:tcPr>
            <w:tcW w:w="17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49" w:right="0"/>
              <w:jc w:val="left"/>
              <w:rPr>
                <w:rFonts w:ascii="宋体" w:hAnsi="宋体" w:cs="宋体" w:eastAsia="宋体" w:hint="default"/>
                <w:sz w:val="18"/>
                <w:szCs w:val="18"/>
              </w:rPr>
            </w:pPr>
            <w:r>
              <w:rPr>
                <w:rFonts w:ascii="宋体" w:hAnsi="宋体" w:cs="宋体" w:eastAsia="宋体" w:hint="default"/>
                <w:sz w:val="18"/>
                <w:szCs w:val="18"/>
              </w:rPr>
              <w:t>需摊销的总费用</w:t>
            </w:r>
          </w:p>
        </w:tc>
        <w:tc>
          <w:tcPr>
            <w:tcW w:w="9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0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9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9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p>
        </w:tc>
      </w:tr>
      <w:tr>
        <w:trPr>
          <w:trHeight w:val="353" w:hRule="exact"/>
        </w:trPr>
        <w:tc>
          <w:tcPr>
            <w:tcW w:w="2854"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282.96</w:t>
            </w:r>
          </w:p>
        </w:tc>
        <w:tc>
          <w:tcPr>
            <w:tcW w:w="1774"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62"/>
              <w:ind w:left="1125" w:right="0"/>
              <w:jc w:val="left"/>
              <w:rPr>
                <w:rFonts w:ascii="Times New Roman" w:hAnsi="Times New Roman" w:cs="Times New Roman" w:eastAsia="Times New Roman" w:hint="default"/>
                <w:sz w:val="18"/>
                <w:szCs w:val="18"/>
              </w:rPr>
            </w:pPr>
            <w:r>
              <w:rPr>
                <w:rFonts w:ascii="Times New Roman"/>
                <w:sz w:val="18"/>
              </w:rPr>
              <w:t>2,835.26</w:t>
            </w:r>
          </w:p>
        </w:tc>
        <w:tc>
          <w:tcPr>
            <w:tcW w:w="963"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62"/>
              <w:ind w:left="451" w:right="0"/>
              <w:jc w:val="left"/>
              <w:rPr>
                <w:rFonts w:ascii="Times New Roman" w:hAnsi="Times New Roman" w:cs="Times New Roman" w:eastAsia="Times New Roman" w:hint="default"/>
                <w:sz w:val="18"/>
                <w:szCs w:val="18"/>
              </w:rPr>
            </w:pPr>
            <w:r>
              <w:rPr>
                <w:rFonts w:ascii="Times New Roman"/>
                <w:sz w:val="18"/>
              </w:rPr>
              <w:t>945.09</w:t>
            </w:r>
          </w:p>
        </w:tc>
        <w:tc>
          <w:tcPr>
            <w:tcW w:w="1015"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1,157.73</w:t>
            </w:r>
          </w:p>
        </w:tc>
        <w:tc>
          <w:tcPr>
            <w:tcW w:w="963"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62"/>
              <w:ind w:left="453" w:right="-1"/>
              <w:jc w:val="left"/>
              <w:rPr>
                <w:rFonts w:ascii="Times New Roman" w:hAnsi="Times New Roman" w:cs="Times New Roman" w:eastAsia="Times New Roman" w:hint="default"/>
                <w:sz w:val="18"/>
                <w:szCs w:val="18"/>
              </w:rPr>
            </w:pPr>
            <w:r>
              <w:rPr>
                <w:rFonts w:ascii="Times New Roman"/>
                <w:sz w:val="18"/>
              </w:rPr>
              <w:t>590.68</w:t>
            </w:r>
          </w:p>
        </w:tc>
        <w:tc>
          <w:tcPr>
            <w:tcW w:w="962"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62"/>
              <w:ind w:left="453" w:right="0"/>
              <w:jc w:val="left"/>
              <w:rPr>
                <w:rFonts w:ascii="Times New Roman" w:hAnsi="Times New Roman" w:cs="Times New Roman" w:eastAsia="Times New Roman" w:hint="default"/>
                <w:sz w:val="18"/>
                <w:szCs w:val="18"/>
              </w:rPr>
            </w:pPr>
            <w:r>
              <w:rPr>
                <w:rFonts w:ascii="Times New Roman"/>
                <w:sz w:val="18"/>
              </w:rPr>
              <w:t>141.76</w:t>
            </w:r>
          </w:p>
        </w:tc>
      </w:tr>
    </w:tbl>
    <w:p>
      <w:pPr>
        <w:pStyle w:val="BodyText"/>
        <w:spacing w:line="316" w:lineRule="auto" w:before="49"/>
        <w:ind w:right="1115"/>
        <w:jc w:val="left"/>
      </w:pPr>
      <w:r>
        <w:rPr>
          <w:spacing w:val="-2"/>
        </w:rPr>
        <w:t>根据最新统计的可行权人数变动、业绩指标完成情况等后续信息，修正预计可行权的限制性股票数量，本期以权益结算的股</w:t>
      </w:r>
      <w:r>
        <w:rPr>
          <w:spacing w:val="-63"/>
        </w:rPr>
        <w:t> </w:t>
      </w:r>
      <w:r>
        <w:rPr>
          <w:spacing w:val="-63"/>
        </w:rPr>
      </w:r>
      <w:r>
        <w:rPr/>
        <w:t>份支付确认的费用总额</w:t>
      </w:r>
      <w:r>
        <w:rPr>
          <w:spacing w:val="-46"/>
        </w:rPr>
        <w:t> </w:t>
      </w:r>
      <w:r>
        <w:rPr>
          <w:rFonts w:ascii="Times New Roman" w:hAnsi="Times New Roman" w:cs="Times New Roman" w:eastAsia="Times New Roman" w:hint="default"/>
        </w:rPr>
        <w:t>2,060,279.00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5"/>
        <w:spacing w:line="240" w:lineRule="auto"/>
        <w:ind w:right="1115"/>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60" w:lineRule="auto" w:before="102"/>
        <w:ind w:right="6254"/>
        <w:jc w:val="left"/>
      </w:pPr>
      <w:r>
        <w:rPr/>
        <w:t>资产负债表日存在的重要承诺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日，本公司不存在应披露的承诺事项。</w:t>
      </w:r>
    </w:p>
    <w:p>
      <w:pPr>
        <w:spacing w:line="240" w:lineRule="auto" w:before="7"/>
        <w:rPr>
          <w:rFonts w:ascii="宋体" w:hAnsi="宋体" w:cs="宋体" w:eastAsia="宋体" w:hint="default"/>
          <w:sz w:val="18"/>
          <w:szCs w:val="18"/>
        </w:rPr>
      </w:pPr>
    </w:p>
    <w:p>
      <w:pPr>
        <w:pStyle w:val="Heading5"/>
        <w:spacing w:line="240" w:lineRule="auto"/>
        <w:ind w:right="1115"/>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日，本公司无对正常生产、经营活动有重大影响需特别披露的或有事项。</w:t>
      </w:r>
    </w:p>
    <w:p>
      <w:pPr>
        <w:spacing w:line="240" w:lineRule="auto" w:before="3"/>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公司不存在需要披露的重要或有事项。</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9"/>
          <w:sz w:val="21"/>
          <w:szCs w:val="21"/>
        </w:rPr>
        <w:t> </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5"/>
        <w:ind w:right="1115"/>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866" w:right="1115"/>
        <w:jc w:val="left"/>
      </w:pPr>
      <w:r>
        <w:rPr/>
        <w:t>本报告期未发生其他资产负债表日后事项。</w:t>
      </w:r>
    </w:p>
    <w:p>
      <w:pPr>
        <w:spacing w:line="240" w:lineRule="auto" w:before="3"/>
        <w:rPr>
          <w:rFonts w:ascii="宋体" w:hAnsi="宋体" w:cs="宋体" w:eastAsia="宋体" w:hint="default"/>
          <w:sz w:val="25"/>
          <w:szCs w:val="25"/>
        </w:rPr>
      </w:pPr>
    </w:p>
    <w:p>
      <w:pPr>
        <w:pStyle w:val="Heading4"/>
        <w:spacing w:line="240" w:lineRule="auto"/>
        <w:ind w:right="1115"/>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 适用 √</w:t>
      </w:r>
      <w:r>
        <w:rPr>
          <w:spacing w:val="3"/>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18"/>
        <w:ind w:right="1115"/>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5"/>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51,664,524.70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66,861,481.16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453,206,311.50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454,798,739.34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504,870,836.20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521,660,220.50</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1)</w:t>
      </w:r>
      <w:r>
        <w:rPr/>
        <w:t>应收票据分类列示</w:t>
      </w:r>
    </w:p>
    <w:p>
      <w:pPr>
        <w:pStyle w:val="BodyText"/>
        <w:spacing w:line="240" w:lineRule="auto" w:before="103"/>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21,910,144.70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26,257,192.39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29,754,380.00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40,604,288.77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51,664,524.70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66,861,481.16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8"/>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right="-18"/>
        <w:jc w:val="left"/>
      </w:pPr>
      <w:r>
        <w:rPr/>
        <w:t>□ 适用 √</w:t>
      </w:r>
      <w:r>
        <w:rPr>
          <w:spacing w:val="3"/>
        </w:rPr>
        <w:t> </w:t>
      </w:r>
      <w:r>
        <w:rPr/>
        <w:t>不适用</w:t>
      </w:r>
    </w:p>
    <w:p>
      <w:pPr>
        <w:pStyle w:val="BodyText"/>
        <w:spacing w:line="240" w:lineRule="auto" w:before="117"/>
        <w:ind w:right="-18"/>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5165" w:space="3665"/>
            <w:col w:w="210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18,370,006.64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18,370,006.64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1)</w:t>
      </w:r>
      <w:r>
        <w:rPr/>
        <w:t>应收账款分类披露</w:t>
      </w:r>
    </w:p>
    <w:p>
      <w:pPr>
        <w:pStyle w:val="BodyText"/>
        <w:spacing w:line="240" w:lineRule="auto" w:before="101"/>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7"/>
        <w:gridCol w:w="656"/>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480,459,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647.68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99.93%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27,253,3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36.18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453,206,3</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11.50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486,483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,745.70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31,685,00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454,798,73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9.34</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480,809,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647.68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27,603,3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36.18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453,206,3</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11.50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486,483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,745.70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31,685,00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454,798,73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9.34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206"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462,336,764.16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23,116,838.21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10,811,932.67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1,081,193.27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3,039,744.00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911,923.20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3,698,763.00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2,143,381.50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57.95%</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3,110,763.00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1,555,381.50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588,000.00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479,887,203.83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27,253,336.18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w:t>
            </w:r>
          </w:p>
        </w:tc>
      </w:tr>
    </w:tbl>
    <w:p>
      <w:pPr>
        <w:pStyle w:val="BodyText"/>
        <w:spacing w:line="357" w:lineRule="auto" w:before="49"/>
        <w:ind w:right="6434"/>
        <w:jc w:val="left"/>
      </w:pPr>
      <w:r>
        <w:rPr/>
        <w:t>确定该组合依据的说明： 组合中，采用余额百分比法计提坏账准备的应收账款：</w:t>
      </w:r>
    </w:p>
    <w:p>
      <w:pPr>
        <w:pStyle w:val="BodyText"/>
        <w:spacing w:line="348" w:lineRule="auto" w:before="29"/>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不适用</w:t>
      </w:r>
    </w:p>
    <w:p>
      <w:pPr>
        <w:pStyle w:val="BodyText"/>
        <w:spacing w:line="338" w:lineRule="auto" w:before="36"/>
        <w:ind w:right="7017"/>
        <w:jc w:val="left"/>
      </w:pPr>
      <w:r>
        <w:rPr>
          <w:rFonts w:ascii="Times New Roman" w:hAnsi="Times New Roman" w:cs="Times New Roman" w:eastAsia="Times New Roman" w:hint="default"/>
        </w:rPr>
        <w:t>2)</w:t>
      </w:r>
      <w:r>
        <w:rPr/>
        <w:t>本期计提、收回或转回的坏账准备情况</w:t>
      </w:r>
      <w:r>
        <w:rPr>
          <w:w w:val="99"/>
        </w:rPr>
        <w:t> </w:t>
      </w:r>
      <w:r>
        <w:rPr/>
        <w:t>本期收回或转回坏账准备金额</w:t>
      </w:r>
      <w:r>
        <w:rPr>
          <w:spacing w:val="-45"/>
        </w:rPr>
        <w:t> </w:t>
      </w:r>
      <w:r>
        <w:rPr>
          <w:rFonts w:ascii="Times New Roman" w:hAnsi="Times New Roman" w:cs="Times New Roman" w:eastAsia="Times New Roman" w:hint="default"/>
        </w:rPr>
        <w:t>4,081,670.18</w:t>
      </w:r>
      <w:r>
        <w:rPr>
          <w:rFonts w:ascii="Times New Roman" w:hAnsi="Times New Roman" w:cs="Times New Roman" w:eastAsia="Times New Roman" w:hint="default"/>
          <w:spacing w:val="2"/>
        </w:rPr>
        <w:t> </w:t>
      </w:r>
      <w:r>
        <w:rPr/>
        <w:t>元。</w:t>
      </w:r>
      <w:r>
        <w:rPr>
          <w:w w:val="99"/>
        </w:rPr>
        <w:t> </w:t>
      </w:r>
      <w:r>
        <w:rPr/>
        <w:t>其中本期坏账准备收回或转回金额重要的：</w:t>
      </w:r>
    </w:p>
    <w:p>
      <w:pPr>
        <w:pStyle w:val="BodyText"/>
        <w:spacing w:line="240" w:lineRule="auto" w:before="44"/>
        <w:ind w:right="1115"/>
        <w:jc w:val="left"/>
      </w:pPr>
      <w:r>
        <w:rPr/>
        <w:t>□ 适用 √</w:t>
      </w:r>
      <w:r>
        <w:rPr>
          <w:spacing w:val="3"/>
        </w:rPr>
        <w:t> </w:t>
      </w:r>
      <w:r>
        <w:rPr/>
        <w:t>不适用</w:t>
      </w:r>
    </w:p>
    <w:p>
      <w:pPr>
        <w:pStyle w:val="BodyText"/>
        <w:spacing w:line="240" w:lineRule="auto" w:before="115"/>
        <w:ind w:right="1115"/>
        <w:jc w:val="left"/>
      </w:pPr>
      <w:r>
        <w:rPr>
          <w:rFonts w:ascii="Times New Roman" w:hAnsi="Times New Roman" w:cs="Times New Roman" w:eastAsia="Times New Roman" w:hint="default"/>
        </w:rPr>
        <w:t>3)</w:t>
      </w:r>
      <w:r>
        <w:rPr/>
        <w:t>本期实际核销的应收账款情况</w:t>
      </w:r>
    </w:p>
    <w:p>
      <w:pPr>
        <w:pStyle w:val="BodyText"/>
        <w:spacing w:line="360" w:lineRule="auto" w:before="103"/>
        <w:ind w:right="8234"/>
        <w:jc w:val="left"/>
      </w:pPr>
      <w:r>
        <w:rPr/>
        <w:t>□ 适用 √</w:t>
      </w:r>
      <w:r>
        <w:rPr>
          <w:spacing w:val="3"/>
        </w:rPr>
        <w:t> </w:t>
      </w:r>
      <w:r>
        <w:rPr/>
        <w:t>不适用</w:t>
      </w:r>
      <w:r>
        <w:rPr/>
        <w:t> 其中重要的应收账款核销情况：</w:t>
      </w:r>
    </w:p>
    <w:p>
      <w:pPr>
        <w:pStyle w:val="BodyText"/>
        <w:spacing w:line="240" w:lineRule="auto" w:before="25"/>
        <w:ind w:right="1115"/>
        <w:jc w:val="left"/>
      </w:pPr>
      <w:r>
        <w:rPr/>
        <w:t>□ 适用 √</w:t>
      </w:r>
      <w:r>
        <w:rPr>
          <w:spacing w:val="3"/>
        </w:rPr>
        <w:t> </w:t>
      </w:r>
      <w:r>
        <w:rPr/>
        <w:t>不适用</w:t>
      </w:r>
    </w:p>
    <w:p>
      <w:pPr>
        <w:pStyle w:val="BodyText"/>
        <w:spacing w:line="319" w:lineRule="auto" w:before="117"/>
        <w:ind w:right="1154"/>
        <w:jc w:val="left"/>
      </w:pPr>
      <w:r>
        <w:rPr>
          <w:rFonts w:ascii="Times New Roman" w:hAnsi="Times New Roman" w:cs="Times New Roman" w:eastAsia="Times New Roman" w:hint="default"/>
        </w:rPr>
        <w:t>4)</w:t>
      </w:r>
      <w:r>
        <w:rPr/>
        <w:t>按欠款方归集的期末余额前五名的应收账款情况</w:t>
      </w:r>
      <w:r>
        <w:rPr>
          <w:w w:val="99"/>
        </w:rPr>
        <w:t> </w:t>
      </w:r>
      <w:r>
        <w:rPr/>
        <w:t>按欠款方归集的期末余额前五名应收账款汇总金额</w:t>
      </w:r>
      <w:r>
        <w:rPr>
          <w:rFonts w:ascii="Times New Roman" w:hAnsi="Times New Roman" w:cs="Times New Roman" w:eastAsia="Times New Roman" w:hint="default"/>
        </w:rPr>
        <w:t>268,840,142.73</w:t>
      </w:r>
      <w:r>
        <w:rPr/>
        <w:t>元，占应收账款年末余额合计数的比例</w:t>
      </w:r>
      <w:r>
        <w:rPr>
          <w:rFonts w:ascii="Times New Roman" w:hAnsi="Times New Roman" w:cs="Times New Roman" w:eastAsia="Times New Roman" w:hint="default"/>
        </w:rPr>
        <w:t>55.91%</w:t>
      </w:r>
      <w:r>
        <w:rPr/>
        <w:t>，相应计提</w:t>
      </w:r>
      <w:r>
        <w:rPr>
          <w:w w:val="99"/>
        </w:rPr>
        <w:t> </w:t>
      </w:r>
      <w:r>
        <w:rPr/>
        <w:t>的坏账准备期末余额汇总金额</w:t>
      </w:r>
      <w:r>
        <w:rPr>
          <w:rFonts w:ascii="Times New Roman" w:hAnsi="Times New Roman" w:cs="Times New Roman" w:eastAsia="Times New Roman" w:hint="default"/>
        </w:rPr>
        <w:t>13,442,007.14</w:t>
      </w:r>
      <w:r>
        <w:rPr/>
        <w:t>元</w:t>
      </w:r>
    </w:p>
    <w:p>
      <w:pPr>
        <w:pStyle w:val="BodyText"/>
        <w:spacing w:line="240" w:lineRule="auto" w:before="38"/>
        <w:ind w:right="1115"/>
        <w:jc w:val="left"/>
      </w:pPr>
      <w:r>
        <w:rPr>
          <w:rFonts w:ascii="Times New Roman" w:hAnsi="Times New Roman" w:cs="Times New Roman" w:eastAsia="Times New Roman" w:hint="default"/>
        </w:rPr>
        <w:t>5)</w:t>
      </w:r>
      <w:r>
        <w:rPr/>
        <w:t>因金融资产转移而终止确认的应收账款</w:t>
      </w:r>
    </w:p>
    <w:p>
      <w:pPr>
        <w:pStyle w:val="BodyText"/>
        <w:spacing w:line="240" w:lineRule="auto" w:before="101"/>
        <w:ind w:right="1115"/>
        <w:jc w:val="left"/>
      </w:pPr>
      <w:r>
        <w:rPr>
          <w:rFonts w:ascii="Times New Roman" w:hAnsi="Times New Roman" w:cs="Times New Roman" w:eastAsia="Times New Roman" w:hint="default"/>
        </w:rPr>
        <w:t>6)</w:t>
      </w:r>
      <w:r>
        <w:rPr/>
        <w:t>转移应收账款且继续涉入形成的资产、负债金额</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38,279,144.55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19,795,737.89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38,279,144.55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19,795,737.89</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1)</w:t>
      </w:r>
      <w:r>
        <w:rPr/>
        <w:t>应收利息分类</w:t>
      </w:r>
    </w:p>
    <w:p>
      <w:pPr>
        <w:pStyle w:val="BodyText"/>
        <w:spacing w:line="240" w:lineRule="auto" w:before="103"/>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15"/>
        <w:jc w:val="left"/>
      </w:pPr>
      <w:r>
        <w:rPr>
          <w:rFonts w:ascii="Times New Roman" w:hAnsi="Times New Roman" w:cs="Times New Roman" w:eastAsia="Times New Roman" w:hint="default"/>
        </w:rPr>
        <w:t>2)</w:t>
      </w:r>
      <w:r>
        <w:rPr/>
        <w:t>重要逾期利息</w:t>
      </w:r>
    </w:p>
    <w:p>
      <w:pPr>
        <w:pStyle w:val="BodyText"/>
        <w:spacing w:line="240" w:lineRule="auto" w:before="101"/>
        <w:ind w:right="1115"/>
        <w:jc w:val="left"/>
      </w:pPr>
      <w:r>
        <w:rPr/>
        <w:t>□ 适用 √</w:t>
      </w:r>
      <w:r>
        <w:rPr>
          <w:spacing w:val="3"/>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1)</w:t>
      </w:r>
      <w:r>
        <w:rPr/>
        <w:t>应收股利</w:t>
      </w:r>
    </w:p>
    <w:p>
      <w:pPr>
        <w:pStyle w:val="BodyText"/>
        <w:spacing w:line="240" w:lineRule="auto" w:before="101"/>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15"/>
        <w:jc w:val="left"/>
      </w:pPr>
      <w:r>
        <w:rPr>
          <w:rFonts w:ascii="Times New Roman" w:hAnsi="Times New Roman" w:cs="Times New Roman" w:eastAsia="Times New Roman" w:hint="default"/>
        </w:rPr>
        <w:t>2)</w:t>
      </w:r>
      <w:r>
        <w:rPr/>
        <w:t>重要的账龄超过</w:t>
      </w:r>
      <w:r>
        <w:rPr>
          <w:spacing w:val="-45"/>
        </w:rPr>
        <w:t> </w:t>
      </w:r>
      <w:r>
        <w:rPr>
          <w:rFonts w:ascii="Times New Roman" w:hAnsi="Times New Roman" w:cs="Times New Roman" w:eastAsia="Times New Roman" w:hint="default"/>
        </w:rPr>
        <w:t>1 </w:t>
      </w:r>
      <w:r>
        <w:rPr/>
        <w:t>年的应收股利</w:t>
      </w:r>
    </w:p>
    <w:p>
      <w:pPr>
        <w:pStyle w:val="BodyText"/>
        <w:spacing w:line="240" w:lineRule="auto" w:before="10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1)</w:t>
      </w:r>
      <w:r>
        <w:rPr/>
        <w:t>其他应收款分类披露</w:t>
      </w:r>
    </w:p>
    <w:p>
      <w:pPr>
        <w:pStyle w:val="BodyText"/>
        <w:spacing w:line="240" w:lineRule="auto" w:before="10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7"/>
        <w:gridCol w:w="656"/>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37,054,0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96.96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91.51%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1,050,45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36,003,64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4.55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20,759,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761.69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98.09%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964,023.8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19,795,737.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3,437,78</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9.00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1,162,28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33.81%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2,275,500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403,789</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403,789.0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40,491,8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85.96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2,212,74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38,279,14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4.55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21,163,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550.69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1,367,812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19,795,737.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9"/>
        <w:jc w:val="left"/>
      </w:pPr>
      <w:r>
        <w:rPr/>
        <w:t>期末单项金额重大并单项计提坏账准备的其他应收款：</w:t>
      </w:r>
    </w:p>
    <w:p>
      <w:pPr>
        <w:pStyle w:val="BodyText"/>
        <w:spacing w:line="340" w:lineRule="auto" w:before="115"/>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4474" w:space="435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207"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1,765,398.77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88,269.94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89,718.55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8,971.86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2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77,079.27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955,964.29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930,086.83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97.29%</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25,039.32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12,519.66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66,789.00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53,431.20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864,135.97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864,135.97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2,888,160.88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1,050,452.41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36.37%</w:t>
            </w:r>
          </w:p>
        </w:tc>
      </w:tr>
    </w:tbl>
    <w:p>
      <w:pPr>
        <w:pStyle w:val="BodyText"/>
        <w:spacing w:line="357" w:lineRule="auto" w:before="49"/>
        <w:ind w:left="252" w:right="6254"/>
        <w:jc w:val="left"/>
      </w:pPr>
      <w:r>
        <w:rPr/>
        <w:t>确定该组合依据的说明： 组合中，采用余额百分比法计提坏账准备的其他应收款：</w:t>
      </w:r>
    </w:p>
    <w:p>
      <w:pPr>
        <w:pStyle w:val="BodyText"/>
        <w:spacing w:line="340" w:lineRule="auto" w:before="29"/>
        <w:ind w:left="252"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left="252"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期末单项金额不重大并单独计提坏账准备的其他应收款</w:t>
      </w:r>
    </w:p>
    <w:tbl>
      <w:tblPr>
        <w:tblW w:w="0" w:type="auto"/>
        <w:jc w:val="left"/>
        <w:tblInd w:w="116" w:type="dxa"/>
        <w:tblLayout w:type="fixed"/>
        <w:tblCellMar>
          <w:top w:w="0" w:type="dxa"/>
          <w:left w:w="0" w:type="dxa"/>
          <w:bottom w:w="0" w:type="dxa"/>
          <w:right w:w="0" w:type="dxa"/>
        </w:tblCellMar>
        <w:tblLook w:val="01E0"/>
      </w:tblPr>
      <w:tblGrid>
        <w:gridCol w:w="3416"/>
        <w:gridCol w:w="1342"/>
        <w:gridCol w:w="1606"/>
        <w:gridCol w:w="1476"/>
        <w:gridCol w:w="2031"/>
      </w:tblGrid>
      <w:tr>
        <w:trPr>
          <w:trHeight w:val="341" w:hRule="exact"/>
        </w:trPr>
        <w:tc>
          <w:tcPr>
            <w:tcW w:w="3416"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85"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4424"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31" w:type="dxa"/>
            <w:vMerge w:val="restart"/>
            <w:tcBorders>
              <w:top w:val="single" w:sz="12" w:space="0" w:color="000000"/>
              <w:left w:val="dotted" w:sz="4" w:space="0" w:color="000000"/>
              <w:right w:val="nil" w:sz="6" w:space="0" w:color="auto"/>
            </w:tcBorders>
          </w:tcPr>
          <w:p>
            <w:pPr>
              <w:pStyle w:val="TableParagraph"/>
              <w:spacing w:line="283" w:lineRule="auto" w:before="34"/>
              <w:ind w:left="831" w:right="833"/>
              <w:jc w:val="center"/>
              <w:rPr>
                <w:rFonts w:ascii="宋体" w:hAnsi="宋体" w:cs="宋体" w:eastAsia="宋体" w:hint="default"/>
                <w:sz w:val="18"/>
                <w:szCs w:val="18"/>
              </w:rPr>
            </w:pPr>
            <w:r>
              <w:rPr>
                <w:rFonts w:ascii="宋体" w:hAnsi="宋体" w:cs="宋体" w:eastAsia="宋体" w:hint="default"/>
                <w:sz w:val="18"/>
                <w:szCs w:val="18"/>
              </w:rPr>
              <w:t>计提 理由</w:t>
            </w:r>
          </w:p>
        </w:tc>
      </w:tr>
      <w:tr>
        <w:trPr>
          <w:trHeight w:val="329" w:hRule="exact"/>
        </w:trPr>
        <w:tc>
          <w:tcPr>
            <w:tcW w:w="3416" w:type="dxa"/>
            <w:vMerge/>
            <w:tcBorders>
              <w:left w:val="nil" w:sz="6" w:space="0" w:color="auto"/>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4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119"/>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2031" w:type="dxa"/>
            <w:vMerge/>
            <w:tcBorders>
              <w:left w:val="dotted" w:sz="4" w:space="0" w:color="000000"/>
              <w:bottom w:val="dotted" w:sz="4" w:space="0" w:color="000000"/>
              <w:right w:val="nil" w:sz="6" w:space="0" w:color="auto"/>
            </w:tcBorders>
          </w:tcPr>
          <w:p>
            <w:pPr/>
          </w:p>
        </w:tc>
      </w:tr>
      <w:tr>
        <w:trPr>
          <w:trHeight w:val="331" w:hRule="exact"/>
        </w:trPr>
        <w:tc>
          <w:tcPr>
            <w:tcW w:w="34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深圳市龙岗天安数码新城有限公司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403,789.00</w:t>
            </w:r>
          </w:p>
        </w:tc>
        <w:tc>
          <w:tcPr>
            <w:tcW w:w="16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403,789.00</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20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预计可能无法收回</w:t>
            </w:r>
          </w:p>
        </w:tc>
      </w:tr>
      <w:tr>
        <w:trPr>
          <w:trHeight w:val="329" w:hRule="exact"/>
        </w:trPr>
        <w:tc>
          <w:tcPr>
            <w:tcW w:w="34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苏州鼎虎科技有限公司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3,034,000.00</w:t>
            </w:r>
          </w:p>
        </w:tc>
        <w:tc>
          <w:tcPr>
            <w:tcW w:w="16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758,500.00</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25.00</w:t>
            </w:r>
          </w:p>
        </w:tc>
        <w:tc>
          <w:tcPr>
            <w:tcW w:w="20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预计可收回金额</w:t>
            </w:r>
          </w:p>
        </w:tc>
      </w:tr>
      <w:tr>
        <w:trPr>
          <w:trHeight w:val="341" w:hRule="exact"/>
        </w:trPr>
        <w:tc>
          <w:tcPr>
            <w:tcW w:w="341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3,437,789.00</w:t>
            </w:r>
          </w:p>
        </w:tc>
        <w:tc>
          <w:tcPr>
            <w:tcW w:w="16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1,162,289.00</w:t>
            </w:r>
          </w:p>
        </w:tc>
        <w:tc>
          <w:tcPr>
            <w:tcW w:w="1476" w:type="dxa"/>
            <w:tcBorders>
              <w:top w:val="dotted" w:sz="4" w:space="0" w:color="000000"/>
              <w:left w:val="dotted" w:sz="4" w:space="0" w:color="000000"/>
              <w:bottom w:val="single" w:sz="12" w:space="0" w:color="000000"/>
              <w:right w:val="dotted" w:sz="4" w:space="0" w:color="000000"/>
            </w:tcBorders>
          </w:tcPr>
          <w:p>
            <w:pPr/>
          </w:p>
        </w:tc>
        <w:tc>
          <w:tcPr>
            <w:tcW w:w="2031"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745" w:footer="980" w:top="1060" w:bottom="1160" w:left="880" w:right="0"/>
        </w:sectPr>
      </w:pPr>
    </w:p>
    <w:p>
      <w:pPr>
        <w:pStyle w:val="BodyText"/>
        <w:spacing w:line="338" w:lineRule="auto" w:before="41"/>
        <w:ind w:left="252" w:right="-20"/>
        <w:jc w:val="left"/>
      </w:pPr>
      <w:r>
        <w:rPr>
          <w:rFonts w:ascii="Times New Roman" w:hAnsi="Times New Roman" w:cs="Times New Roman" w:eastAsia="Times New Roman" w:hint="default"/>
        </w:rPr>
        <w:t>2)</w:t>
      </w:r>
      <w:r>
        <w:rPr/>
        <w:t>本期计提、收回或转回的坏账准备情况</w:t>
      </w:r>
      <w:r>
        <w:rPr>
          <w:w w:val="99"/>
        </w:rPr>
        <w:t> </w:t>
      </w:r>
      <w:r>
        <w:rPr/>
        <w:t>本期计提坏账准备金额</w:t>
      </w:r>
      <w:r>
        <w:rPr>
          <w:spacing w:val="-45"/>
        </w:rPr>
        <w:t> </w:t>
      </w:r>
      <w:r>
        <w:rPr>
          <w:rFonts w:ascii="Times New Roman" w:hAnsi="Times New Roman" w:cs="Times New Roman" w:eastAsia="Times New Roman" w:hint="default"/>
        </w:rPr>
        <w:t>844,928.61</w:t>
      </w:r>
      <w:r>
        <w:rPr>
          <w:rFonts w:ascii="Times New Roman" w:hAnsi="Times New Roman" w:cs="Times New Roman" w:eastAsia="Times New Roman" w:hint="default"/>
          <w:spacing w:val="1"/>
        </w:rPr>
        <w:t> </w:t>
      </w:r>
      <w:r>
        <w:rPr/>
        <w:t>元。</w:t>
      </w:r>
      <w:r>
        <w:rPr>
          <w:w w:val="99"/>
        </w:rPr>
        <w:t> </w:t>
      </w:r>
      <w:r>
        <w:rPr/>
        <w:t>其中本期坏账准备转回或收回金额重要的：</w:t>
      </w:r>
    </w:p>
    <w:p>
      <w:pPr>
        <w:pStyle w:val="BodyText"/>
        <w:spacing w:line="240" w:lineRule="auto" w:before="43"/>
        <w:ind w:left="252" w:right="-20"/>
        <w:jc w:val="left"/>
      </w:pPr>
      <w:r>
        <w:rPr/>
        <w:t>□ 适用 √</w:t>
      </w:r>
      <w:r>
        <w:rPr>
          <w:spacing w:val="3"/>
        </w:rPr>
        <w:t> </w:t>
      </w:r>
      <w:r>
        <w:rPr/>
        <w:t>不适用</w:t>
      </w:r>
    </w:p>
    <w:p>
      <w:pPr>
        <w:pStyle w:val="BodyText"/>
        <w:spacing w:line="240" w:lineRule="auto" w:before="117"/>
        <w:ind w:left="252" w:right="-20"/>
        <w:jc w:val="left"/>
      </w:pPr>
      <w:r>
        <w:rPr>
          <w:rFonts w:ascii="Times New Roman" w:hAnsi="Times New Roman" w:cs="Times New Roman" w:eastAsia="Times New Roman" w:hint="default"/>
        </w:rPr>
        <w:t>3)</w:t>
      </w:r>
      <w:r>
        <w:rPr/>
        <w:t>本期实际核销的其他应收款情况</w:t>
      </w:r>
    </w:p>
    <w:p>
      <w:pPr>
        <w:pStyle w:val="BodyText"/>
        <w:spacing w:line="360" w:lineRule="auto" w:before="101"/>
        <w:ind w:left="252" w:right="700"/>
        <w:jc w:val="left"/>
      </w:pPr>
      <w:r>
        <w:rPr/>
        <w:t>□ 适用 √</w:t>
      </w:r>
      <w:r>
        <w:rPr>
          <w:spacing w:val="3"/>
        </w:rPr>
        <w:t> </w:t>
      </w:r>
      <w:r>
        <w:rPr/>
        <w:t>不适用</w:t>
      </w:r>
      <w:r>
        <w:rPr/>
        <w:t> 其中重要的其他应收款核销情况：</w:t>
      </w:r>
    </w:p>
    <w:p>
      <w:pPr>
        <w:pStyle w:val="BodyText"/>
        <w:spacing w:line="357" w:lineRule="auto" w:before="27"/>
        <w:ind w:left="252" w:right="1600"/>
        <w:jc w:val="left"/>
      </w:pPr>
      <w:r>
        <w:rPr/>
        <w:t>□ 适用 √</w:t>
      </w:r>
      <w:r>
        <w:rPr>
          <w:spacing w:val="3"/>
        </w:rPr>
        <w:t> </w:t>
      </w:r>
      <w:r>
        <w:rPr/>
        <w:t>不适用</w:t>
      </w:r>
      <w:r>
        <w:rPr/>
        <w:t> 其他应收款核销说明：</w:t>
      </w:r>
    </w:p>
    <w:p>
      <w:pPr>
        <w:pStyle w:val="BodyText"/>
        <w:spacing w:line="240" w:lineRule="auto" w:before="29"/>
        <w:ind w:left="252" w:right="-20"/>
        <w:jc w:val="left"/>
      </w:pPr>
      <w:r>
        <w:rPr/>
        <w:t>□ 适用 √</w:t>
      </w:r>
      <w:r>
        <w:rPr>
          <w:spacing w:val="3"/>
        </w:rPr>
        <w:t> </w:t>
      </w:r>
      <w:r>
        <w:rPr/>
        <w:t>不适用</w:t>
      </w:r>
    </w:p>
    <w:p>
      <w:pPr>
        <w:pStyle w:val="BodyText"/>
        <w:spacing w:line="240" w:lineRule="auto" w:before="117"/>
        <w:ind w:left="252"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4"/>
        <w:ind w:left="252" w:right="0"/>
        <w:jc w:val="left"/>
      </w:pPr>
      <w:r>
        <w:rPr/>
        <w:t>单位：</w:t>
      </w:r>
      <w:r>
        <w:rPr>
          <w:spacing w:val="1"/>
        </w:rPr>
        <w:t> </w:t>
      </w:r>
      <w:r>
        <w:rPr/>
        <w:t>元</w:t>
      </w:r>
    </w:p>
    <w:p>
      <w:pPr>
        <w:spacing w:after="0" w:line="240" w:lineRule="auto"/>
        <w:jc w:val="left"/>
        <w:sectPr>
          <w:type w:val="continuous"/>
          <w:pgSz w:w="11910" w:h="16840"/>
          <w:pgMar w:top="1060" w:bottom="700" w:left="880" w:right="0"/>
          <w:cols w:num="2" w:equalWidth="0">
            <w:col w:w="3673" w:space="5156"/>
            <w:col w:w="2201"/>
          </w:cols>
        </w:sectPr>
      </w:pPr>
    </w:p>
    <w:p>
      <w:pPr>
        <w:spacing w:line="240" w:lineRule="auto" w:before="4"/>
        <w:rPr>
          <w:rFonts w:ascii="宋体" w:hAnsi="宋体" w:cs="宋体" w:eastAsia="宋体" w:hint="default"/>
          <w:sz w:val="8"/>
          <w:szCs w:val="8"/>
        </w:rPr>
      </w:pPr>
    </w:p>
    <w:tbl>
      <w:tblPr>
        <w:tblW w:w="0" w:type="auto"/>
        <w:jc w:val="left"/>
        <w:tblInd w:w="247"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32,895,920.02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17,127,736.83</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员工备用金及代扣代缴款项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1,148,205.33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916,416.67</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6,447,760.61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3,119,397.19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40,491,885.96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21,163,550.69</w:t>
            </w:r>
          </w:p>
        </w:tc>
      </w:tr>
    </w:tbl>
    <w:p>
      <w:pPr>
        <w:pStyle w:val="BodyText"/>
        <w:spacing w:line="240" w:lineRule="auto" w:before="49"/>
        <w:ind w:left="252" w:right="6254"/>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2409"/>
        <w:gridCol w:w="1561"/>
        <w:gridCol w:w="1418"/>
        <w:gridCol w:w="1416"/>
        <w:gridCol w:w="1561"/>
        <w:gridCol w:w="1207"/>
      </w:tblGrid>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5"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7" w:right="0"/>
              <w:jc w:val="left"/>
              <w:rPr>
                <w:rFonts w:ascii="宋体" w:hAnsi="宋体" w:cs="宋体" w:eastAsia="宋体" w:hint="default"/>
                <w:sz w:val="18"/>
                <w:szCs w:val="18"/>
              </w:rPr>
            </w:pPr>
            <w:r>
              <w:rPr>
                <w:rFonts w:ascii="宋体" w:hAnsi="宋体" w:cs="宋体" w:eastAsia="宋体" w:hint="default"/>
                <w:sz w:val="18"/>
                <w:szCs w:val="18"/>
              </w:rPr>
              <w:t>坏账准备期末</w:t>
            </w:r>
          </w:p>
        </w:tc>
      </w:tr>
    </w:tbl>
    <w:p>
      <w:pPr>
        <w:spacing w:after="0" w:line="240" w:lineRule="auto"/>
        <w:jc w:val="left"/>
        <w:rPr>
          <w:rFonts w:ascii="宋体" w:hAnsi="宋体" w:cs="宋体" w:eastAsia="宋体" w:hint="default"/>
          <w:sz w:val="18"/>
          <w:szCs w:val="18"/>
        </w:rPr>
        <w:sectPr>
          <w:type w:val="continuous"/>
          <w:pgSz w:w="11910" w:h="16840"/>
          <w:pgMar w:top="1060" w:bottom="700" w:left="8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10"/>
        <w:gridCol w:w="1561"/>
        <w:gridCol w:w="1418"/>
        <w:gridCol w:w="1416"/>
        <w:gridCol w:w="1561"/>
        <w:gridCol w:w="1205"/>
      </w:tblGrid>
      <w:tr>
        <w:trPr>
          <w:trHeight w:val="36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3"/>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华润万家生活超市（东莞）有 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18,136,789.00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44.79%</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陕西中烟工业有限责任公司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6,152,949.34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15.20%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苏州鼎虎科技有限公司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3,034,000.00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758,500.00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云南招标股份有限公司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1,147,218.78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30,870,957.12</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76.24%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758,500.00</w:t>
            </w:r>
          </w:p>
        </w:tc>
      </w:tr>
    </w:tbl>
    <w:p>
      <w:pPr>
        <w:pStyle w:val="BodyText"/>
        <w:spacing w:line="240" w:lineRule="auto" w:before="49"/>
        <w:ind w:right="1115"/>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15"/>
        <w:jc w:val="left"/>
      </w:pPr>
      <w:r>
        <w:rPr>
          <w:rFonts w:ascii="Times New Roman" w:hAnsi="Times New Roman" w:cs="Times New Roman" w:eastAsia="Times New Roman" w:hint="default"/>
        </w:rPr>
        <w:t>7)</w:t>
      </w:r>
      <w:r>
        <w:rPr/>
        <w:t>因金融资产转移而终止确认的其他应收款</w:t>
      </w:r>
    </w:p>
    <w:p>
      <w:pPr>
        <w:pStyle w:val="BodyText"/>
        <w:spacing w:line="240" w:lineRule="auto" w:before="10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15"/>
        <w:jc w:val="left"/>
      </w:pPr>
      <w:r>
        <w:rPr>
          <w:rFonts w:ascii="Times New Roman" w:hAnsi="Times New Roman" w:cs="Times New Roman" w:eastAsia="Times New Roman" w:hint="default"/>
        </w:rPr>
        <w:t>8)</w:t>
      </w:r>
      <w:r>
        <w:rPr/>
        <w:t>转移其他应收款且继续涉入形成的资产、负债金额</w:t>
      </w:r>
    </w:p>
    <w:p>
      <w:pPr>
        <w:pStyle w:val="BodyText"/>
        <w:spacing w:line="240" w:lineRule="auto" w:before="103"/>
        <w:ind w:right="1115"/>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20"/>
        <w:ind w:right="1115"/>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75,588,029.73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75,588,029.73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64,454,029.73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64,454,029.73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51,628,016.06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51,628,016.06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37,788,885.39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37,788,885.39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127,216,045.79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127,216,045.79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102,242,915.12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102,242,915.12</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今天国际物流科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7,588,029.73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7,588,029.73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深圳市今天国际 软件技术有限公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深圳市今天国际 智能机器人有限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北京今天华迅智 能技术有限公司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1,866,000.00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上海今天华峰智 能系统有限公司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64,454,029.73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11,134,000.00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75,588,029.73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816"/>
        <w:gridCol w:w="567"/>
        <w:gridCol w:w="1135"/>
        <w:gridCol w:w="852"/>
        <w:gridCol w:w="992"/>
        <w:gridCol w:w="850"/>
        <w:gridCol w:w="566"/>
        <w:gridCol w:w="569"/>
        <w:gridCol w:w="992"/>
        <w:gridCol w:w="641"/>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4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5" w:right="108"/>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9" w:right="60"/>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00" w:right="39"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0"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深圳市旭 龙昇电子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37,788,88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5.39</w:t>
            </w:r>
          </w:p>
        </w:tc>
        <w:tc>
          <w:tcPr>
            <w:tcW w:w="81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4,142,998.62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59,450.12</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41,991,334.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深圳市科 佛科技有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-304,910.23</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941,592.16</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9,636,681.9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37,788,88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3,838,088.39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59,450.12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941,592.16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51,628,016.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37,788,88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5.39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3,838,088.39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59,450.12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941,592.16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51,628,016.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06</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406,696,540.08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297,219,847.52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568,287,726.38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399,657,782.64</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2,542,137.12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1,571,321.86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1,387,166.73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694,739.82</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409,238,677.20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298,791,169.38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569,674,893.11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400,352,522.46</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3,838,088.39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3,077,313.42</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15,105,600.00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购买短期银行理财产品收益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2,263,043.01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4,904,675.87</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6,101,131.40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23,087,589.29</w:t>
            </w:r>
          </w:p>
        </w:tc>
      </w:tr>
    </w:tbl>
    <w:p>
      <w:pPr>
        <w:spacing w:line="240" w:lineRule="auto" w:before="3"/>
        <w:rPr>
          <w:rFonts w:ascii="宋体" w:hAnsi="宋体" w:cs="宋体" w:eastAsia="宋体" w:hint="default"/>
          <w:sz w:val="19"/>
          <w:szCs w:val="19"/>
        </w:rPr>
      </w:pPr>
    </w:p>
    <w:p>
      <w:pPr>
        <w:pStyle w:val="Heading5"/>
        <w:spacing w:line="240" w:lineRule="auto" w:before="36"/>
        <w:ind w:right="1115"/>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4"/>
        <w:spacing w:line="240" w:lineRule="auto"/>
        <w:ind w:right="1115"/>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820"/>
        <w:gridCol w:w="2552"/>
        <w:gridCol w:w="2199"/>
      </w:tblGrid>
      <w:tr>
        <w:trPr>
          <w:trHeight w:val="396"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8"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-128,310.50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 统一标准定额或定量享受的政府补助除外）</w:t>
            </w:r>
          </w:p>
        </w:tc>
        <w:tc>
          <w:tcPr>
            <w:tcW w:w="25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4,376,616.22</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4"/>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 易性金融资产、交易性金融负债产生的公允价值变动损益， 以及处置交易性金融资产、交易性金融负债和可供出售金融 资产取得的投资收益</w:t>
            </w:r>
          </w:p>
        </w:tc>
        <w:tc>
          <w:tcPr>
            <w:tcW w:w="25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2,668,640.52</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-449,204.70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970,161.23</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5,497,580.31</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98"/>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15"/>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21"/>
        <w:gridCol w:w="2624"/>
        <w:gridCol w:w="1913"/>
        <w:gridCol w:w="1913"/>
      </w:tblGrid>
      <w:tr>
        <w:trPr>
          <w:trHeight w:val="207" w:hRule="exact"/>
        </w:trPr>
        <w:tc>
          <w:tcPr>
            <w:tcW w:w="31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31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5" w:hRule="exact"/>
        </w:trPr>
        <w:tc>
          <w:tcPr>
            <w:tcW w:w="3121" w:type="dxa"/>
            <w:vMerge/>
            <w:tcBorders>
              <w:left w:val="single" w:sz="4" w:space="0" w:color="000000"/>
              <w:bottom w:val="nil" w:sz="6" w:space="0" w:color="auto"/>
              <w:right w:val="single" w:sz="4" w:space="0" w:color="000000"/>
            </w:tcBorders>
            <w:shd w:val="clear" w:color="auto" w:fill="D2D2D2"/>
          </w:tcPr>
          <w:p>
            <w:pPr/>
          </w:p>
        </w:tc>
        <w:tc>
          <w:tcPr>
            <w:tcW w:w="2624"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31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r>
      <w:tr>
        <w:trPr>
          <w:trHeight w:val="71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 股东的净利润</w:t>
            </w:r>
          </w:p>
        </w:tc>
        <w:tc>
          <w:tcPr>
            <w:tcW w:w="26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5"/>
        <w:spacing w:line="240" w:lineRule="auto" w:before="36"/>
        <w:ind w:right="1115"/>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15"/>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15"/>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59" w:lineRule="auto"/>
        <w:ind w:right="1115"/>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15"/>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115"/>
        <w:jc w:val="left"/>
        <w:rPr>
          <w:b w:val="0"/>
          <w:bCs w:val="0"/>
        </w:rPr>
      </w:pPr>
      <w:bookmarkStart w:name="_TOC_250000" w:id="12"/>
      <w:r>
        <w:rPr/>
        <w:t>第十二节</w:t>
      </w:r>
      <w:r>
        <w:rPr>
          <w:spacing w:val="-6"/>
        </w:rPr>
        <w:t> </w:t>
      </w:r>
      <w:r>
        <w:rPr/>
        <w:t>备查文件目录</w:t>
      </w:r>
      <w:bookmarkEnd w:id="1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spacing w:line="240" w:lineRule="auto" w:before="44"/>
        <w:ind w:right="1115"/>
        <w:jc w:val="left"/>
      </w:pPr>
      <w:r>
        <w:rPr/>
        <w:t>公司备查文件的目录，包括：</w:t>
      </w:r>
    </w:p>
    <w:p>
      <w:pPr>
        <w:spacing w:line="240" w:lineRule="auto" w:before="10"/>
        <w:rPr>
          <w:rFonts w:ascii="宋体" w:hAnsi="宋体" w:cs="宋体" w:eastAsia="宋体" w:hint="default"/>
          <w:sz w:val="17"/>
          <w:szCs w:val="17"/>
        </w:rPr>
      </w:pPr>
    </w:p>
    <w:p>
      <w:pPr>
        <w:pStyle w:val="BodyText"/>
        <w:spacing w:line="240" w:lineRule="auto"/>
        <w:ind w:right="1115"/>
        <w:jc w:val="left"/>
      </w:pPr>
      <w:r>
        <w:rPr/>
        <w:t>（一）载有公司负责人、主管会计工作负责人、会计机构负责人（会计主管人员）签名并盖章的财务报表。</w:t>
      </w:r>
    </w:p>
    <w:p>
      <w:pPr>
        <w:spacing w:line="240" w:lineRule="auto" w:before="10"/>
        <w:rPr>
          <w:rFonts w:ascii="宋体" w:hAnsi="宋体" w:cs="宋体" w:eastAsia="宋体" w:hint="default"/>
          <w:sz w:val="17"/>
          <w:szCs w:val="17"/>
        </w:rPr>
      </w:pPr>
    </w:p>
    <w:p>
      <w:pPr>
        <w:pStyle w:val="BodyText"/>
        <w:spacing w:line="240" w:lineRule="auto"/>
        <w:ind w:right="1115"/>
        <w:jc w:val="left"/>
      </w:pPr>
      <w:r>
        <w:rPr/>
        <w:t>（二）载有会计师事务所盖章、注册会计师签名并盖章的审计报告原件。</w:t>
      </w:r>
    </w:p>
    <w:p>
      <w:pPr>
        <w:spacing w:line="240" w:lineRule="auto" w:before="10"/>
        <w:rPr>
          <w:rFonts w:ascii="宋体" w:hAnsi="宋体" w:cs="宋体" w:eastAsia="宋体" w:hint="default"/>
          <w:sz w:val="17"/>
          <w:szCs w:val="17"/>
        </w:rPr>
      </w:pPr>
    </w:p>
    <w:p>
      <w:pPr>
        <w:pStyle w:val="BodyText"/>
        <w:spacing w:line="240" w:lineRule="auto"/>
        <w:ind w:right="1115"/>
        <w:jc w:val="left"/>
      </w:pPr>
      <w:r>
        <w:rPr/>
        <w:t>（三）报告期内在中国证监会指定网站上公开披露过的所有公司文件的正本及公告的原稿。</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4472"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4448" type="#_x0000_t75" stroked="false">
          <v:imagedata r:id="rId1" o:title=""/>
        </v:shape>
      </w:pict>
    </w:r>
    <w:r>
      <w:rPr/>
      <w:pict>
        <v:shape style="position:absolute;margin-left:527.659973pt;margin-top:781.933899pt;width:13.15pt;height:11pt;mso-position-horizontal-relative:page;mso-position-vertical-relative:page;z-index:-894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4400" type="#_x0000_t75" stroked="false">
          <v:imagedata r:id="rId1" o:title=""/>
        </v:shape>
      </w:pict>
    </w:r>
    <w:r>
      <w:rPr/>
      <w:pict>
        <v:shape style="position:absolute;margin-left:524.099976pt;margin-top:781.933899pt;width:15.7pt;height:11pt;mso-position-horizontal-relative:page;mso-position-vertical-relative:page;z-index:-8943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4352" type="#_x0000_t75" stroked="false">
          <v:imagedata r:id="rId1" o:title=""/>
        </v:shape>
      </w:pict>
    </w:r>
    <w:r>
      <w:rPr/>
      <w:pict>
        <v:shape style="position:absolute;margin-left:523.099976pt;margin-top:781.933899pt;width:17.7pt;height:11pt;mso-position-horizontal-relative:page;mso-position-vertical-relative:page;z-index:-894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4304" type="#_x0000_t75" stroked="false">
          <v:imagedata r:id="rId1" o:title=""/>
        </v:shape>
      </w:pict>
    </w:r>
    <w:r>
      <w:rPr/>
      <w:pict>
        <v:shape style="position:absolute;margin-left:523.460022pt;margin-top:781.933899pt;width:17.3pt;height:11pt;mso-position-horizontal-relative:page;mso-position-vertical-relative:page;z-index:-8942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4256" type="#_x0000_t75" stroked="false">
          <v:imagedata r:id="rId1" o:title=""/>
        </v:shape>
      </w:pict>
    </w:r>
    <w:r>
      <w:rPr/>
      <w:pict>
        <v:shape style="position:absolute;margin-left:523.099976pt;margin-top:781.933899pt;width:17.7pt;height:11pt;mso-position-horizontal-relative:page;mso-position-vertical-relative:page;z-index:-894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9.049988pt;margin-top:36.265610pt;width:240.75pt;height:11.5pt;mso-position-horizontal-relative:page;mso-position-vertical-relative:page;z-index:-894496" type="#_x0000_t202" filled="false" stroked="false">
          <v:textbox inset="0,0,0,0">
            <w:txbxContent>
              <w:p>
                <w:pPr>
                  <w:pStyle w:val="BodyText"/>
                  <w:spacing w:line="214" w:lineRule="exact"/>
                  <w:ind w:left="20" w:right="0"/>
                  <w:jc w:val="left"/>
                </w:pPr>
                <w:r>
                  <w:rPr/>
                  <w:t>深圳市今天国际物流技术股份有限公司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33"/>
      <w:outlineLvl w:val="1"/>
    </w:pPr>
    <w:rPr>
      <w:rFonts w:ascii="宋体" w:hAnsi="宋体" w:eastAsia="宋体"/>
      <w:b/>
      <w:bCs/>
      <w:sz w:val="32"/>
      <w:szCs w:val="32"/>
    </w:rPr>
  </w:style>
  <w:style w:styleId="Heading2" w:type="paragraph">
    <w:name w:val="Heading 2"/>
    <w:basedOn w:val="Normal"/>
    <w:uiPriority w:val="1"/>
    <w:qFormat/>
    <w:pPr>
      <w:ind w:left="719"/>
      <w:outlineLvl w:val="2"/>
    </w:pPr>
    <w:rPr>
      <w:rFonts w:ascii="宋体" w:hAnsi="宋体" w:eastAsia="宋体"/>
      <w:b/>
      <w:bCs/>
      <w:sz w:val="28"/>
      <w:szCs w:val="28"/>
    </w:rPr>
  </w:style>
  <w:style w:styleId="Heading3" w:type="paragraph">
    <w:name w:val="Heading 3"/>
    <w:basedOn w:val="Normal"/>
    <w:uiPriority w:val="1"/>
    <w:qFormat/>
    <w:pPr>
      <w:ind w:left="152" w:firstLine="566"/>
      <w:outlineLvl w:val="3"/>
    </w:pPr>
    <w:rPr>
      <w:rFonts w:ascii="宋体" w:hAnsi="宋体" w:eastAsia="宋体"/>
      <w:sz w:val="28"/>
      <w:szCs w:val="28"/>
    </w:rPr>
  </w:style>
  <w:style w:styleId="Heading4" w:type="paragraph">
    <w:name w:val="Heading 4"/>
    <w:basedOn w:val="Normal"/>
    <w:uiPriority w:val="1"/>
    <w:qFormat/>
    <w:pPr>
      <w:ind w:left="152"/>
      <w:outlineLvl w:val="4"/>
    </w:pPr>
    <w:rPr>
      <w:rFonts w:ascii="宋体" w:hAnsi="宋体" w:eastAsia="宋体"/>
      <w:b/>
      <w:bCs/>
      <w:sz w:val="24"/>
      <w:szCs w:val="24"/>
    </w:rPr>
  </w:style>
  <w:style w:styleId="Heading5" w:type="paragraph">
    <w:name w:val="Heading 5"/>
    <w:basedOn w:val="Normal"/>
    <w:uiPriority w:val="1"/>
    <w:qFormat/>
    <w:pPr>
      <w:ind w:left="152"/>
      <w:outlineLvl w:val="5"/>
    </w:pPr>
    <w:rPr>
      <w:rFonts w:ascii="宋体" w:hAnsi="宋体" w:eastAsia="宋体"/>
      <w:b/>
      <w:bCs/>
      <w:sz w:val="21"/>
      <w:szCs w:val="21"/>
    </w:rPr>
  </w:style>
  <w:style w:styleId="Heading6" w:type="paragraph">
    <w:name w:val="Heading 6"/>
    <w:basedOn w:val="Normal"/>
    <w:uiPriority w:val="1"/>
    <w:qFormat/>
    <w:pPr>
      <w:ind w:left="152"/>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nti56.com/" TargetMode="External"/><Relationship Id="rId10" Type="http://schemas.openxmlformats.org/officeDocument/2006/relationships/hyperlink" Target="mailto:info@nti56.com" TargetMode="External"/><Relationship Id="rId11" Type="http://schemas.openxmlformats.org/officeDocument/2006/relationships/hyperlink" Target="mailto:zhyq@nti56.com" TargetMode="External"/><Relationship Id="rId12" Type="http://schemas.openxmlformats.org/officeDocument/2006/relationships/hyperlink" Target="mailto:yjp@nti56.com" TargetMode="External"/><Relationship Id="rId13" Type="http://schemas.openxmlformats.org/officeDocument/2006/relationships/hyperlink" Target="http://www.cninfo.com.cn/" TargetMode="External"/><Relationship Id="rId14" Type="http://schemas.openxmlformats.org/officeDocument/2006/relationships/hyperlink" Target="http://irm.p5w.net/" TargetMode="External"/><Relationship Id="rId15" Type="http://schemas.openxmlformats.org/officeDocument/2006/relationships/image" Target="media/image3.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深圳市今天国际物流技术股份有限公司</dc:creator>
  <dc:title>深圳市今天国际物流技术股份有限公司2018年年度报告全文</dc:title>
  <dcterms:created xsi:type="dcterms:W3CDTF">2020-05-05T01:13:48Z</dcterms:created>
  <dcterms:modified xsi:type="dcterms:W3CDTF">2020-05-05T01:13:48Z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Microsoft® Word 2010</vt:lpwstr>
  </property>
  <property fmtid="{D5CDD505-2E9C-101B-9397-08002B2CF9AE}" pid="4" name="LastSaved">
    <vt:filetime>2020-05-04T00:00:00Z</vt:filetime>
  </property>
</Properties>
</file>