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7.879982pt;width:484.9pt;height:.1pt;mso-position-horizontal-relative:page;mso-position-vertical-relative:page;z-index:0" coordorigin="1104,958" coordsize="9698,2">
            <v:shape style="position:absolute;left:1104;top:958;width:9698;height:2" coordorigin="1104,958" coordsize="9698,0" path="m1104,958l10802,958e" filled="false" stroked="true" strokeweight=".48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p>
      <w:pPr>
        <w:spacing w:line="127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9699" cy="8096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spacing w:line="501" w:lineRule="exact" w:before="0"/>
        <w:ind w:left="0" w:right="984" w:firstLine="0"/>
        <w:jc w:val="center"/>
        <w:rPr>
          <w:rFonts w:ascii="宋体" w:hAnsi="宋体" w:cs="宋体" w:eastAsia="宋体" w:hint="default"/>
          <w:sz w:val="40"/>
          <w:szCs w:val="40"/>
        </w:rPr>
      </w:pPr>
      <w:r>
        <w:rPr>
          <w:rFonts w:ascii="宋体" w:hAnsi="宋体" w:cs="宋体" w:eastAsia="宋体" w:hint="default"/>
          <w:b/>
          <w:bCs/>
          <w:sz w:val="40"/>
          <w:szCs w:val="40"/>
        </w:rPr>
        <w:t>深圳市今天国际物流技术股份有限公司</w:t>
      </w:r>
      <w:r>
        <w:rPr>
          <w:rFonts w:ascii="宋体" w:hAnsi="宋体" w:cs="宋体" w:eastAsia="宋体" w:hint="default"/>
          <w:sz w:val="40"/>
          <w:szCs w:val="40"/>
        </w:rPr>
      </w:r>
    </w:p>
    <w:p>
      <w:pPr>
        <w:spacing w:line="493" w:lineRule="exact" w:before="1"/>
        <w:ind w:left="0" w:right="983"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2019</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82" w:lineRule="exact" w:before="0"/>
        <w:ind w:left="0" w:right="975"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公告编号：</w:t>
      </w:r>
      <w:r>
        <w:rPr>
          <w:rFonts w:ascii="Times New Roman" w:hAnsi="Times New Roman" w:cs="Times New Roman" w:eastAsia="Times New Roman" w:hint="default"/>
          <w:b/>
          <w:bCs/>
          <w:sz w:val="22"/>
          <w:szCs w:val="22"/>
        </w:rPr>
        <w:t>2020-008</w:t>
      </w:r>
      <w:r>
        <w:rPr>
          <w:rFonts w:ascii="Times New Roman" w:hAnsi="Times New Roman" w:cs="Times New Roman" w:eastAsia="Times New Roman" w:hint="default"/>
          <w:sz w:val="22"/>
          <w:szCs w:val="22"/>
        </w:rPr>
      </w:r>
    </w:p>
    <w:p>
      <w:pPr>
        <w:spacing w:line="425" w:lineRule="exact"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line="425" w:lineRule="exact"/>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2885" w:right="1116"/>
        <w:jc w:val="left"/>
        <w:rPr>
          <w:b w:val="0"/>
          <w:bCs w:val="0"/>
        </w:rPr>
      </w:pPr>
      <w:bookmarkStart w:name="第一节重要提示、目录和释义" w:id="1"/>
      <w:bookmarkEnd w:id="1"/>
      <w:r>
        <w:rPr>
          <w:b w:val="0"/>
          <w:bCs w:val="0"/>
        </w:rPr>
      </w:r>
      <w:r>
        <w:rPr/>
        <w:t>第一节重要提示、目录和释义</w:t>
      </w:r>
      <w:r>
        <w:rPr>
          <w:b w:val="0"/>
          <w:bCs w:val="0"/>
        </w:rPr>
      </w:r>
    </w:p>
    <w:p>
      <w:pPr>
        <w:pStyle w:val="Heading2"/>
        <w:spacing w:line="357" w:lineRule="auto" w:before="255"/>
        <w:ind w:right="1116" w:firstLine="482"/>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7" w:lineRule="auto" w:before="36"/>
        <w:ind w:right="1116" w:firstLine="482"/>
        <w:jc w:val="left"/>
        <w:rPr>
          <w:b w:val="0"/>
          <w:bCs w:val="0"/>
        </w:rPr>
      </w:pPr>
      <w:r>
        <w:rPr/>
        <w:t>公司负责人邵健伟、主管会计工作负责人张永清及会计机构负责人（会计主管人员）蓝</w:t>
      </w:r>
      <w:r>
        <w:rPr>
          <w:w w:val="99"/>
        </w:rPr>
        <w:t> </w:t>
      </w:r>
      <w:r>
        <w:rPr/>
        <w:t>国斌声明：保证年度报告中财务报告的真实、准确、完整。</w:t>
      </w:r>
      <w:r>
        <w:rPr>
          <w:b w:val="0"/>
          <w:bCs w:val="0"/>
        </w:rPr>
      </w:r>
    </w:p>
    <w:p>
      <w:pPr>
        <w:pStyle w:val="Heading2"/>
        <w:spacing w:line="240" w:lineRule="auto" w:before="36"/>
        <w:ind w:left="635" w:right="1116"/>
        <w:jc w:val="left"/>
        <w:rPr>
          <w:b w:val="0"/>
          <w:bCs w:val="0"/>
        </w:rPr>
      </w:pPr>
      <w:r>
        <w:rPr/>
        <w:t>所有董事均已出席了审议本报告的董事会会议。</w:t>
      </w:r>
      <w:r>
        <w:rPr>
          <w:b w:val="0"/>
          <w:bCs w:val="0"/>
        </w:rPr>
      </w:r>
    </w:p>
    <w:p>
      <w:pPr>
        <w:pStyle w:val="Heading2"/>
        <w:spacing w:line="338" w:lineRule="auto" w:before="154"/>
        <w:ind w:left="635" w:right="1115"/>
        <w:jc w:val="left"/>
        <w:rPr>
          <w:b w:val="0"/>
          <w:bCs w:val="0"/>
        </w:rPr>
      </w:pPr>
      <w:r>
        <w:rPr>
          <w:rFonts w:ascii="Times New Roman" w:hAnsi="Times New Roman" w:cs="Times New Roman" w:eastAsia="Times New Roman" w:hint="default"/>
        </w:rPr>
        <w:t>1</w:t>
      </w:r>
      <w:r>
        <w:rPr/>
        <w:t>、经营业绩波动的风险</w:t>
      </w:r>
      <w:r>
        <w:rPr>
          <w:w w:val="99"/>
        </w:rPr>
        <w:t> </w:t>
      </w:r>
      <w:r>
        <w:rPr/>
        <w:t>公司单个项目金额较高、实施周期较长，大项目的收入确认对当期营业收入影响较大；</w:t>
      </w:r>
      <w:r>
        <w:rPr>
          <w:b w:val="0"/>
          <w:bCs w:val="0"/>
        </w:rPr>
      </w:r>
    </w:p>
    <w:p>
      <w:pPr>
        <w:pStyle w:val="Heading2"/>
        <w:spacing w:line="357" w:lineRule="auto" w:before="56"/>
        <w:ind w:right="1136"/>
        <w:jc w:val="both"/>
        <w:rPr>
          <w:b w:val="0"/>
          <w:bCs w:val="0"/>
        </w:rPr>
      </w:pPr>
      <w:r>
        <w:rPr/>
        <w:t>若受到客户修改规划设计方案或土建、通风、供电、消防等工程未能如期完工的影响，项目</w:t>
      </w:r>
      <w:r>
        <w:rPr>
          <w:w w:val="99"/>
        </w:rPr>
        <w:t> </w:t>
      </w:r>
      <w:r>
        <w:rPr>
          <w:spacing w:val="-6"/>
          <w:w w:val="99"/>
        </w:rPr>
        <w:t>的收入确认时点具有不确定性。因此，公司可能出现某个季度由于可确认收入项目数量较少、</w:t>
      </w:r>
      <w:r>
        <w:rPr>
          <w:spacing w:val="-83"/>
          <w:w w:val="99"/>
        </w:rPr>
        <w:t> </w:t>
      </w:r>
      <w:r>
        <w:rPr>
          <w:spacing w:val="-83"/>
          <w:w w:val="99"/>
        </w:rPr>
      </w:r>
      <w:r>
        <w:rPr/>
        <w:t>金额较小而产生亏损；或者某个季度可确认收入项目数量较多、金额较大而使当季度业绩大</w:t>
      </w:r>
      <w:r>
        <w:rPr>
          <w:w w:val="99"/>
        </w:rPr>
        <w:t> </w:t>
      </w:r>
      <w:r>
        <w:rPr/>
        <w:t>幅提升等情形。</w:t>
      </w:r>
      <w:r>
        <w:rPr>
          <w:b w:val="0"/>
          <w:bCs w:val="0"/>
        </w:rPr>
      </w:r>
    </w:p>
    <w:p>
      <w:pPr>
        <w:pStyle w:val="Heading2"/>
        <w:spacing w:line="240" w:lineRule="auto" w:before="36"/>
        <w:ind w:left="635" w:right="1116"/>
        <w:jc w:val="left"/>
        <w:rPr>
          <w:b w:val="0"/>
          <w:bCs w:val="0"/>
        </w:rPr>
      </w:pPr>
      <w:r>
        <w:rPr>
          <w:rFonts w:ascii="Times New Roman" w:hAnsi="Times New Roman" w:cs="Times New Roman" w:eastAsia="Times New Roman" w:hint="default"/>
        </w:rPr>
        <w:t>2</w:t>
      </w:r>
      <w:r>
        <w:rPr/>
        <w:t>、毛利率下滑的风险</w:t>
      </w:r>
      <w:r>
        <w:rPr>
          <w:b w:val="0"/>
          <w:bCs w:val="0"/>
        </w:rPr>
      </w:r>
    </w:p>
    <w:p>
      <w:pPr>
        <w:pStyle w:val="Heading2"/>
        <w:spacing w:line="350" w:lineRule="auto" w:before="135"/>
        <w:ind w:right="1132" w:firstLine="482"/>
        <w:jc w:val="both"/>
        <w:rPr>
          <w:b w:val="0"/>
          <w:bCs w:val="0"/>
        </w:rPr>
      </w:pPr>
      <w:r>
        <w:rPr/>
        <w:t>公司 </w:t>
      </w:r>
      <w:r>
        <w:rPr>
          <w:rFonts w:ascii="Times New Roman" w:hAnsi="Times New Roman" w:cs="Times New Roman" w:eastAsia="Times New Roman" w:hint="default"/>
        </w:rPr>
        <w:t>2017-2019 </w:t>
      </w:r>
      <w:r>
        <w:rPr/>
        <w:t>年综合毛利率分别为</w:t>
      </w:r>
      <w:r>
        <w:rPr>
          <w:spacing w:val="-73"/>
        </w:rPr>
        <w:t> </w:t>
      </w:r>
      <w:r>
        <w:rPr>
          <w:rFonts w:ascii="Times New Roman" w:hAnsi="Times New Roman" w:cs="Times New Roman" w:eastAsia="Times New Roman" w:hint="default"/>
        </w:rPr>
        <w:t>36.77%</w:t>
      </w:r>
      <w:r>
        <w:rPr/>
        <w:t>、</w:t>
      </w:r>
      <w:r>
        <w:rPr>
          <w:rFonts w:ascii="Times New Roman" w:hAnsi="Times New Roman" w:cs="Times New Roman" w:eastAsia="Times New Roman" w:hint="default"/>
        </w:rPr>
        <w:t>34.54%</w:t>
      </w:r>
      <w:r>
        <w:rPr/>
        <w:t>、</w:t>
      </w:r>
      <w:r>
        <w:rPr>
          <w:rFonts w:ascii="Times New Roman" w:hAnsi="Times New Roman" w:cs="Times New Roman" w:eastAsia="Times New Roman" w:hint="default"/>
        </w:rPr>
        <w:t>28.96%</w:t>
      </w:r>
      <w:r>
        <w:rPr/>
        <w:t>，公司毛利率水平主要</w:t>
      </w:r>
      <w:r>
        <w:rPr>
          <w:w w:val="99"/>
        </w:rPr>
        <w:t> </w:t>
      </w:r>
      <w:r>
        <w:rPr/>
        <w:t>受原材料价格、员工薪酬水平、客户预算、项目投标竞争态势等影响，随着智慧物流和智能</w:t>
      </w:r>
      <w:r>
        <w:rPr>
          <w:w w:val="99"/>
        </w:rPr>
        <w:t> </w:t>
      </w:r>
      <w:r>
        <w:rPr/>
        <w:t>制造系统行业竞争加剧，以及公司不断向其他下游应用行业拓展，不同行业、不同客户的项</w:t>
      </w:r>
      <w:r>
        <w:rPr>
          <w:w w:val="99"/>
        </w:rPr>
        <w:t> </w:t>
      </w:r>
      <w:r>
        <w:rPr>
          <w:spacing w:val="-6"/>
          <w:w w:val="99"/>
        </w:rPr>
        <w:t>目毛利率水平相差较大，加上公司单个项目金额一般较大，公司综合毛利率有一定下滑风险。</w:t>
      </w:r>
      <w:r>
        <w:rPr>
          <w:b w:val="0"/>
          <w:bCs w:val="0"/>
          <w:spacing w:val="-6"/>
        </w:rPr>
      </w:r>
    </w:p>
    <w:p>
      <w:pPr>
        <w:pStyle w:val="Heading2"/>
        <w:spacing w:line="240" w:lineRule="auto" w:before="43"/>
        <w:ind w:left="635" w:right="1116"/>
        <w:jc w:val="left"/>
        <w:rPr>
          <w:b w:val="0"/>
          <w:bCs w:val="0"/>
        </w:rPr>
      </w:pPr>
      <w:r>
        <w:rPr>
          <w:rFonts w:ascii="Times New Roman" w:hAnsi="Times New Roman" w:cs="Times New Roman" w:eastAsia="Times New Roman" w:hint="default"/>
        </w:rPr>
        <w:t>3</w:t>
      </w:r>
      <w:r>
        <w:rPr/>
        <w:t>、应收账款回收风险</w:t>
      </w:r>
      <w:r>
        <w:rPr>
          <w:b w:val="0"/>
          <w:bCs w:val="0"/>
        </w:rPr>
      </w:r>
    </w:p>
    <w:p>
      <w:pPr>
        <w:pStyle w:val="Heading2"/>
        <w:spacing w:line="240" w:lineRule="auto" w:before="135"/>
        <w:ind w:left="635" w:right="0"/>
        <w:jc w:val="left"/>
        <w:rPr>
          <w:b w:val="0"/>
          <w:bCs w:val="0"/>
        </w:rPr>
      </w:pPr>
      <w:r>
        <w:rPr/>
        <w:t>公司 </w:t>
      </w:r>
      <w:r>
        <w:rPr>
          <w:rFonts w:ascii="Times New Roman" w:hAnsi="Times New Roman" w:cs="Times New Roman" w:eastAsia="Times New Roman" w:hint="default"/>
        </w:rPr>
        <w:t>2017-2019 </w:t>
      </w:r>
      <w:r>
        <w:rPr/>
        <w:t>年近三年应收账款余额较大，分别是 </w:t>
      </w:r>
      <w:r>
        <w:rPr>
          <w:rFonts w:ascii="Times New Roman" w:hAnsi="Times New Roman" w:cs="Times New Roman" w:eastAsia="Times New Roman" w:hint="default"/>
        </w:rPr>
        <w:t>48,654.87 </w:t>
      </w:r>
      <w:r>
        <w:rPr/>
        <w:t>万元、</w:t>
      </w:r>
      <w:r>
        <w:rPr>
          <w:rFonts w:ascii="Times New Roman" w:hAnsi="Times New Roman" w:cs="Times New Roman" w:eastAsia="Times New Roman" w:hint="default"/>
        </w:rPr>
        <w:t>48,523.32</w:t>
      </w:r>
      <w:r>
        <w:rPr>
          <w:rFonts w:ascii="Times New Roman" w:hAnsi="Times New Roman" w:cs="Times New Roman" w:eastAsia="Times New Roman" w:hint="default"/>
          <w:spacing w:val="-12"/>
        </w:rPr>
        <w:t> </w:t>
      </w:r>
      <w:r>
        <w:rPr/>
        <w:t>万元、</w:t>
      </w:r>
      <w:r>
        <w:rPr>
          <w:b w:val="0"/>
          <w:bCs w:val="0"/>
        </w:rPr>
      </w:r>
    </w:p>
    <w:p>
      <w:pPr>
        <w:pStyle w:val="Heading2"/>
        <w:spacing w:line="345" w:lineRule="auto" w:before="135"/>
        <w:ind w:right="1130"/>
        <w:jc w:val="both"/>
        <w:rPr>
          <w:b w:val="0"/>
          <w:bCs w:val="0"/>
        </w:rPr>
      </w:pPr>
      <w:r>
        <w:rPr>
          <w:rFonts w:ascii="Times New Roman" w:hAnsi="Times New Roman" w:cs="Times New Roman" w:eastAsia="Times New Roman" w:hint="default"/>
        </w:rPr>
        <w:t>51,320.81 </w:t>
      </w:r>
      <w:r>
        <w:rPr/>
        <w:t>万元，占总资产比例分别为</w:t>
      </w:r>
      <w:r>
        <w:rPr>
          <w:spacing w:val="-51"/>
        </w:rPr>
        <w:t> </w:t>
      </w:r>
      <w:r>
        <w:rPr>
          <w:rFonts w:ascii="Times New Roman" w:hAnsi="Times New Roman" w:cs="Times New Roman" w:eastAsia="Times New Roman" w:hint="default"/>
        </w:rPr>
        <w:t>37.4%</w:t>
      </w:r>
      <w:r>
        <w:rPr/>
        <w:t>、</w:t>
      </w:r>
      <w:r>
        <w:rPr>
          <w:rFonts w:ascii="Times New Roman" w:hAnsi="Times New Roman" w:cs="Times New Roman" w:eastAsia="Times New Roman" w:hint="default"/>
        </w:rPr>
        <w:t>32.11%</w:t>
      </w:r>
      <w:r>
        <w:rPr/>
        <w:t>、</w:t>
      </w:r>
      <w:r>
        <w:rPr>
          <w:rFonts w:ascii="Times New Roman" w:hAnsi="Times New Roman" w:cs="Times New Roman" w:eastAsia="Times New Roman" w:hint="default"/>
        </w:rPr>
        <w:t>29.75%</w:t>
      </w:r>
      <w:r>
        <w:rPr/>
        <w:t>。应收账款余额较大，主要</w:t>
      </w:r>
      <w:r>
        <w:rPr>
          <w:w w:val="99"/>
        </w:rPr>
        <w:t> </w:t>
      </w:r>
      <w:r>
        <w:rPr/>
        <w:t>与公司智能系统集成项目分阶段收款模式相关。按主要合同约定的收款模式，在项目确认收</w:t>
      </w:r>
      <w:r>
        <w:rPr>
          <w:w w:val="99"/>
        </w:rPr>
        <w:t> </w:t>
      </w:r>
      <w:r>
        <w:rPr>
          <w:spacing w:val="-3"/>
        </w:rPr>
        <w:t>入时，公司通常已累计收取合同金额</w:t>
      </w:r>
      <w:r>
        <w:rPr>
          <w:spacing w:val="-71"/>
        </w:rPr>
        <w:t> </w:t>
      </w:r>
      <w:r>
        <w:rPr>
          <w:rFonts w:ascii="Times New Roman" w:hAnsi="Times New Roman" w:cs="Times New Roman" w:eastAsia="Times New Roman" w:hint="default"/>
          <w:spacing w:val="-3"/>
        </w:rPr>
        <w:t>60%-75%</w:t>
      </w:r>
      <w:r>
        <w:rPr>
          <w:spacing w:val="-3"/>
        </w:rPr>
        <w:t>款项。因此，公司智能系统项目确认收入后，</w:t>
      </w:r>
      <w:r>
        <w:rPr>
          <w:w w:val="99"/>
        </w:rPr>
        <w:t> </w:t>
      </w:r>
      <w:r>
        <w:rPr/>
        <w:t>尚有</w:t>
      </w:r>
      <w:r>
        <w:rPr>
          <w:spacing w:val="27"/>
        </w:rPr>
        <w:t> </w:t>
      </w:r>
      <w:r>
        <w:rPr>
          <w:rFonts w:ascii="Times New Roman" w:hAnsi="Times New Roman" w:cs="Times New Roman" w:eastAsia="Times New Roman" w:hint="default"/>
        </w:rPr>
        <w:t>20%-30%</w:t>
      </w:r>
      <w:r>
        <w:rPr/>
        <w:t>左右的款项待项目终验后向客户收取。智能系统项目的商业运行时间通常为</w:t>
      </w:r>
      <w:r>
        <w:rPr>
          <w:spacing w:val="-117"/>
        </w:rPr>
        <w:t> </w:t>
      </w:r>
      <w:r>
        <w:rPr>
          <w:spacing w:val="-117"/>
        </w:rPr>
      </w:r>
      <w:r>
        <w:rPr>
          <w:rFonts w:ascii="Times New Roman" w:hAnsi="Times New Roman" w:cs="Times New Roman" w:eastAsia="Times New Roman" w:hint="default"/>
        </w:rPr>
        <w:t>3-6</w:t>
      </w:r>
      <w:r>
        <w:rPr>
          <w:rFonts w:ascii="Times New Roman" w:hAnsi="Times New Roman" w:cs="Times New Roman" w:eastAsia="Times New Roman" w:hint="default"/>
          <w:spacing w:val="26"/>
        </w:rPr>
        <w:t> </w:t>
      </w:r>
      <w:r>
        <w:rPr/>
        <w:t>个月，且下游客户对外付款时需履行较严格的付款审批流程，导致期末应收账款余额较</w:t>
      </w:r>
      <w:r>
        <w:rPr>
          <w:spacing w:val="-117"/>
        </w:rPr>
        <w:t> </w:t>
      </w:r>
      <w:r>
        <w:rPr>
          <w:spacing w:val="-117"/>
        </w:rPr>
      </w:r>
      <w:r>
        <w:rPr>
          <w:spacing w:val="-9"/>
        </w:rPr>
        <w:t>大。此外，项目终验后，客户仍保留合同金额</w:t>
      </w:r>
      <w:r>
        <w:rPr>
          <w:spacing w:val="-73"/>
        </w:rPr>
        <w:t> </w:t>
      </w:r>
      <w:r>
        <w:rPr>
          <w:rFonts w:ascii="Times New Roman" w:hAnsi="Times New Roman" w:cs="Times New Roman" w:eastAsia="Times New Roman" w:hint="default"/>
          <w:spacing w:val="-5"/>
        </w:rPr>
        <w:t>10%</w:t>
      </w:r>
      <w:r>
        <w:rPr>
          <w:spacing w:val="-5"/>
        </w:rPr>
        <w:t>左右的款项作为质保金，于项目质保期（质</w:t>
      </w:r>
      <w:r>
        <w:rPr>
          <w:w w:val="99"/>
        </w:rPr>
        <w:t> </w:t>
      </w:r>
      <w:r>
        <w:rPr/>
        <w:t>保期通常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年）结束后支付，亦形成了公司应收账款。一方面，虽然公司的主要客户来自</w:t>
      </w:r>
      <w:r>
        <w:rPr>
          <w:w w:val="99"/>
        </w:rPr>
        <w:t> </w:t>
      </w:r>
      <w:r>
        <w:rPr/>
        <w:t>知名大中型企业，存在坏账的可能性较小，但由于受到客户终验进度、客户审计、预算以及</w:t>
      </w:r>
      <w:r>
        <w:rPr>
          <w:w w:val="99"/>
        </w:rPr>
        <w:t> </w:t>
      </w:r>
      <w:r>
        <w:rPr/>
        <w:t>经营情况的影响，可能会使账期延长。另一方面公司近年来积极向其他行业拓展，各行业的</w:t>
      </w:r>
      <w:r>
        <w:rPr>
          <w:w w:val="99"/>
        </w:rPr>
        <w:t> </w:t>
      </w:r>
      <w:r>
        <w:rPr/>
        <w:t>收款模式也存在多样化，新拓展行业的终验前期收款比例有所下降，而应收账款比例也会相</w:t>
      </w:r>
      <w:r>
        <w:rPr>
          <w:b w:val="0"/>
          <w:bCs w:val="0"/>
        </w:rPr>
      </w:r>
    </w:p>
    <w:p>
      <w:pPr>
        <w:spacing w:after="0" w:line="345" w:lineRule="auto"/>
        <w:jc w:val="both"/>
        <w:sectPr>
          <w:footerReference w:type="default" r:id="rId8"/>
          <w:pgSz w:w="11910" w:h="16840"/>
          <w:pgMar w:footer="980" w:header="745" w:top="1060" w:bottom="1160" w:left="980" w:right="0"/>
          <w:pgNumType w:start="2"/>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7"/>
          <w:szCs w:val="27"/>
        </w:rPr>
      </w:pPr>
    </w:p>
    <w:p>
      <w:pPr>
        <w:pStyle w:val="Heading2"/>
        <w:spacing w:line="240" w:lineRule="auto" w:before="26"/>
        <w:ind w:right="1116"/>
        <w:jc w:val="left"/>
        <w:rPr>
          <w:b w:val="0"/>
          <w:bCs w:val="0"/>
        </w:rPr>
      </w:pPr>
      <w:r>
        <w:rPr/>
        <w:t>应增长。</w:t>
      </w:r>
      <w:r>
        <w:rPr>
          <w:b w:val="0"/>
          <w:bCs w:val="0"/>
        </w:rPr>
      </w:r>
    </w:p>
    <w:p>
      <w:pPr>
        <w:pStyle w:val="Heading2"/>
        <w:spacing w:line="240" w:lineRule="auto" w:before="154"/>
        <w:ind w:left="635" w:right="0"/>
        <w:jc w:val="left"/>
        <w:rPr>
          <w:b w:val="0"/>
          <w:bCs w:val="0"/>
        </w:rPr>
      </w:pPr>
      <w:r>
        <w:rPr>
          <w:spacing w:val="2"/>
          <w:w w:val="99"/>
        </w:rPr>
        <w:t>公</w:t>
      </w:r>
      <w:r>
        <w:rPr>
          <w:w w:val="99"/>
        </w:rPr>
        <w:t>司</w:t>
      </w:r>
      <w:r>
        <w:rPr>
          <w:spacing w:val="2"/>
          <w:w w:val="99"/>
        </w:rPr>
        <w:t>经</w:t>
      </w:r>
      <w:r>
        <w:rPr>
          <w:w w:val="99"/>
        </w:rPr>
        <w:t>本次</w:t>
      </w:r>
      <w:r>
        <w:rPr>
          <w:spacing w:val="2"/>
          <w:w w:val="99"/>
        </w:rPr>
        <w:t>董</w:t>
      </w:r>
      <w:r>
        <w:rPr>
          <w:w w:val="99"/>
        </w:rPr>
        <w:t>事</w:t>
      </w:r>
      <w:r>
        <w:rPr>
          <w:spacing w:val="2"/>
          <w:w w:val="99"/>
        </w:rPr>
        <w:t>会</w:t>
      </w:r>
      <w:r>
        <w:rPr>
          <w:w w:val="99"/>
        </w:rPr>
        <w:t>审议</w:t>
      </w:r>
      <w:r>
        <w:rPr>
          <w:spacing w:val="2"/>
          <w:w w:val="99"/>
        </w:rPr>
        <w:t>通</w:t>
      </w:r>
      <w:r>
        <w:rPr>
          <w:w w:val="99"/>
        </w:rPr>
        <w:t>过</w:t>
      </w:r>
      <w:r>
        <w:rPr>
          <w:spacing w:val="2"/>
          <w:w w:val="99"/>
        </w:rPr>
        <w:t>的</w:t>
      </w:r>
      <w:r>
        <w:rPr>
          <w:w w:val="99"/>
        </w:rPr>
        <w:t>利润</w:t>
      </w:r>
      <w:r>
        <w:rPr>
          <w:spacing w:val="2"/>
          <w:w w:val="99"/>
        </w:rPr>
        <w:t>分</w:t>
      </w:r>
      <w:r>
        <w:rPr>
          <w:w w:val="99"/>
        </w:rPr>
        <w:t>配</w:t>
      </w:r>
      <w:r>
        <w:rPr>
          <w:spacing w:val="2"/>
          <w:w w:val="99"/>
        </w:rPr>
        <w:t>预</w:t>
      </w:r>
      <w:r>
        <w:rPr>
          <w:w w:val="99"/>
        </w:rPr>
        <w:t>案为</w:t>
      </w:r>
      <w:r>
        <w:rPr>
          <w:spacing w:val="-116"/>
          <w:w w:val="99"/>
        </w:rPr>
        <w:t>：</w:t>
      </w:r>
      <w:r>
        <w:rPr>
          <w:spacing w:val="2"/>
          <w:w w:val="99"/>
        </w:rPr>
        <w:t>以</w:t>
      </w:r>
      <w:r>
        <w:rPr>
          <w:w w:val="99"/>
        </w:rPr>
        <w:t>截至</w:t>
      </w:r>
      <w:r>
        <w:rPr>
          <w:spacing w:val="-56"/>
        </w:rPr>
        <w:t> </w:t>
      </w:r>
      <w:r>
        <w:rPr>
          <w:rFonts w:ascii="Times New Roman" w:hAnsi="Times New Roman" w:cs="Times New Roman" w:eastAsia="Times New Roman" w:hint="default"/>
        </w:rPr>
        <w:t>2019 </w:t>
      </w:r>
      <w:r>
        <w:rPr>
          <w:w w:val="99"/>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w w:val="99"/>
        </w:rPr>
        <w:t>月</w:t>
      </w:r>
      <w:r>
        <w:rPr>
          <w:spacing w:val="-61"/>
        </w:rPr>
        <w:t> </w:t>
      </w:r>
      <w:r>
        <w:rPr>
          <w:rFonts w:ascii="Times New Roman" w:hAnsi="Times New Roman" w:cs="Times New Roman" w:eastAsia="Times New Roman" w:hint="default"/>
        </w:rPr>
        <w:t>31 </w:t>
      </w:r>
      <w:r>
        <w:rPr>
          <w:spacing w:val="2"/>
          <w:w w:val="99"/>
        </w:rPr>
        <w:t>日</w:t>
      </w:r>
      <w:r>
        <w:rPr>
          <w:w w:val="99"/>
        </w:rPr>
        <w:t>公</w:t>
      </w:r>
      <w:r>
        <w:rPr>
          <w:spacing w:val="2"/>
          <w:w w:val="99"/>
        </w:rPr>
        <w:t>司</w:t>
      </w:r>
      <w:r>
        <w:rPr>
          <w:w w:val="99"/>
        </w:rPr>
        <w:t>股本</w:t>
      </w:r>
      <w:r>
        <w:rPr>
          <w:spacing w:val="2"/>
          <w:w w:val="99"/>
        </w:rPr>
        <w:t>总</w:t>
      </w:r>
      <w:r>
        <w:rPr>
          <w:w w:val="99"/>
        </w:rPr>
        <w:t>数</w:t>
      </w:r>
      <w:r>
        <w:rPr>
          <w:b w:val="0"/>
          <w:bCs w:val="0"/>
        </w:rPr>
      </w:r>
    </w:p>
    <w:p>
      <w:pPr>
        <w:pStyle w:val="Heading2"/>
        <w:spacing w:line="240" w:lineRule="auto" w:before="135"/>
        <w:ind w:right="0"/>
        <w:jc w:val="left"/>
        <w:rPr>
          <w:b w:val="0"/>
          <w:bCs w:val="0"/>
        </w:rPr>
      </w:pPr>
      <w:r>
        <w:rPr>
          <w:rFonts w:ascii="Times New Roman" w:hAnsi="Times New Roman" w:cs="Times New Roman" w:eastAsia="Times New Roman" w:hint="default"/>
        </w:rPr>
        <w:t>275,034,744  </w:t>
      </w:r>
      <w:r>
        <w:rPr>
          <w:spacing w:val="8"/>
        </w:rPr>
        <w:t>股</w:t>
      </w:r>
      <w:r>
        <w:rPr>
          <w:rFonts w:ascii="Times New Roman" w:hAnsi="Times New Roman" w:cs="Times New Roman" w:eastAsia="Times New Roman" w:hint="default"/>
          <w:spacing w:val="8"/>
        </w:rPr>
        <w:t>,</w:t>
      </w:r>
      <w:r>
        <w:rPr>
          <w:spacing w:val="8"/>
        </w:rPr>
        <w:t>扣除拟回购注销 </w:t>
      </w:r>
      <w:r>
        <w:rPr>
          <w:rFonts w:ascii="Times New Roman" w:hAnsi="Times New Roman" w:cs="Times New Roman" w:eastAsia="Times New Roman" w:hint="default"/>
        </w:rPr>
        <w:t>78 </w:t>
      </w:r>
      <w:r>
        <w:rPr>
          <w:rFonts w:ascii="Times New Roman" w:hAnsi="Times New Roman" w:cs="Times New Roman" w:eastAsia="Times New Roman" w:hint="default"/>
          <w:spacing w:val="4"/>
        </w:rPr>
        <w:t> </w:t>
      </w:r>
      <w:r>
        <w:rPr>
          <w:spacing w:val="9"/>
        </w:rPr>
        <w:t>名激励对象合计持有的已授予尚未解锁的限制性股票</w:t>
      </w:r>
      <w:r>
        <w:rPr>
          <w:b w:val="0"/>
          <w:bCs w:val="0"/>
          <w:spacing w:val="9"/>
        </w:rPr>
      </w:r>
    </w:p>
    <w:p>
      <w:pPr>
        <w:pStyle w:val="Heading2"/>
        <w:spacing w:line="338" w:lineRule="auto" w:before="135"/>
        <w:ind w:right="1122"/>
        <w:jc w:val="left"/>
        <w:rPr>
          <w:b w:val="0"/>
          <w:bCs w:val="0"/>
        </w:rPr>
      </w:pPr>
      <w:r>
        <w:rPr>
          <w:rFonts w:ascii="Times New Roman" w:hAnsi="Times New Roman" w:cs="Times New Roman" w:eastAsia="Times New Roman" w:hint="default"/>
        </w:rPr>
        <w:t>1,859,328</w:t>
      </w:r>
      <w:r>
        <w:rPr>
          <w:rFonts w:ascii="Times New Roman" w:hAnsi="Times New Roman" w:cs="Times New Roman" w:eastAsia="Times New Roman" w:hint="default"/>
          <w:spacing w:val="-1"/>
        </w:rPr>
        <w:t> </w:t>
      </w:r>
      <w:r>
        <w:rPr/>
        <w:t>股后的总股本</w:t>
      </w:r>
      <w:r>
        <w:rPr>
          <w:spacing w:val="-60"/>
        </w:rPr>
        <w:t> </w:t>
      </w:r>
      <w:r>
        <w:rPr>
          <w:rFonts w:ascii="Times New Roman" w:hAnsi="Times New Roman" w:cs="Times New Roman" w:eastAsia="Times New Roman" w:hint="default"/>
        </w:rPr>
        <w:t>273,175,416</w:t>
      </w:r>
      <w:r>
        <w:rPr>
          <w:rFonts w:ascii="Times New Roman" w:hAnsi="Times New Roman" w:cs="Times New Roman" w:eastAsia="Times New Roman" w:hint="default"/>
          <w:spacing w:val="-1"/>
        </w:rPr>
        <w:t> </w:t>
      </w:r>
      <w:r>
        <w:rPr>
          <w:spacing w:val="-5"/>
        </w:rPr>
        <w:t>股为基数，向全体股东每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w:t>
      </w:r>
      <w:r>
        <w:rPr>
          <w:spacing w:val="-59"/>
        </w:rPr>
        <w:t> </w:t>
      </w:r>
      <w:r>
        <w:rPr>
          <w:rFonts w:ascii="Times New Roman" w:hAnsi="Times New Roman" w:cs="Times New Roman" w:eastAsia="Times New Roman" w:hint="default"/>
        </w:rPr>
        <w:t>0.60</w:t>
      </w:r>
      <w:r>
        <w:rPr>
          <w:rFonts w:ascii="Times New Roman" w:hAnsi="Times New Roman" w:cs="Times New Roman" w:eastAsia="Times New Roman" w:hint="default"/>
          <w:spacing w:val="-4"/>
        </w:rPr>
        <w:t> </w:t>
      </w:r>
      <w:r>
        <w:rPr>
          <w:spacing w:val="-18"/>
        </w:rPr>
        <w:t>元（含</w:t>
      </w:r>
      <w:r>
        <w:rPr>
          <w:w w:val="99"/>
        </w:rPr>
        <w:t> </w:t>
      </w:r>
      <w:r>
        <w:rPr>
          <w:spacing w:val="-6"/>
          <w:w w:val="99"/>
        </w:rPr>
        <w:t>税），不送红股，不以资本公积金转增股本。</w:t>
      </w:r>
      <w:r>
        <w:rPr>
          <w:b w:val="0"/>
          <w:bCs w:val="0"/>
          <w:spacing w:val="-6"/>
        </w:rPr>
      </w:r>
    </w:p>
    <w:p>
      <w:pPr>
        <w:spacing w:after="0" w:line="338" w:lineRule="auto"/>
        <w:jc w:val="left"/>
        <w:sectPr>
          <w:pgSz w:w="11910" w:h="16840"/>
          <w:pgMar w:header="745" w:footer="980" w:top="1060" w:bottom="1160" w:left="980" w:right="0"/>
        </w:sectPr>
      </w:pPr>
    </w:p>
    <w:p>
      <w:pPr>
        <w:spacing w:line="240" w:lineRule="auto" w:before="12"/>
        <w:rPr>
          <w:rFonts w:ascii="宋体" w:hAnsi="宋体" w:cs="宋体" w:eastAsia="宋体" w:hint="default"/>
          <w:b/>
          <w:bCs/>
          <w:sz w:val="28"/>
          <w:szCs w:val="28"/>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3" w:val="right" w:leader="dot"/>
            </w:tabs>
            <w:spacing w:line="322" w:lineRule="exact" w:before="91"/>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6">
            <w:r>
              <w:rPr/>
              <w:t>第九节</w:t>
            </w:r>
            <w:r>
              <w:rPr>
                <w:spacing w:val="1"/>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7">
            <w:r>
              <w:rPr/>
              <w:t>第十节</w:t>
            </w:r>
            <w:r>
              <w:rPr>
                <w:spacing w:val="1"/>
              </w:rPr>
              <w:t> </w:t>
            </w:r>
            <w:r>
              <w:rPr/>
              <w:t>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312" w:lineRule="exact"/>
            <w:ind w:right="0"/>
            <w:jc w:val="left"/>
            <w:rPr>
              <w:rFonts w:ascii="Times New Roman" w:hAnsi="Times New Roman" w:cs="Times New Roman" w:eastAsia="Times New Roman" w:hint="default"/>
              <w:b w:val="0"/>
              <w:bCs w:val="0"/>
            </w:rPr>
          </w:pPr>
          <w:hyperlink w:history="true" w:anchor="_bookmark9">
            <w:r>
              <w:rPr/>
              <w:t>第十二节</w:t>
            </w:r>
            <w:r>
              <w:rPr>
                <w:spacing w:val="-2"/>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322" w:lineRule="exact"/>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sdtContent>
    </w:sdt>
    <w:p>
      <w:pPr>
        <w:spacing w:after="0" w:line="322" w:lineRule="exact"/>
        <w:jc w:val="left"/>
        <w:rPr>
          <w:rFonts w:ascii="Times New Roman" w:hAnsi="Times New Roman" w:cs="Times New Roman" w:eastAsia="Times New Roman" w:hint="default"/>
        </w:rPr>
        <w:sectPr>
          <w:headerReference w:type="default" r:id="rId9"/>
          <w:pgSz w:w="11910" w:h="16840"/>
          <w:pgMar w:header="877" w:footer="980" w:top="1080" w:bottom="1160" w:left="980" w:right="0"/>
        </w:sectPr>
      </w:pPr>
    </w:p>
    <w:p>
      <w:pPr>
        <w:tabs>
          <w:tab w:pos="643" w:val="left" w:leader="none"/>
        </w:tabs>
        <w:spacing w:before="397"/>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81" w:type="dxa"/>
        <w:tblLayout w:type="fixed"/>
        <w:tblCellMar>
          <w:top w:w="0" w:type="dxa"/>
          <w:left w:w="0" w:type="dxa"/>
          <w:bottom w:w="0" w:type="dxa"/>
          <w:right w:w="0" w:type="dxa"/>
        </w:tblCellMar>
        <w:tblLook w:val="01E0"/>
      </w:tblPr>
      <w:tblGrid>
        <w:gridCol w:w="3099"/>
        <w:gridCol w:w="794"/>
        <w:gridCol w:w="5677"/>
      </w:tblGrid>
      <w:tr>
        <w:trPr>
          <w:trHeight w:val="317" w:hRule="exact"/>
        </w:trPr>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6"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今天国际、本公司、公司</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保荐人、保荐机构、华林证券</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会计师事务所、注册会计师、立信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深交所</w:t>
            </w:r>
            <w:r>
              <w:rPr>
                <w:rFonts w:ascii="宋体" w:hAnsi="宋体" w:cs="宋体" w:eastAsia="宋体" w:hint="default"/>
                <w:spacing w:val="1"/>
                <w:sz w:val="18"/>
                <w:szCs w:val="18"/>
              </w:rPr>
              <w:t> </w:t>
            </w:r>
            <w:r>
              <w:rPr>
                <w:rFonts w:ascii="宋体" w:hAnsi="宋体" w:cs="宋体" w:eastAsia="宋体" w:hint="default"/>
                <w:sz w:val="18"/>
                <w:szCs w:val="18"/>
              </w:rPr>
              <w:t>、交易所</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软件子公司</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深圳市今天国际软件技术有限公司，今天国际全资软件子公司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机器人子公司</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深圳市今天国际智能机器人有限公司，今天国际全资机器人子公司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今天香港</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今天国际物流科技有限公司（香港</w:t>
            </w:r>
            <w:r>
              <w:rPr>
                <w:rFonts w:ascii="宋体" w:hAnsi="宋体" w:cs="宋体" w:eastAsia="宋体" w:hint="default"/>
                <w:spacing w:val="-92"/>
                <w:sz w:val="18"/>
                <w:szCs w:val="18"/>
              </w:rPr>
              <w:t>）</w:t>
            </w:r>
            <w:r>
              <w:rPr>
                <w:rFonts w:ascii="宋体" w:hAnsi="宋体" w:cs="宋体" w:eastAsia="宋体" w:hint="default"/>
                <w:sz w:val="18"/>
                <w:szCs w:val="18"/>
              </w:rPr>
              <w:t>，今天国际全资子公司</w:t>
            </w:r>
          </w:p>
        </w:tc>
      </w:tr>
      <w:tr>
        <w:trPr>
          <w:trHeight w:val="325"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旭龙昇</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深圳市旭龙昇电子有限公司，今天国际持股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北京华迅</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北京今天华迅智能技术有限公司，今天国际全资子公司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上海华峰</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上海今天华峰智能系统有限公司，今天国际全资子公司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科佛科技</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深圳市科佛科技有限公司，今天国际持股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23.12%</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宁德时代新能源</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中科炼化</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中科合资广东炼化一体化项目</w:t>
            </w: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华润万家</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华润万家生活超市（东莞）有限公司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比亚迪</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比亚迪股份有限公司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广药</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广州医药有限公司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中石化</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中国石化工程建设有限公司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东莞怡合达</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东莞怡合达自动化股份有限公司</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昆山聚创</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昆山聚创新能源科技有限公司</w:t>
            </w: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《深圳市今天国际物流技术股份有限公司公司章程》</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深圳市今天国际物流技术股份有限公司股东大会</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深圳市今天国际物流技术股份有限公司董事会</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深圳市今天国际物流技术股份有限公司监事会</w:t>
            </w:r>
          </w:p>
        </w:tc>
      </w:tr>
      <w:tr>
        <w:trPr>
          <w:trHeight w:val="324"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2723" w:right="1116"/>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9"/>
        <w:rPr>
          <w:rFonts w:ascii="宋体" w:hAnsi="宋体" w:cs="宋体" w:eastAsia="宋体" w:hint="default"/>
          <w:b/>
          <w:bCs/>
          <w:sz w:val="11"/>
          <w:szCs w:val="11"/>
        </w:rPr>
      </w:pPr>
    </w:p>
    <w:p>
      <w:pPr>
        <w:pStyle w:val="Heading2"/>
        <w:spacing w:line="240" w:lineRule="auto" w:before="26"/>
        <w:ind w:right="1116"/>
        <w:jc w:val="left"/>
        <w:rPr>
          <w:b w:val="0"/>
          <w:bCs w:val="0"/>
        </w:rPr>
      </w:pPr>
      <w:bookmarkStart w:name="一、公司信息" w:id="4"/>
      <w:bookmarkEnd w:id="4"/>
      <w:r>
        <w:rPr>
          <w:b w:val="0"/>
          <w:bCs w:val="0"/>
        </w:rPr>
      </w:r>
      <w:r>
        <w:rPr/>
        <w:t>一、公司信息</w:t>
      </w:r>
      <w:r>
        <w:rPr>
          <w:b w:val="0"/>
          <w:bCs w:val="0"/>
        </w:rPr>
      </w:r>
    </w:p>
    <w:p>
      <w:pPr>
        <w:spacing w:line="240" w:lineRule="auto" w:before="12"/>
        <w:rPr>
          <w:rFonts w:ascii="宋体" w:hAnsi="宋体" w:cs="宋体" w:eastAsia="宋体" w:hint="default"/>
          <w:b/>
          <w:bCs/>
          <w:sz w:val="2"/>
          <w:szCs w:val="2"/>
        </w:rPr>
      </w:pPr>
    </w:p>
    <w:tbl>
      <w:tblPr>
        <w:tblW w:w="0" w:type="auto"/>
        <w:jc w:val="left"/>
        <w:tblInd w:w="177" w:type="dxa"/>
        <w:tblLayout w:type="fixed"/>
        <w:tblCellMar>
          <w:top w:w="0" w:type="dxa"/>
          <w:left w:w="0" w:type="dxa"/>
          <w:bottom w:w="0" w:type="dxa"/>
          <w:right w:w="0" w:type="dxa"/>
        </w:tblCellMar>
        <w:tblLook w:val="01E0"/>
      </w:tblPr>
      <w:tblGrid>
        <w:gridCol w:w="2745"/>
        <w:gridCol w:w="2499"/>
        <w:gridCol w:w="2158"/>
        <w:gridCol w:w="2180"/>
      </w:tblGrid>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今天国际</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300532</w:t>
            </w:r>
          </w:p>
        </w:tc>
      </w:tr>
      <w:tr>
        <w:trPr>
          <w:trHeight w:val="42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今天国际</w:t>
            </w:r>
          </w:p>
        </w:tc>
      </w:tr>
      <w:tr>
        <w:trPr>
          <w:trHeight w:val="42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17"/>
                <w:sz w:val="18"/>
              </w:rPr>
              <w:t> </w:t>
            </w:r>
            <w:r>
              <w:rPr>
                <w:rFonts w:ascii="Times New Roman"/>
                <w:sz w:val="18"/>
              </w:rPr>
              <w:t>TREND</w:t>
            </w:r>
            <w:r>
              <w:rPr>
                <w:rFonts w:ascii="Times New Roman"/>
                <w:spacing w:val="-12"/>
                <w:sz w:val="18"/>
              </w:rPr>
              <w:t> </w:t>
            </w:r>
            <w:r>
              <w:rPr>
                <w:rFonts w:ascii="Times New Roman"/>
                <w:sz w:val="18"/>
              </w:rPr>
              <w:t>INTERNATIONAL</w:t>
            </w:r>
            <w:r>
              <w:rPr>
                <w:rFonts w:ascii="Times New Roman"/>
                <w:spacing w:val="-17"/>
                <w:sz w:val="18"/>
              </w:rPr>
              <w:t> </w:t>
            </w:r>
            <w:r>
              <w:rPr>
                <w:rFonts w:ascii="Times New Roman"/>
                <w:sz w:val="18"/>
              </w:rPr>
              <w:t>LOGIS-TECH</w:t>
            </w:r>
            <w:r>
              <w:rPr>
                <w:rFonts w:ascii="Times New Roman"/>
                <w:spacing w:val="-12"/>
                <w:sz w:val="18"/>
              </w:rPr>
              <w:t> </w:t>
            </w:r>
            <w:r>
              <w:rPr>
                <w:rFonts w:ascii="Times New Roman"/>
                <w:sz w:val="18"/>
              </w:rPr>
              <w:t>CO.,LTD.</w:t>
            </w:r>
          </w:p>
        </w:tc>
      </w:tr>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NTI</w:t>
            </w:r>
          </w:p>
        </w:tc>
      </w:tr>
      <w:tr>
        <w:trPr>
          <w:trHeight w:val="42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r>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2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518020</w:t>
            </w:r>
          </w:p>
        </w:tc>
      </w:tr>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2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518020</w:t>
            </w:r>
          </w:p>
        </w:tc>
      </w:tr>
      <w:tr>
        <w:trPr>
          <w:trHeight w:val="425"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hyperlink r:id="rId10">
              <w:r>
                <w:rPr>
                  <w:rFonts w:ascii="Times New Roman"/>
                  <w:sz w:val="18"/>
                </w:rPr>
                <w:t>http://www.nti56.com</w:t>
              </w:r>
            </w:hyperlink>
          </w:p>
        </w:tc>
      </w:tr>
      <w:tr>
        <w:trPr>
          <w:trHeight w:val="437"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8"/>
                <w:szCs w:val="18"/>
              </w:rPr>
            </w:pPr>
            <w:hyperlink r:id="rId11">
              <w:r>
                <w:rPr>
                  <w:rFonts w:ascii="Times New Roman"/>
                  <w:sz w:val="18"/>
                </w:rPr>
                <w:t>info@nti56.com</w:t>
              </w:r>
            </w:hyperlink>
          </w:p>
        </w:tc>
      </w:tr>
    </w:tbl>
    <w:p>
      <w:pPr>
        <w:pStyle w:val="Heading2"/>
        <w:spacing w:line="276" w:lineRule="exact"/>
        <w:ind w:right="1116"/>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2"/>
        <w:rPr>
          <w:rFonts w:ascii="宋体" w:hAnsi="宋体" w:cs="宋体" w:eastAsia="宋体" w:hint="default"/>
          <w:b/>
          <w:bCs/>
          <w:sz w:val="2"/>
          <w:szCs w:val="2"/>
        </w:rPr>
      </w:pPr>
    </w:p>
    <w:tbl>
      <w:tblPr>
        <w:tblW w:w="0" w:type="auto"/>
        <w:jc w:val="left"/>
        <w:tblInd w:w="181" w:type="dxa"/>
        <w:tblLayout w:type="fixed"/>
        <w:tblCellMar>
          <w:top w:w="0" w:type="dxa"/>
          <w:left w:w="0" w:type="dxa"/>
          <w:bottom w:w="0" w:type="dxa"/>
          <w:right w:w="0" w:type="dxa"/>
        </w:tblCellMar>
        <w:tblLook w:val="01E0"/>
      </w:tblPr>
      <w:tblGrid>
        <w:gridCol w:w="2247"/>
        <w:gridCol w:w="3707"/>
        <w:gridCol w:w="3617"/>
      </w:tblGrid>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杨金平</w:t>
            </w: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0755-82684590</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0755-82684590</w:t>
            </w: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0755-25161166</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0755-25161166</w:t>
            </w: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hyperlink r:id="rId12">
              <w:r>
                <w:rPr>
                  <w:rFonts w:ascii="Times New Roman"/>
                  <w:sz w:val="18"/>
                </w:rPr>
                <w:t>zhyq@nti56.com</w:t>
              </w:r>
            </w:hyperlink>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hyperlink r:id="rId13">
              <w:r>
                <w:rPr>
                  <w:rFonts w:ascii="Times New Roman"/>
                  <w:sz w:val="18"/>
                </w:rPr>
                <w:t>yjp@nti56.com</w:t>
              </w:r>
            </w:hyperlink>
          </w:p>
        </w:tc>
      </w:tr>
    </w:tbl>
    <w:p>
      <w:pPr>
        <w:pStyle w:val="Heading2"/>
        <w:spacing w:line="276" w:lineRule="exact"/>
        <w:ind w:right="1116"/>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2"/>
        <w:rPr>
          <w:rFonts w:ascii="宋体" w:hAnsi="宋体" w:cs="宋体" w:eastAsia="宋体" w:hint="default"/>
          <w:b/>
          <w:bCs/>
          <w:sz w:val="2"/>
          <w:szCs w:val="2"/>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32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32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公司董事会办公室、深圳证券交易所</w:t>
            </w:r>
          </w:p>
        </w:tc>
      </w:tr>
    </w:tbl>
    <w:p>
      <w:pPr>
        <w:pStyle w:val="Heading2"/>
        <w:spacing w:line="276" w:lineRule="exact"/>
        <w:ind w:right="1116"/>
        <w:jc w:val="left"/>
        <w:rPr>
          <w:b w:val="0"/>
          <w:bCs w:val="0"/>
        </w:rPr>
      </w:pPr>
      <w:bookmarkStart w:name="四、其他有关资料" w:id="7"/>
      <w:bookmarkEnd w:id="7"/>
      <w:r>
        <w:rPr>
          <w:b w:val="0"/>
          <w:bCs w:val="0"/>
        </w:rPr>
      </w:r>
      <w:r>
        <w:rPr/>
        <w:t>四、其他有关资料</w:t>
      </w:r>
      <w:r>
        <w:rPr>
          <w:b w:val="0"/>
          <w:bCs w:val="0"/>
        </w:rPr>
      </w:r>
    </w:p>
    <w:p>
      <w:pPr>
        <w:pStyle w:val="BodyText"/>
        <w:spacing w:line="240" w:lineRule="auto" w:before="125"/>
        <w:ind w:right="1116"/>
        <w:jc w:val="left"/>
      </w:pPr>
      <w:r>
        <w:rPr/>
        <w:t>公司聘请的会计师事务所</w:t>
      </w:r>
    </w:p>
    <w:p>
      <w:pPr>
        <w:spacing w:line="240" w:lineRule="auto" w:before="1"/>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2663"/>
        <w:gridCol w:w="6906"/>
      </w:tblGrid>
      <w:tr>
        <w:trPr>
          <w:trHeight w:val="32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32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宣宜辰、徐冬冬</w:t>
            </w:r>
          </w:p>
        </w:tc>
      </w:tr>
    </w:tbl>
    <w:p>
      <w:pPr>
        <w:pStyle w:val="BodyText"/>
        <w:spacing w:line="240" w:lineRule="auto" w:before="87"/>
        <w:ind w:right="1116"/>
        <w:jc w:val="left"/>
      </w:pPr>
      <w:r>
        <w:rPr/>
        <w:t>公司聘请的报告期内履行持续督导职责的保荐机构</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2040"/>
        <w:gridCol w:w="3049"/>
        <w:gridCol w:w="2098"/>
        <w:gridCol w:w="2396"/>
      </w:tblGrid>
      <w:tr>
        <w:trPr>
          <w:trHeight w:val="438"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80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1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3"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8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105" w:right="231"/>
              <w:jc w:val="left"/>
              <w:rPr>
                <w:rFonts w:ascii="宋体" w:hAnsi="宋体" w:cs="宋体" w:eastAsia="宋体" w:hint="default"/>
                <w:sz w:val="18"/>
                <w:szCs w:val="18"/>
              </w:rPr>
            </w:pPr>
            <w:r>
              <w:rPr>
                <w:rFonts w:ascii="宋体" w:hAnsi="宋体" w:cs="宋体" w:eastAsia="宋体" w:hint="default"/>
                <w:sz w:val="18"/>
                <w:szCs w:val="18"/>
              </w:rPr>
              <w:t>西藏自治区拉萨市柳梧新区察古大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号君泰国际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栋一层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朱文瑾、赵桂荣</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63" w:lineRule="auto" w:before="44"/>
        <w:ind w:right="1116" w:firstLine="360"/>
        <w:jc w:val="left"/>
      </w:pPr>
      <w:r>
        <w:rPr>
          <w:spacing w:val="-2"/>
        </w:rPr>
        <w:t>注：公司于</w:t>
      </w:r>
      <w:r>
        <w:rPr>
          <w:spacing w:val="-38"/>
        </w:rPr>
        <w:t> </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spacing w:val="-6"/>
        </w:rPr>
        <w:t>日披露《关于更换持续督导保荐代表人的公告》（公告编号：</w:t>
      </w:r>
      <w:r>
        <w:rPr>
          <w:rFonts w:ascii="Times New Roman" w:hAnsi="Times New Roman" w:cs="Times New Roman" w:eastAsia="Times New Roman" w:hint="default"/>
          <w:spacing w:val="-6"/>
        </w:rPr>
        <w:t>2020-005</w:t>
      </w:r>
      <w:r>
        <w:rPr>
          <w:spacing w:val="-6"/>
        </w:rPr>
        <w:t>），原持续督导保荐代</w:t>
      </w:r>
      <w:r>
        <w:rPr/>
        <w:t> </w:t>
      </w:r>
      <w:r>
        <w:rPr>
          <w:spacing w:val="-2"/>
        </w:rPr>
        <w:t>表人之一赵桂荣先生因工作变动原因，不再负责公司的持续督导保荐工作，经华林证券研究决定，授权张敏涛先生接替担任</w:t>
      </w:r>
      <w:r>
        <w:rPr>
          <w:spacing w:val="-63"/>
        </w:rPr>
        <w:t> </w:t>
      </w:r>
      <w:r>
        <w:rPr>
          <w:spacing w:val="-63"/>
        </w:rPr>
      </w:r>
      <w:r>
        <w:rPr>
          <w:spacing w:val="-2"/>
        </w:rPr>
        <w:t>公司持续督导保荐代表人，继续履行保荐职责。本次保荐代表人变更后，公司首次公开发行股票的持续督导保荐代表人为朱</w:t>
      </w:r>
      <w:r>
        <w:rPr>
          <w:spacing w:val="-63"/>
        </w:rPr>
        <w:t> </w:t>
      </w:r>
      <w:r>
        <w:rPr>
          <w:spacing w:val="-63"/>
        </w:rPr>
      </w:r>
      <w:r>
        <w:rPr/>
        <w:t>文瑾、张敏涛，持续督导期截止至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日，保荐代表人将继续完成持续督导期间未完结的督导工作。 公司聘请的报告期内履行持续督导职责的财务顾问</w:t>
      </w:r>
    </w:p>
    <w:p>
      <w:pPr>
        <w:pStyle w:val="BodyText"/>
        <w:spacing w:line="240" w:lineRule="auto" w:before="65"/>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93"/>
        <w:ind w:right="1116"/>
        <w:jc w:val="left"/>
        <w:rPr>
          <w:b w:val="0"/>
          <w:bCs w:val="0"/>
        </w:rPr>
      </w:pPr>
      <w:bookmarkStart w:name="五、主要会计数据和财务指标" w:id="8"/>
      <w:bookmarkEnd w:id="8"/>
      <w:r>
        <w:rPr>
          <w:b w:val="0"/>
          <w:bCs w:val="0"/>
        </w:rPr>
      </w:r>
      <w:r>
        <w:rPr/>
        <w:t>五、主要会计数据和财务指标</w:t>
      </w:r>
      <w:r>
        <w:rPr>
          <w:b w:val="0"/>
          <w:bCs w:val="0"/>
        </w:rPr>
      </w:r>
    </w:p>
    <w:p>
      <w:pPr>
        <w:pStyle w:val="BodyText"/>
        <w:spacing w:line="240" w:lineRule="auto" w:before="125"/>
        <w:ind w:right="1116"/>
        <w:jc w:val="left"/>
      </w:pPr>
      <w:r>
        <w:rPr/>
        <w:t>公司是否需追溯调整或重述以前年度会计数据</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是 √</w:t>
      </w:r>
      <w:r>
        <w:rPr>
          <w:spacing w:val="2"/>
        </w:rPr>
        <w:t> </w:t>
      </w:r>
      <w:r>
        <w:rPr/>
        <w:t>否</w:t>
      </w:r>
    </w:p>
    <w:p>
      <w:pPr>
        <w:spacing w:line="240" w:lineRule="auto" w:before="1"/>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967"/>
        <w:gridCol w:w="1560"/>
        <w:gridCol w:w="1606"/>
        <w:gridCol w:w="1875"/>
        <w:gridCol w:w="1562"/>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6"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712,409,042.47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416,147,308.87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z w:val="18"/>
              </w:rPr>
              <w:t>71.19%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569,617,745.01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47,514,815.30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18,219,848.27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160.79%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93,204,793.30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6" w:right="14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38,694,192.33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12,722,267.96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204.15%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81,116,980.56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110,761,130.44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149,681,954.35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-71,527.92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142.86%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0.34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142.86%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0.34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2.36%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3.74%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12.36%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8"/>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1,724,903,570.26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1,511,315,417.05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14.13%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1,300,873,384.06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772,543,158.58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768,559,452.88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0.52%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784,093,322.48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2"/>
        <w:spacing w:line="276" w:lineRule="exact"/>
        <w:ind w:right="0"/>
        <w:jc w:val="left"/>
        <w:rPr>
          <w:b w:val="0"/>
          <w:bCs w:val="0"/>
        </w:rPr>
      </w:pPr>
      <w:bookmarkStart w:name="六、分季度主要财务指标" w:id="9"/>
      <w:bookmarkEnd w:id="9"/>
      <w:r>
        <w:rPr>
          <w:b w:val="0"/>
          <w:bCs w:val="0"/>
        </w:rPr>
      </w:r>
      <w:r>
        <w:rPr>
          <w:w w:val="95"/>
        </w:rPr>
        <w:t>六、分季度主要财务指标</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802" w:space="6118"/>
            <w:col w:w="2010"/>
          </w:cols>
        </w:sectPr>
      </w:pPr>
    </w:p>
    <w:p>
      <w:pPr>
        <w:spacing w:line="240" w:lineRule="auto" w:before="3"/>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32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329,341,620.77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147,683,333.69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37,950,311.93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197,433,776.08</w:t>
            </w:r>
          </w:p>
        </w:tc>
      </w:tr>
      <w:tr>
        <w:trPr>
          <w:trHeight w:val="32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38,523,932.70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8,040,463.46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-20,231,670.97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21,182,090.11</w:t>
            </w:r>
          </w:p>
        </w:tc>
      </w:tr>
      <w:tr>
        <w:trPr>
          <w:trHeight w:val="63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6" w:right="164"/>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36,738,357.07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5,465,488.00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-21,153,157.33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17,643,504.59</w:t>
            </w:r>
          </w:p>
        </w:tc>
      </w:tr>
      <w:tr>
        <w:trPr>
          <w:trHeight w:val="32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-3,340,404.64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-136,965,040.50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77,060,796.14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color w:val="111F2C"/>
                <w:spacing w:val="-1"/>
                <w:sz w:val="18"/>
              </w:rPr>
              <w:t>174,005,779.44</w:t>
            </w:r>
            <w:r>
              <w:rPr>
                <w:rFonts w:ascii="Times New Roman"/>
                <w:spacing w:val="-1"/>
                <w:sz w:val="18"/>
              </w:rPr>
            </w:r>
          </w:p>
        </w:tc>
      </w:tr>
    </w:tbl>
    <w:p>
      <w:pPr>
        <w:pStyle w:val="BodyText"/>
        <w:spacing w:line="240" w:lineRule="auto" w:before="87"/>
        <w:ind w:right="1116"/>
        <w:jc w:val="left"/>
      </w:pPr>
      <w:r>
        <w:rPr/>
        <w:t>上述财务指标或其加总数是否与公司已披露季度报告、半年度报告相关财务指标存在重大差异</w:t>
      </w:r>
    </w:p>
    <w:p>
      <w:pPr>
        <w:spacing w:line="240" w:lineRule="auto" w:before="11"/>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是 √</w:t>
      </w:r>
      <w:r>
        <w:rPr>
          <w:spacing w:val="2"/>
        </w:rPr>
        <w:t> </w:t>
      </w:r>
      <w:r>
        <w:rPr/>
        <w:t>否</w:t>
      </w:r>
    </w:p>
    <w:p>
      <w:pPr>
        <w:pStyle w:val="Heading2"/>
        <w:spacing w:line="240" w:lineRule="auto" w:before="93"/>
        <w:ind w:right="1116"/>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pStyle w:val="Heading3"/>
        <w:spacing w:line="240" w:lineRule="auto" w:before="23"/>
        <w:ind w:right="1116"/>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BodyText"/>
        <w:spacing w:line="451" w:lineRule="auto" w:before="123"/>
        <w:ind w:right="184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公司报告期不存在按照国际会计准则与按照中国会计准则披露的财务报告中净利润和净资产差异情况。</w:t>
      </w:r>
    </w:p>
    <w:p>
      <w:pPr>
        <w:pStyle w:val="Heading3"/>
        <w:spacing w:line="265" w:lineRule="exact"/>
        <w:ind w:right="1116"/>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240" w:lineRule="auto" w:before="121"/>
        <w:ind w:right="1116"/>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t>公司报告期不存在按照境外会计准则与按照中国会计准则披露的财务报告中净利润和净资产差异情况。</w:t>
      </w:r>
    </w:p>
    <w:p>
      <w:pPr>
        <w:pStyle w:val="Heading2"/>
        <w:spacing w:line="240" w:lineRule="auto" w:before="107"/>
        <w:ind w:right="1116"/>
        <w:jc w:val="left"/>
        <w:rPr>
          <w:b w:val="0"/>
          <w:bCs w:val="0"/>
        </w:rPr>
      </w:pPr>
      <w:bookmarkStart w:name="八、非经常性损益项目及金额" w:id="13"/>
      <w:bookmarkEnd w:id="13"/>
      <w:r>
        <w:rPr>
          <w:b w:val="0"/>
          <w:bCs w:val="0"/>
        </w:rPr>
      </w:r>
      <w:r>
        <w:rPr/>
        <w:t>八、非经常性损益项目及金额</w:t>
      </w:r>
      <w:r>
        <w:rPr>
          <w:b w:val="0"/>
          <w:bCs w:val="0"/>
        </w:rPr>
      </w:r>
    </w:p>
    <w:p>
      <w:pPr>
        <w:pStyle w:val="BodyText"/>
        <w:spacing w:line="240" w:lineRule="auto" w:before="125"/>
        <w:ind w:right="1116"/>
        <w:jc w:val="left"/>
      </w:pPr>
      <w:r>
        <w:rPr>
          <w:rFonts w:ascii="Times New Roman" w:hAnsi="Times New Roman" w:cs="Times New Roman" w:eastAsia="Times New Roman" w:hint="default"/>
        </w:rPr>
        <w:t>√  </w:t>
      </w:r>
      <w:r>
        <w:rPr/>
        <w:t>适用 □</w:t>
      </w:r>
      <w:r>
        <w:rPr>
          <w:spacing w:val="3"/>
        </w:rPr>
        <w:t> </w:t>
      </w:r>
      <w:r>
        <w:rPr/>
        <w:t>不适用</w:t>
      </w:r>
    </w:p>
    <w:p>
      <w:pPr>
        <w:pStyle w:val="BodyText"/>
        <w:spacing w:line="240" w:lineRule="auto" w:before="139"/>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567"/>
        <w:gridCol w:w="1606"/>
        <w:gridCol w:w="1363"/>
        <w:gridCol w:w="1441"/>
        <w:gridCol w:w="1591"/>
      </w:tblGrid>
      <w:tr>
        <w:trPr>
          <w:trHeight w:val="32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准备的冲销部分）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46,074.90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-128,310.50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3,769,757.01</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相关，按照国家统一标准定额或定量享受的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政府补助除外）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6,698,444.84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4,069,253.87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6,965,771.02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7"/>
              <w:jc w:val="left"/>
              <w:rPr>
                <w:rFonts w:ascii="宋体" w:hAnsi="宋体" w:cs="宋体" w:eastAsia="宋体" w:hint="default"/>
                <w:sz w:val="18"/>
                <w:szCs w:val="18"/>
              </w:rPr>
            </w:pPr>
            <w:r>
              <w:rPr>
                <w:rFonts w:ascii="宋体" w:hAnsi="宋体" w:cs="宋体" w:eastAsia="宋体" w:hint="default"/>
                <w:sz w:val="18"/>
                <w:szCs w:val="18"/>
              </w:rPr>
              <w:t>详见“第十二节、 </w:t>
            </w:r>
            <w:r>
              <w:rPr>
                <w:rFonts w:ascii="宋体" w:hAnsi="宋体" w:cs="宋体" w:eastAsia="宋体" w:hint="default"/>
                <w:spacing w:val="-16"/>
                <w:sz w:val="18"/>
                <w:szCs w:val="18"/>
              </w:rPr>
              <w:t>七、</w:t>
            </w:r>
            <w:r>
              <w:rPr>
                <w:rFonts w:ascii="Times New Roman" w:hAnsi="Times New Roman" w:cs="Times New Roman" w:eastAsia="Times New Roman" w:hint="default"/>
                <w:spacing w:val="-16"/>
                <w:sz w:val="18"/>
                <w:szCs w:val="18"/>
              </w:rPr>
              <w:t>50</w:t>
            </w:r>
            <w:r>
              <w:rPr>
                <w:rFonts w:ascii="宋体" w:hAnsi="宋体" w:cs="宋体" w:eastAsia="宋体" w:hint="default"/>
                <w:spacing w:val="-16"/>
                <w:sz w:val="18"/>
                <w:szCs w:val="18"/>
              </w:rPr>
              <w:t>、政府补助”</w:t>
            </w:r>
          </w:p>
          <w:p>
            <w:pPr>
              <w:pStyle w:val="TableParagraph"/>
              <w:spacing w:line="316" w:lineRule="auto"/>
              <w:ind w:left="105" w:right="215"/>
              <w:jc w:val="left"/>
              <w:rPr>
                <w:rFonts w:ascii="宋体" w:hAnsi="宋体" w:cs="宋体" w:eastAsia="宋体" w:hint="default"/>
                <w:sz w:val="18"/>
                <w:szCs w:val="18"/>
              </w:rPr>
            </w:pPr>
            <w:r>
              <w:rPr>
                <w:rFonts w:ascii="宋体" w:hAnsi="宋体" w:cs="宋体" w:eastAsia="宋体" w:hint="default"/>
                <w:sz w:val="18"/>
                <w:szCs w:val="18"/>
              </w:rPr>
              <w:t>（增值税即征即 退除外）</w:t>
            </w:r>
          </w:p>
        </w:tc>
      </w:tr>
      <w:tr>
        <w:trPr>
          <w:trHeight w:val="219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w:t>
            </w:r>
            <w:r>
              <w:rPr>
                <w:rFonts w:ascii="宋体" w:hAnsi="宋体" w:cs="宋体" w:eastAsia="宋体" w:hint="default"/>
                <w:spacing w:val="-4"/>
                <w:sz w:val="18"/>
                <w:szCs w:val="18"/>
              </w:rPr>
              <w:t>值业务外，持有交易性金融资产、衍生金融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资产、交易性金融负债、衍生金融负债产生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的公允价值变动损益，以及处置交易性金融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资产、衍生金融资产、交易性金融负债、衍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生金融负债和其他债权投资取得的投资收 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3,404,793.93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2,668,640.52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5,288,905.04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5" w:right="215"/>
              <w:jc w:val="left"/>
              <w:rPr>
                <w:rFonts w:ascii="宋体" w:hAnsi="宋体" w:cs="宋体" w:eastAsia="宋体" w:hint="default"/>
                <w:sz w:val="18"/>
                <w:szCs w:val="18"/>
              </w:rPr>
            </w:pPr>
            <w:r>
              <w:rPr>
                <w:rFonts w:ascii="宋体" w:hAnsi="宋体" w:cs="宋体" w:eastAsia="宋体" w:hint="default"/>
                <w:sz w:val="18"/>
                <w:szCs w:val="18"/>
              </w:rPr>
              <w:t>银行理财产品收 益</w:t>
            </w:r>
          </w:p>
        </w:tc>
      </w:tr>
      <w:tr>
        <w:trPr>
          <w:trHeight w:val="32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95,296.31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-449,204.70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-1,803,476.90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132,593.51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307,362.35</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215"/>
              <w:jc w:val="left"/>
              <w:rPr>
                <w:rFonts w:ascii="宋体" w:hAnsi="宋体" w:cs="宋体" w:eastAsia="宋体" w:hint="default"/>
                <w:sz w:val="18"/>
                <w:szCs w:val="18"/>
              </w:rPr>
            </w:pPr>
            <w:r>
              <w:rPr>
                <w:rFonts w:ascii="宋体" w:hAnsi="宋体" w:cs="宋体" w:eastAsia="宋体" w:hint="default"/>
                <w:sz w:val="18"/>
                <w:szCs w:val="18"/>
              </w:rPr>
              <w:t>代扣代缴个税手 续费返还</w:t>
            </w:r>
          </w:p>
        </w:tc>
      </w:tr>
      <w:tr>
        <w:trPr>
          <w:trHeight w:val="32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1,556,580.52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970,161.23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2,133,143.43</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8,820,622.97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5,497,580.31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12,087,812.74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7"/>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451" w:lineRule="auto"/>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4"/>
        <w:ind w:right="1116"/>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9"/>
        <w:rPr>
          <w:rFonts w:ascii="宋体" w:hAnsi="宋体" w:cs="宋体" w:eastAsia="宋体" w:hint="default"/>
          <w:sz w:val="16"/>
          <w:szCs w:val="16"/>
        </w:rPr>
      </w:pPr>
    </w:p>
    <w:p>
      <w:pPr>
        <w:pStyle w:val="BodyText"/>
        <w:spacing w:line="451" w:lineRule="auto"/>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451"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525" w:right="1116"/>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pStyle w:val="Heading2"/>
        <w:spacing w:line="240" w:lineRule="auto" w:before="178"/>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pStyle w:val="BodyText"/>
        <w:spacing w:line="463" w:lineRule="auto" w:before="125"/>
        <w:ind w:left="513" w:right="11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w:t>
      </w:r>
      <w:r>
        <w:rPr>
          <w:rFonts w:ascii="宋体" w:hAnsi="宋体" w:cs="宋体" w:eastAsia="宋体" w:hint="default"/>
          <w:b/>
          <w:bCs/>
        </w:rPr>
        <w:t>一、公司的主要产品及服务</w:t>
      </w:r>
      <w:r>
        <w:rPr>
          <w:rFonts w:ascii="宋体" w:hAnsi="宋体" w:cs="宋体" w:eastAsia="宋体" w:hint="default"/>
          <w:b/>
          <w:bCs/>
          <w:w w:val="99"/>
        </w:rPr>
        <w:t> </w:t>
      </w:r>
      <w:r>
        <w:rPr>
          <w:spacing w:val="-2"/>
        </w:rPr>
        <w:t>公司是一家专业的智慧物流和智能制造系统综合解决方案提供商，为生产制造、流通配送企业提供自动化生产线及物流</w:t>
      </w:r>
    </w:p>
    <w:p>
      <w:pPr>
        <w:pStyle w:val="BodyText"/>
        <w:spacing w:line="477" w:lineRule="auto" w:before="65"/>
        <w:ind w:right="1130"/>
        <w:jc w:val="both"/>
      </w:pPr>
      <w:r>
        <w:rPr>
          <w:spacing w:val="-2"/>
        </w:rPr>
        <w:t>系统的规划设计、系统集成、软件开发、设备定制、电控系统开发、现场安装调试、客户培训和售后服务等一体化业务，使</w:t>
      </w:r>
      <w:r>
        <w:rPr>
          <w:spacing w:val="-73"/>
        </w:rPr>
        <w:t> </w:t>
      </w:r>
      <w:r>
        <w:rPr>
          <w:spacing w:val="-73"/>
        </w:rPr>
      </w:r>
      <w:r>
        <w:rPr>
          <w:spacing w:val="-2"/>
        </w:rPr>
        <w:t>客户实现产品生产、物料出入库、存储、搬运输送、分拣与拣选、配送等过程的自动化、信息化和智能化，提高效率、降低</w:t>
      </w:r>
      <w:r>
        <w:rPr>
          <w:spacing w:val="-65"/>
        </w:rPr>
        <w:t> </w:t>
      </w:r>
      <w:r>
        <w:rPr>
          <w:spacing w:val="-65"/>
        </w:rPr>
      </w:r>
      <w:r>
        <w:rPr/>
        <w:t>成本、提升管理水平，为企业实现智慧物流和智能制造打下坚实的基础。</w:t>
      </w:r>
    </w:p>
    <w:p>
      <w:pPr>
        <w:pStyle w:val="BodyText"/>
        <w:spacing w:line="477" w:lineRule="auto" w:before="55"/>
        <w:ind w:right="1130" w:firstLine="360"/>
        <w:jc w:val="both"/>
      </w:pPr>
      <w:r>
        <w:rPr>
          <w:spacing w:val="-2"/>
        </w:rPr>
        <w:t>智慧物流和智能制造系统通常由自动化生产线、自动化仓库系统、自动化搬运与输送系统、自动化分拣与拣选系统及其</w:t>
      </w:r>
      <w:r>
        <w:rPr/>
        <w:t> </w:t>
      </w:r>
      <w:r>
        <w:rPr>
          <w:spacing w:val="-2"/>
        </w:rPr>
        <w:t>电气控制和信息管理系统等部分组成。自动化生产线主要是各类专机生产设备和生产管理系统；自动化仓库系统主要包括货</w:t>
      </w:r>
      <w:r>
        <w:rPr>
          <w:spacing w:val="-64"/>
        </w:rPr>
        <w:t> </w:t>
      </w:r>
      <w:r>
        <w:rPr>
          <w:spacing w:val="-64"/>
        </w:rPr>
      </w:r>
      <w:r>
        <w:rPr>
          <w:spacing w:val="-2"/>
        </w:rPr>
        <w:t>架、堆垛机以及密集存储的自动子母车等自动化存储设备；自动化搬运与输送系统主要包括各式输送机、无人搬运小车、轨</w:t>
      </w:r>
      <w:r>
        <w:rPr>
          <w:spacing w:val="-64"/>
        </w:rPr>
        <w:t> </w:t>
      </w:r>
      <w:r>
        <w:rPr>
          <w:spacing w:val="-64"/>
        </w:rPr>
      </w:r>
      <w:r>
        <w:rPr>
          <w:spacing w:val="-2"/>
        </w:rPr>
        <w:t>道穿梭车、机器人和其它自动搬运设备；自动化分拣与拣选系统主要包括各类自动化分拣设备、手持终端拣选和电子标签拣</w:t>
      </w:r>
      <w:r>
        <w:rPr>
          <w:spacing w:val="-63"/>
        </w:rPr>
        <w:t> </w:t>
      </w:r>
      <w:r>
        <w:rPr>
          <w:spacing w:val="-63"/>
        </w:rPr>
      </w:r>
      <w:r>
        <w:rPr/>
        <w:t>选等。信息管理系统主要包括物流管理软件、仓库管理软件、仓库控制软件、智能分拣和拣选软件等。</w:t>
      </w:r>
    </w:p>
    <w:p>
      <w:pPr>
        <w:pStyle w:val="BodyText"/>
        <w:spacing w:line="477" w:lineRule="auto" w:before="54"/>
        <w:ind w:right="1034" w:firstLine="360"/>
        <w:jc w:val="left"/>
      </w:pPr>
      <w:r>
        <w:rPr>
          <w:spacing w:val="-2"/>
        </w:rPr>
        <w:t>随着人力成本增加和土地资源缺乏以及企业信息化管理需求的上升，企业日益需要更为快捷、精准、有效的生产和物流</w:t>
      </w:r>
      <w:r>
        <w:rPr/>
        <w:t> </w:t>
      </w:r>
      <w:r>
        <w:rPr>
          <w:spacing w:val="-2"/>
        </w:rPr>
        <w:t>系统，高效快捷的生产和物流系统已经成为企业的核心竞争力之一。自动化生产线和自动化物流系统可以减少人力及人员作</w:t>
      </w:r>
      <w:r>
        <w:rPr>
          <w:spacing w:val="-64"/>
        </w:rPr>
        <w:t> </w:t>
      </w:r>
      <w:r>
        <w:rPr>
          <w:spacing w:val="-64"/>
        </w:rPr>
      </w:r>
      <w:r>
        <w:rPr>
          <w:spacing w:val="-2"/>
        </w:rPr>
        <w:t>业强度、提高效率和良品率、节约仓库占地面积、减少物流配送过程中的破损，其信息管理系统实时监控生产和物流作业过</w:t>
      </w:r>
      <w:r>
        <w:rPr>
          <w:spacing w:val="-64"/>
        </w:rPr>
        <w:t> </w:t>
      </w:r>
      <w:r>
        <w:rPr>
          <w:spacing w:val="-64"/>
        </w:rPr>
      </w:r>
      <w:r>
        <w:rPr>
          <w:spacing w:val="-2"/>
        </w:rPr>
        <w:t>程并与企业其他管理系统无缝对接，系统之间自动进行信息接收与传递，使企业实现信息流、物流和资金流一体化，提升企</w:t>
      </w:r>
      <w:r>
        <w:rPr>
          <w:spacing w:val="-64"/>
        </w:rPr>
        <w:t> </w:t>
      </w:r>
      <w:r>
        <w:rPr>
          <w:spacing w:val="-64"/>
        </w:rPr>
      </w:r>
      <w:r>
        <w:rPr/>
        <w:t>业信息化管理水平。同时，自动化物流系统还能提高企业仓储管理能力和物流输送效率，保证物流输送的及时性和准确性，</w:t>
      </w:r>
      <w:r>
        <w:rPr>
          <w:spacing w:val="-86"/>
        </w:rPr>
        <w:t> </w:t>
      </w:r>
      <w:r>
        <w:rPr>
          <w:spacing w:val="-86"/>
        </w:rPr>
      </w:r>
      <w:r>
        <w:rPr>
          <w:spacing w:val="-2"/>
        </w:rPr>
        <w:t>进而提升企业的生产和配送效率。公司产品已应用于烟草、新能源、冷链、石化、日化、医药保健品、高铁、机场、航空军</w:t>
      </w:r>
      <w:r>
        <w:rPr>
          <w:spacing w:val="-67"/>
        </w:rPr>
        <w:t> </w:t>
      </w:r>
      <w:r>
        <w:rPr>
          <w:spacing w:val="-67"/>
        </w:rPr>
      </w:r>
      <w:r>
        <w:rPr/>
        <w:t>工、电力、家具、连锁零售、电子以及食品饮料等众多行业，发展潜力和市场规模较大，应用前景广阔。</w:t>
      </w:r>
    </w:p>
    <w:p>
      <w:pPr>
        <w:spacing w:line="477" w:lineRule="auto" w:before="54"/>
        <w:ind w:left="513" w:right="4993" w:firstLine="0"/>
        <w:jc w:val="left"/>
        <w:rPr>
          <w:rFonts w:ascii="宋体" w:hAnsi="宋体" w:cs="宋体" w:eastAsia="宋体" w:hint="default"/>
          <w:sz w:val="18"/>
          <w:szCs w:val="18"/>
        </w:rPr>
      </w:pPr>
      <w:r>
        <w:rPr>
          <w:rFonts w:ascii="宋体" w:hAnsi="宋体" w:cs="宋体" w:eastAsia="宋体" w:hint="default"/>
          <w:b/>
          <w:bCs/>
          <w:sz w:val="18"/>
          <w:szCs w:val="18"/>
        </w:rPr>
        <w:t>二、报告期业务订单情况</w:t>
      </w:r>
      <w:r>
        <w:rPr>
          <w:rFonts w:ascii="宋体" w:hAnsi="宋体" w:cs="宋体" w:eastAsia="宋体" w:hint="default"/>
          <w:b/>
          <w:bCs/>
          <w:w w:val="99"/>
          <w:sz w:val="18"/>
          <w:szCs w:val="18"/>
        </w:rPr>
        <w:t> </w:t>
      </w:r>
      <w:r>
        <w:rPr>
          <w:rFonts w:ascii="宋体" w:hAnsi="宋体" w:cs="宋体" w:eastAsia="宋体" w:hint="default"/>
          <w:sz w:val="18"/>
          <w:szCs w:val="18"/>
        </w:rPr>
        <w:t>根据本行业的特性，公司业绩主要受项目订单取得和执行情况影响。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left="0" w:right="1762"/>
        <w:jc w:val="right"/>
      </w:pPr>
      <w:r>
        <w:rPr/>
        <w:t>单位：万元</w:t>
      </w:r>
    </w:p>
    <w:p>
      <w:pPr>
        <w:spacing w:line="240" w:lineRule="auto" w:before="3"/>
        <w:rPr>
          <w:rFonts w:ascii="宋体" w:hAnsi="宋体" w:cs="宋体" w:eastAsia="宋体" w:hint="default"/>
          <w:sz w:val="5"/>
          <w:szCs w:val="5"/>
        </w:rPr>
      </w:pPr>
    </w:p>
    <w:tbl>
      <w:tblPr>
        <w:tblW w:w="0" w:type="auto"/>
        <w:jc w:val="left"/>
        <w:tblInd w:w="717" w:type="dxa"/>
        <w:tblLayout w:type="fixed"/>
        <w:tblCellMar>
          <w:top w:w="0" w:type="dxa"/>
          <w:left w:w="0" w:type="dxa"/>
          <w:bottom w:w="0" w:type="dxa"/>
          <w:right w:w="0" w:type="dxa"/>
        </w:tblCellMar>
        <w:tblLook w:val="01E0"/>
      </w:tblPr>
      <w:tblGrid>
        <w:gridCol w:w="1082"/>
        <w:gridCol w:w="1409"/>
        <w:gridCol w:w="1848"/>
        <w:gridCol w:w="2014"/>
        <w:gridCol w:w="2149"/>
      </w:tblGrid>
      <w:tr>
        <w:trPr>
          <w:trHeight w:val="458"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38" w:right="0"/>
              <w:jc w:val="left"/>
              <w:rPr>
                <w:rFonts w:ascii="宋体" w:hAnsi="宋体" w:cs="宋体" w:eastAsia="宋体" w:hint="default"/>
                <w:sz w:val="18"/>
                <w:szCs w:val="18"/>
              </w:rPr>
            </w:pPr>
            <w:r>
              <w:rPr>
                <w:rFonts w:ascii="宋体" w:hAnsi="宋体" w:cs="宋体" w:eastAsia="宋体" w:hint="default"/>
                <w:b/>
                <w:bCs/>
                <w:sz w:val="18"/>
                <w:szCs w:val="18"/>
              </w:rPr>
              <w:t>应用行业</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717" w:type="dxa"/>
        <w:tblLayout w:type="fixed"/>
        <w:tblCellMar>
          <w:top w:w="0" w:type="dxa"/>
          <w:left w:w="0" w:type="dxa"/>
          <w:bottom w:w="0" w:type="dxa"/>
          <w:right w:w="0" w:type="dxa"/>
        </w:tblCellMar>
        <w:tblLook w:val="01E0"/>
      </w:tblPr>
      <w:tblGrid>
        <w:gridCol w:w="1082"/>
        <w:gridCol w:w="1409"/>
        <w:gridCol w:w="1848"/>
        <w:gridCol w:w="2014"/>
        <w:gridCol w:w="2149"/>
      </w:tblGrid>
      <w:tr>
        <w:trPr>
          <w:trHeight w:val="459" w:hRule="exact"/>
        </w:trPr>
        <w:tc>
          <w:tcPr>
            <w:tcW w:w="108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2" w:right="0"/>
              <w:jc w:val="left"/>
              <w:rPr>
                <w:rFonts w:ascii="宋体" w:hAnsi="宋体" w:cs="宋体" w:eastAsia="宋体" w:hint="default"/>
                <w:sz w:val="18"/>
                <w:szCs w:val="18"/>
              </w:rPr>
            </w:pPr>
            <w:r>
              <w:rPr>
                <w:rFonts w:ascii="宋体" w:hAnsi="宋体" w:cs="宋体" w:eastAsia="宋体" w:hint="default"/>
                <w:b/>
                <w:bCs/>
                <w:sz w:val="18"/>
                <w:szCs w:val="18"/>
              </w:rPr>
              <w:t>新增订单</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含税</w:t>
            </w:r>
            <w:r>
              <w:rPr>
                <w:rFonts w:ascii="宋体" w:hAnsi="宋体" w:cs="宋体" w:eastAsia="宋体" w:hint="default"/>
                <w:sz w:val="18"/>
                <w:szCs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b/>
                <w:bCs/>
                <w:sz w:val="18"/>
                <w:szCs w:val="18"/>
              </w:rPr>
              <w:t>完成订单</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不含税</w:t>
            </w:r>
            <w:r>
              <w:rPr>
                <w:rFonts w:ascii="宋体" w:hAnsi="宋体" w:cs="宋体" w:eastAsia="宋体" w:hint="default"/>
                <w:sz w:val="18"/>
                <w:szCs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7" w:right="0"/>
              <w:jc w:val="left"/>
              <w:rPr>
                <w:rFonts w:ascii="宋体" w:hAnsi="宋体" w:cs="宋体" w:eastAsia="宋体" w:hint="default"/>
                <w:sz w:val="18"/>
                <w:szCs w:val="18"/>
              </w:rPr>
            </w:pPr>
            <w:r>
              <w:rPr>
                <w:rFonts w:ascii="宋体" w:hAnsi="宋体" w:cs="宋体" w:eastAsia="宋体" w:hint="default"/>
                <w:b/>
                <w:bCs/>
                <w:sz w:val="18"/>
                <w:szCs w:val="18"/>
              </w:rPr>
              <w:t>尚未确认收入订单</w:t>
            </w:r>
            <w:r>
              <w:rPr>
                <w:rFonts w:ascii="宋体" w:hAnsi="宋体" w:cs="宋体" w:eastAsia="宋体" w:hint="default"/>
                <w:sz w:val="18"/>
                <w:szCs w:val="18"/>
              </w:rPr>
            </w:r>
          </w:p>
        </w:tc>
      </w:tr>
      <w:tr>
        <w:trPr>
          <w:trHeight w:val="458"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50,400.26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26,412.46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58,574.17</w:t>
            </w:r>
          </w:p>
        </w:tc>
      </w:tr>
      <w:tr>
        <w:trPr>
          <w:trHeight w:val="461"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综超</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36,273.58</w:t>
            </w:r>
          </w:p>
        </w:tc>
      </w:tr>
      <w:tr>
        <w:trPr>
          <w:trHeight w:val="458"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医药</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17,636.57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18,177.96</w:t>
            </w:r>
          </w:p>
        </w:tc>
      </w:tr>
      <w:tr>
        <w:trPr>
          <w:trHeight w:val="458"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烟草</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14,941.46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25,452.98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34,673.18</w:t>
            </w:r>
          </w:p>
        </w:tc>
      </w:tr>
      <w:tr>
        <w:trPr>
          <w:trHeight w:val="458"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石化</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8,940.00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22,466.00</w:t>
            </w:r>
          </w:p>
        </w:tc>
      </w:tr>
      <w:tr>
        <w:trPr>
          <w:trHeight w:val="461"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15,240.72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19,375.47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24,551.14</w:t>
            </w:r>
          </w:p>
        </w:tc>
      </w:tr>
      <w:tr>
        <w:trPr>
          <w:trHeight w:val="478" w:hRule="exact"/>
        </w:trPr>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b/>
                <w:spacing w:val="-1"/>
                <w:sz w:val="18"/>
              </w:rPr>
              <w:t>107,159.01</w:t>
            </w:r>
            <w:r>
              <w:rPr>
                <w:rFonts w:ascii="Times New Roman"/>
                <w:spacing w:val="-1"/>
                <w:sz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7"/>
              <w:jc w:val="right"/>
              <w:rPr>
                <w:rFonts w:ascii="Times New Roman" w:hAnsi="Times New Roman" w:cs="Times New Roman" w:eastAsia="Times New Roman" w:hint="default"/>
                <w:sz w:val="18"/>
                <w:szCs w:val="18"/>
              </w:rPr>
            </w:pPr>
            <w:r>
              <w:rPr>
                <w:rFonts w:ascii="Times New Roman"/>
                <w:b/>
                <w:spacing w:val="-1"/>
                <w:sz w:val="18"/>
              </w:rPr>
              <w:t>71,240.90</w:t>
            </w:r>
            <w:r>
              <w:rPr>
                <w:rFonts w:ascii="Times New Roman"/>
                <w:spacing w:val="-1"/>
                <w:sz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b/>
                <w:spacing w:val="-1"/>
                <w:sz w:val="18"/>
              </w:rPr>
              <w:t>194,716.02</w:t>
            </w:r>
            <w:r>
              <w:rPr>
                <w:rFonts w:ascii="Times New Roman"/>
                <w:spacing w:val="-1"/>
                <w:sz w:val="18"/>
              </w:rPr>
            </w:r>
          </w:p>
        </w:tc>
      </w:tr>
    </w:tbl>
    <w:p>
      <w:pPr>
        <w:pStyle w:val="BodyText"/>
        <w:spacing w:line="477" w:lineRule="auto" w:before="88"/>
        <w:ind w:left="513" w:right="1116"/>
        <w:jc w:val="left"/>
      </w:pPr>
      <w:r>
        <w:rPr>
          <w:rFonts w:ascii="宋体" w:hAnsi="宋体" w:cs="宋体" w:eastAsia="宋体" w:hint="default"/>
          <w:b/>
          <w:bCs/>
        </w:rPr>
        <w:t>三、行业发展前景</w:t>
      </w:r>
      <w:r>
        <w:rPr>
          <w:rFonts w:ascii="宋体" w:hAnsi="宋体" w:cs="宋体" w:eastAsia="宋体" w:hint="default"/>
          <w:b/>
          <w:bCs/>
          <w:w w:val="99"/>
        </w:rPr>
        <w:t> </w:t>
      </w:r>
      <w:r>
        <w:rPr>
          <w:spacing w:val="-2"/>
        </w:rPr>
        <w:t>伴随着我国土地成本以及劳动力成本的双攀升，特别是制造业转型升级不断深入，智慧物流系统越来越多地在企业得到</w:t>
      </w:r>
    </w:p>
    <w:p>
      <w:pPr>
        <w:pStyle w:val="BodyText"/>
        <w:spacing w:line="468" w:lineRule="auto" w:before="54"/>
        <w:ind w:right="1131"/>
        <w:jc w:val="both"/>
      </w:pPr>
      <w:r>
        <w:rPr>
          <w:spacing w:val="-2"/>
        </w:rPr>
        <w:t>应用。近年来在政府大力推动下，企业对智能制造的探索热情高涨，而物流系统作为智能制造的核心部分，连接制造端和客</w:t>
      </w:r>
      <w:r>
        <w:rPr>
          <w:spacing w:val="-65"/>
        </w:rPr>
        <w:t> </w:t>
      </w:r>
      <w:r>
        <w:rPr>
          <w:spacing w:val="-65"/>
        </w:rPr>
      </w:r>
      <w:r>
        <w:rPr>
          <w:spacing w:val="-2"/>
        </w:rPr>
        <w:t>户端，因此项目需求不断涌现。此外，政府推动的现代流通产业发展与内贸流通体系建设也将引领产业的投资方向。在政策</w:t>
      </w:r>
      <w:r>
        <w:rPr>
          <w:spacing w:val="-64"/>
        </w:rPr>
        <w:t> </w:t>
      </w:r>
      <w:r>
        <w:rPr>
          <w:spacing w:val="-64"/>
        </w:rPr>
      </w:r>
      <w:r>
        <w:rPr/>
        <w:t>促进与市场带动下，智能物流系统行业将保持较快增长。据有关机构分析，</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年中国智能物流系统集成市场规模将接近 </w:t>
      </w:r>
      <w:r>
        <w:rPr>
          <w:rFonts w:ascii="Times New Roman" w:hAnsi="Times New Roman" w:cs="Times New Roman" w:eastAsia="Times New Roman" w:hint="default"/>
        </w:rPr>
        <w:t>1400 </w:t>
      </w:r>
      <w:r>
        <w:rPr/>
        <w:t>亿元，年均复合增速在</w:t>
      </w:r>
      <w:r>
        <w:rPr>
          <w:spacing w:val="-45"/>
        </w:rPr>
        <w:t> </w:t>
      </w:r>
      <w:r>
        <w:rPr>
          <w:rFonts w:ascii="Times New Roman" w:hAnsi="Times New Roman" w:cs="Times New Roman" w:eastAsia="Times New Roman" w:hint="default"/>
        </w:rPr>
        <w:t>20%</w:t>
      </w:r>
      <w:r>
        <w:rPr/>
        <w:t>以上。这无疑为智能物流系统集成及智能物流装备企业提供了巨大的发展机会。</w:t>
      </w:r>
    </w:p>
    <w:p>
      <w:pPr>
        <w:pStyle w:val="BodyText"/>
        <w:spacing w:line="477" w:lineRule="auto" w:before="29"/>
        <w:ind w:right="1135" w:firstLine="360"/>
        <w:jc w:val="both"/>
      </w:pPr>
      <w:r>
        <w:rPr>
          <w:spacing w:val="-2"/>
        </w:rPr>
        <w:t>公司作为国内较早从事智慧物流系统综合解决方案的企业之一，在智慧物流系统的规划设计、系统集成、软件开发、设</w:t>
      </w:r>
      <w:r>
        <w:rPr/>
        <w:t> </w:t>
      </w:r>
      <w:r>
        <w:rPr>
          <w:spacing w:val="-5"/>
        </w:rPr>
        <w:t>备定制、电控系统开发、现场安装调试、客户培训和售后服务等方面均具有丰富的经验，完成了一系列规模大、复杂程度高、</w:t>
      </w:r>
      <w:r>
        <w:rPr>
          <w:spacing w:val="-80"/>
        </w:rPr>
        <w:t> </w:t>
      </w:r>
      <w:r>
        <w:rPr>
          <w:spacing w:val="-80"/>
        </w:rPr>
      </w:r>
      <w:r>
        <w:rPr/>
        <w:t>具有重大影响力的智慧物流系统项目。</w:t>
      </w:r>
    </w:p>
    <w:p>
      <w:pPr>
        <w:pStyle w:val="Heading2"/>
        <w:spacing w:line="243" w:lineRule="exact"/>
        <w:ind w:right="0"/>
        <w:jc w:val="both"/>
        <w:rPr>
          <w:b w:val="0"/>
          <w:bCs w:val="0"/>
        </w:rPr>
      </w:pPr>
      <w:bookmarkStart w:name="二、主要资产重大变化情况" w:id="17"/>
      <w:bookmarkEnd w:id="17"/>
      <w:r>
        <w:rPr>
          <w:b w:val="0"/>
          <w:bCs w:val="0"/>
        </w:rPr>
      </w:r>
      <w:r>
        <w:rPr/>
        <w:t>二、主要资产重大变化情况</w:t>
      </w:r>
      <w:r>
        <w:rPr>
          <w:b w:val="0"/>
          <w:bCs w:val="0"/>
        </w:rPr>
      </w:r>
    </w:p>
    <w:p>
      <w:pPr>
        <w:pStyle w:val="Heading3"/>
        <w:spacing w:line="240" w:lineRule="auto" w:before="23"/>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568"/>
        <w:gridCol w:w="8003"/>
      </w:tblGrid>
      <w:tr>
        <w:trPr>
          <w:trHeight w:val="64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22"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3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174"/>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134.40%</w:t>
            </w:r>
            <w:r>
              <w:rPr>
                <w:rFonts w:ascii="宋体" w:hAnsi="宋体" w:cs="宋体" w:eastAsia="宋体" w:hint="default"/>
                <w:sz w:val="18"/>
                <w:szCs w:val="18"/>
              </w:rPr>
              <w:t>，主要系报告期内龙岗科技园建筑物达到预定可使用状态，由在建工程转入固定 资产核算所致</w:t>
            </w:r>
          </w:p>
        </w:tc>
      </w:tr>
      <w:tr>
        <w:trPr>
          <w:trHeight w:val="32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3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99"/>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99.95%</w:t>
            </w:r>
            <w:r>
              <w:rPr>
                <w:rFonts w:ascii="宋体" w:hAnsi="宋体" w:cs="宋体" w:eastAsia="宋体" w:hint="default"/>
                <w:sz w:val="18"/>
                <w:szCs w:val="18"/>
              </w:rPr>
              <w:t>，主要系报告期内龙岗科技园建筑物达到预定可使用状态，由在建工程转入固定资 产核算所致</w:t>
            </w:r>
          </w:p>
        </w:tc>
      </w:tr>
      <w:tr>
        <w:trPr>
          <w:trHeight w:val="322"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66.35%</w:t>
            </w:r>
            <w:r>
              <w:rPr>
                <w:rFonts w:ascii="宋体" w:hAnsi="宋体" w:cs="宋体" w:eastAsia="宋体" w:hint="default"/>
                <w:sz w:val="18"/>
                <w:szCs w:val="18"/>
              </w:rPr>
              <w:t>，主要系报告期内经营活动现金流量净额增长，以及到期收回银行理财产品所致</w:t>
            </w:r>
          </w:p>
        </w:tc>
      </w:tr>
      <w:tr>
        <w:trPr>
          <w:trHeight w:val="322"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36.47%</w:t>
            </w:r>
            <w:r>
              <w:rPr>
                <w:rFonts w:ascii="宋体" w:hAnsi="宋体" w:cs="宋体" w:eastAsia="宋体" w:hint="default"/>
                <w:sz w:val="18"/>
                <w:szCs w:val="18"/>
              </w:rPr>
              <w:t>，主要系报告期末存在多个未达到验收状态的项目工程进度成本所致</w:t>
            </w:r>
          </w:p>
        </w:tc>
      </w:tr>
      <w:tr>
        <w:trPr>
          <w:trHeight w:val="322"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75.33%</w:t>
            </w:r>
            <w:r>
              <w:rPr>
                <w:rFonts w:ascii="宋体" w:hAnsi="宋体" w:cs="宋体" w:eastAsia="宋体" w:hint="default"/>
                <w:sz w:val="18"/>
                <w:szCs w:val="18"/>
              </w:rPr>
              <w:t>，主要系报告期内银行理财产品到期收回减少所致</w:t>
            </w:r>
          </w:p>
        </w:tc>
      </w:tr>
      <w:tr>
        <w:trPr>
          <w:trHeight w:val="63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99"/>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89.68%</w:t>
            </w:r>
            <w:r>
              <w:rPr>
                <w:rFonts w:ascii="宋体" w:hAnsi="宋体" w:cs="宋体" w:eastAsia="宋体" w:hint="default"/>
                <w:sz w:val="18"/>
                <w:szCs w:val="18"/>
              </w:rPr>
              <w:t>，主要系报告期内位于北京市海淀区的房产对外出租，由固定资产转为投资性房地 产核算所致</w:t>
            </w:r>
          </w:p>
        </w:tc>
      </w:tr>
    </w:tbl>
    <w:p>
      <w:pPr>
        <w:pStyle w:val="Heading3"/>
        <w:spacing w:line="278" w:lineRule="exact"/>
        <w:ind w:right="1116"/>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pStyle w:val="BodyText"/>
        <w:spacing w:line="240" w:lineRule="auto" w:before="121"/>
        <w:ind w:right="1116"/>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08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0"/>
        <w:jc w:val="both"/>
        <w:rPr>
          <w:b w:val="0"/>
          <w:bCs w:val="0"/>
        </w:rPr>
      </w:pPr>
      <w:bookmarkStart w:name="三、核心竞争力分析" w:id="20"/>
      <w:bookmarkEnd w:id="20"/>
      <w:r>
        <w:rPr>
          <w:b w:val="0"/>
          <w:bCs w:val="0"/>
        </w:rPr>
      </w:r>
      <w:r>
        <w:rPr/>
        <w:t>三、核心竞争力分析</w:t>
      </w:r>
      <w:r>
        <w:rPr>
          <w:b w:val="0"/>
          <w:bCs w:val="0"/>
        </w:rPr>
      </w:r>
    </w:p>
    <w:p>
      <w:pPr>
        <w:pStyle w:val="BodyText"/>
        <w:spacing w:line="451" w:lineRule="auto" w:before="126"/>
        <w:ind w:left="513" w:right="1033"/>
        <w:jc w:val="left"/>
      </w:pPr>
      <w:r>
        <w:rPr>
          <w:rFonts w:ascii="Times New Roman" w:hAnsi="Times New Roman" w:cs="Times New Roman" w:eastAsia="Times New Roman" w:hint="default"/>
          <w:b/>
          <w:bCs/>
        </w:rPr>
        <w:t>1</w:t>
      </w:r>
      <w:r>
        <w:rPr>
          <w:rFonts w:ascii="宋体" w:hAnsi="宋体" w:cs="宋体" w:eastAsia="宋体" w:hint="default"/>
          <w:b/>
          <w:bCs/>
        </w:rPr>
        <w:t>、技术研发与创新优势</w:t>
      </w:r>
      <w:r>
        <w:rPr>
          <w:rFonts w:ascii="宋体" w:hAnsi="宋体" w:cs="宋体" w:eastAsia="宋体" w:hint="default"/>
          <w:b/>
          <w:bCs/>
          <w:w w:val="99"/>
        </w:rPr>
        <w:t> </w:t>
      </w:r>
      <w:r>
        <w:rPr/>
        <w:t>公司组建了以技术中心、软件子公司、机器人子公司为主体的即分工又协作的研发机构体系，形成了从系统解决方案、</w:t>
      </w:r>
    </w:p>
    <w:p>
      <w:pPr>
        <w:pStyle w:val="BodyText"/>
        <w:spacing w:line="470" w:lineRule="auto" w:before="74"/>
        <w:ind w:right="1130"/>
        <w:jc w:val="both"/>
      </w:pPr>
      <w:r>
        <w:rPr>
          <w:spacing w:val="-2"/>
        </w:rPr>
        <w:t>软件系统、关键设备和模块等多层面的技术成果积累。公司坚持以市场发展和客户需求为导向，既满足当前需求，又形成一</w:t>
      </w:r>
      <w:r>
        <w:rPr>
          <w:spacing w:val="-64"/>
        </w:rPr>
        <w:t> </w:t>
      </w:r>
      <w:r>
        <w:rPr>
          <w:spacing w:val="-64"/>
        </w:rPr>
      </w:r>
      <w:r>
        <w:rPr>
          <w:spacing w:val="-2"/>
        </w:rPr>
        <w:t>定的技术储备。公司能够根据客户的需求快速开发各种物流系统、制造系统应用和管理软件、接口软件，自主研发了一系列</w:t>
      </w:r>
      <w:r>
        <w:rPr>
          <w:spacing w:val="-64"/>
        </w:rPr>
        <w:t> </w:t>
      </w:r>
      <w:r>
        <w:rPr>
          <w:spacing w:val="-64"/>
        </w:rPr>
      </w:r>
      <w:r>
        <w:rPr>
          <w:spacing w:val="-5"/>
        </w:rPr>
        <w:t>信息管理系统、电气控制系统产品、物流机器人、工业机器人及设备。公司拥有一支由系统规划设计、系统集成、软件开发、</w:t>
      </w:r>
      <w:r>
        <w:rPr>
          <w:spacing w:val="-79"/>
        </w:rPr>
        <w:t> </w:t>
      </w:r>
      <w:r>
        <w:rPr>
          <w:spacing w:val="-79"/>
        </w:rPr>
      </w:r>
      <w:r>
        <w:rPr/>
        <w:t>工业机器人和物流机器人及设备研发等工程师组成的优秀研发队伍，拥有近</w:t>
      </w:r>
      <w:r>
        <w:rPr>
          <w:spacing w:val="-58"/>
        </w:rPr>
        <w:t> </w:t>
      </w:r>
      <w:r>
        <w:rPr>
          <w:rFonts w:ascii="Times New Roman" w:hAnsi="Times New Roman" w:cs="Times New Roman" w:eastAsia="Times New Roman" w:hint="default"/>
        </w:rPr>
        <w:t>200</w:t>
      </w:r>
      <w:r>
        <w:rPr>
          <w:rFonts w:ascii="Times New Roman" w:hAnsi="Times New Roman" w:cs="Times New Roman" w:eastAsia="Times New Roman" w:hint="default"/>
          <w:spacing w:val="-12"/>
        </w:rPr>
        <w:t> </w:t>
      </w:r>
      <w:r>
        <w:rPr>
          <w:spacing w:val="-3"/>
        </w:rPr>
        <w:t>项专利和计算机软件著作权，并成为行业标</w:t>
      </w:r>
      <w:r>
        <w:rPr/>
        <w:t> 准的参与制定者。</w:t>
      </w:r>
    </w:p>
    <w:p>
      <w:pPr>
        <w:pStyle w:val="Heading5"/>
        <w:spacing w:line="240" w:lineRule="auto" w:before="59"/>
        <w:ind w:left="513" w:right="1116"/>
        <w:jc w:val="left"/>
        <w:rPr>
          <w:b w:val="0"/>
          <w:bCs w:val="0"/>
        </w:rPr>
      </w:pPr>
      <w:r>
        <w:rPr>
          <w:rFonts w:ascii="Times New Roman" w:hAnsi="Times New Roman" w:cs="Times New Roman" w:eastAsia="Times New Roman" w:hint="default"/>
        </w:rPr>
        <w:t>2</w:t>
      </w:r>
      <w:r>
        <w:rPr/>
        <w:t>、丰富的行业及大项目经验，可靠的项目交付能力</w:t>
      </w:r>
      <w:r>
        <w:rPr>
          <w:b w:val="0"/>
          <w:bCs w:val="0"/>
        </w:rPr>
      </w:r>
    </w:p>
    <w:p>
      <w:pPr>
        <w:spacing w:line="240" w:lineRule="auto" w:before="10"/>
        <w:rPr>
          <w:rFonts w:ascii="宋体" w:hAnsi="宋体" w:cs="宋体" w:eastAsia="宋体" w:hint="default"/>
          <w:b/>
          <w:bCs/>
          <w:sz w:val="16"/>
          <w:szCs w:val="16"/>
        </w:rPr>
      </w:pPr>
    </w:p>
    <w:p>
      <w:pPr>
        <w:pStyle w:val="BodyText"/>
        <w:spacing w:line="470" w:lineRule="auto"/>
        <w:ind w:right="1130" w:firstLine="360"/>
        <w:jc w:val="both"/>
      </w:pPr>
      <w:r>
        <w:rPr/>
        <w:t>公司自</w:t>
      </w:r>
      <w:r>
        <w:rPr>
          <w:spacing w:val="-47"/>
        </w:rPr>
        <w:t> </w:t>
      </w:r>
      <w:r>
        <w:rPr>
          <w:rFonts w:ascii="Times New Roman" w:hAnsi="Times New Roman" w:cs="Times New Roman" w:eastAsia="Times New Roman" w:hint="default"/>
        </w:rPr>
        <w:t>2000 </w:t>
      </w:r>
      <w:r>
        <w:rPr/>
        <w:t>年成立以来完成了数百个烟草行业和新能源动力锂电行业的大型智慧物流项目和智能制造项目，积累了丰 </w:t>
      </w:r>
      <w:r>
        <w:rPr>
          <w:spacing w:val="-2"/>
        </w:rPr>
        <w:t>富的烟草行业和动力锂电池行业的大项目经验。公司经过长期的积累，对烟草和动力锂电池行业的工艺流程、物流和生产特</w:t>
      </w:r>
      <w:r>
        <w:rPr>
          <w:spacing w:val="-63"/>
        </w:rPr>
        <w:t> </w:t>
      </w:r>
      <w:r>
        <w:rPr>
          <w:spacing w:val="-63"/>
        </w:rPr>
      </w:r>
      <w:r>
        <w:rPr>
          <w:spacing w:val="-2"/>
        </w:rPr>
        <w:t>点、管理和运作模式等具有很深的理解，形成了规划设计、系统集成、软件开发、项目工程管理等多方面的技术优势，并积</w:t>
      </w:r>
      <w:r>
        <w:rPr>
          <w:spacing w:val="-68"/>
        </w:rPr>
        <w:t> </w:t>
      </w:r>
      <w:r>
        <w:rPr>
          <w:spacing w:val="-68"/>
        </w:rPr>
      </w:r>
      <w:r>
        <w:rPr>
          <w:spacing w:val="-2"/>
        </w:rPr>
        <w:t>淀了丰富的实践经验。公司依托规范的全过程管理体系、优秀的集成设计能力、自主的软件和电控开发、强大的项目管理和</w:t>
      </w:r>
      <w:r>
        <w:rPr>
          <w:spacing w:val="-63"/>
        </w:rPr>
        <w:t> </w:t>
      </w:r>
      <w:r>
        <w:rPr>
          <w:spacing w:val="-63"/>
        </w:rPr>
      </w:r>
      <w:r>
        <w:rPr/>
        <w:t>实施能力，确保项目按期高质量交付。</w:t>
      </w:r>
    </w:p>
    <w:p>
      <w:pPr>
        <w:spacing w:line="451" w:lineRule="auto" w:before="59"/>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、公司持续追求高品质产品和服务赢得客户及市场良好的口碑，具有一定的品牌优势，积累了丰富的优质客户资源</w:t>
      </w:r>
      <w:r>
        <w:rPr>
          <w:rFonts w:ascii="宋体" w:hAnsi="宋体" w:cs="宋体" w:eastAsia="宋体" w:hint="default"/>
          <w:b/>
          <w:bCs/>
          <w:w w:val="99"/>
          <w:sz w:val="18"/>
          <w:szCs w:val="18"/>
        </w:rPr>
        <w:t> </w:t>
      </w:r>
      <w:r>
        <w:rPr>
          <w:rFonts w:ascii="宋体" w:hAnsi="宋体" w:cs="宋体" w:eastAsia="宋体" w:hint="default"/>
          <w:spacing w:val="-2"/>
          <w:sz w:val="18"/>
          <w:szCs w:val="18"/>
        </w:rPr>
        <w:t>公司自成立以来，一直坚持提供高品质的产品和服务。公司通过贯穿系统解决方案的规划设计、软件的开发设计、机器</w:t>
      </w:r>
    </w:p>
    <w:p>
      <w:pPr>
        <w:pStyle w:val="BodyText"/>
        <w:spacing w:line="477" w:lineRule="auto" w:before="72"/>
        <w:ind w:right="1130"/>
        <w:jc w:val="both"/>
      </w:pPr>
      <w:r>
        <w:rPr>
          <w:spacing w:val="-2"/>
        </w:rPr>
        <w:t>人及硬件的设计及装配、供应链质量管理、现场安装调试和售后服务等方面的全流程质量控制体系保障产品及系统品质。公</w:t>
      </w:r>
      <w:r>
        <w:rPr>
          <w:spacing w:val="-63"/>
        </w:rPr>
        <w:t> </w:t>
      </w:r>
      <w:r>
        <w:rPr>
          <w:spacing w:val="-63"/>
        </w:rPr>
      </w:r>
      <w:r>
        <w:rPr>
          <w:spacing w:val="-2"/>
        </w:rPr>
        <w:t>司以细致工作作风、以专业的技术能力、以周到的客户服务，提供超过客户预期的服务，赢得客户和市场良好的口碑。十八</w:t>
      </w:r>
      <w:r>
        <w:rPr>
          <w:spacing w:val="-67"/>
        </w:rPr>
        <w:t> </w:t>
      </w:r>
      <w:r>
        <w:rPr>
          <w:spacing w:val="-67"/>
        </w:rPr>
      </w:r>
      <w:r>
        <w:rPr/>
        <w:t>年来，公司已经形成了高品质服务商的市场形象，品牌影响力具备一定的优势。</w:t>
      </w:r>
    </w:p>
    <w:p>
      <w:pPr>
        <w:pStyle w:val="BodyText"/>
        <w:spacing w:line="477" w:lineRule="auto" w:before="54"/>
        <w:ind w:right="1132" w:firstLine="360"/>
        <w:jc w:val="both"/>
      </w:pPr>
      <w:r>
        <w:rPr>
          <w:spacing w:val="-2"/>
        </w:rPr>
        <w:t>公司坚持为优质的客户服务的原则，经过多年的努力，公司已经积累了丰富的优质客户资源，包括动力锂电行业的宁德</w:t>
      </w:r>
      <w:r>
        <w:rPr/>
        <w:t> 时代新能源、比亚迪和烟草行业的安徽中烟、福建中烟、武汉中烟、广东中烟等。</w:t>
      </w:r>
    </w:p>
    <w:p>
      <w:pPr>
        <w:spacing w:line="451" w:lineRule="auto" w:before="54"/>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、完善的售后服务体系和快速的反应机制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公司建立了完善的售后服务体系，与客户常年保持密切沟通，通过定期巡访、技术交流会和运维管理交流会等形式跟踪</w:t>
      </w:r>
    </w:p>
    <w:p>
      <w:pPr>
        <w:pStyle w:val="BodyText"/>
        <w:spacing w:line="477" w:lineRule="auto" w:before="74"/>
        <w:ind w:right="1130"/>
        <w:jc w:val="both"/>
      </w:pPr>
      <w:r>
        <w:rPr>
          <w:spacing w:val="-5"/>
        </w:rPr>
        <w:t>客户的使用体验，与客户探讨如何进一步为客户提供升级、改造等技术方案，使客户可以较低的成本实现系统的升级、改造，</w:t>
      </w:r>
      <w:r>
        <w:rPr>
          <w:spacing w:val="-75"/>
        </w:rPr>
        <w:t> </w:t>
      </w:r>
      <w:r>
        <w:rPr>
          <w:spacing w:val="-75"/>
        </w:rPr>
      </w:r>
      <w:r>
        <w:rPr>
          <w:spacing w:val="-2"/>
        </w:rPr>
        <w:t>达到充分挖掘客户需求，获得业务机会。公司良好的本地化客户服务机制保证了公司能够对客户需求做出快速反应，充分引</w:t>
      </w:r>
      <w:r>
        <w:rPr>
          <w:spacing w:val="-63"/>
        </w:rPr>
        <w:t> </w:t>
      </w:r>
      <w:r>
        <w:rPr>
          <w:spacing w:val="-63"/>
        </w:rPr>
      </w:r>
      <w:r>
        <w:rPr/>
        <w:t>导和挖掘客户需求，为客户量身定制系统解决方案。</w:t>
      </w:r>
    </w:p>
    <w:p>
      <w:pPr>
        <w:pStyle w:val="BodyText"/>
        <w:spacing w:line="451" w:lineRule="auto" w:before="54"/>
        <w:ind w:left="513" w:right="1033"/>
        <w:jc w:val="left"/>
      </w:pPr>
      <w:r>
        <w:rPr>
          <w:rFonts w:ascii="Times New Roman" w:hAnsi="Times New Roman" w:cs="Times New Roman" w:eastAsia="Times New Roman" w:hint="default"/>
          <w:b/>
          <w:bCs/>
        </w:rPr>
        <w:t>5</w:t>
      </w:r>
      <w:r>
        <w:rPr>
          <w:rFonts w:ascii="宋体" w:hAnsi="宋体" w:cs="宋体" w:eastAsia="宋体" w:hint="default"/>
          <w:b/>
          <w:bCs/>
        </w:rPr>
        <w:t>、稳定的核心团队</w:t>
      </w:r>
      <w:r>
        <w:rPr>
          <w:rFonts w:ascii="宋体" w:hAnsi="宋体" w:cs="宋体" w:eastAsia="宋体" w:hint="default"/>
          <w:b/>
          <w:bCs/>
          <w:w w:val="99"/>
        </w:rPr>
        <w:t> </w:t>
      </w:r>
      <w:r>
        <w:rPr/>
        <w:t>自设立以来，公司创业团队、核心管理及技术人员保持稳定，核心人员均长期专注于自动化物流系统和智能制造行业，</w:t>
      </w:r>
    </w:p>
    <w:p>
      <w:pPr>
        <w:pStyle w:val="BodyText"/>
        <w:spacing w:line="240" w:lineRule="auto" w:before="74"/>
        <w:ind w:right="0"/>
        <w:jc w:val="both"/>
      </w:pPr>
      <w:r>
        <w:rPr/>
        <w:t>专业结构合理。通过管理层及核心人员持股的方式，保证了管理层及技术人员与公司长期利益的一致。</w:t>
      </w:r>
    </w:p>
    <w:p>
      <w:pPr>
        <w:spacing w:after="0" w:line="240" w:lineRule="auto"/>
        <w:jc w:val="both"/>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980"/>
        <w:jc w:val="center"/>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pStyle w:val="Heading2"/>
        <w:spacing w:line="240" w:lineRule="auto" w:before="178"/>
        <w:ind w:right="1116"/>
        <w:jc w:val="left"/>
        <w:rPr>
          <w:b w:val="0"/>
          <w:bCs w:val="0"/>
        </w:rPr>
      </w:pPr>
      <w:bookmarkStart w:name="一、概述" w:id="23"/>
      <w:bookmarkEnd w:id="23"/>
      <w:r>
        <w:rPr>
          <w:b w:val="0"/>
          <w:bCs w:val="0"/>
        </w:rPr>
      </w:r>
      <w:r>
        <w:rPr/>
        <w:t>一、概述</w:t>
      </w:r>
      <w:r>
        <w:rPr>
          <w:b w:val="0"/>
          <w:bCs w:val="0"/>
        </w:rPr>
      </w:r>
    </w:p>
    <w:p>
      <w:pPr>
        <w:pStyle w:val="BodyText"/>
        <w:spacing w:line="374" w:lineRule="auto" w:before="87"/>
        <w:ind w:right="1214" w:firstLine="360"/>
        <w:jc w:val="left"/>
      </w:pPr>
      <w:r>
        <w:rPr>
          <w:rFonts w:ascii="Times New Roman" w:hAnsi="Times New Roman" w:cs="Times New Roman" w:eastAsia="Times New Roman" w:hint="default"/>
        </w:rPr>
        <w:t>2019</w:t>
      </w:r>
      <w:r>
        <w:rPr/>
        <w:t>年，公司紧紧围绕年度计划目标，继续加大业务拓展力度，在智慧物流系统各个重点应用领域，如医药、石化等 行业业务拓展取得一定突破。</w:t>
      </w:r>
    </w:p>
    <w:p>
      <w:pPr>
        <w:pStyle w:val="BodyText"/>
        <w:spacing w:line="376" w:lineRule="auto" w:before="55"/>
        <w:ind w:right="1149" w:firstLine="360"/>
        <w:jc w:val="left"/>
      </w:pPr>
      <w:r>
        <w:rPr/>
        <w:t>报告期内，公司新增订单</w:t>
      </w:r>
      <w:r>
        <w:rPr>
          <w:rFonts w:ascii="Times New Roman" w:hAnsi="Times New Roman" w:cs="Times New Roman" w:eastAsia="Times New Roman" w:hint="default"/>
        </w:rPr>
        <w:t>10.72</w:t>
      </w:r>
      <w:r>
        <w:rPr/>
        <w:t>亿元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14.69%</w:t>
      </w:r>
      <w:r>
        <w:rPr/>
        <w:t>；实现营业收入</w:t>
      </w:r>
      <w:r>
        <w:rPr>
          <w:rFonts w:ascii="Times New Roman" w:hAnsi="Times New Roman" w:cs="Times New Roman" w:eastAsia="Times New Roman" w:hint="default"/>
        </w:rPr>
        <w:t>71,240.90</w:t>
      </w:r>
      <w:r>
        <w:rPr/>
        <w:t>万元，同比上升</w:t>
      </w:r>
      <w:r>
        <w:rPr>
          <w:rFonts w:ascii="Times New Roman" w:hAnsi="Times New Roman" w:cs="Times New Roman" w:eastAsia="Times New Roman" w:hint="default"/>
        </w:rPr>
        <w:t>71.19%</w:t>
      </w:r>
      <w:r>
        <w:rPr/>
        <w:t>，实现营业利润 </w:t>
      </w:r>
      <w:r>
        <w:rPr>
          <w:rFonts w:ascii="Times New Roman" w:hAnsi="Times New Roman" w:cs="Times New Roman" w:eastAsia="Times New Roman" w:hint="default"/>
        </w:rPr>
        <w:t>4,976.19</w:t>
      </w:r>
      <w:r>
        <w:rPr/>
        <w:t>万元，同比上升</w:t>
      </w:r>
      <w:r>
        <w:rPr>
          <w:rFonts w:ascii="Times New Roman" w:hAnsi="Times New Roman" w:cs="Times New Roman" w:eastAsia="Times New Roman" w:hint="default"/>
        </w:rPr>
        <w:t>197.16%</w:t>
      </w:r>
      <w:r>
        <w:rPr/>
        <w:t>，实现归属于上市公司股东的净利润</w:t>
      </w:r>
      <w:r>
        <w:rPr>
          <w:rFonts w:ascii="Times New Roman" w:hAnsi="Times New Roman" w:cs="Times New Roman" w:eastAsia="Times New Roman" w:hint="default"/>
        </w:rPr>
        <w:t>4,751.48</w:t>
      </w:r>
      <w:r>
        <w:rPr/>
        <w:t>万元，同比上升</w:t>
      </w:r>
      <w:r>
        <w:rPr>
          <w:rFonts w:ascii="Times New Roman" w:hAnsi="Times New Roman" w:cs="Times New Roman" w:eastAsia="Times New Roman" w:hint="default"/>
        </w:rPr>
        <w:t>160.79%</w:t>
      </w:r>
      <w:r>
        <w:rPr>
          <w:rFonts w:ascii="Times New Roman" w:hAnsi="Times New Roman" w:cs="Times New Roman" w:eastAsia="Times New Roman" w:hint="default"/>
          <w:spacing w:val="-10"/>
        </w:rPr>
        <w:t> </w:t>
      </w:r>
      <w:r>
        <w:rPr/>
        <w:t>；实现扣除非经常性 损益后归属于上市公司股东的净利润</w:t>
      </w:r>
      <w:r>
        <w:rPr>
          <w:rFonts w:ascii="Times New Roman" w:hAnsi="Times New Roman" w:cs="Times New Roman" w:eastAsia="Times New Roman" w:hint="default"/>
        </w:rPr>
        <w:t>3,972.25</w:t>
      </w:r>
      <w:r>
        <w:rPr/>
        <w:t>万元，同比增长</w:t>
      </w:r>
      <w:r>
        <w:rPr>
          <w:rFonts w:ascii="Times New Roman" w:hAnsi="Times New Roman" w:cs="Times New Roman" w:eastAsia="Times New Roman" w:hint="default"/>
        </w:rPr>
        <w:t>212.23%</w:t>
      </w:r>
      <w:r>
        <w:rPr/>
        <w:t>。</w:t>
      </w:r>
    </w:p>
    <w:p>
      <w:pPr>
        <w:pStyle w:val="Heading5"/>
        <w:spacing w:line="240" w:lineRule="auto" w:before="26"/>
        <w:ind w:left="513" w:right="1116"/>
        <w:jc w:val="left"/>
        <w:rPr>
          <w:b w:val="0"/>
          <w:bCs w:val="0"/>
        </w:rPr>
      </w:pPr>
      <w:r>
        <w:rPr/>
        <w:t>一、新增订单及在手订单业务情况</w:t>
      </w:r>
      <w:r>
        <w:rPr>
          <w:b w:val="0"/>
          <w:bCs w:val="0"/>
        </w:rPr>
      </w:r>
    </w:p>
    <w:p>
      <w:pPr>
        <w:pStyle w:val="BodyText"/>
        <w:spacing w:line="240" w:lineRule="auto" w:before="155"/>
        <w:ind w:left="513" w:right="111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年受烟草行业客户招标延迟影响，公司新增订单同比下降</w:t>
      </w:r>
      <w:r>
        <w:rPr>
          <w:rFonts w:ascii="Times New Roman" w:hAnsi="Times New Roman" w:cs="Times New Roman" w:eastAsia="Times New Roman" w:hint="default"/>
        </w:rPr>
        <w:t>14.69%</w:t>
      </w:r>
      <w:r>
        <w:rPr/>
        <w:t>，但新能源订单仍保持持续增长，新增订单</w:t>
      </w:r>
    </w:p>
    <w:p>
      <w:pPr>
        <w:pStyle w:val="BodyText"/>
        <w:spacing w:line="240" w:lineRule="auto" w:before="140"/>
        <w:ind w:right="1116"/>
        <w:jc w:val="left"/>
      </w:pPr>
      <w:r>
        <w:rPr>
          <w:rFonts w:ascii="Times New Roman" w:hAnsi="Times New Roman" w:cs="Times New Roman" w:eastAsia="Times New Roman" w:hint="default"/>
        </w:rPr>
        <w:t>50,400.26</w:t>
      </w:r>
      <w:r>
        <w:rPr/>
        <w:t>万元，同比增长</w:t>
      </w:r>
      <w:r>
        <w:rPr>
          <w:rFonts w:ascii="Times New Roman" w:hAnsi="Times New Roman" w:cs="Times New Roman" w:eastAsia="Times New Roman" w:hint="default"/>
        </w:rPr>
        <w:t>49.00%</w:t>
      </w:r>
      <w:r>
        <w:rPr/>
        <w:t>。</w:t>
      </w:r>
    </w:p>
    <w:p>
      <w:pPr>
        <w:pStyle w:val="BodyText"/>
        <w:spacing w:line="374" w:lineRule="auto" w:before="142"/>
        <w:ind w:left="513" w:right="1116"/>
        <w:jc w:val="left"/>
      </w:pPr>
      <w:r>
        <w:rPr>
          <w:rFonts w:ascii="Times New Roman" w:hAnsi="Times New Roman" w:cs="Times New Roman" w:eastAsia="Times New Roman" w:hint="default"/>
        </w:rPr>
        <w:t>2</w:t>
      </w:r>
      <w:r>
        <w:rPr/>
        <w:t>、实现了医药、石化等行业以及海外订单的突破。 </w:t>
      </w:r>
      <w:r>
        <w:rPr>
          <w:spacing w:val="-2"/>
        </w:rPr>
        <w:t>报告期公司取得广州药业白云基地项目、中国石化集团中韩石化等非烟行业大项目订单，公司承接大项目订单竞争力进</w:t>
      </w:r>
    </w:p>
    <w:p>
      <w:pPr>
        <w:pStyle w:val="BodyText"/>
        <w:spacing w:line="376" w:lineRule="auto" w:before="55"/>
        <w:ind w:left="513" w:right="1098" w:hanging="361"/>
        <w:jc w:val="left"/>
      </w:pPr>
      <w:r>
        <w:rPr/>
        <w:t>一步提升，并获取日本</w:t>
      </w:r>
      <w:r>
        <w:rPr>
          <w:rFonts w:ascii="Times New Roman" w:hAnsi="Times New Roman" w:cs="Times New Roman" w:eastAsia="Times New Roman" w:hint="default"/>
        </w:rPr>
        <w:t>SECI</w:t>
      </w:r>
      <w:r>
        <w:rPr/>
        <w:t>公司系列订单，实现海外新能源客户订单的重大突破。</w:t>
      </w:r>
      <w:r>
        <w:rPr>
          <w:w w:val="99"/>
        </w:rPr>
        <w:t> </w:t>
      </w:r>
      <w:r>
        <w:rPr>
          <w:rFonts w:ascii="Times New Roman" w:hAnsi="Times New Roman" w:cs="Times New Roman" w:eastAsia="Times New Roman" w:hint="default"/>
        </w:rPr>
        <w:t>3</w:t>
      </w:r>
      <w:r>
        <w:rPr/>
        <w:t>、报告期新增售后运营维护订单</w:t>
      </w:r>
      <w:r>
        <w:rPr>
          <w:rFonts w:ascii="Times New Roman" w:hAnsi="Times New Roman" w:cs="Times New Roman" w:eastAsia="Times New Roman" w:hint="default"/>
        </w:rPr>
        <w:t>14,855.80</w:t>
      </w:r>
      <w:r>
        <w:rPr>
          <w:rFonts w:ascii="Times New Roman" w:hAnsi="Times New Roman" w:cs="Times New Roman" w:eastAsia="Times New Roman" w:hint="default"/>
          <w:spacing w:val="40"/>
        </w:rPr>
        <w:t> </w:t>
      </w:r>
      <w:r>
        <w:rPr/>
        <w:t>万元，同比上年增长</w:t>
      </w:r>
      <w:r>
        <w:rPr>
          <w:rFonts w:ascii="Times New Roman" w:hAnsi="Times New Roman" w:cs="Times New Roman" w:eastAsia="Times New Roman" w:hint="default"/>
        </w:rPr>
        <w:t>48.2%</w:t>
      </w:r>
      <w:r>
        <w:rPr/>
        <w:t>，同比</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85.44%</w:t>
      </w:r>
      <w:r>
        <w:rPr/>
        <w:t>，订单持续较快增长。</w:t>
      </w:r>
      <w:r>
        <w:rPr>
          <w:w w:val="99"/>
        </w:rPr>
        <w:t> </w:t>
      </w:r>
      <w:r>
        <w:rPr>
          <w:spacing w:val="-2"/>
        </w:rPr>
        <w:t>运营维护服务是指公司为客户提供年度维保、系统改造升级、更换物流设备零配件以及培训等服务，是公司为客户提供</w:t>
      </w:r>
    </w:p>
    <w:p>
      <w:pPr>
        <w:pStyle w:val="BodyText"/>
        <w:spacing w:line="398" w:lineRule="auto" w:before="50"/>
        <w:ind w:right="1116"/>
        <w:jc w:val="left"/>
      </w:pPr>
      <w:r>
        <w:rPr>
          <w:spacing w:val="-2"/>
        </w:rPr>
        <w:t>的一项重要的后续增值服务，公司运营维护客户保持稳定，随着公司实施项目的积累，以及服务技术创新推行，业务不断持</w:t>
      </w:r>
      <w:r>
        <w:rPr>
          <w:spacing w:val="-63"/>
        </w:rPr>
        <w:t> </w:t>
      </w:r>
      <w:r>
        <w:rPr>
          <w:spacing w:val="-63"/>
        </w:rPr>
      </w:r>
      <w:r>
        <w:rPr/>
        <w:t>续增长。</w:t>
      </w:r>
    </w:p>
    <w:p>
      <w:pPr>
        <w:pStyle w:val="BodyText"/>
        <w:spacing w:line="376" w:lineRule="auto" w:before="34"/>
        <w:ind w:right="1116" w:firstLine="360"/>
        <w:jc w:val="left"/>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2019</w:t>
      </w:r>
      <w:r>
        <w:rPr>
          <w:spacing w:val="-2"/>
        </w:rPr>
        <w:t>年新增订单</w:t>
      </w:r>
      <w:r>
        <w:rPr>
          <w:rFonts w:ascii="Times New Roman" w:hAnsi="Times New Roman" w:cs="Times New Roman" w:eastAsia="Times New Roman" w:hint="default"/>
          <w:spacing w:val="-2"/>
        </w:rPr>
        <w:t>10.72</w:t>
      </w:r>
      <w:r>
        <w:rPr>
          <w:spacing w:val="-2"/>
        </w:rPr>
        <w:t>亿元，截至</w:t>
      </w:r>
      <w:r>
        <w:rPr>
          <w:rFonts w:ascii="Times New Roman" w:hAnsi="Times New Roman" w:cs="Times New Roman" w:eastAsia="Times New Roman" w:hint="default"/>
          <w:spacing w:val="-2"/>
        </w:rPr>
        <w:t>2019</w:t>
      </w:r>
      <w:r>
        <w:rPr>
          <w:spacing w:val="-2"/>
        </w:rPr>
        <w:t>年底仍有未确认收入订单</w:t>
      </w:r>
      <w:r>
        <w:rPr>
          <w:rFonts w:ascii="Times New Roman" w:hAnsi="Times New Roman" w:cs="Times New Roman" w:eastAsia="Times New Roman" w:hint="default"/>
          <w:spacing w:val="-2"/>
        </w:rPr>
        <w:t>19.47</w:t>
      </w:r>
      <w:r>
        <w:rPr>
          <w:spacing w:val="-2"/>
        </w:rPr>
        <w:t>亿元，对未来经营业绩持续稳健增长形成了</w:t>
      </w:r>
      <w:r>
        <w:rPr/>
        <w:t> 有力支撑。</w:t>
      </w:r>
    </w:p>
    <w:p>
      <w:pPr>
        <w:pStyle w:val="BodyText"/>
        <w:spacing w:line="386" w:lineRule="auto" w:before="50"/>
        <w:ind w:left="513" w:right="0"/>
        <w:jc w:val="left"/>
      </w:pPr>
      <w:r>
        <w:rPr>
          <w:rFonts w:ascii="宋体" w:hAnsi="宋体" w:cs="宋体" w:eastAsia="宋体" w:hint="default"/>
          <w:b/>
          <w:bCs/>
        </w:rPr>
        <w:t>二、营业收入及利润情况</w:t>
      </w:r>
      <w:r>
        <w:rPr>
          <w:rFonts w:ascii="宋体" w:hAnsi="宋体" w:cs="宋体" w:eastAsia="宋体" w:hint="default"/>
          <w:b/>
          <w:bCs/>
          <w:w w:val="99"/>
        </w:rPr>
        <w:t> </w:t>
      </w:r>
      <w:r>
        <w:rPr>
          <w:rFonts w:ascii="Times New Roman" w:hAnsi="Times New Roman" w:cs="Times New Roman" w:eastAsia="Times New Roman" w:hint="default"/>
        </w:rPr>
        <w:t>2019</w:t>
      </w:r>
      <w:r>
        <w:rPr/>
        <w:t>年实现营业收入</w:t>
      </w:r>
      <w:r>
        <w:rPr>
          <w:rFonts w:ascii="Times New Roman" w:hAnsi="Times New Roman" w:cs="Times New Roman" w:eastAsia="Times New Roman" w:hint="default"/>
        </w:rPr>
        <w:t>71,240.90</w:t>
      </w:r>
      <w:r>
        <w:rPr/>
        <w:t>万元，同比增长</w:t>
      </w:r>
      <w:r>
        <w:rPr>
          <w:rFonts w:ascii="Times New Roman" w:hAnsi="Times New Roman" w:cs="Times New Roman" w:eastAsia="Times New Roman" w:hint="default"/>
        </w:rPr>
        <w:t>71.19%</w:t>
      </w:r>
      <w:r>
        <w:rPr/>
        <w:t>，主要是报告期确认的项目的数量及金额规模同比大幅增加。 </w:t>
      </w:r>
      <w:r>
        <w:rPr>
          <w:spacing w:val="-5"/>
        </w:rPr>
        <w:t>报告期内，公司实现收入的项目主要是烟草行业及新能源行业，合计占比</w:t>
      </w:r>
      <w:r>
        <w:rPr>
          <w:rFonts w:ascii="Times New Roman" w:hAnsi="Times New Roman" w:cs="Times New Roman" w:eastAsia="Times New Roman" w:hint="default"/>
          <w:spacing w:val="-5"/>
        </w:rPr>
        <w:t>72.8%</w:t>
      </w:r>
      <w:r>
        <w:rPr>
          <w:spacing w:val="-5"/>
        </w:rPr>
        <w:t>，烟草行业收入</w:t>
      </w:r>
      <w:r>
        <w:rPr>
          <w:rFonts w:ascii="Times New Roman" w:hAnsi="Times New Roman" w:cs="Times New Roman" w:eastAsia="Times New Roman" w:hint="default"/>
          <w:spacing w:val="-5"/>
        </w:rPr>
        <w:t>25,452.98</w:t>
      </w:r>
      <w:r>
        <w:rPr>
          <w:spacing w:val="-5"/>
        </w:rPr>
        <w:t>万，占比</w:t>
      </w:r>
      <w:r>
        <w:rPr>
          <w:rFonts w:ascii="Times New Roman" w:hAnsi="Times New Roman" w:cs="Times New Roman" w:eastAsia="Times New Roman" w:hint="default"/>
          <w:spacing w:val="-5"/>
        </w:rPr>
        <w:t>35.73%</w:t>
      </w:r>
      <w:r>
        <w:rPr>
          <w:spacing w:val="-5"/>
        </w:rPr>
        <w:t>，</w:t>
      </w:r>
    </w:p>
    <w:p>
      <w:pPr>
        <w:pStyle w:val="BodyText"/>
        <w:spacing w:line="374" w:lineRule="auto" w:before="20"/>
        <w:ind w:right="1184"/>
        <w:jc w:val="left"/>
      </w:pPr>
      <w:r>
        <w:rPr/>
        <w:t>新能源行业</w:t>
      </w:r>
      <w:r>
        <w:rPr>
          <w:rFonts w:ascii="Times New Roman" w:hAnsi="Times New Roman" w:cs="Times New Roman" w:eastAsia="Times New Roman" w:hint="default"/>
        </w:rPr>
        <w:t>26,412.46</w:t>
      </w:r>
      <w:r>
        <w:rPr/>
        <w:t>万，占比</w:t>
      </w:r>
      <w:r>
        <w:rPr>
          <w:rFonts w:ascii="Times New Roman" w:hAnsi="Times New Roman" w:cs="Times New Roman" w:eastAsia="Times New Roman" w:hint="default"/>
        </w:rPr>
        <w:t>37.07%</w:t>
      </w:r>
      <w:r>
        <w:rPr/>
        <w:t>，其他行业占比</w:t>
      </w:r>
      <w:r>
        <w:rPr>
          <w:rFonts w:ascii="Times New Roman" w:hAnsi="Times New Roman" w:cs="Times New Roman" w:eastAsia="Times New Roman" w:hint="default"/>
        </w:rPr>
        <w:t>27.20%</w:t>
      </w:r>
      <w:r>
        <w:rPr/>
        <w:t>，报告期内公司烟草行业、新能源行业及其他行业收入规模较 为均衡，烟草及新能源行业营收贡献继续保持稳定。</w:t>
      </w:r>
    </w:p>
    <w:p>
      <w:pPr>
        <w:pStyle w:val="BodyText"/>
        <w:spacing w:line="374" w:lineRule="auto" w:before="55"/>
        <w:ind w:right="1116" w:firstLine="360"/>
        <w:jc w:val="left"/>
      </w:pPr>
      <w:r>
        <w:rPr>
          <w:spacing w:val="-1"/>
        </w:rPr>
        <w:t>售后运营维护实现收入</w:t>
      </w:r>
      <w:r>
        <w:rPr>
          <w:rFonts w:ascii="Times New Roman" w:hAnsi="Times New Roman" w:cs="Times New Roman" w:eastAsia="Times New Roman" w:hint="default"/>
          <w:spacing w:val="-1"/>
        </w:rPr>
        <w:t>9,550.96</w:t>
      </w:r>
      <w:r>
        <w:rPr>
          <w:spacing w:val="-1"/>
        </w:rPr>
        <w:t>万元，占比</w:t>
      </w:r>
      <w:r>
        <w:rPr>
          <w:rFonts w:ascii="Times New Roman" w:hAnsi="Times New Roman" w:cs="Times New Roman" w:eastAsia="Times New Roman" w:hint="default"/>
          <w:spacing w:val="-1"/>
        </w:rPr>
        <w:t>13.41%</w:t>
      </w:r>
      <w:r>
        <w:rPr>
          <w:spacing w:val="-1"/>
        </w:rPr>
        <w:t>，同比增长</w:t>
      </w:r>
      <w:r>
        <w:rPr>
          <w:rFonts w:ascii="Times New Roman" w:hAnsi="Times New Roman" w:cs="Times New Roman" w:eastAsia="Times New Roman" w:hint="default"/>
          <w:spacing w:val="-1"/>
        </w:rPr>
        <w:t>47.47%</w:t>
      </w:r>
      <w:r>
        <w:rPr>
          <w:spacing w:val="-1"/>
        </w:rPr>
        <w:t>。售后运营维护业务逐年稳步增长，对公司营收及</w:t>
      </w:r>
      <w:r>
        <w:rPr/>
        <w:t> 利润的贡献也在加大。</w:t>
      </w:r>
    </w:p>
    <w:p>
      <w:pPr>
        <w:pStyle w:val="BodyText"/>
        <w:spacing w:line="381" w:lineRule="auto" w:before="55"/>
        <w:ind w:right="1410" w:firstLine="360"/>
        <w:jc w:val="both"/>
      </w:pPr>
      <w:r>
        <w:rPr/>
        <w:t>报告期实现营业利润 </w:t>
      </w:r>
      <w:r>
        <w:rPr>
          <w:rFonts w:ascii="Times New Roman" w:hAnsi="Times New Roman" w:cs="Times New Roman" w:eastAsia="Times New Roman" w:hint="default"/>
        </w:rPr>
        <w:t>4,976.19</w:t>
      </w:r>
      <w:r>
        <w:rPr/>
        <w:t>万元，同比增长</w:t>
      </w:r>
      <w:r>
        <w:rPr>
          <w:rFonts w:ascii="Times New Roman" w:hAnsi="Times New Roman" w:cs="Times New Roman" w:eastAsia="Times New Roman" w:hint="default"/>
        </w:rPr>
        <w:t>197.16%</w:t>
      </w:r>
      <w:r>
        <w:rPr/>
        <w:t>，归属股东的净利润 </w:t>
      </w:r>
      <w:r>
        <w:rPr>
          <w:rFonts w:ascii="Times New Roman" w:hAnsi="Times New Roman" w:cs="Times New Roman" w:eastAsia="Times New Roman" w:hint="default"/>
        </w:rPr>
        <w:t>4,751.48</w:t>
      </w:r>
      <w:r>
        <w:rPr>
          <w:rFonts w:ascii="Times New Roman" w:hAnsi="Times New Roman" w:cs="Times New Roman" w:eastAsia="Times New Roman" w:hint="default"/>
          <w:spacing w:val="39"/>
        </w:rPr>
        <w:t> </w:t>
      </w:r>
      <w:r>
        <w:rPr/>
        <w:t>万元，同比</w:t>
      </w:r>
      <w:r>
        <w:rPr>
          <w:rFonts w:ascii="Times New Roman" w:hAnsi="Times New Roman" w:cs="Times New Roman" w:eastAsia="Times New Roman" w:hint="default"/>
        </w:rPr>
        <w:t>160.79%</w:t>
      </w:r>
      <w:r>
        <w:rPr/>
        <w:t>。主要是 报告期内完成实施并确认收入的项目规模同比增幅较大。</w:t>
      </w:r>
      <w:r>
        <w:rPr>
          <w:rFonts w:ascii="Times New Roman" w:hAnsi="Times New Roman" w:cs="Times New Roman" w:eastAsia="Times New Roman" w:hint="default"/>
        </w:rPr>
        <w:t>2019</w:t>
      </w:r>
      <w:r>
        <w:rPr/>
        <w:t>年公司高度重视项目的全过程管控，强化日常的督导和检 查，在确保项目质量的前提下，有效提升了项目的实施进度，报告期内完成实施项目数量及金额规模同比有较大幅度增 长。</w:t>
      </w:r>
    </w:p>
    <w:p>
      <w:pPr>
        <w:pStyle w:val="BodyText"/>
        <w:spacing w:line="396" w:lineRule="auto" w:before="49"/>
        <w:ind w:right="1410" w:firstLine="360"/>
        <w:jc w:val="both"/>
      </w:pPr>
      <w:r>
        <w:rPr/>
        <w:t>报告期综合毛利率有所下降，一是我公司近年来积极拓展在其他行业领域的业务规模，在业务拓展过程中为获取新 行业领域的订单，设定的产品毛利率较低。二是受市场行情影响，客户定价及预算相对偏低；三是公司在争取标杆性的 大型项目中，考虑到大型项目的规模优势和利润效应，且能为公司未来的发展提供行业影响力支持，设定的毛利率相对 较低。</w:t>
      </w:r>
    </w:p>
    <w:p>
      <w:pPr>
        <w:pStyle w:val="BodyText"/>
        <w:spacing w:line="240" w:lineRule="auto" w:before="38"/>
        <w:ind w:left="513" w:right="1116"/>
        <w:jc w:val="left"/>
      </w:pPr>
      <w:r>
        <w:rPr/>
        <w:t>费用管控方面，公司以业绩目标为导向，注重执行效率的提升，合理控制运营管理费用，除公司继续加大产品及新</w:t>
      </w:r>
    </w:p>
    <w:p>
      <w:pPr>
        <w:spacing w:after="0" w:line="240" w:lineRule="auto"/>
        <w:jc w:val="left"/>
        <w:sectPr>
          <w:pgSz w:w="11910" w:h="16840"/>
          <w:pgMar w:header="877" w:footer="980" w:top="1080" w:bottom="1160" w:left="980" w:right="0"/>
        </w:sectPr>
      </w:pPr>
    </w:p>
    <w:p>
      <w:pPr>
        <w:spacing w:line="240" w:lineRule="auto" w:before="10"/>
        <w:rPr>
          <w:rFonts w:ascii="宋体" w:hAnsi="宋体" w:cs="宋体" w:eastAsia="宋体" w:hint="default"/>
          <w:sz w:val="26"/>
          <w:szCs w:val="26"/>
        </w:rPr>
      </w:pPr>
    </w:p>
    <w:p>
      <w:pPr>
        <w:spacing w:line="396" w:lineRule="auto" w:before="44"/>
        <w:ind w:left="513" w:right="6794" w:hanging="361"/>
        <w:jc w:val="left"/>
        <w:rPr>
          <w:rFonts w:ascii="宋体" w:hAnsi="宋体" w:cs="宋体" w:eastAsia="宋体" w:hint="default"/>
          <w:sz w:val="18"/>
          <w:szCs w:val="18"/>
        </w:rPr>
      </w:pPr>
      <w:r>
        <w:rPr>
          <w:rFonts w:ascii="宋体" w:hAnsi="宋体" w:cs="宋体" w:eastAsia="宋体" w:hint="default"/>
          <w:sz w:val="18"/>
          <w:szCs w:val="18"/>
        </w:rPr>
        <w:t>技术研发必要的投入外，其他运营费用控制较好。 三、</w:t>
      </w:r>
      <w:r>
        <w:rPr>
          <w:rFonts w:ascii="宋体" w:hAnsi="宋体" w:cs="宋体" w:eastAsia="宋体" w:hint="default"/>
          <w:b/>
          <w:bCs/>
          <w:sz w:val="18"/>
          <w:szCs w:val="18"/>
        </w:rPr>
        <w:t>经营现金流及资金管理</w:t>
      </w:r>
      <w:r>
        <w:rPr>
          <w:rFonts w:ascii="宋体" w:hAnsi="宋体" w:cs="宋体" w:eastAsia="宋体" w:hint="default"/>
          <w:sz w:val="18"/>
          <w:szCs w:val="18"/>
        </w:rPr>
      </w:r>
    </w:p>
    <w:p>
      <w:pPr>
        <w:pStyle w:val="BodyText"/>
        <w:spacing w:line="398" w:lineRule="auto" w:before="38"/>
        <w:ind w:right="1410" w:firstLine="360"/>
        <w:jc w:val="both"/>
      </w:pPr>
      <w:r>
        <w:rPr/>
        <w:t>报告期内，公司继续实行稳健经营策略，主营业务回款、资金结存量均达预期指标，同时合理、有序安排了各类资 金支付需求，确保了公司资金链整体运行安全、稳健。注重资金的过程管理，实行严格的资金计划管控，确保净利润能 快速转化为经营性现金净流量。</w:t>
      </w:r>
    </w:p>
    <w:p>
      <w:pPr>
        <w:pStyle w:val="BodyText"/>
        <w:spacing w:line="451" w:lineRule="auto" w:before="73"/>
        <w:ind w:right="1407" w:firstLine="360"/>
        <w:jc w:val="both"/>
      </w:pPr>
      <w:r>
        <w:rPr/>
        <w:t>报告期末公司货币资金余额</w:t>
      </w:r>
      <w:r>
        <w:rPr>
          <w:rFonts w:ascii="Times New Roman" w:hAnsi="Times New Roman" w:cs="Times New Roman" w:eastAsia="Times New Roman" w:hint="default"/>
        </w:rPr>
        <w:t>47,295.84</w:t>
      </w:r>
      <w:r>
        <w:rPr/>
        <w:t>万元，实现经营性现金净流入</w:t>
      </w:r>
      <w:r>
        <w:rPr>
          <w:rFonts w:ascii="Times New Roman" w:hAnsi="Times New Roman" w:cs="Times New Roman" w:eastAsia="Times New Roman" w:hint="default"/>
        </w:rPr>
        <w:t>11,076.11</w:t>
      </w:r>
      <w:r>
        <w:rPr/>
        <w:t>万元，主要是公司持续强化和重视应收 </w:t>
      </w:r>
      <w:r>
        <w:rPr>
          <w:spacing w:val="-1"/>
        </w:rPr>
        <w:t>账款回款管理及与供应商结算管理以及新增业务订单带来的现金流入增加所致。报告期末公司资产负债率</w:t>
      </w:r>
      <w:r>
        <w:rPr>
          <w:rFonts w:ascii="Times New Roman" w:hAnsi="Times New Roman" w:cs="Times New Roman" w:eastAsia="Times New Roman" w:hint="default"/>
          <w:spacing w:val="-1"/>
        </w:rPr>
        <w:t>55.21%</w:t>
      </w:r>
      <w:r>
        <w:rPr>
          <w:spacing w:val="-1"/>
        </w:rPr>
        <w:t>，偿债</w:t>
      </w:r>
      <w:r>
        <w:rPr>
          <w:spacing w:val="-49"/>
        </w:rPr>
        <w:t> </w:t>
      </w:r>
      <w:r>
        <w:rPr>
          <w:spacing w:val="-49"/>
        </w:rPr>
      </w:r>
      <w:r>
        <w:rPr/>
        <w:t>能力较强，资产负债结构良好。</w:t>
      </w:r>
    </w:p>
    <w:p>
      <w:pPr>
        <w:pStyle w:val="Heading2"/>
        <w:spacing w:line="263" w:lineRule="exact"/>
        <w:ind w:right="1116"/>
        <w:jc w:val="left"/>
        <w:rPr>
          <w:b w:val="0"/>
          <w:bCs w:val="0"/>
        </w:rPr>
      </w:pPr>
      <w:bookmarkStart w:name="二、主营业务分析" w:id="24"/>
      <w:bookmarkEnd w:id="24"/>
      <w:r>
        <w:rPr>
          <w:b w:val="0"/>
          <w:bCs w:val="0"/>
        </w:rPr>
      </w:r>
      <w:r>
        <w:rPr/>
        <w:t>二、主营业务分析</w:t>
      </w:r>
      <w:r>
        <w:rPr>
          <w:b w:val="0"/>
          <w:bCs w:val="0"/>
        </w:rPr>
      </w:r>
    </w:p>
    <w:p>
      <w:pPr>
        <w:pStyle w:val="Heading3"/>
        <w:spacing w:line="240" w:lineRule="auto" w:before="25"/>
        <w:ind w:right="1116"/>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pStyle w:val="BodyText"/>
        <w:spacing w:line="240" w:lineRule="auto" w:before="124"/>
        <w:ind w:right="1116"/>
        <w:jc w:val="left"/>
      </w:pPr>
      <w:r>
        <w:rPr/>
        <w:t>参见“经营情况讨论与分析”中的“一、概述”相关内容。</w:t>
      </w:r>
    </w:p>
    <w:p>
      <w:pPr>
        <w:pStyle w:val="Heading3"/>
        <w:spacing w:line="240" w:lineRule="auto" w:before="132"/>
        <w:ind w:right="1116"/>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pStyle w:val="Heading3"/>
        <w:spacing w:line="240" w:lineRule="auto" w:before="21"/>
        <w:ind w:right="1116"/>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pStyle w:val="BodyText"/>
        <w:spacing w:line="240" w:lineRule="auto" w:before="123"/>
        <w:ind w:right="1116"/>
        <w:jc w:val="left"/>
      </w:pPr>
      <w:r>
        <w:rPr/>
        <w:t>营业收入整体情况</w:t>
      </w:r>
    </w:p>
    <w:p>
      <w:pPr>
        <w:pStyle w:val="BodyText"/>
        <w:spacing w:line="240" w:lineRule="auto" w:before="153"/>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58"/>
        <w:gridCol w:w="1486"/>
        <w:gridCol w:w="1500"/>
        <w:gridCol w:w="1536"/>
        <w:gridCol w:w="1594"/>
        <w:gridCol w:w="1594"/>
      </w:tblGrid>
      <w:tr>
        <w:trPr>
          <w:trHeight w:val="322"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29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6"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712,409,042.47</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416,147,308.87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71.19%</w:t>
            </w:r>
          </w:p>
        </w:tc>
      </w:tr>
      <w:tr>
        <w:trPr>
          <w:trHeight w:val="31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710,536,188.46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99.74%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414,544,935.47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71.40%</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1,872,854.01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1,602,373.40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16.88%</w:t>
            </w:r>
          </w:p>
        </w:tc>
      </w:tr>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工业生产型物流系统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605,154,471.75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84.94%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349,780,836.75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73.01%</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商业配送型物流系统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9,823,409.65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7"/>
                <w:sz w:val="18"/>
                <w:szCs w:val="18"/>
              </w:rPr>
              <w:t>运营维护（售后服务）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95,509,634.50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13.41%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64,764,098.72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47.47%</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1,872,854.01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1,602,373.40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16.88%</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48,672.56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39,971,457.57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5.61%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1,658,408.88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2,310.23%</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3,942,760.97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2,054,000.68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91.96%</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135,332,150.44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19.00%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7,218,931.05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1,774.68%</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321,243,572.98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45.09%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90,692,471.19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254.21%</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28,107,763.23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95,094,923.18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-70.44%</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103,630,722.71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207,380,844.93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-50.03%</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80,117,500.57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11.25%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12,047,728.96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565.00%</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63,114.00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right="11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BodyText"/>
        <w:spacing w:line="240" w:lineRule="auto" w:before="139"/>
        <w:ind w:left="0" w:right="1131"/>
        <w:jc w:val="right"/>
      </w:pPr>
      <w:r>
        <w:rPr/>
        <w:t>单位：元</w:t>
      </w:r>
    </w:p>
    <w:p>
      <w:pPr>
        <w:spacing w:after="0" w:line="240" w:lineRule="auto"/>
        <w:jc w:val="right"/>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166" w:hRule="exact"/>
        </w:trPr>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51" w:hRule="exact"/>
        </w:trPr>
        <w:tc>
          <w:tcPr>
            <w:tcW w:w="1520"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20"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166" w:hRule="exact"/>
        </w:trPr>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87" w:hRule="exact"/>
        </w:trPr>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329,341,620.77</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5"/>
                <w:szCs w:val="15"/>
              </w:rPr>
            </w:pPr>
            <w:r>
              <w:rPr>
                <w:rFonts w:ascii="Times New Roman"/>
                <w:sz w:val="15"/>
              </w:rPr>
              <w:t>147,683,333.69</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37,950,311.93</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197,433,776.08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131,204,738.05</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153,170,765.27</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t>60,722,685.55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t>71,049,120.00</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85" w:hRule="exact"/>
        </w:trPr>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634"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38,523,932.70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8,040,463.46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15"/>
                <w:szCs w:val="15"/>
              </w:rPr>
            </w:pPr>
            <w:r>
              <w:rPr>
                <w:rFonts w:ascii="Times New Roman"/>
                <w:sz w:val="15"/>
              </w:rPr>
              <w:t>-20,231,670.97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21,182,090.11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sz w:val="15"/>
              </w:rPr>
              <w:t>24,906,708.73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8,970,335.76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15"/>
                <w:szCs w:val="15"/>
              </w:rPr>
            </w:pPr>
            <w:r>
              <w:rPr>
                <w:rFonts w:ascii="Times New Roman"/>
                <w:sz w:val="15"/>
              </w:rPr>
              <w:t>-12,343,936.24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Times New Roman" w:hAnsi="Times New Roman" w:cs="Times New Roman" w:eastAsia="Times New Roman" w:hint="default"/>
                <w:sz w:val="15"/>
                <w:szCs w:val="15"/>
              </w:rPr>
            </w:pPr>
            <w:r>
              <w:rPr>
                <w:rFonts w:ascii="Times New Roman"/>
                <w:sz w:val="15"/>
              </w:rPr>
              <w:t>-3,313,259.98</w:t>
            </w:r>
          </w:p>
        </w:tc>
      </w:tr>
    </w:tbl>
    <w:p>
      <w:pPr>
        <w:pStyle w:val="BodyText"/>
        <w:spacing w:line="477" w:lineRule="auto" w:before="87"/>
        <w:ind w:right="6614"/>
        <w:jc w:val="left"/>
      </w:pPr>
      <w:r>
        <w:rPr/>
        <w:t>说明经营季节性（或周期性）发生的原因及波动风险 公司经营没有固定的季节性，但有很大的波动性。</w:t>
      </w:r>
    </w:p>
    <w:p>
      <w:pPr>
        <w:pStyle w:val="BodyText"/>
        <w:spacing w:line="477" w:lineRule="auto" w:before="54"/>
        <w:ind w:right="1130"/>
        <w:jc w:val="both"/>
      </w:pPr>
      <w:r>
        <w:rPr>
          <w:spacing w:val="-5"/>
        </w:rPr>
        <w:t>公司单个项目金额较高、实施周期较长，大项目的收入确认对当期营业收入影响较大；若受到客户修改规划设计方案或土建、</w:t>
      </w:r>
      <w:r>
        <w:rPr>
          <w:spacing w:val="-76"/>
        </w:rPr>
        <w:t> </w:t>
      </w:r>
      <w:r>
        <w:rPr>
          <w:spacing w:val="-76"/>
        </w:rPr>
      </w:r>
      <w:r>
        <w:rPr>
          <w:spacing w:val="-2"/>
        </w:rPr>
        <w:t>通风、供电、消防等工程未能如期完工的影响，项目的收入确认时点具有不确定性。因此，公司可能出现某个季度由于可确</w:t>
      </w:r>
      <w:r>
        <w:rPr>
          <w:spacing w:val="-67"/>
        </w:rPr>
        <w:t> </w:t>
      </w:r>
      <w:r>
        <w:rPr>
          <w:spacing w:val="-67"/>
        </w:rPr>
      </w:r>
      <w:r>
        <w:rPr>
          <w:spacing w:val="-2"/>
        </w:rPr>
        <w:t>认收入项目数量较少、金额较小而产生亏损；或者某个季度可确认收入项目数量较多、金额较大而使当季度业绩大幅提升等</w:t>
      </w:r>
      <w:r>
        <w:rPr>
          <w:spacing w:val="-63"/>
        </w:rPr>
        <w:t> </w:t>
      </w:r>
      <w:r>
        <w:rPr>
          <w:spacing w:val="-63"/>
        </w:rPr>
      </w:r>
      <w:r>
        <w:rPr/>
        <w:t>情形。</w:t>
      </w:r>
    </w:p>
    <w:p>
      <w:pPr>
        <w:pStyle w:val="Heading3"/>
        <w:spacing w:line="245" w:lineRule="exact"/>
        <w:ind w:right="0"/>
        <w:jc w:val="both"/>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pStyle w:val="BodyText"/>
        <w:spacing w:line="240" w:lineRule="auto" w:before="123"/>
        <w:ind w:right="0"/>
        <w:jc w:val="both"/>
      </w:pPr>
      <w:r>
        <w:rPr>
          <w:rFonts w:ascii="Times New Roman" w:hAnsi="Times New Roman" w:cs="Times New Roman" w:eastAsia="Times New Roman" w:hint="default"/>
        </w:rPr>
        <w:t>√  </w:t>
      </w:r>
      <w:r>
        <w:rPr/>
        <w:t>适用 □</w:t>
      </w:r>
      <w:r>
        <w:rPr>
          <w:spacing w:val="3"/>
        </w:rPr>
        <w:t> </w:t>
      </w:r>
      <w:r>
        <w:rPr/>
        <w:t>不适用</w:t>
      </w:r>
    </w:p>
    <w:p>
      <w:pPr>
        <w:spacing w:line="240" w:lineRule="auto" w:before="9"/>
        <w:rPr>
          <w:rFonts w:ascii="宋体" w:hAnsi="宋体" w:cs="宋体" w:eastAsia="宋体" w:hint="default"/>
          <w:sz w:val="16"/>
          <w:szCs w:val="1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BodyText"/>
        <w:spacing w:line="240" w:lineRule="auto" w:before="139"/>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烟草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254,529,795.85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160,527,510.41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-2.50%</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264,124,569.32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188,052,020.12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53.32%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53.69%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-0.17%</w:t>
            </w:r>
          </w:p>
        </w:tc>
      </w:tr>
      <w:tr>
        <w:trPr>
          <w:trHeight w:val="32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工业生产型物 流系统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605,154,471.75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441,819,648.19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83.71%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运营维护（售 后服务）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95,509,634.50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57,036,627.30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47.47%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-12.95%</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135,332,150.44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86,017,240.23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1,774.68%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1,863.85%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-2.89%</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321,243,572.98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234,137,032.90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257.25%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-0.62%</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103,630,722.71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77,567,344.14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-50.03%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-44.55%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-7.39%</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80,117,500.57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54,415,998.32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734.12%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-13.77%</w:t>
            </w:r>
          </w:p>
        </w:tc>
      </w:tr>
    </w:tbl>
    <w:p>
      <w:pPr>
        <w:pStyle w:val="BodyText"/>
        <w:spacing w:line="240" w:lineRule="auto" w:before="87"/>
        <w:ind w:right="111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spacing w:line="240" w:lineRule="auto" w:before="9"/>
        <w:rPr>
          <w:rFonts w:ascii="宋体" w:hAnsi="宋体" w:cs="宋体" w:eastAsia="宋体" w:hint="default"/>
          <w:sz w:val="16"/>
          <w:szCs w:val="16"/>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1116"/>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1116"/>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240" w:lineRule="auto" w:before="123"/>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1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after="0" w:line="240"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t>单一销售合同金额占公司最近一个会计年度经审计营业收入</w:t>
      </w:r>
      <w:r>
        <w:rPr>
          <w:spacing w:val="-46"/>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spacing w:line="240" w:lineRule="auto" w:before="10"/>
        <w:rPr>
          <w:rFonts w:ascii="宋体" w:hAnsi="宋体" w:cs="宋体" w:eastAsia="宋体" w:hint="default"/>
          <w:sz w:val="16"/>
          <w:szCs w:val="16"/>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44"/>
        <w:ind w:left="0" w:right="137"/>
        <w:jc w:val="right"/>
      </w:pPr>
      <w:r>
        <w:rPr/>
        <w:t>单位：元</w:t>
      </w:r>
    </w:p>
    <w:p>
      <w:pPr>
        <w:spacing w:line="240" w:lineRule="auto" w:before="4"/>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388"/>
        <w:gridCol w:w="1500"/>
        <w:gridCol w:w="1124"/>
        <w:gridCol w:w="1306"/>
        <w:gridCol w:w="1066"/>
        <w:gridCol w:w="1080"/>
        <w:gridCol w:w="1560"/>
        <w:gridCol w:w="1589"/>
        <w:gridCol w:w="1606"/>
      </w:tblGrid>
      <w:tr>
        <w:trPr>
          <w:trHeight w:val="947"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项目执行进度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48" w:right="167" w:hanging="180"/>
              <w:jc w:val="left"/>
              <w:rPr>
                <w:rFonts w:ascii="宋体" w:hAnsi="宋体" w:cs="宋体" w:eastAsia="宋体" w:hint="default"/>
                <w:sz w:val="18"/>
                <w:szCs w:val="18"/>
              </w:rPr>
            </w:pPr>
            <w:r>
              <w:rPr>
                <w:rFonts w:ascii="宋体" w:hAnsi="宋体" w:cs="宋体" w:eastAsia="宋体" w:hint="default"/>
                <w:sz w:val="18"/>
                <w:szCs w:val="18"/>
              </w:rPr>
              <w:t>本期确认 收入</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累计确认 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58" w:right="159"/>
              <w:jc w:val="center"/>
              <w:rPr>
                <w:rFonts w:ascii="宋体" w:hAnsi="宋体" w:cs="宋体" w:eastAsia="宋体" w:hint="default"/>
                <w:sz w:val="18"/>
                <w:szCs w:val="18"/>
              </w:rPr>
            </w:pPr>
            <w:r>
              <w:rPr>
                <w:rFonts w:ascii="宋体" w:hAnsi="宋体" w:cs="宋体" w:eastAsia="宋体" w:hint="default"/>
                <w:sz w:val="18"/>
                <w:szCs w:val="18"/>
              </w:rPr>
              <w:t>项目进展是否达 到计划进度或预 期</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56" w:right="167" w:hanging="89"/>
              <w:jc w:val="left"/>
              <w:rPr>
                <w:rFonts w:ascii="宋体" w:hAnsi="宋体" w:cs="宋体" w:eastAsia="宋体" w:hint="default"/>
                <w:sz w:val="18"/>
                <w:szCs w:val="18"/>
              </w:rPr>
            </w:pPr>
            <w:r>
              <w:rPr>
                <w:rFonts w:ascii="宋体" w:hAnsi="宋体" w:cs="宋体" w:eastAsia="宋体" w:hint="default"/>
                <w:sz w:val="18"/>
                <w:szCs w:val="18"/>
              </w:rPr>
              <w:t>未达到计划进度 或预期的原因</w:t>
            </w:r>
          </w:p>
        </w:tc>
      </w:tr>
      <w:tr>
        <w:trPr>
          <w:trHeight w:val="94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both"/>
              <w:rPr>
                <w:rFonts w:ascii="宋体" w:hAnsi="宋体" w:cs="宋体" w:eastAsia="宋体" w:hint="default"/>
                <w:sz w:val="18"/>
                <w:szCs w:val="18"/>
              </w:rPr>
            </w:pPr>
            <w:r>
              <w:rPr>
                <w:rFonts w:ascii="宋体" w:hAnsi="宋体" w:cs="宋体" w:eastAsia="宋体" w:hint="default"/>
                <w:sz w:val="18"/>
                <w:szCs w:val="18"/>
              </w:rPr>
              <w:t>华润万家生活超市（东莞） 有限公司凤岗配送中心工艺 设备集成项目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362,735,768.00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采购阶段</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126,957,518.80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8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113"/>
              <w:jc w:val="left"/>
              <w:rPr>
                <w:rFonts w:ascii="宋体" w:hAnsi="宋体" w:cs="宋体" w:eastAsia="宋体" w:hint="default"/>
                <w:sz w:val="18"/>
                <w:szCs w:val="18"/>
              </w:rPr>
            </w:pPr>
            <w:r>
              <w:rPr>
                <w:rFonts w:ascii="宋体" w:hAnsi="宋体" w:cs="宋体" w:eastAsia="宋体" w:hint="default"/>
                <w:sz w:val="18"/>
                <w:szCs w:val="18"/>
              </w:rPr>
              <w:t>中国石化国际事业有限公司 中科炼化自动立体仓库</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139,680,000.00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采购阶段</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41,904,000.00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广州医药有限公司广药生物 </w:t>
            </w:r>
            <w:r>
              <w:rPr>
                <w:rFonts w:ascii="宋体" w:hAnsi="宋体" w:cs="宋体" w:eastAsia="宋体" w:hint="default"/>
                <w:spacing w:val="-7"/>
                <w:sz w:val="18"/>
                <w:szCs w:val="18"/>
              </w:rPr>
              <w:t>医药城白云基地项目（一期）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分拣输送系统及相关服务采 购</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123,773,965.52</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采购阶段</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37,132,189.66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
              <w:jc w:val="left"/>
              <w:rPr>
                <w:rFonts w:ascii="宋体" w:hAnsi="宋体" w:cs="宋体" w:eastAsia="宋体" w:hint="default"/>
                <w:sz w:val="18"/>
                <w:szCs w:val="18"/>
              </w:rPr>
            </w:pPr>
            <w:r>
              <w:rPr>
                <w:rFonts w:ascii="宋体" w:hAnsi="宋体" w:cs="宋体" w:eastAsia="宋体" w:hint="default"/>
                <w:sz w:val="18"/>
                <w:szCs w:val="18"/>
              </w:rPr>
              <w:t>广州医药有限公司广药生物 </w:t>
            </w:r>
            <w:r>
              <w:rPr>
                <w:rFonts w:ascii="宋体" w:hAnsi="宋体" w:cs="宋体" w:eastAsia="宋体" w:hint="default"/>
                <w:spacing w:val="-7"/>
                <w:sz w:val="18"/>
                <w:szCs w:val="18"/>
              </w:rPr>
              <w:t>医药城白云基地项目（一期）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立库和冷库存储拣选设备系 统及相关服务采购</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52,591,758.62</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采购阶段</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15,777,527.58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both"/>
              <w:rPr>
                <w:rFonts w:ascii="宋体" w:hAnsi="宋体" w:cs="宋体" w:eastAsia="宋体" w:hint="default"/>
                <w:sz w:val="18"/>
                <w:szCs w:val="18"/>
              </w:rPr>
            </w:pPr>
            <w:r>
              <w:rPr>
                <w:rFonts w:ascii="宋体" w:hAnsi="宋体" w:cs="宋体" w:eastAsia="宋体" w:hint="default"/>
                <w:sz w:val="18"/>
                <w:szCs w:val="18"/>
              </w:rPr>
              <w:t>中国石化工程建设有限公司 中韩石化乙烯脱瓶颈改造项 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总承包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84,980,000.00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采购阶段</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25,494,000.00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3"/>
              <w:jc w:val="both"/>
              <w:rPr>
                <w:rFonts w:ascii="宋体" w:hAnsi="宋体" w:cs="宋体" w:eastAsia="宋体" w:hint="default"/>
                <w:sz w:val="18"/>
                <w:szCs w:val="18"/>
              </w:rPr>
            </w:pPr>
            <w:r>
              <w:rPr>
                <w:rFonts w:ascii="宋体" w:hAnsi="宋体" w:cs="宋体" w:eastAsia="宋体" w:hint="default"/>
                <w:sz w:val="18"/>
                <w:szCs w:val="18"/>
              </w:rPr>
              <w:t>东莞怡合达自动化股份有限 公司华南供应链基地自动化 仓项目自动化物流设备系统 总承包及相关服务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89,400,000.00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细化设计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66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103" w:right="113"/>
              <w:jc w:val="left"/>
              <w:rPr>
                <w:rFonts w:ascii="宋体" w:hAnsi="宋体" w:cs="宋体" w:eastAsia="宋体" w:hint="default"/>
                <w:sz w:val="18"/>
                <w:szCs w:val="18"/>
              </w:rPr>
            </w:pPr>
            <w:r>
              <w:rPr>
                <w:rFonts w:ascii="宋体" w:hAnsi="宋体" w:cs="宋体" w:eastAsia="宋体" w:hint="default"/>
                <w:sz w:val="18"/>
                <w:szCs w:val="18"/>
              </w:rPr>
              <w:t>青海比亚迪锂电池有限公司 青海比亚迪物流仓储系统</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96,666,666.00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安装调试</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77" w:footer="980" w:top="1080" w:bottom="1160" w:left="1300" w:right="1300"/>
          <w:pgNumType w:start="16"/>
        </w:sectPr>
      </w:pPr>
    </w:p>
    <w:p>
      <w:pPr>
        <w:spacing w:line="240" w:lineRule="auto" w:before="4"/>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388"/>
        <w:gridCol w:w="1500"/>
        <w:gridCol w:w="1124"/>
        <w:gridCol w:w="1306"/>
        <w:gridCol w:w="1066"/>
        <w:gridCol w:w="1080"/>
        <w:gridCol w:w="1560"/>
        <w:gridCol w:w="1589"/>
        <w:gridCol w:w="1606"/>
      </w:tblGrid>
      <w:tr>
        <w:trPr>
          <w:trHeight w:val="110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江西中烟工业有限责任公司 广丰卷烟厂技改项目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54,132,910.06</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安装调试</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26,366,460.50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16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080" w:bottom="1160" w:left="1300" w:right="1300"/>
        </w:sectPr>
      </w:pPr>
    </w:p>
    <w:p>
      <w:pPr>
        <w:spacing w:line="240" w:lineRule="auto" w:before="9"/>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headerReference w:type="default" r:id="rId17"/>
          <w:footerReference w:type="default" r:id="rId18"/>
          <w:pgSz w:w="11910" w:h="16840"/>
          <w:pgMar w:header="877" w:footer="980" w:top="1080" w:bottom="1160" w:left="980" w:right="0"/>
          <w:pgNumType w:start="18"/>
        </w:sectPr>
      </w:pPr>
    </w:p>
    <w:p>
      <w:pPr>
        <w:pStyle w:val="Heading3"/>
        <w:spacing w:line="240" w:lineRule="auto" w:before="36"/>
        <w:ind w:right="-16"/>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pStyle w:val="BodyText"/>
        <w:spacing w:line="240" w:lineRule="auto" w:before="44"/>
        <w:ind w:right="-16"/>
        <w:jc w:val="left"/>
      </w:pPr>
      <w:r>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49" w:space="6971"/>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64"/>
        <w:gridCol w:w="1073"/>
        <w:gridCol w:w="1368"/>
        <w:gridCol w:w="1366"/>
        <w:gridCol w:w="1368"/>
        <w:gridCol w:w="1366"/>
        <w:gridCol w:w="1368"/>
      </w:tblGrid>
      <w:tr>
        <w:trPr>
          <w:trHeight w:val="322" w:hRule="exact"/>
        </w:trPr>
        <w:tc>
          <w:tcPr>
            <w:tcW w:w="1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664"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505,399,685.85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271,794,706.33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85.95%</w:t>
            </w: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702,290.06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635,972.76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10.43%</w:t>
            </w:r>
          </w:p>
        </w:tc>
      </w:tr>
    </w:tbl>
    <w:p>
      <w:pPr>
        <w:pStyle w:val="BodyText"/>
        <w:spacing w:line="240" w:lineRule="auto" w:before="8"/>
        <w:ind w:left="0" w:right="1131"/>
        <w:jc w:val="right"/>
      </w:pPr>
      <w:r>
        <w:rPr/>
        <w:t>单位：元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47"/>
        <w:gridCol w:w="1090"/>
        <w:gridCol w:w="1368"/>
        <w:gridCol w:w="1366"/>
        <w:gridCol w:w="1368"/>
        <w:gridCol w:w="1366"/>
        <w:gridCol w:w="1368"/>
      </w:tblGrid>
      <w:tr>
        <w:trPr>
          <w:trHeight w:val="323"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工业生产型物流 系统</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441,819,648.19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240,498,754.16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83.71%</w:t>
            </w:r>
          </w:p>
        </w:tc>
      </w:tr>
      <w:tr>
        <w:trPr>
          <w:trHeight w:val="63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商业配送型物流 系统</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6,520,814.37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1,008,651.25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546.49%</w:t>
            </w:r>
          </w:p>
        </w:tc>
      </w:tr>
      <w:tr>
        <w:trPr>
          <w:trHeight w:val="63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运营维护（售后服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57,036,627.30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30,287,300.92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88.32%</w:t>
            </w:r>
          </w:p>
        </w:tc>
      </w:tr>
      <w:tr>
        <w:trPr>
          <w:trHeight w:val="322"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702,290.06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635,972.76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10.43%</w:t>
            </w:r>
          </w:p>
        </w:tc>
      </w:tr>
      <w:tr>
        <w:trPr>
          <w:trHeight w:val="32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22,595.99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7"/>
        <w:ind w:right="1116"/>
        <w:jc w:val="left"/>
      </w:pPr>
      <w:r>
        <w:rPr/>
        <w:t>说明</w:t>
      </w:r>
    </w:p>
    <w:p>
      <w:pPr>
        <w:spacing w:line="240" w:lineRule="auto" w:before="10"/>
        <w:rPr>
          <w:rFonts w:ascii="宋体" w:hAnsi="宋体" w:cs="宋体" w:eastAsia="宋体" w:hint="default"/>
          <w:sz w:val="17"/>
          <w:szCs w:val="17"/>
        </w:rPr>
      </w:pPr>
    </w:p>
    <w:p>
      <w:pPr>
        <w:pStyle w:val="BodyText"/>
        <w:spacing w:line="451" w:lineRule="auto"/>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主营业务成本构成</w:t>
      </w:r>
    </w:p>
    <w:p>
      <w:pPr>
        <w:pStyle w:val="BodyText"/>
        <w:spacing w:line="230" w:lineRule="exact"/>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465,785,985.80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92.03%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237,994,476.58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95.71%</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14,939,155.29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12,815,468.27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16.57%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24,651,948.77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20,984,761.48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17.48%</w:t>
            </w:r>
          </w:p>
        </w:tc>
      </w:tr>
    </w:tbl>
    <w:p>
      <w:pPr>
        <w:pStyle w:val="Heading3"/>
        <w:spacing w:line="278" w:lineRule="exact"/>
        <w:ind w:right="1116"/>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1116"/>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pStyle w:val="BodyText"/>
        <w:spacing w:line="240" w:lineRule="auto" w:before="121"/>
        <w:ind w:right="1116"/>
        <w:jc w:val="left"/>
      </w:pPr>
      <w:r>
        <w:rPr/>
        <w:t>公司主要销售客户情况</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488,297,332.11</w:t>
            </w:r>
          </w:p>
        </w:tc>
      </w:tr>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68.55%</w:t>
            </w:r>
          </w:p>
        </w:tc>
      </w:tr>
      <w:tr>
        <w:trPr>
          <w:trHeight w:val="63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7"/>
        <w:ind w:right="111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801"/>
        <w:gridCol w:w="3466"/>
        <w:gridCol w:w="2597"/>
        <w:gridCol w:w="2705"/>
      </w:tblGrid>
      <w:tr>
        <w:trPr>
          <w:trHeight w:val="322"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802"/>
        <w:gridCol w:w="3466"/>
        <w:gridCol w:w="2597"/>
        <w:gridCol w:w="2705"/>
      </w:tblGrid>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249,817,854.24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35.07%</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132,153,293.01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18.55%</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39,442,136.75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5.54%</w:t>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35,025,641.03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4.92%</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31,858,407.08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4.47%</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488,297,332.11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68.55%</w:t>
            </w:r>
          </w:p>
        </w:tc>
      </w:tr>
    </w:tbl>
    <w:p>
      <w:pPr>
        <w:pStyle w:val="BodyText"/>
        <w:spacing w:line="240" w:lineRule="auto" w:before="87"/>
        <w:ind w:right="1116"/>
        <w:jc w:val="left"/>
      </w:pPr>
      <w:r>
        <w:rPr/>
        <w:t>主要客户其他情况说明</w:t>
      </w:r>
    </w:p>
    <w:p>
      <w:pPr>
        <w:spacing w:line="240" w:lineRule="auto" w:before="10"/>
        <w:rPr>
          <w:rFonts w:ascii="宋体" w:hAnsi="宋体" w:cs="宋体" w:eastAsia="宋体" w:hint="default"/>
          <w:sz w:val="17"/>
          <w:szCs w:val="17"/>
        </w:rPr>
      </w:pPr>
    </w:p>
    <w:p>
      <w:pPr>
        <w:pStyle w:val="BodyText"/>
        <w:spacing w:line="451" w:lineRule="auto"/>
        <w:ind w:right="913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32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210,818,262.20</w:t>
            </w:r>
          </w:p>
        </w:tc>
      </w:tr>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41.50%</w:t>
            </w:r>
          </w:p>
        </w:tc>
      </w:tr>
      <w:tr>
        <w:trPr>
          <w:trHeight w:val="63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02"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4"/>
        <w:ind w:right="111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936"/>
        <w:gridCol w:w="3303"/>
        <w:gridCol w:w="2626"/>
        <w:gridCol w:w="2705"/>
      </w:tblGrid>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67,824,139.91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13.35%</w:t>
            </w:r>
          </w:p>
        </w:tc>
      </w:tr>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49,507,835.61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9.74%</w:t>
            </w:r>
          </w:p>
        </w:tc>
      </w:tr>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44,492,936.34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8.76%</w:t>
            </w:r>
          </w:p>
        </w:tc>
      </w:tr>
      <w:tr>
        <w:trPr>
          <w:trHeight w:val="32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28,834,729.65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5.68%</w:t>
            </w:r>
          </w:p>
        </w:tc>
      </w:tr>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20,158,620.69</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3.97%</w:t>
            </w:r>
          </w:p>
        </w:tc>
      </w:tr>
      <w:tr>
        <w:trPr>
          <w:trHeight w:val="32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210,818,262.20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41.50%</w:t>
            </w:r>
          </w:p>
        </w:tc>
      </w:tr>
    </w:tbl>
    <w:p>
      <w:pPr>
        <w:pStyle w:val="BodyText"/>
        <w:spacing w:line="240" w:lineRule="auto" w:before="87"/>
        <w:ind w:right="1116"/>
        <w:jc w:val="left"/>
      </w:pPr>
      <w:r>
        <w:rPr/>
        <w:t>主要供应商其他情况说明</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980" w:top="108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7"/>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5"/>
          <w:szCs w:val="15"/>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615" w:space="7305"/>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04"/>
        <w:gridCol w:w="1724"/>
        <w:gridCol w:w="1591"/>
        <w:gridCol w:w="1095"/>
        <w:gridCol w:w="3757"/>
      </w:tblGrid>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8" w:right="0"/>
              <w:jc w:val="left"/>
              <w:rPr>
                <w:rFonts w:ascii="Times New Roman" w:hAnsi="Times New Roman" w:cs="Times New Roman" w:eastAsia="Times New Roman" w:hint="default"/>
                <w:sz w:val="18"/>
                <w:szCs w:val="18"/>
              </w:rPr>
            </w:pPr>
            <w:r>
              <w:rPr>
                <w:rFonts w:ascii="Times New Roman"/>
                <w:sz w:val="18"/>
              </w:rPr>
              <w:t>42,971,388.01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3" w:right="0"/>
              <w:jc w:val="left"/>
              <w:rPr>
                <w:rFonts w:ascii="Times New Roman" w:hAnsi="Times New Roman" w:cs="Times New Roman" w:eastAsia="Times New Roman" w:hint="default"/>
                <w:sz w:val="18"/>
                <w:szCs w:val="18"/>
              </w:rPr>
            </w:pPr>
            <w:r>
              <w:rPr>
                <w:rFonts w:ascii="Times New Roman"/>
                <w:sz w:val="18"/>
              </w:rPr>
              <w:t>43,639,279.77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-1.53%</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8" w:right="0"/>
              <w:jc w:val="left"/>
              <w:rPr>
                <w:rFonts w:ascii="Times New Roman" w:hAnsi="Times New Roman" w:cs="Times New Roman" w:eastAsia="Times New Roman" w:hint="default"/>
                <w:sz w:val="18"/>
                <w:szCs w:val="18"/>
              </w:rPr>
            </w:pPr>
            <w:r>
              <w:rPr>
                <w:rFonts w:ascii="Times New Roman"/>
                <w:sz w:val="18"/>
              </w:rPr>
              <w:t>62,884,241.07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3" w:right="0"/>
              <w:jc w:val="left"/>
              <w:rPr>
                <w:rFonts w:ascii="Times New Roman" w:hAnsi="Times New Roman" w:cs="Times New Roman" w:eastAsia="Times New Roman" w:hint="default"/>
                <w:sz w:val="18"/>
                <w:szCs w:val="18"/>
              </w:rPr>
            </w:pPr>
            <w:r>
              <w:rPr>
                <w:rFonts w:ascii="Times New Roman"/>
                <w:sz w:val="18"/>
              </w:rPr>
              <w:t>60,318,326.94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4.25%</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7" w:right="0"/>
              <w:jc w:val="left"/>
              <w:rPr>
                <w:rFonts w:ascii="Times New Roman" w:hAnsi="Times New Roman" w:cs="Times New Roman" w:eastAsia="Times New Roman" w:hint="default"/>
                <w:sz w:val="18"/>
                <w:szCs w:val="18"/>
              </w:rPr>
            </w:pPr>
            <w:r>
              <w:rPr>
                <w:rFonts w:ascii="Times New Roman"/>
                <w:sz w:val="18"/>
              </w:rPr>
              <w:t>-1,158,530.39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sz w:val="18"/>
              </w:rPr>
              <w:t>-2,272,424.88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49.50%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主要系报告期内新增短期借款利息费用所致</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8" w:right="0"/>
              <w:jc w:val="left"/>
              <w:rPr>
                <w:rFonts w:ascii="Times New Roman" w:hAnsi="Times New Roman" w:cs="Times New Roman" w:eastAsia="Times New Roman" w:hint="default"/>
                <w:sz w:val="18"/>
                <w:szCs w:val="18"/>
              </w:rPr>
            </w:pPr>
            <w:r>
              <w:rPr>
                <w:rFonts w:ascii="Times New Roman"/>
                <w:sz w:val="18"/>
              </w:rPr>
              <w:t>52,943,503.30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3" w:right="0"/>
              <w:jc w:val="left"/>
              <w:rPr>
                <w:rFonts w:ascii="Times New Roman" w:hAnsi="Times New Roman" w:cs="Times New Roman" w:eastAsia="Times New Roman" w:hint="default"/>
                <w:sz w:val="18"/>
                <w:szCs w:val="18"/>
              </w:rPr>
            </w:pPr>
            <w:r>
              <w:rPr>
                <w:rFonts w:ascii="Times New Roman"/>
                <w:sz w:val="18"/>
              </w:rPr>
              <w:t>42,594,346.93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24.30%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主要系报告期内研发活动人工支出增加所致</w:t>
            </w:r>
          </w:p>
        </w:tc>
      </w:tr>
    </w:tbl>
    <w:p>
      <w:pPr>
        <w:pStyle w:val="Heading3"/>
        <w:spacing w:line="278" w:lineRule="exact"/>
        <w:ind w:right="1116"/>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pStyle w:val="BodyText"/>
        <w:spacing w:line="240" w:lineRule="auto" w:before="121"/>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10"/>
        <w:rPr>
          <w:rFonts w:ascii="宋体" w:hAnsi="宋体" w:cs="宋体" w:eastAsia="宋体" w:hint="default"/>
          <w:sz w:val="16"/>
          <w:szCs w:val="16"/>
        </w:rPr>
      </w:pPr>
    </w:p>
    <w:p>
      <w:pPr>
        <w:pStyle w:val="BodyText"/>
        <w:spacing w:line="463" w:lineRule="auto"/>
        <w:ind w:right="1133" w:firstLine="360"/>
        <w:jc w:val="both"/>
      </w:pPr>
      <w:r>
        <w:rPr>
          <w:rFonts w:ascii="Times New Roman" w:hAnsi="Times New Roman" w:cs="Times New Roman" w:eastAsia="Times New Roman" w:hint="default"/>
        </w:rPr>
        <w:t>2020</w:t>
      </w:r>
      <w:r>
        <w:rPr/>
        <w:t>年度公司围绕</w:t>
      </w:r>
      <w:r>
        <w:rPr>
          <w:rFonts w:ascii="Times New Roman" w:hAnsi="Times New Roman" w:cs="Times New Roman" w:eastAsia="Times New Roman" w:hint="default"/>
        </w:rPr>
        <w:t>“</w:t>
      </w:r>
      <w:r>
        <w:rPr/>
        <w:t>智慧物流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两个核心完善研发制度，分别在母公司和两个子公司建立了</w:t>
      </w:r>
      <w:r>
        <w:rPr>
          <w:rFonts w:ascii="Times New Roman" w:hAnsi="Times New Roman" w:cs="Times New Roman" w:eastAsia="Times New Roman" w:hint="default"/>
        </w:rPr>
        <w:t>3</w:t>
      </w:r>
      <w:r>
        <w:rPr/>
        <w:t>个研发部门， </w:t>
      </w:r>
      <w:r>
        <w:rPr>
          <w:spacing w:val="-2"/>
        </w:rPr>
        <w:t>不断完善研发管理制度，吸引优秀人才，加深校企合作。依托大数据，云平台，人工智能等技术提升企业打造高端制造业和</w:t>
      </w:r>
      <w:r>
        <w:rPr>
          <w:spacing w:val="-67"/>
        </w:rPr>
        <w:t> </w:t>
      </w:r>
      <w:r>
        <w:rPr>
          <w:spacing w:val="-67"/>
        </w:rPr>
      </w:r>
      <w:r>
        <w:rPr/>
        <w:t>物流业。</w:t>
      </w:r>
    </w:p>
    <w:p>
      <w:pPr>
        <w:spacing w:line="451" w:lineRule="auto" w:before="65"/>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、今天国际工业互联网平台研发项目</w:t>
      </w:r>
      <w:r>
        <w:rPr>
          <w:rFonts w:ascii="宋体" w:hAnsi="宋体" w:cs="宋体" w:eastAsia="宋体" w:hint="default"/>
          <w:b/>
          <w:bCs/>
          <w:w w:val="99"/>
          <w:sz w:val="18"/>
          <w:szCs w:val="18"/>
        </w:rPr>
        <w:t> </w:t>
      </w:r>
      <w:r>
        <w:rPr>
          <w:rFonts w:ascii="宋体" w:hAnsi="宋体" w:cs="宋体" w:eastAsia="宋体" w:hint="default"/>
          <w:spacing w:val="-2"/>
          <w:sz w:val="18"/>
          <w:szCs w:val="18"/>
        </w:rPr>
        <w:t>今天国际工业互联网平台建设项目旨在对公司现有的本地化部署物流信息化系统进行研发和升级，通过将大数据、云计</w:t>
      </w:r>
    </w:p>
    <w:p>
      <w:pPr>
        <w:pStyle w:val="BodyText"/>
        <w:spacing w:line="240" w:lineRule="auto" w:before="74"/>
        <w:ind w:right="0"/>
        <w:jc w:val="left"/>
      </w:pPr>
      <w:r>
        <w:rPr>
          <w:spacing w:val="-5"/>
        </w:rPr>
        <w:t>算、物联网等先进信息技术与物流活动的深度融合，研发服务于智慧生产和智慧物流的工业互联网平台，实现将人、机、料、</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right="1133"/>
        <w:jc w:val="both"/>
      </w:pPr>
      <w:r>
        <w:rPr>
          <w:spacing w:val="-2"/>
        </w:rPr>
        <w:t>环、测进行全面互联，为企业运营的精益改进提供应用支撑。通过项目的研发，以形成公司工业互联网平台服务解决方案与</w:t>
      </w:r>
      <w:r>
        <w:rPr>
          <w:spacing w:val="-66"/>
        </w:rPr>
        <w:t> </w:t>
      </w:r>
      <w:r>
        <w:rPr>
          <w:spacing w:val="-66"/>
        </w:rPr>
      </w:r>
      <w:r>
        <w:rPr/>
        <w:t>数据服务解决方案，为公司创造新的业务与利润来源。</w:t>
      </w:r>
    </w:p>
    <w:p>
      <w:pPr>
        <w:pStyle w:val="BodyText"/>
        <w:spacing w:line="458" w:lineRule="auto" w:before="54"/>
        <w:ind w:right="1133" w:firstLine="360"/>
        <w:jc w:val="both"/>
      </w:pPr>
      <w:r>
        <w:rPr>
          <w:spacing w:val="-3"/>
          <w:w w:val="99"/>
        </w:rPr>
        <w:t>本研发项目，将利用国内成熟基础云平台（如腾讯、阿里、华为等），在</w:t>
      </w:r>
      <w:r>
        <w:rPr>
          <w:rFonts w:ascii="Times New Roman" w:hAnsi="Times New Roman" w:cs="Times New Roman" w:eastAsia="Times New Roman" w:hint="default"/>
          <w:spacing w:val="-3"/>
          <w:w w:val="99"/>
        </w:rPr>
        <w:t>PaaS</w:t>
      </w:r>
      <w:r>
        <w:rPr>
          <w:spacing w:val="-3"/>
          <w:w w:val="99"/>
        </w:rPr>
        <w:t>层融合</w:t>
      </w:r>
      <w:r>
        <w:rPr>
          <w:rFonts w:ascii="Times New Roman" w:hAnsi="Times New Roman" w:cs="Times New Roman" w:eastAsia="Times New Roman" w:hint="default"/>
          <w:spacing w:val="-3"/>
          <w:w w:val="99"/>
        </w:rPr>
        <w:t>3D</w:t>
      </w:r>
      <w:r>
        <w:rPr>
          <w:spacing w:val="-3"/>
          <w:w w:val="99"/>
        </w:rPr>
        <w:t>模型、设备数据采集、机器学习</w:t>
      </w:r>
      <w:r>
        <w:rPr/>
        <w:t> </w:t>
      </w:r>
      <w:r>
        <w:rPr>
          <w:spacing w:val="-2"/>
        </w:rPr>
        <w:t>算法、可视化工具配置等技术，研发出能够提供智能批次管理服务、设备智慧运维服务、智能排产服务、智能调度服务、智</w:t>
      </w:r>
      <w:r>
        <w:rPr>
          <w:spacing w:val="-69"/>
        </w:rPr>
        <w:t> </w:t>
      </w:r>
      <w:r>
        <w:rPr>
          <w:spacing w:val="-69"/>
        </w:rPr>
      </w:r>
      <w:r>
        <w:rPr/>
        <w:t>能监控服务、智能决策服务、智能流程管理服务、</w:t>
      </w:r>
      <w:r>
        <w:rPr>
          <w:rFonts w:ascii="Times New Roman" w:hAnsi="Times New Roman" w:cs="Times New Roman" w:eastAsia="Times New Roman" w:hint="default"/>
        </w:rPr>
        <w:t>3D</w:t>
      </w:r>
      <w:r>
        <w:rPr/>
        <w:t>可视化展示服务的一系列</w:t>
      </w:r>
      <w:r>
        <w:rPr>
          <w:rFonts w:ascii="Times New Roman" w:hAnsi="Times New Roman" w:cs="Times New Roman" w:eastAsia="Times New Roman" w:hint="default"/>
        </w:rPr>
        <w:t>SaaS</w:t>
      </w:r>
      <w:r>
        <w:rPr/>
        <w:t>应用。本项目将打破传统单一系统架构</w:t>
      </w:r>
      <w:r>
        <w:rPr>
          <w:spacing w:val="-39"/>
        </w:rPr>
        <w:t> </w:t>
      </w:r>
      <w:r>
        <w:rPr>
          <w:spacing w:val="-39"/>
        </w:rPr>
      </w:r>
      <w:r>
        <w:rPr/>
        <w:t>束缚，向云化、移动化应用，建立生产与物流的大生态智能管控系统，同时挖掘数据价值，为企业的智能决策提供支撑。</w:t>
      </w:r>
    </w:p>
    <w:p>
      <w:pPr>
        <w:pStyle w:val="BodyText"/>
        <w:spacing w:line="477" w:lineRule="auto" w:before="68"/>
        <w:ind w:right="1133" w:firstLine="360"/>
        <w:jc w:val="both"/>
      </w:pPr>
      <w:r>
        <w:rPr>
          <w:spacing w:val="-2"/>
        </w:rPr>
        <w:t>本项目为今天智能工厂云平台产品研发项目的后续项目；公司重点研发项目，涉及部门众多，总投资过亿，是公司针对</w:t>
      </w:r>
      <w:r>
        <w:rPr/>
        <w:t> 未来市场打造的核心产品；总体分为</w:t>
      </w:r>
      <w:r>
        <w:rPr>
          <w:rFonts w:ascii="Times New Roman" w:hAnsi="Times New Roman" w:cs="Times New Roman" w:eastAsia="Times New Roman" w:hint="default"/>
        </w:rPr>
        <w:t>3</w:t>
      </w:r>
      <w:r>
        <w:rPr/>
        <w:t>期</w:t>
      </w:r>
      <w:r>
        <w:rPr>
          <w:rFonts w:ascii="Times New Roman" w:hAnsi="Times New Roman" w:cs="Times New Roman" w:eastAsia="Times New Roman" w:hint="default"/>
        </w:rPr>
        <w:t>3</w:t>
      </w:r>
      <w:r>
        <w:rPr/>
        <w:t>年完成，</w:t>
      </w:r>
      <w:r>
        <w:rPr>
          <w:rFonts w:ascii="Times New Roman" w:hAnsi="Times New Roman" w:cs="Times New Roman" w:eastAsia="Times New Roman" w:hint="default"/>
        </w:rPr>
        <w:t>19</w:t>
      </w:r>
      <w:r>
        <w:rPr/>
        <w:t>年已经完成项目的规划工作并持续推进。</w:t>
      </w:r>
    </w:p>
    <w:p>
      <w:pPr>
        <w:spacing w:line="451" w:lineRule="auto" w:before="22"/>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iMeter</w:t>
      </w:r>
      <w:r>
        <w:rPr>
          <w:rFonts w:ascii="Times New Roman" w:hAnsi="Times New Roman" w:cs="Times New Roman" w:eastAsia="Times New Roman" w:hint="default"/>
          <w:b/>
          <w:bCs/>
          <w:spacing w:val="39"/>
          <w:sz w:val="18"/>
          <w:szCs w:val="18"/>
        </w:rPr>
        <w:t> </w:t>
      </w:r>
      <w:r>
        <w:rPr>
          <w:rFonts w:ascii="宋体" w:hAnsi="宋体" w:cs="宋体" w:eastAsia="宋体" w:hint="default"/>
          <w:b/>
          <w:bCs/>
          <w:sz w:val="18"/>
          <w:szCs w:val="18"/>
        </w:rPr>
        <w:t>产品开发项目</w:t>
      </w:r>
      <w:r>
        <w:rPr>
          <w:rFonts w:ascii="宋体" w:hAnsi="宋体" w:cs="宋体" w:eastAsia="宋体" w:hint="default"/>
          <w:b/>
          <w:bCs/>
          <w:w w:val="99"/>
          <w:sz w:val="18"/>
          <w:szCs w:val="18"/>
        </w:rPr>
        <w:t> </w:t>
      </w:r>
      <w:r>
        <w:rPr>
          <w:rFonts w:ascii="宋体" w:hAnsi="宋体" w:cs="宋体" w:eastAsia="宋体" w:hint="default"/>
          <w:spacing w:val="-4"/>
          <w:sz w:val="18"/>
          <w:szCs w:val="18"/>
        </w:rPr>
        <w:t>在今天国际已经实施的项目中，客户的设备运行数据并没有被收集与处理。少数项目仅收集用于在客户侧的图形化展示。</w:t>
      </w:r>
    </w:p>
    <w:p>
      <w:pPr>
        <w:pStyle w:val="BodyText"/>
        <w:spacing w:line="463" w:lineRule="auto" w:before="74"/>
        <w:ind w:right="1133"/>
        <w:jc w:val="both"/>
      </w:pPr>
      <w:r>
        <w:rPr>
          <w:spacing w:val="-2"/>
        </w:rPr>
        <w:t>原本可以用于累积与数学分析的数据并没有记录与处理，导致售后对备件的备货缺乏数据依据，客户也无法预支设备的短期</w:t>
      </w:r>
      <w:r>
        <w:rPr>
          <w:spacing w:val="-64"/>
        </w:rPr>
        <w:t> </w:t>
      </w:r>
      <w:r>
        <w:rPr>
          <w:spacing w:val="-64"/>
        </w:rPr>
      </w:r>
      <w:r>
        <w:rPr/>
        <w:t>未来工作情况。针对此情况，决定开发</w:t>
      </w:r>
      <w:r>
        <w:rPr>
          <w:rFonts w:ascii="Times New Roman" w:hAnsi="Times New Roman" w:cs="Times New Roman" w:eastAsia="Times New Roman" w:hint="default"/>
        </w:rPr>
        <w:t>iMeter </w:t>
      </w:r>
      <w:r>
        <w:rPr/>
        <w:t>软件用于实现底层数据收集。该软件具有部署配置简单，跨平台，负载均衡</w:t>
      </w:r>
      <w:r>
        <w:rPr>
          <w:spacing w:val="-79"/>
        </w:rPr>
        <w:t> </w:t>
      </w:r>
      <w:r>
        <w:rPr>
          <w:spacing w:val="-79"/>
        </w:rPr>
      </w:r>
      <w:r>
        <w:rPr/>
        <w:t>等特点，能够实现公司各个布点的数据采集和传输，为后续大数据分析提供数据基础。</w:t>
      </w:r>
    </w:p>
    <w:p>
      <w:pPr>
        <w:spacing w:line="451" w:lineRule="auto" w:before="65"/>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、电控、软件系统数据采集及远程运维服务控制模块</w:t>
      </w:r>
      <w:r>
        <w:rPr>
          <w:rFonts w:ascii="宋体" w:hAnsi="宋体" w:cs="宋体" w:eastAsia="宋体" w:hint="default"/>
          <w:b/>
          <w:bCs/>
          <w:w w:val="99"/>
          <w:sz w:val="18"/>
          <w:szCs w:val="18"/>
        </w:rPr>
        <w:t> </w:t>
      </w:r>
      <w:r>
        <w:rPr>
          <w:rFonts w:ascii="宋体" w:hAnsi="宋体" w:cs="宋体" w:eastAsia="宋体" w:hint="default"/>
          <w:spacing w:val="-2"/>
          <w:sz w:val="18"/>
          <w:szCs w:val="18"/>
        </w:rPr>
        <w:t>目前公司在全国各地的项目越来越多，当某个客户现场出现电控、软件紧急故障的时候，由于售后服务中心电控及软件</w:t>
      </w:r>
    </w:p>
    <w:p>
      <w:pPr>
        <w:pStyle w:val="BodyText"/>
        <w:spacing w:line="477" w:lineRule="auto" w:before="74"/>
        <w:ind w:right="1135"/>
        <w:jc w:val="both"/>
      </w:pPr>
      <w:r>
        <w:rPr>
          <w:spacing w:val="-2"/>
        </w:rPr>
        <w:t>人员有限，且经常因为网络、软件环境等原因无法进行远程处理，必须安排人员到现场，大大增加了售后服务成本。现通过</w:t>
      </w:r>
      <w:r>
        <w:rPr>
          <w:spacing w:val="-67"/>
        </w:rPr>
        <w:t> </w:t>
      </w:r>
      <w:r>
        <w:rPr>
          <w:spacing w:val="-67"/>
        </w:rPr>
      </w:r>
      <w:r>
        <w:rPr/>
        <w:t>售后中心独立研发</w:t>
      </w:r>
      <w:r>
        <w:rPr>
          <w:rFonts w:ascii="Times New Roman" w:hAnsi="Times New Roman" w:cs="Times New Roman" w:eastAsia="Times New Roman" w:hint="default"/>
        </w:rPr>
        <w:t>“</w:t>
      </w:r>
      <w:r>
        <w:rPr/>
        <w:t>电控、软件系统数据采集及远程运维服务控制模块</w:t>
      </w:r>
      <w:r>
        <w:rPr>
          <w:rFonts w:ascii="Times New Roman" w:hAnsi="Times New Roman" w:cs="Times New Roman" w:eastAsia="Times New Roman" w:hint="default"/>
        </w:rPr>
        <w:t>”</w:t>
      </w:r>
      <w:r>
        <w:rPr/>
        <w:t>，让其具备以下功能：</w:t>
      </w:r>
    </w:p>
    <w:p>
      <w:pPr>
        <w:pStyle w:val="BodyText"/>
        <w:spacing w:line="451" w:lineRule="auto" w:before="21"/>
        <w:ind w:right="1140" w:firstLine="360"/>
        <w:jc w:val="both"/>
      </w:pPr>
      <w:r>
        <w:rPr/>
        <w:t>发生问题时电控及软件人员能通过</w:t>
      </w:r>
      <w:r>
        <w:rPr>
          <w:rFonts w:ascii="Times New Roman" w:hAnsi="Times New Roman" w:cs="Times New Roman" w:eastAsia="Times New Roman" w:hint="default"/>
        </w:rPr>
        <w:t>4G</w:t>
      </w:r>
      <w:r>
        <w:rPr/>
        <w:t>网络及时远程诊断故障。对一些需要电控、软件人员协同诊断的故障也能通过该 模块配合进行处理。使故障诊断更及时、更高效，提高售后服务质量；</w:t>
      </w:r>
    </w:p>
    <w:p>
      <w:pPr>
        <w:pStyle w:val="BodyText"/>
        <w:spacing w:line="477" w:lineRule="auto" w:before="74"/>
        <w:ind w:left="513" w:right="1033"/>
        <w:jc w:val="left"/>
      </w:pPr>
      <w:r>
        <w:rPr/>
        <w:t>通过该模块可远程处理大部分故障，减少售后人员去现场的次数，从而降低公司相应成本； 拓展性好，可增加数据采集模块，多地推行后提高对物流设备、系统的大数据采集效率，配合公司推进智慧物流进程；</w:t>
      </w:r>
      <w:r>
        <w:rPr>
          <w:spacing w:val="-87"/>
        </w:rPr>
        <w:t> </w:t>
      </w:r>
      <w:r>
        <w:rPr>
          <w:spacing w:val="-87"/>
        </w:rPr>
      </w:r>
      <w:r>
        <w:rPr/>
        <w:t>后期加入物流系统网络诊断、端口扫描、数据备份等功能，兼容多系统操作。</w:t>
      </w:r>
    </w:p>
    <w:p>
      <w:pPr>
        <w:pStyle w:val="BodyText"/>
        <w:spacing w:line="477" w:lineRule="auto" w:before="54"/>
        <w:ind w:right="1130"/>
        <w:jc w:val="both"/>
      </w:pPr>
      <w:r>
        <w:rPr>
          <w:spacing w:val="-2"/>
        </w:rPr>
        <w:t>该项目是公司智能运维系统的子项目，随之公司业务的不断发展，公司的售后运维团队不断改革创新，项目的成功使得公司</w:t>
      </w:r>
      <w:r>
        <w:rPr>
          <w:spacing w:val="-63"/>
        </w:rPr>
        <w:t> </w:t>
      </w:r>
      <w:r>
        <w:rPr>
          <w:spacing w:val="-63"/>
        </w:rPr>
      </w:r>
      <w:r>
        <w:rPr/>
        <w:t>远程运维，智能运维成为可能。</w:t>
      </w:r>
    </w:p>
    <w:p>
      <w:pPr>
        <w:spacing w:line="451" w:lineRule="auto" w:before="54"/>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、烟丝库高举升</w:t>
      </w:r>
      <w:r>
        <w:rPr>
          <w:rFonts w:ascii="Times New Roman" w:hAnsi="Times New Roman" w:cs="Times New Roman" w:eastAsia="Times New Roman" w:hint="default"/>
          <w:b/>
          <w:bCs/>
          <w:sz w:val="18"/>
          <w:szCs w:val="18"/>
        </w:rPr>
        <w:t>AGV</w:t>
      </w:r>
      <w:r>
        <w:rPr>
          <w:rFonts w:ascii="宋体" w:hAnsi="宋体" w:cs="宋体" w:eastAsia="宋体" w:hint="default"/>
          <w:b/>
          <w:bCs/>
          <w:sz w:val="18"/>
          <w:szCs w:val="18"/>
        </w:rPr>
        <w:t>研发项目</w:t>
      </w:r>
      <w:r>
        <w:rPr>
          <w:rFonts w:ascii="宋体" w:hAnsi="宋体" w:cs="宋体" w:eastAsia="宋体" w:hint="default"/>
          <w:b/>
          <w:bCs/>
          <w:w w:val="99"/>
          <w:sz w:val="18"/>
          <w:szCs w:val="18"/>
        </w:rPr>
        <w:t> </w:t>
      </w:r>
      <w:r>
        <w:rPr>
          <w:rFonts w:ascii="宋体" w:hAnsi="宋体" w:cs="宋体" w:eastAsia="宋体" w:hint="default"/>
          <w:sz w:val="18"/>
          <w:szCs w:val="18"/>
        </w:rPr>
        <w:t>我司在多个项目实施过叉式</w:t>
      </w:r>
      <w:r>
        <w:rPr>
          <w:rFonts w:ascii="Times New Roman" w:hAnsi="Times New Roman" w:cs="Times New Roman" w:eastAsia="Times New Roman" w:hint="default"/>
          <w:sz w:val="18"/>
          <w:szCs w:val="18"/>
        </w:rPr>
        <w:t>AGV</w:t>
      </w:r>
      <w:r>
        <w:rPr>
          <w:rFonts w:ascii="宋体" w:hAnsi="宋体" w:cs="宋体" w:eastAsia="宋体" w:hint="default"/>
          <w:sz w:val="18"/>
          <w:szCs w:val="18"/>
        </w:rPr>
        <w:t>，对于</w:t>
      </w:r>
      <w:r>
        <w:rPr>
          <w:rFonts w:ascii="Times New Roman" w:hAnsi="Times New Roman" w:cs="Times New Roman" w:eastAsia="Times New Roman" w:hint="default"/>
          <w:sz w:val="18"/>
          <w:szCs w:val="18"/>
        </w:rPr>
        <w:t>AGV</w:t>
      </w:r>
      <w:r>
        <w:rPr>
          <w:rFonts w:ascii="宋体" w:hAnsi="宋体" w:cs="宋体" w:eastAsia="宋体" w:hint="default"/>
          <w:sz w:val="18"/>
          <w:szCs w:val="18"/>
        </w:rPr>
        <w:t>车体模型结构和货叉的无极调速控制，都积累了丰富的经验，前期有类似</w:t>
      </w:r>
    </w:p>
    <w:p>
      <w:pPr>
        <w:pStyle w:val="BodyText"/>
        <w:spacing w:line="477" w:lineRule="auto" w:before="43"/>
        <w:ind w:right="1134"/>
        <w:jc w:val="both"/>
      </w:pPr>
      <w:r>
        <w:rPr>
          <w:spacing w:val="-2"/>
        </w:rPr>
        <w:t>的改动应用，有技术积累。柔性段上，激光传感器探测货位状态，保证及时停车，由于一段上会有多个停位站点需要柔性停</w:t>
      </w:r>
      <w:r>
        <w:rPr>
          <w:spacing w:val="-66"/>
        </w:rPr>
        <w:t> </w:t>
      </w:r>
      <w:r>
        <w:rPr>
          <w:spacing w:val="-66"/>
        </w:rPr>
      </w:r>
      <w:r>
        <w:rPr/>
        <w:t>位，程序软件上需要界定区分，前期对单点柔性停车有试验应用。</w:t>
      </w:r>
    </w:p>
    <w:p>
      <w:pPr>
        <w:pStyle w:val="BodyText"/>
        <w:spacing w:line="240" w:lineRule="auto" w:before="54"/>
        <w:ind w:left="513" w:right="1116"/>
        <w:jc w:val="left"/>
      </w:pPr>
      <w:r>
        <w:rPr/>
        <w:t>驶入式货架的物料搬运，面临几个特殊性：</w:t>
      </w:r>
    </w:p>
    <w:p>
      <w:pPr>
        <w:spacing w:line="240" w:lineRule="auto" w:before="10"/>
        <w:rPr>
          <w:rFonts w:ascii="宋体" w:hAnsi="宋体" w:cs="宋体" w:eastAsia="宋体" w:hint="default"/>
          <w:sz w:val="17"/>
          <w:szCs w:val="17"/>
        </w:rPr>
      </w:pPr>
    </w:p>
    <w:p>
      <w:pPr>
        <w:pStyle w:val="BodyText"/>
        <w:spacing w:line="240" w:lineRule="auto"/>
        <w:ind w:left="513" w:right="1116"/>
        <w:jc w:val="left"/>
      </w:pPr>
      <w:r>
        <w:rPr/>
        <w:t>（</w:t>
      </w:r>
      <w:r>
        <w:rPr>
          <w:rFonts w:ascii="Times New Roman" w:hAnsi="Times New Roman" w:cs="Times New Roman" w:eastAsia="Times New Roman" w:hint="default"/>
        </w:rPr>
        <w:t>1</w:t>
      </w:r>
      <w:r>
        <w:rPr/>
        <w:t>）货物分层存储，位置比较高，在存取高层货架的货物时，对</w:t>
      </w:r>
      <w:r>
        <w:rPr>
          <w:rFonts w:ascii="Times New Roman" w:hAnsi="Times New Roman" w:cs="Times New Roman" w:eastAsia="Times New Roman" w:hint="default"/>
        </w:rPr>
        <w:t>AGV</w:t>
      </w:r>
      <w:r>
        <w:rPr/>
        <w:t>的稳定性要求高；</w:t>
      </w:r>
    </w:p>
    <w:p>
      <w:pPr>
        <w:spacing w:after="0" w:line="240"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left="513" w:right="1116"/>
        <w:jc w:val="left"/>
      </w:pPr>
      <w:r>
        <w:rPr/>
        <w:t>（</w:t>
      </w:r>
      <w:r>
        <w:rPr>
          <w:rFonts w:ascii="Times New Roman" w:hAnsi="Times New Roman" w:cs="Times New Roman" w:eastAsia="Times New Roman" w:hint="default"/>
        </w:rPr>
        <w:t>2</w:t>
      </w:r>
      <w:r>
        <w:rPr/>
        <w:t>）空间狭小，定位精准性要求高；</w:t>
      </w:r>
    </w:p>
    <w:p>
      <w:pPr>
        <w:spacing w:line="240" w:lineRule="auto" w:before="10"/>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3</w:t>
      </w:r>
      <w:r>
        <w:rPr/>
        <w:t>）货物摆放密集，</w:t>
      </w:r>
      <w:r>
        <w:rPr>
          <w:rFonts w:ascii="Times New Roman" w:hAnsi="Times New Roman" w:cs="Times New Roman" w:eastAsia="Times New Roman" w:hint="default"/>
        </w:rPr>
        <w:t>AGV</w:t>
      </w:r>
      <w:r>
        <w:rPr/>
        <w:t>运行区域路线通道狭窄；</w:t>
      </w:r>
    </w:p>
    <w:p>
      <w:pPr>
        <w:spacing w:line="240" w:lineRule="auto" w:before="9"/>
        <w:rPr>
          <w:rFonts w:ascii="宋体" w:hAnsi="宋体" w:cs="宋体" w:eastAsia="宋体" w:hint="default"/>
          <w:sz w:val="16"/>
          <w:szCs w:val="16"/>
        </w:rPr>
      </w:pPr>
    </w:p>
    <w:p>
      <w:pPr>
        <w:pStyle w:val="BodyText"/>
        <w:spacing w:line="451" w:lineRule="auto"/>
        <w:ind w:left="513" w:right="1116"/>
        <w:jc w:val="left"/>
      </w:pPr>
      <w:r>
        <w:rPr/>
        <w:t>（</w:t>
      </w:r>
      <w:r>
        <w:rPr>
          <w:rFonts w:ascii="Times New Roman" w:hAnsi="Times New Roman" w:cs="Times New Roman" w:eastAsia="Times New Roman" w:hint="default"/>
        </w:rPr>
        <w:t>4</w:t>
      </w:r>
      <w:r>
        <w:rPr/>
        <w:t>）堆栈式货架，需要按序依次存放，先进后出，</w:t>
      </w:r>
      <w:r>
        <w:rPr>
          <w:rFonts w:ascii="Times New Roman" w:hAnsi="Times New Roman" w:cs="Times New Roman" w:eastAsia="Times New Roman" w:hint="default"/>
        </w:rPr>
        <w:t>AGV</w:t>
      </w:r>
      <w:r>
        <w:rPr/>
        <w:t>取货时需探测货位状态，防止碰撞； 针对此项目</w:t>
      </w:r>
      <w:r>
        <w:rPr>
          <w:rFonts w:ascii="Times New Roman" w:hAnsi="Times New Roman" w:cs="Times New Roman" w:eastAsia="Times New Roman" w:hint="default"/>
        </w:rPr>
        <w:t>AGV</w:t>
      </w:r>
      <w:r>
        <w:rPr/>
        <w:t>的应用特点，需开发驶入式货架高举升激光导引叉式运输车，实现物料的准确搬运和对接，运行于狭</w:t>
      </w:r>
    </w:p>
    <w:p>
      <w:pPr>
        <w:pStyle w:val="BodyText"/>
        <w:spacing w:line="463" w:lineRule="auto" w:before="43"/>
        <w:ind w:left="513" w:right="1116" w:hanging="361"/>
        <w:jc w:val="left"/>
      </w:pPr>
      <w:r>
        <w:rPr/>
        <w:t>窄车间区域，可完成复杂行驶路径下生产物料的自动搬运需求，是达成生产线智能制造的重要环节。 </w:t>
      </w:r>
      <w:r>
        <w:rPr>
          <w:rFonts w:ascii="Times New Roman" w:hAnsi="Times New Roman" w:cs="Times New Roman" w:eastAsia="Times New Roman" w:hint="default"/>
          <w:b/>
          <w:bCs/>
        </w:rPr>
        <w:t>5</w:t>
      </w:r>
      <w:r>
        <w:rPr>
          <w:rFonts w:ascii="宋体" w:hAnsi="宋体" w:cs="宋体" w:eastAsia="宋体" w:hint="default"/>
          <w:b/>
          <w:bCs/>
        </w:rPr>
        <w:t>、六轴关节机器人项目</w:t>
      </w:r>
      <w:r>
        <w:rPr>
          <w:rFonts w:ascii="宋体" w:hAnsi="宋体" w:cs="宋体" w:eastAsia="宋体" w:hint="default"/>
          <w:b/>
          <w:bCs/>
          <w:w w:val="99"/>
        </w:rPr>
        <w:t> </w:t>
      </w:r>
      <w:r>
        <w:rPr>
          <w:spacing w:val="-2"/>
        </w:rPr>
        <w:t>本项目基于图形表格化编程控制工业机器人的方法、装置及系统，该方法包括：以工业机器人图形化编程软件的编辑平</w:t>
      </w:r>
    </w:p>
    <w:p>
      <w:pPr>
        <w:pStyle w:val="BodyText"/>
        <w:spacing w:line="477" w:lineRule="auto" w:before="65"/>
        <w:ind w:right="1034"/>
        <w:jc w:val="left"/>
      </w:pPr>
      <w:r>
        <w:rPr>
          <w:spacing w:val="-2"/>
        </w:rPr>
        <w:t>面模拟所述工业机器人运动的真实平面；在所述编辑平面内以图形方式建立所述工业机器人运动的目标位置和运动轨迹；依</w:t>
      </w:r>
      <w:r>
        <w:rPr>
          <w:spacing w:val="-64"/>
        </w:rPr>
        <w:t> </w:t>
      </w:r>
      <w:r>
        <w:rPr>
          <w:spacing w:val="-64"/>
        </w:rPr>
      </w:r>
      <w:r>
        <w:rPr>
          <w:spacing w:val="-2"/>
        </w:rPr>
        <w:t>据所述目标位置和运动轨迹，在相应的一个表格编辑界面内设置所述工业机器人的运动顺序和控制逻辑；将建立所述工业机</w:t>
      </w:r>
      <w:r>
        <w:rPr>
          <w:spacing w:val="-63"/>
        </w:rPr>
        <w:t> </w:t>
      </w:r>
      <w:r>
        <w:rPr>
          <w:spacing w:val="-63"/>
        </w:rPr>
      </w:r>
      <w:r>
        <w:rPr/>
        <w:t>器人目标位置和运动轨迹的所述编辑平面和设置所述工业机器人的运动顺序和控制逻辑的所述表格编辑界面生成中间文件；</w:t>
      </w:r>
      <w:r>
        <w:rPr>
          <w:spacing w:val="-83"/>
        </w:rPr>
        <w:t> </w:t>
      </w:r>
      <w:r>
        <w:rPr>
          <w:spacing w:val="-83"/>
        </w:rPr>
      </w:r>
      <w:r>
        <w:rPr>
          <w:spacing w:val="-2"/>
        </w:rPr>
        <w:t>所述中间文件经解释器编译后发送至所述工业机器人的运动控制器；控制所述工业机器人沿所述运动轨迹移动至所述目标位</w:t>
      </w:r>
      <w:r>
        <w:rPr>
          <w:spacing w:val="-64"/>
        </w:rPr>
        <w:t> </w:t>
      </w:r>
      <w:r>
        <w:rPr>
          <w:spacing w:val="-64"/>
        </w:rPr>
      </w:r>
      <w:r>
        <w:rPr>
          <w:spacing w:val="-2"/>
        </w:rPr>
        <w:t>置。本方法具有编程效率高，易操作的优点。填补了公司六轴机器人控制系统的空白，至此，公司已经拥有了包括直角坐标</w:t>
      </w:r>
      <w:r>
        <w:rPr>
          <w:spacing w:val="-67"/>
        </w:rPr>
        <w:t> </w:t>
      </w:r>
      <w:r>
        <w:rPr>
          <w:spacing w:val="-67"/>
        </w:rPr>
      </w:r>
      <w:r>
        <w:rPr/>
        <w:t>机器人，四轴机器人，六轴机器人等全系列机器人的自主控制系统。</w:t>
      </w:r>
    </w:p>
    <w:p>
      <w:pPr>
        <w:pStyle w:val="BodyText"/>
        <w:spacing w:line="451" w:lineRule="auto" w:before="54"/>
        <w:ind w:left="513" w:right="1116"/>
        <w:jc w:val="left"/>
      </w:pPr>
      <w:r>
        <w:rPr>
          <w:rFonts w:ascii="Times New Roman" w:hAnsi="Times New Roman" w:cs="Times New Roman" w:eastAsia="Times New Roman" w:hint="default"/>
          <w:b/>
          <w:bCs/>
        </w:rPr>
        <w:t>6</w:t>
      </w:r>
      <w:r>
        <w:rPr>
          <w:rFonts w:ascii="宋体" w:hAnsi="宋体" w:cs="宋体" w:eastAsia="宋体" w:hint="default"/>
          <w:b/>
          <w:bCs/>
        </w:rPr>
        <w:t>、视觉机械手在智能制造中的应用研发</w:t>
      </w:r>
      <w:r>
        <w:rPr>
          <w:rFonts w:ascii="宋体" w:hAnsi="宋体" w:cs="宋体" w:eastAsia="宋体" w:hint="default"/>
          <w:b/>
          <w:bCs/>
          <w:w w:val="99"/>
        </w:rPr>
        <w:t> </w:t>
      </w:r>
      <w:r>
        <w:rPr/>
        <w:t>本项目主要针对物流行业中出现的不规则物体抓取，识别和定位开发一套基于</w:t>
      </w:r>
      <w:r>
        <w:rPr>
          <w:rFonts w:ascii="Times New Roman" w:hAnsi="Times New Roman" w:cs="Times New Roman" w:eastAsia="Times New Roman" w:hint="default"/>
        </w:rPr>
        <w:t>6</w:t>
      </w:r>
      <w:r>
        <w:rPr/>
        <w:t>轴机器人的视觉识别抓取系统。 该系统使用视觉识别技术，通过</w:t>
      </w:r>
      <w:r>
        <w:rPr>
          <w:rFonts w:ascii="Times New Roman" w:hAnsi="Times New Roman" w:cs="Times New Roman" w:eastAsia="Times New Roman" w:hint="default"/>
        </w:rPr>
        <w:t>CCD</w:t>
      </w:r>
      <w:r>
        <w:rPr/>
        <w:t>相机采集数据后使用图片算法处理识别物体轮廓，计算出机器人抓取点坐标，坐</w:t>
      </w:r>
    </w:p>
    <w:p>
      <w:pPr>
        <w:pStyle w:val="BodyText"/>
        <w:spacing w:line="477" w:lineRule="auto" w:before="44"/>
        <w:ind w:left="513" w:right="1116" w:hanging="361"/>
        <w:jc w:val="left"/>
      </w:pPr>
      <w:r>
        <w:rPr/>
        <w:t>标点传递到机器人控制器后机器人实现物体的快速定位，识别和抓取。 </w:t>
      </w:r>
      <w:r>
        <w:rPr>
          <w:spacing w:val="-1"/>
        </w:rPr>
        <w:t>机械手与视觉系统的搭配大大增加其可适用范围，对正常的机械定位抓取和人工拣选，机械手</w:t>
      </w:r>
      <w:r>
        <w:rPr>
          <w:rFonts w:ascii="Times New Roman" w:hAnsi="Times New Roman" w:cs="Times New Roman" w:eastAsia="Times New Roman" w:hint="default"/>
          <w:spacing w:val="-1"/>
        </w:rPr>
        <w:t>+</w:t>
      </w:r>
      <w:r>
        <w:rPr>
          <w:spacing w:val="-1"/>
        </w:rPr>
        <w:t>视觉系统的搭配能够大</w:t>
      </w:r>
    </w:p>
    <w:p>
      <w:pPr>
        <w:pStyle w:val="BodyText"/>
        <w:spacing w:line="477" w:lineRule="auto" w:before="21"/>
        <w:ind w:right="6794"/>
        <w:jc w:val="left"/>
      </w:pPr>
      <w:r>
        <w:rPr/>
        <w:pict>
          <v:shape style="position:absolute;margin-left:56.400002pt;margin-top:43.481728pt;width:479.3pt;height:129.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3"/>
                    <w:gridCol w:w="2146"/>
                    <w:gridCol w:w="2083"/>
                    <w:gridCol w:w="2098"/>
                  </w:tblGrid>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267</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265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193</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53.61%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50.96%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46.51%</w:t>
                        </w:r>
                      </w:p>
                    </w:tc>
                  </w:tr>
                  <w:tr>
                    <w:trPr>
                      <w:trHeight w:val="324"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52,943,503.30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42,594,346.93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30,669,901.75</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7.43%</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10.24%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5.38%</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0.00%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0.00%</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大提高效率和成功率，真正实现智能化、自动化。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right="1116"/>
        <w:jc w:val="left"/>
      </w:pPr>
      <w:r>
        <w:rPr/>
        <w:t>研发投入总额占营业收入的比重较上年发生显著变化的原因</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9"/>
        <w:rPr>
          <w:rFonts w:ascii="宋体" w:hAnsi="宋体" w:cs="宋体" w:eastAsia="宋体" w:hint="default"/>
          <w:sz w:val="16"/>
          <w:szCs w:val="16"/>
        </w:rPr>
      </w:pPr>
    </w:p>
    <w:p>
      <w:pPr>
        <w:pStyle w:val="BodyText"/>
        <w:spacing w:line="451" w:lineRule="auto"/>
        <w:ind w:right="1187"/>
        <w:jc w:val="left"/>
      </w:pPr>
      <w:r>
        <w:rPr/>
        <w:t>研发投入总额占营业收入的比重</w:t>
      </w:r>
      <w:r>
        <w:rPr>
          <w:spacing w:val="-46"/>
        </w:rPr>
        <w:t> </w:t>
      </w:r>
      <w:r>
        <w:rPr>
          <w:rFonts w:ascii="Times New Roman" w:hAnsi="Times New Roman" w:cs="Times New Roman" w:eastAsia="Times New Roman" w:hint="default"/>
        </w:rPr>
        <w:t>7.43%</w:t>
      </w:r>
      <w:r>
        <w:rPr/>
        <w:t>，较上年</w:t>
      </w:r>
      <w:r>
        <w:rPr>
          <w:spacing w:val="-47"/>
        </w:rPr>
        <w:t> </w:t>
      </w:r>
      <w:r>
        <w:rPr>
          <w:rFonts w:ascii="Times New Roman" w:hAnsi="Times New Roman" w:cs="Times New Roman" w:eastAsia="Times New Roman" w:hint="default"/>
        </w:rPr>
        <w:t>10.24%</w:t>
      </w:r>
      <w:r>
        <w:rPr/>
        <w:t>有所下降，主要系报告期研发投入在保持稳步增长的同时，营业收 入显著增加所致。</w:t>
      </w:r>
    </w:p>
    <w:p>
      <w:pPr>
        <w:spacing w:after="0" w:line="451"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t>研发投入资本化率大幅变动的原因及其合理性说明</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0" w:top="108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17"/>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615" w:space="7305"/>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48"/>
        <w:gridCol w:w="2357"/>
        <w:gridCol w:w="2174"/>
        <w:gridCol w:w="2091"/>
      </w:tblGrid>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892,369,973.02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798,659,459.27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11.73%</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781,608,842.58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648,977,504.92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20.44%</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110,761,130.44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149,681,954.35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-26.00%</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113,483,063.93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3,134,020.79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3,521.01%</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25,644,918.39</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97,394,929.79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-73.67%</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87,838,145.54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-94,260,909.00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193.19%</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2,000.00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2,524,334.36%</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67,699,489.98</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87,550,166.11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-22.67%</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-17,210,802.80</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-87,548,166.11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80.34%</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181,470,352.84</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-31,863,327.03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669.53%</w:t>
            </w:r>
          </w:p>
        </w:tc>
      </w:tr>
    </w:tbl>
    <w:p>
      <w:pPr>
        <w:pStyle w:val="BodyText"/>
        <w:spacing w:line="240" w:lineRule="auto" w:before="87"/>
        <w:ind w:right="1116"/>
        <w:jc w:val="left"/>
      </w:pPr>
      <w:r>
        <w:rPr/>
        <w:t>相关数据同比发生重大变动的主要影响因素说明</w:t>
      </w:r>
    </w:p>
    <w:p>
      <w:pPr>
        <w:spacing w:line="240" w:lineRule="auto" w:before="10"/>
        <w:rPr>
          <w:rFonts w:ascii="宋体" w:hAnsi="宋体" w:cs="宋体" w:eastAsia="宋体" w:hint="default"/>
          <w:sz w:val="17"/>
          <w:szCs w:val="17"/>
        </w:rPr>
      </w:pPr>
    </w:p>
    <w:p>
      <w:pPr>
        <w:spacing w:line="429" w:lineRule="auto" w:before="0"/>
        <w:ind w:left="152" w:right="33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投资活动现金流入，同比增加</w:t>
      </w:r>
      <w:r>
        <w:rPr>
          <w:rFonts w:ascii="Times New Roman" w:hAnsi="Times New Roman" w:cs="Times New Roman" w:eastAsia="Times New Roman" w:hint="default"/>
          <w:sz w:val="18"/>
          <w:szCs w:val="18"/>
        </w:rPr>
        <w:t>3,521.01%</w:t>
      </w:r>
      <w:r>
        <w:rPr>
          <w:rFonts w:ascii="宋体" w:hAnsi="宋体" w:cs="宋体" w:eastAsia="宋体" w:hint="default"/>
          <w:sz w:val="18"/>
          <w:szCs w:val="18"/>
        </w:rPr>
        <w:t>，</w:t>
      </w:r>
      <w:r>
        <w:rPr>
          <w:rFonts w:ascii="宋体" w:hAnsi="宋体" w:cs="宋体" w:eastAsia="宋体" w:hint="default"/>
          <w:sz w:val="20"/>
          <w:szCs w:val="20"/>
        </w:rPr>
        <w:t>主要系报告期到期收回银行理财产品所致；</w:t>
      </w:r>
      <w:r>
        <w:rPr>
          <w:rFonts w:ascii="宋体" w:hAnsi="宋体" w:cs="宋体" w:eastAsia="宋体" w:hint="default"/>
          <w:w w:val="99"/>
          <w:sz w:val="20"/>
          <w:szCs w:val="20"/>
        </w:rPr>
        <w:t> </w:t>
      </w:r>
      <w:r>
        <w:rPr>
          <w:rFonts w:ascii="宋体" w:hAnsi="宋体" w:cs="宋体" w:eastAsia="宋体" w:hint="default"/>
          <w:sz w:val="18"/>
          <w:szCs w:val="18"/>
        </w:rPr>
        <w:t>投资活动现金流出，同比减少</w:t>
      </w:r>
      <w:r>
        <w:rPr>
          <w:rFonts w:ascii="Times New Roman" w:hAnsi="Times New Roman" w:cs="Times New Roman" w:eastAsia="Times New Roman" w:hint="default"/>
          <w:sz w:val="18"/>
          <w:szCs w:val="18"/>
        </w:rPr>
        <w:t>73.67%</w:t>
      </w:r>
      <w:r>
        <w:rPr>
          <w:rFonts w:ascii="宋体" w:hAnsi="宋体" w:cs="宋体" w:eastAsia="宋体" w:hint="default"/>
          <w:sz w:val="18"/>
          <w:szCs w:val="18"/>
        </w:rPr>
        <w:t>，主要系报告期投资银行理财产品支付的现金减少所致；</w:t>
      </w:r>
    </w:p>
    <w:p>
      <w:pPr>
        <w:spacing w:line="417" w:lineRule="auto" w:before="45"/>
        <w:ind w:left="152" w:right="1116" w:firstLine="0"/>
        <w:jc w:val="left"/>
        <w:rPr>
          <w:rFonts w:ascii="宋体" w:hAnsi="宋体" w:cs="宋体" w:eastAsia="宋体" w:hint="default"/>
          <w:sz w:val="18"/>
          <w:szCs w:val="18"/>
        </w:rPr>
      </w:pPr>
      <w:r>
        <w:rPr>
          <w:rFonts w:ascii="宋体" w:hAnsi="宋体" w:cs="宋体" w:eastAsia="宋体" w:hint="default"/>
          <w:spacing w:val="-1"/>
          <w:sz w:val="18"/>
          <w:szCs w:val="18"/>
        </w:rPr>
        <w:t>投资活动产生的现金流量净额，同比增加</w:t>
      </w:r>
      <w:r>
        <w:rPr>
          <w:rFonts w:ascii="Times New Roman" w:hAnsi="Times New Roman" w:cs="Times New Roman" w:eastAsia="Times New Roman" w:hint="default"/>
          <w:spacing w:val="-1"/>
          <w:sz w:val="18"/>
          <w:szCs w:val="18"/>
        </w:rPr>
        <w:t>193.19%</w:t>
      </w:r>
      <w:r>
        <w:rPr>
          <w:rFonts w:ascii="宋体" w:hAnsi="宋体" w:cs="宋体" w:eastAsia="宋体" w:hint="default"/>
          <w:spacing w:val="-1"/>
          <w:sz w:val="18"/>
          <w:szCs w:val="18"/>
        </w:rPr>
        <w:t>，</w:t>
      </w:r>
      <w:r>
        <w:rPr>
          <w:rFonts w:ascii="宋体" w:hAnsi="宋体" w:cs="宋体" w:eastAsia="宋体" w:hint="default"/>
          <w:spacing w:val="-1"/>
          <w:sz w:val="20"/>
          <w:szCs w:val="20"/>
        </w:rPr>
        <w:t>主要系报告期内银行理财产品到期收回收到的现金同比增加，银</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行理财产品投资支付的现金同比减少；</w:t>
      </w:r>
      <w:r>
        <w:rPr>
          <w:rFonts w:ascii="宋体" w:hAnsi="宋体" w:cs="宋体" w:eastAsia="宋体" w:hint="default"/>
          <w:w w:val="99"/>
          <w:sz w:val="20"/>
          <w:szCs w:val="20"/>
        </w:rPr>
        <w:t> </w:t>
      </w:r>
      <w:r>
        <w:rPr>
          <w:rFonts w:ascii="宋体" w:hAnsi="宋体" w:cs="宋体" w:eastAsia="宋体" w:hint="default"/>
          <w:sz w:val="18"/>
          <w:szCs w:val="18"/>
        </w:rPr>
        <w:t>筹资活动现金流入，同比增加</w:t>
      </w:r>
      <w:r>
        <w:rPr>
          <w:rFonts w:ascii="Times New Roman" w:hAnsi="Times New Roman" w:cs="Times New Roman" w:eastAsia="Times New Roman" w:hint="default"/>
          <w:sz w:val="20"/>
          <w:szCs w:val="20"/>
        </w:rPr>
        <w:t>2,524,334.36%</w:t>
      </w:r>
      <w:r>
        <w:rPr>
          <w:rFonts w:ascii="宋体" w:hAnsi="宋体" w:cs="宋体" w:eastAsia="宋体" w:hint="default"/>
          <w:sz w:val="20"/>
          <w:szCs w:val="20"/>
        </w:rPr>
        <w:t>，主要系报告期内新增短期借款所致；</w:t>
      </w:r>
      <w:r>
        <w:rPr>
          <w:rFonts w:ascii="宋体" w:hAnsi="宋体" w:cs="宋体" w:eastAsia="宋体" w:hint="default"/>
          <w:w w:val="99"/>
          <w:sz w:val="20"/>
          <w:szCs w:val="20"/>
        </w:rPr>
        <w:t> </w:t>
      </w:r>
      <w:r>
        <w:rPr>
          <w:rFonts w:ascii="宋体" w:hAnsi="宋体" w:cs="宋体" w:eastAsia="宋体" w:hint="default"/>
          <w:sz w:val="18"/>
          <w:szCs w:val="18"/>
        </w:rPr>
        <w:t>筹资活动产生的现金流量净额，同比增加</w:t>
      </w:r>
      <w:r>
        <w:rPr>
          <w:rFonts w:ascii="Times New Roman" w:hAnsi="Times New Roman" w:cs="Times New Roman" w:eastAsia="Times New Roman" w:hint="default"/>
          <w:sz w:val="18"/>
          <w:szCs w:val="18"/>
        </w:rPr>
        <w:t>80.34%</w:t>
      </w:r>
      <w:r>
        <w:rPr>
          <w:rFonts w:ascii="宋体" w:hAnsi="宋体" w:cs="宋体" w:eastAsia="宋体" w:hint="default"/>
          <w:sz w:val="18"/>
          <w:szCs w:val="18"/>
        </w:rPr>
        <w:t>，</w:t>
      </w:r>
      <w:r>
        <w:rPr>
          <w:rFonts w:ascii="宋体" w:hAnsi="宋体" w:cs="宋体" w:eastAsia="宋体" w:hint="default"/>
          <w:sz w:val="20"/>
          <w:szCs w:val="20"/>
        </w:rPr>
        <w:t>主要系报告期内新增短期借款所致；</w:t>
      </w:r>
      <w:r>
        <w:rPr>
          <w:rFonts w:ascii="宋体" w:hAnsi="宋体" w:cs="宋体" w:eastAsia="宋体" w:hint="default"/>
          <w:w w:val="99"/>
          <w:sz w:val="20"/>
          <w:szCs w:val="20"/>
        </w:rPr>
        <w:t> </w:t>
      </w:r>
      <w:r>
        <w:rPr>
          <w:rFonts w:ascii="宋体" w:hAnsi="宋体" w:cs="宋体" w:eastAsia="宋体" w:hint="default"/>
          <w:sz w:val="18"/>
          <w:szCs w:val="18"/>
        </w:rPr>
        <w:t>报告期内公司经营活动产生的现金净流量与本年度净利润存在重大差异的原因说明</w:t>
      </w:r>
    </w:p>
    <w:p>
      <w:pPr>
        <w:spacing w:after="0" w:line="417"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99"/>
        <w:ind w:right="-19"/>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93"/>
        <w:ind w:right="-19"/>
        <w:jc w:val="left"/>
        <w:rPr>
          <w:b w:val="0"/>
          <w:bCs w:val="0"/>
        </w:rPr>
      </w:pPr>
      <w:bookmarkStart w:name="三、非主营业务情况" w:id="38"/>
      <w:bookmarkEnd w:id="38"/>
      <w:r>
        <w:rPr>
          <w:b w:val="0"/>
          <w:bCs w:val="0"/>
        </w:rPr>
      </w:r>
      <w:r>
        <w:rPr/>
        <w:t>三、非主营业务情况</w:t>
      </w:r>
      <w:r>
        <w:rPr>
          <w:b w:val="0"/>
          <w:bCs w:val="0"/>
        </w:rPr>
      </w:r>
    </w:p>
    <w:p>
      <w:pPr>
        <w:pStyle w:val="BodyText"/>
        <w:spacing w:line="240" w:lineRule="auto" w:before="46"/>
        <w:ind w:right="-19"/>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22" w:space="6598"/>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24"/>
        <w:gridCol w:w="1501"/>
        <w:gridCol w:w="1634"/>
        <w:gridCol w:w="3107"/>
        <w:gridCol w:w="1805"/>
      </w:tblGrid>
      <w:tr>
        <w:trPr>
          <w:trHeight w:val="32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6,790,975.95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13.62%</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主要系报告期内按持股比例享有的联 营企业实现的净利润及理财产品收益</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210,643.61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0.42%</w:t>
            </w:r>
          </w:p>
        </w:tc>
        <w:tc>
          <w:tcPr>
            <w:tcW w:w="310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119,860.46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0.24%</w:t>
            </w:r>
          </w:p>
        </w:tc>
        <w:tc>
          <w:tcPr>
            <w:tcW w:w="310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9,715,917.84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19.49%</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主要系取得的增值税即征即退及其他 项目政府补助</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-13,423,634.19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-26.93%</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主要系报告期内对应收款项计提的减 值准备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1116"/>
        <w:jc w:val="left"/>
        <w:rPr>
          <w:b w:val="0"/>
          <w:bCs w:val="0"/>
        </w:rPr>
      </w:pPr>
      <w:bookmarkStart w:name="四、资产及负债状况" w:id="39"/>
      <w:bookmarkEnd w:id="39"/>
      <w:r>
        <w:rPr>
          <w:b w:val="0"/>
          <w:bCs w:val="0"/>
        </w:rPr>
      </w:r>
      <w:r>
        <w:rPr/>
        <w:t>四、资产及负债状况</w:t>
      </w:r>
      <w:r>
        <w:rPr>
          <w:b w:val="0"/>
          <w:bCs w:val="0"/>
        </w:rPr>
      </w:r>
    </w:p>
    <w:p>
      <w:pPr>
        <w:pStyle w:val="Heading3"/>
        <w:spacing w:line="240" w:lineRule="auto" w:before="26"/>
        <w:ind w:right="1116"/>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pStyle w:val="BodyText"/>
        <w:spacing w:line="240" w:lineRule="auto" w:before="121"/>
        <w:ind w:right="11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spacing w:line="240" w:lineRule="auto" w:before="9"/>
        <w:rPr>
          <w:rFonts w:ascii="宋体" w:hAnsi="宋体" w:cs="宋体" w:eastAsia="宋体" w:hint="default"/>
          <w:sz w:val="16"/>
          <w:szCs w:val="16"/>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pStyle w:val="BodyText"/>
        <w:spacing w:line="240" w:lineRule="auto" w:before="139"/>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73"/>
        <w:gridCol w:w="1459"/>
        <w:gridCol w:w="1064"/>
        <w:gridCol w:w="1423"/>
        <w:gridCol w:w="960"/>
        <w:gridCol w:w="989"/>
        <w:gridCol w:w="2602"/>
      </w:tblGrid>
      <w:tr>
        <w:trPr>
          <w:trHeight w:val="322" w:hRule="exact"/>
        </w:trPr>
        <w:tc>
          <w:tcPr>
            <w:tcW w:w="1073" w:type="dxa"/>
            <w:vMerge w:val="restart"/>
            <w:tcBorders>
              <w:top w:val="single" w:sz="4" w:space="0" w:color="000000"/>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34" w:hRule="exact"/>
        </w:trPr>
        <w:tc>
          <w:tcPr>
            <w:tcW w:w="1073"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6" w:right="1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95" w:right="113"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89" w:type="dxa"/>
            <w:vMerge/>
            <w:tcBorders>
              <w:left w:val="single" w:sz="4" w:space="0" w:color="000000"/>
              <w:bottom w:val="single" w:sz="4" w:space="0" w:color="000000"/>
              <w:right w:val="single" w:sz="4" w:space="0" w:color="000000"/>
            </w:tcBorders>
            <w:shd w:val="clear" w:color="auto" w:fill="D2D2D2"/>
          </w:tcPr>
          <w:p>
            <w:pPr/>
          </w:p>
        </w:tc>
        <w:tc>
          <w:tcPr>
            <w:tcW w:w="2602" w:type="dxa"/>
            <w:vMerge/>
            <w:tcBorders>
              <w:left w:val="single" w:sz="4" w:space="0" w:color="000000"/>
              <w:bottom w:val="single" w:sz="4" w:space="0" w:color="000000"/>
              <w:right w:val="single" w:sz="4" w:space="0" w:color="000000"/>
            </w:tcBorders>
            <w:shd w:val="clear" w:color="auto" w:fill="D2D2D2"/>
          </w:tcPr>
          <w:p>
            <w:pPr/>
          </w:p>
        </w:tc>
      </w:tr>
      <w:tr>
        <w:trPr>
          <w:trHeight w:val="948"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472,958,358.96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27.42%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284,313,470.25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18.75%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8.67%</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46"/>
              <w:jc w:val="both"/>
              <w:rPr>
                <w:rFonts w:ascii="宋体" w:hAnsi="宋体" w:cs="宋体" w:eastAsia="宋体" w:hint="default"/>
                <w:sz w:val="18"/>
                <w:szCs w:val="18"/>
              </w:rPr>
            </w:pPr>
            <w:r>
              <w:rPr>
                <w:rFonts w:ascii="宋体" w:hAnsi="宋体" w:cs="宋体" w:eastAsia="宋体" w:hint="default"/>
                <w:sz w:val="18"/>
                <w:szCs w:val="18"/>
              </w:rPr>
              <w:t>主要系报告期内经营活动现金 流量净额增长，以及到期收回 银行理财产品所致</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480,358,863.08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27.85%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463,491,663.45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30.56%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22"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295,318,879.73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17.12%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216,398,418.26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34"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8"/>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30,001,274.19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15,817,136.49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634"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8"/>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55,077,173.97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51,628,016.06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258"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199,712,993.11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11.58%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85,200,416.16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46"/>
              <w:jc w:val="both"/>
              <w:rPr>
                <w:rFonts w:ascii="宋体" w:hAnsi="宋体" w:cs="宋体" w:eastAsia="宋体" w:hint="default"/>
                <w:sz w:val="18"/>
                <w:szCs w:val="18"/>
              </w:rPr>
            </w:pPr>
            <w:r>
              <w:rPr>
                <w:rFonts w:ascii="宋体" w:hAnsi="宋体" w:cs="宋体" w:eastAsia="宋体" w:hint="default"/>
                <w:sz w:val="18"/>
                <w:szCs w:val="18"/>
              </w:rPr>
              <w:t>主要系报告期内龙岗科技园建 筑物达到预定可使用状态，由 在建工程转入固定资产核算所 致。</w:t>
            </w:r>
          </w:p>
        </w:tc>
      </w:tr>
      <w:tr>
        <w:trPr>
          <w:trHeight w:val="1260"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57,105.30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112,208,415.07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46"/>
              <w:jc w:val="both"/>
              <w:rPr>
                <w:rFonts w:ascii="宋体" w:hAnsi="宋体" w:cs="宋体" w:eastAsia="宋体" w:hint="default"/>
                <w:sz w:val="18"/>
                <w:szCs w:val="18"/>
              </w:rPr>
            </w:pPr>
            <w:r>
              <w:rPr>
                <w:rFonts w:ascii="宋体" w:hAnsi="宋体" w:cs="宋体" w:eastAsia="宋体" w:hint="default"/>
                <w:sz w:val="18"/>
                <w:szCs w:val="18"/>
              </w:rPr>
              <w:t>主要系报告期内龙岗科技园建 筑物达到预定可使用状态，由 在建工程转入固定资产核算所 致</w:t>
            </w:r>
          </w:p>
        </w:tc>
      </w:tr>
      <w:tr>
        <w:trPr>
          <w:trHeight w:val="946"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50,488,687.18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2.93%</w:t>
            </w:r>
          </w:p>
        </w:tc>
        <w:tc>
          <w:tcPr>
            <w:tcW w:w="142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2.93%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46"/>
              <w:jc w:val="left"/>
              <w:rPr>
                <w:rFonts w:ascii="宋体" w:hAnsi="宋体" w:cs="宋体" w:eastAsia="宋体" w:hint="default"/>
                <w:sz w:val="18"/>
                <w:szCs w:val="18"/>
              </w:rPr>
            </w:pPr>
            <w:r>
              <w:rPr>
                <w:rFonts w:ascii="宋体" w:hAnsi="宋体" w:cs="宋体" w:eastAsia="宋体" w:hint="default"/>
                <w:sz w:val="18"/>
                <w:szCs w:val="18"/>
              </w:rPr>
              <w:t>主要系报告期内新增短期借款 所致</w:t>
            </w:r>
          </w:p>
        </w:tc>
      </w:tr>
    </w:tbl>
    <w:p>
      <w:pPr>
        <w:pStyle w:val="Heading3"/>
        <w:spacing w:line="240" w:lineRule="auto" w:before="64"/>
        <w:ind w:right="1116"/>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1116"/>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pStyle w:val="BodyText"/>
        <w:spacing w:line="240" w:lineRule="auto" w:before="42"/>
        <w:ind w:right="1116"/>
        <w:jc w:val="left"/>
      </w:pPr>
      <w:r>
        <w:rPr/>
        <w:t>其中因抵押、质押或冻结等对使用有限制，以及放在境外且资金汇回受到限制的货币资金明细如下：</w:t>
      </w:r>
    </w:p>
    <w:p>
      <w:pPr>
        <w:spacing w:line="240" w:lineRule="auto" w:before="1"/>
        <w:rPr>
          <w:rFonts w:ascii="宋体" w:hAnsi="宋体" w:cs="宋体" w:eastAsia="宋体" w:hint="default"/>
          <w:sz w:val="29"/>
          <w:szCs w:val="29"/>
        </w:rPr>
      </w:pPr>
    </w:p>
    <w:tbl>
      <w:tblPr>
        <w:tblW w:w="0" w:type="auto"/>
        <w:jc w:val="left"/>
        <w:tblInd w:w="698" w:type="dxa"/>
        <w:tblLayout w:type="fixed"/>
        <w:tblCellMar>
          <w:top w:w="0" w:type="dxa"/>
          <w:left w:w="0" w:type="dxa"/>
          <w:bottom w:w="0" w:type="dxa"/>
          <w:right w:w="0" w:type="dxa"/>
        </w:tblCellMar>
        <w:tblLook w:val="01E0"/>
      </w:tblPr>
      <w:tblGrid>
        <w:gridCol w:w="3123"/>
        <w:gridCol w:w="2458"/>
        <w:gridCol w:w="2955"/>
      </w:tblGrid>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19,247,721.14</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17,605,453.94</w:t>
            </w:r>
          </w:p>
        </w:tc>
      </w:tr>
      <w:tr>
        <w:trPr>
          <w:trHeight w:val="346"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7,714,681.56</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3,575,209.56</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6,737,102.99</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5,514,357.52</w:t>
            </w:r>
          </w:p>
        </w:tc>
      </w:tr>
      <w:tr>
        <w:trPr>
          <w:trHeight w:val="617"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4"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6,793,806.66</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6,765,042.06</w:t>
            </w:r>
          </w:p>
        </w:tc>
      </w:tr>
      <w:tr>
        <w:trPr>
          <w:trHeight w:val="619"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4" w:right="0"/>
              <w:jc w:val="left"/>
              <w:rPr>
                <w:rFonts w:ascii="宋体" w:hAnsi="宋体" w:cs="宋体" w:eastAsia="宋体" w:hint="default"/>
                <w:sz w:val="18"/>
                <w:szCs w:val="18"/>
              </w:rPr>
            </w:pPr>
            <w:r>
              <w:rPr>
                <w:rFonts w:ascii="宋体" w:hAnsi="宋体" w:cs="宋体" w:eastAsia="宋体" w:hint="default"/>
                <w:sz w:val="18"/>
                <w:szCs w:val="18"/>
              </w:rPr>
              <w:t>诉讼事项冻结款</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170,051.20</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698" w:type="dxa"/>
        <w:tblLayout w:type="fixed"/>
        <w:tblCellMar>
          <w:top w:w="0" w:type="dxa"/>
          <w:left w:w="0" w:type="dxa"/>
          <w:bottom w:w="0" w:type="dxa"/>
          <w:right w:w="0" w:type="dxa"/>
        </w:tblCellMar>
        <w:tblLook w:val="01E0"/>
      </w:tblPr>
      <w:tblGrid>
        <w:gridCol w:w="3123"/>
        <w:gridCol w:w="2458"/>
        <w:gridCol w:w="2955"/>
      </w:tblGrid>
      <w:tr>
        <w:trPr>
          <w:trHeight w:val="382"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06" w:right="0"/>
              <w:jc w:val="left"/>
              <w:rPr>
                <w:rFonts w:ascii="Times New Roman" w:hAnsi="Times New Roman" w:cs="Times New Roman" w:eastAsia="Times New Roman" w:hint="default"/>
                <w:sz w:val="18"/>
                <w:szCs w:val="18"/>
              </w:rPr>
            </w:pPr>
            <w:r>
              <w:rPr>
                <w:rFonts w:ascii="Times New Roman"/>
                <w:b/>
                <w:sz w:val="18"/>
              </w:rPr>
              <w:t>40,663,363.55</w:t>
            </w:r>
            <w:r>
              <w:rPr>
                <w:rFonts w:ascii="Times New Roman"/>
                <w:sz w:val="18"/>
              </w:rPr>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903" w:right="0"/>
              <w:jc w:val="left"/>
              <w:rPr>
                <w:rFonts w:ascii="Times New Roman" w:hAnsi="Times New Roman" w:cs="Times New Roman" w:eastAsia="Times New Roman" w:hint="default"/>
                <w:sz w:val="18"/>
                <w:szCs w:val="18"/>
              </w:rPr>
            </w:pPr>
            <w:r>
              <w:rPr>
                <w:rFonts w:ascii="Times New Roman"/>
                <w:b/>
                <w:sz w:val="18"/>
              </w:rPr>
              <w:t>33,460,063.08</w:t>
            </w:r>
            <w:r>
              <w:rPr>
                <w:rFonts w:ascii="Times New Roman"/>
                <w:sz w:val="18"/>
              </w:rPr>
            </w:r>
          </w:p>
        </w:tc>
      </w:tr>
    </w:tbl>
    <w:p>
      <w:pPr>
        <w:pStyle w:val="BodyText"/>
        <w:spacing w:line="451" w:lineRule="auto" w:before="87"/>
        <w:ind w:right="1128" w:firstLine="360"/>
        <w:jc w:val="both"/>
      </w:pPr>
      <w:r>
        <w:rPr>
          <w:spacing w:val="-1"/>
        </w:rPr>
        <w:t>（</w:t>
      </w:r>
      <w:r>
        <w:rPr>
          <w:rFonts w:ascii="Times New Roman" w:hAnsi="Times New Roman" w:cs="Times New Roman" w:eastAsia="Times New Roman" w:hint="default"/>
          <w:spacing w:val="-1"/>
        </w:rPr>
        <w:t>1</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日，本公司存放于境外且资金汇回受到限制的货币资金折算人民币</w:t>
      </w:r>
      <w:r>
        <w:rPr>
          <w:rFonts w:ascii="Times New Roman" w:hAnsi="Times New Roman" w:cs="Times New Roman" w:eastAsia="Times New Roman" w:hint="default"/>
          <w:spacing w:val="-1"/>
        </w:rPr>
        <w:t>6,782,830.07</w:t>
      </w:r>
      <w:r>
        <w:rPr>
          <w:spacing w:val="-1"/>
        </w:rPr>
        <w:t>元，均为本公司</w:t>
      </w:r>
      <w:r>
        <w:rPr/>
        <w:t> 之香港子公司今天国际物流科技有限公司的银行存款；</w:t>
      </w:r>
    </w:p>
    <w:p>
      <w:pPr>
        <w:pStyle w:val="BodyText"/>
        <w:spacing w:line="451" w:lineRule="auto" w:before="74"/>
        <w:ind w:right="1136" w:firstLine="360"/>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日，其他货币资金人民币</w:t>
      </w:r>
      <w:r>
        <w:rPr>
          <w:rFonts w:ascii="Times New Roman" w:hAnsi="Times New Roman" w:cs="Times New Roman" w:eastAsia="Times New Roman" w:hint="default"/>
        </w:rPr>
        <w:t>33,699,505.69</w:t>
      </w:r>
      <w:r>
        <w:rPr/>
        <w:t>元为本公司存入银行的的保函保证金、信用证保证金以 及银行承兑汇票保证金存款；</w:t>
      </w:r>
    </w:p>
    <w:p>
      <w:pPr>
        <w:pStyle w:val="BodyText"/>
        <w:spacing w:line="451" w:lineRule="auto" w:before="74"/>
        <w:ind w:right="1131"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日，本公司供应商宁波振东光电有限公司因买卖合同纠纷向浙江省余姚市人民法院申请财产保全，请</w:t>
      </w:r>
      <w:r>
        <w:rPr/>
        <w:t> </w:t>
      </w:r>
      <w:r>
        <w:rPr>
          <w:spacing w:val="-2"/>
        </w:rPr>
        <w:t>求冻结本公司银行存款</w:t>
      </w:r>
      <w:r>
        <w:rPr>
          <w:rFonts w:ascii="Times New Roman" w:hAnsi="Times New Roman" w:cs="Times New Roman" w:eastAsia="Times New Roman" w:hint="default"/>
          <w:spacing w:val="-2"/>
        </w:rPr>
        <w:t>170,051.20</w:t>
      </w:r>
      <w:r>
        <w:rPr>
          <w:spacing w:val="-2"/>
        </w:rPr>
        <w:t>元，若金额不足，则查封、冻结、扣押本公司名下同等价值的其他财产；</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日浙</w:t>
      </w:r>
      <w:r>
        <w:rPr>
          <w:spacing w:val="-52"/>
        </w:rPr>
        <w:t> </w:t>
      </w:r>
      <w:r>
        <w:rPr>
          <w:spacing w:val="-2"/>
        </w:rPr>
        <w:t>江省余姚市人民法院作出（</w:t>
      </w:r>
      <w:r>
        <w:rPr>
          <w:rFonts w:ascii="Times New Roman" w:hAnsi="Times New Roman" w:cs="Times New Roman" w:eastAsia="Times New Roman" w:hint="default"/>
          <w:spacing w:val="-2"/>
        </w:rPr>
        <w:t>2019</w:t>
      </w:r>
      <w:r>
        <w:rPr>
          <w:spacing w:val="-2"/>
        </w:rPr>
        <w:t>）浙</w:t>
      </w:r>
      <w:r>
        <w:rPr>
          <w:rFonts w:ascii="Times New Roman" w:hAnsi="Times New Roman" w:cs="Times New Roman" w:eastAsia="Times New Roman" w:hint="default"/>
          <w:spacing w:val="-2"/>
        </w:rPr>
        <w:t>0281</w:t>
      </w:r>
      <w:r>
        <w:rPr>
          <w:spacing w:val="-2"/>
        </w:rPr>
        <w:t>民初</w:t>
      </w:r>
      <w:r>
        <w:rPr>
          <w:rFonts w:ascii="Times New Roman" w:hAnsi="Times New Roman" w:cs="Times New Roman" w:eastAsia="Times New Roman" w:hint="default"/>
          <w:spacing w:val="-2"/>
        </w:rPr>
        <w:t>4577</w:t>
      </w:r>
      <w:r>
        <w:rPr>
          <w:spacing w:val="-2"/>
        </w:rPr>
        <w:t>号《民事裁定书》，裁定冻结本公司银行存款</w:t>
      </w:r>
      <w:r>
        <w:rPr>
          <w:rFonts w:ascii="Times New Roman" w:hAnsi="Times New Roman" w:cs="Times New Roman" w:eastAsia="Times New Roman" w:hint="default"/>
          <w:spacing w:val="-2"/>
        </w:rPr>
        <w:t>170,051.20</w:t>
      </w:r>
      <w:r>
        <w:rPr>
          <w:spacing w:val="-2"/>
        </w:rPr>
        <w:t>元。</w:t>
      </w:r>
    </w:p>
    <w:p>
      <w:pPr>
        <w:pStyle w:val="Heading2"/>
        <w:spacing w:line="233" w:lineRule="exact"/>
        <w:ind w:right="1116"/>
        <w:jc w:val="left"/>
        <w:rPr>
          <w:b w:val="0"/>
          <w:bCs w:val="0"/>
        </w:rPr>
      </w:pPr>
      <w:bookmarkStart w:name="五、投资状况分析" w:id="43"/>
      <w:bookmarkEnd w:id="43"/>
      <w:r>
        <w:rPr>
          <w:b w:val="0"/>
          <w:bCs w:val="0"/>
        </w:rPr>
      </w:r>
      <w:r>
        <w:rPr/>
        <w:t>五、投资状况分析</w:t>
      </w:r>
      <w:r>
        <w:rPr>
          <w:b w:val="0"/>
          <w:bCs w:val="0"/>
        </w:rPr>
      </w:r>
    </w:p>
    <w:p>
      <w:pPr>
        <w:pStyle w:val="Heading3"/>
        <w:spacing w:line="240" w:lineRule="auto" w:before="25"/>
        <w:ind w:right="1116"/>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pStyle w:val="BodyText"/>
        <w:spacing w:line="451" w:lineRule="auto" w:before="123"/>
        <w:ind w:right="80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公司报告期无募集资金使用情况。</w:t>
      </w:r>
    </w:p>
    <w:p>
      <w:pPr>
        <w:pStyle w:val="Heading2"/>
        <w:spacing w:line="263" w:lineRule="exact"/>
        <w:ind w:right="1116"/>
        <w:jc w:val="left"/>
        <w:rPr>
          <w:b w:val="0"/>
          <w:bCs w:val="0"/>
        </w:rPr>
      </w:pPr>
      <w:bookmarkStart w:name="六、重大资产和股权出售" w:id="49"/>
      <w:bookmarkEnd w:id="49"/>
      <w:r>
        <w:rPr>
          <w:b w:val="0"/>
          <w:bCs w:val="0"/>
        </w:rPr>
      </w:r>
      <w:r>
        <w:rPr/>
        <w:t>六、重大资产和股权出售</w:t>
      </w:r>
      <w:r>
        <w:rPr>
          <w:b w:val="0"/>
          <w:bCs w:val="0"/>
        </w:rPr>
      </w:r>
    </w:p>
    <w:p>
      <w:pPr>
        <w:pStyle w:val="Heading3"/>
        <w:spacing w:line="240" w:lineRule="auto" w:before="23"/>
        <w:ind w:right="1116"/>
        <w:jc w:val="left"/>
        <w:rPr>
          <w:b w:val="0"/>
          <w:bCs w:val="0"/>
        </w:rPr>
      </w:pPr>
      <w:bookmarkStart w:name="1、出售重大资产情况" w:id="50"/>
      <w:bookmarkEnd w:id="50"/>
      <w:r>
        <w:rPr>
          <w:b w:val="0"/>
          <w:bCs w:val="0"/>
        </w:rPr>
      </w:r>
      <w:r>
        <w:rPr>
          <w:rFonts w:ascii="Times New Roman" w:hAnsi="Times New Roman" w:cs="Times New Roman" w:eastAsia="Times New Roman" w:hint="default"/>
        </w:rPr>
        <w:t>1</w:t>
      </w:r>
      <w:r>
        <w:rPr/>
        <w:t>、出售重大资产情况</w:t>
      </w:r>
      <w:r>
        <w:rPr>
          <w:b w:val="0"/>
          <w:bCs w:val="0"/>
        </w:rPr>
      </w:r>
    </w:p>
    <w:p>
      <w:pPr>
        <w:pStyle w:val="BodyText"/>
        <w:spacing w:line="451" w:lineRule="auto" w:before="123"/>
        <w:ind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公司报告期未出售重大资产。</w:t>
      </w:r>
    </w:p>
    <w:p>
      <w:pPr>
        <w:pStyle w:val="Heading3"/>
        <w:spacing w:line="265" w:lineRule="exact"/>
        <w:ind w:right="1116"/>
        <w:jc w:val="left"/>
        <w:rPr>
          <w:b w:val="0"/>
          <w:bCs w:val="0"/>
        </w:rPr>
      </w:pPr>
      <w:bookmarkStart w:name="2、出售重大股权情况" w:id="51"/>
      <w:bookmarkEnd w:id="51"/>
      <w:r>
        <w:rPr>
          <w:b w:val="0"/>
          <w:bCs w:val="0"/>
        </w:rPr>
      </w:r>
      <w:r>
        <w:rPr>
          <w:rFonts w:ascii="Times New Roman" w:hAnsi="Times New Roman" w:cs="Times New Roman" w:eastAsia="Times New Roman" w:hint="default"/>
        </w:rPr>
        <w:t>2</w:t>
      </w:r>
      <w:r>
        <w:rPr/>
        <w:t>、出售重大股权情况</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1116"/>
        <w:jc w:val="left"/>
        <w:rPr>
          <w:b w:val="0"/>
          <w:bCs w:val="0"/>
        </w:rPr>
      </w:pPr>
      <w:bookmarkStart w:name="七、主要控股参股公司分析" w:id="52"/>
      <w:bookmarkEnd w:id="52"/>
      <w:r>
        <w:rPr>
          <w:b w:val="0"/>
          <w:bCs w:val="0"/>
        </w:rPr>
      </w:r>
      <w:r>
        <w:rPr/>
        <w:t>七、主要控股参股公司分析</w:t>
      </w:r>
      <w:r>
        <w:rPr>
          <w:b w:val="0"/>
          <w:bCs w:val="0"/>
        </w:rPr>
      </w:r>
    </w:p>
    <w:p>
      <w:pPr>
        <w:pStyle w:val="BodyText"/>
        <w:spacing w:line="240" w:lineRule="auto" w:before="125"/>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116"/>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pStyle w:val="BodyText"/>
        <w:spacing w:line="240" w:lineRule="auto" w:before="140"/>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984"/>
        <w:gridCol w:w="674"/>
        <w:gridCol w:w="1035"/>
        <w:gridCol w:w="1186"/>
        <w:gridCol w:w="1229"/>
        <w:gridCol w:w="1140"/>
        <w:gridCol w:w="1140"/>
        <w:gridCol w:w="1157"/>
        <w:gridCol w:w="1022"/>
      </w:tblGrid>
      <w:tr>
        <w:trPr>
          <w:trHeight w:val="634" w:hRule="exact"/>
        </w:trPr>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51" w:right="15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946"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both"/>
              <w:rPr>
                <w:rFonts w:ascii="宋体" w:hAnsi="宋体" w:cs="宋体" w:eastAsia="宋体" w:hint="default"/>
                <w:sz w:val="18"/>
                <w:szCs w:val="18"/>
              </w:rPr>
            </w:pPr>
            <w:r>
              <w:rPr>
                <w:rFonts w:ascii="宋体" w:hAnsi="宋体" w:cs="宋体" w:eastAsia="宋体" w:hint="default"/>
                <w:sz w:val="18"/>
                <w:szCs w:val="18"/>
              </w:rPr>
              <w:t>今天国际 物流科技 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7"/>
                <w:sz w:val="18"/>
                <w:szCs w:val="18"/>
              </w:rPr>
              <w:t>贸易、物流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技术咨询</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8"/>
              <w:jc w:val="center"/>
              <w:rPr>
                <w:rFonts w:ascii="Times New Roman" w:hAnsi="Times New Roman" w:cs="Times New Roman" w:eastAsia="Times New Roman" w:hint="default"/>
                <w:sz w:val="15"/>
                <w:szCs w:val="15"/>
              </w:rPr>
            </w:pPr>
            <w:r>
              <w:rPr>
                <w:rFonts w:ascii="Times New Roman"/>
                <w:sz w:val="15"/>
              </w:rPr>
              <w:t>HKD10000000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9,021,178.09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9,021,178.09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9" w:right="0"/>
              <w:jc w:val="left"/>
              <w:rPr>
                <w:rFonts w:ascii="Times New Roman" w:hAnsi="Times New Roman" w:cs="Times New Roman" w:eastAsia="Times New Roman" w:hint="default"/>
                <w:sz w:val="15"/>
                <w:szCs w:val="15"/>
              </w:rPr>
            </w:pPr>
            <w:r>
              <w:rPr>
                <w:rFonts w:ascii="Times New Roman"/>
                <w:sz w:val="15"/>
              </w:rPr>
              <w:t>-120,952.59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5"/>
                <w:szCs w:val="15"/>
              </w:rPr>
            </w:pPr>
            <w:r>
              <w:rPr>
                <w:rFonts w:ascii="Times New Roman"/>
                <w:sz w:val="15"/>
              </w:rPr>
              <w:t>-120,952.59</w:t>
            </w:r>
          </w:p>
        </w:tc>
      </w:tr>
    </w:tbl>
    <w:p>
      <w:pPr>
        <w:spacing w:after="0" w:line="240" w:lineRule="auto"/>
        <w:jc w:val="center"/>
        <w:rPr>
          <w:rFonts w:ascii="Times New Roman" w:hAnsi="Times New Roman" w:cs="Times New Roman" w:eastAsia="Times New Roman" w:hint="default"/>
          <w:sz w:val="15"/>
          <w:szCs w:val="15"/>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984"/>
        <w:gridCol w:w="674"/>
        <w:gridCol w:w="1035"/>
        <w:gridCol w:w="1186"/>
        <w:gridCol w:w="1229"/>
        <w:gridCol w:w="1140"/>
        <w:gridCol w:w="1140"/>
        <w:gridCol w:w="1157"/>
        <w:gridCol w:w="1022"/>
      </w:tblGrid>
      <w:tr>
        <w:trPr>
          <w:trHeight w:val="125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49"/>
              <w:jc w:val="both"/>
              <w:rPr>
                <w:rFonts w:ascii="宋体" w:hAnsi="宋体" w:cs="宋体" w:eastAsia="宋体" w:hint="default"/>
                <w:sz w:val="18"/>
                <w:szCs w:val="18"/>
              </w:rPr>
            </w:pPr>
            <w:r>
              <w:rPr>
                <w:rFonts w:ascii="宋体" w:hAnsi="宋体" w:cs="宋体" w:eastAsia="宋体" w:hint="default"/>
                <w:sz w:val="18"/>
                <w:szCs w:val="18"/>
              </w:rPr>
              <w:t>深圳市今 天国际软 件技术有 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50,000,000.00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94,594,857.34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79,333,972.08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58,539,232.99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25,375,817.55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23,439,672.7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1</w:t>
            </w:r>
          </w:p>
        </w:tc>
      </w:tr>
      <w:tr>
        <w:trPr>
          <w:trHeight w:val="125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both"/>
              <w:rPr>
                <w:rFonts w:ascii="宋体" w:hAnsi="宋体" w:cs="宋体" w:eastAsia="宋体" w:hint="default"/>
                <w:sz w:val="18"/>
                <w:szCs w:val="18"/>
              </w:rPr>
            </w:pPr>
            <w:r>
              <w:rPr>
                <w:rFonts w:ascii="宋体" w:hAnsi="宋体" w:cs="宋体" w:eastAsia="宋体" w:hint="default"/>
                <w:sz w:val="18"/>
                <w:szCs w:val="18"/>
              </w:rPr>
              <w:t>深圳市今 天国际智 能机器人 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200"/>
              <w:jc w:val="left"/>
              <w:rPr>
                <w:rFonts w:ascii="宋体" w:hAnsi="宋体" w:cs="宋体" w:eastAsia="宋体" w:hint="default"/>
                <w:sz w:val="18"/>
                <w:szCs w:val="18"/>
              </w:rPr>
            </w:pPr>
            <w:r>
              <w:rPr>
                <w:rFonts w:ascii="宋体" w:hAnsi="宋体" w:cs="宋体" w:eastAsia="宋体" w:hint="default"/>
                <w:sz w:val="18"/>
                <w:szCs w:val="18"/>
              </w:rPr>
              <w:t>机器人研 发、制造</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50,000,000.00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77,868,788.87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56,657,451.52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52,293,581.99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5,006,173.87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4,890,635.38</w:t>
            </w:r>
          </w:p>
        </w:tc>
      </w:tr>
      <w:tr>
        <w:trPr>
          <w:trHeight w:val="125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both"/>
              <w:rPr>
                <w:rFonts w:ascii="宋体" w:hAnsi="宋体" w:cs="宋体" w:eastAsia="宋体" w:hint="default"/>
                <w:sz w:val="18"/>
                <w:szCs w:val="18"/>
              </w:rPr>
            </w:pPr>
            <w:r>
              <w:rPr>
                <w:rFonts w:ascii="宋体" w:hAnsi="宋体" w:cs="宋体" w:eastAsia="宋体" w:hint="default"/>
                <w:sz w:val="18"/>
                <w:szCs w:val="18"/>
              </w:rPr>
              <w:t>北京今天 华迅智能 技术有限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50,000,000.00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1,201,055.97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-2,510,044.88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2,242,734.98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-383,995.68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5"/>
                <w:szCs w:val="15"/>
              </w:rPr>
            </w:pPr>
            <w:r>
              <w:rPr>
                <w:rFonts w:ascii="Times New Roman"/>
                <w:sz w:val="15"/>
              </w:rPr>
              <w:t>-484,045.68</w:t>
            </w:r>
          </w:p>
        </w:tc>
      </w:tr>
      <w:tr>
        <w:trPr>
          <w:trHeight w:val="1261"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49"/>
              <w:jc w:val="both"/>
              <w:rPr>
                <w:rFonts w:ascii="宋体" w:hAnsi="宋体" w:cs="宋体" w:eastAsia="宋体" w:hint="default"/>
                <w:sz w:val="18"/>
                <w:szCs w:val="18"/>
              </w:rPr>
            </w:pPr>
            <w:r>
              <w:rPr>
                <w:rFonts w:ascii="宋体" w:hAnsi="宋体" w:cs="宋体" w:eastAsia="宋体" w:hint="default"/>
                <w:sz w:val="18"/>
                <w:szCs w:val="18"/>
              </w:rPr>
              <w:t>上海今天 华峰智能 系统有限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50,000,000.00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7,767,130.63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6,781,070.85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94,339.60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-5,296,062.95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-4,036,569.7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1</w:t>
            </w:r>
          </w:p>
        </w:tc>
      </w:tr>
    </w:tbl>
    <w:p>
      <w:pPr>
        <w:pStyle w:val="BodyText"/>
        <w:spacing w:line="240" w:lineRule="auto" w:before="87"/>
        <w:ind w:right="0"/>
        <w:jc w:val="both"/>
      </w:pPr>
      <w:r>
        <w:rPr/>
        <w:t>报告期内取得和处置子公司的情况</w:t>
      </w:r>
    </w:p>
    <w:p>
      <w:pPr>
        <w:spacing w:line="240" w:lineRule="auto" w:before="10"/>
        <w:rPr>
          <w:rFonts w:ascii="宋体" w:hAnsi="宋体" w:cs="宋体" w:eastAsia="宋体" w:hint="default"/>
          <w:sz w:val="17"/>
          <w:szCs w:val="17"/>
        </w:rPr>
      </w:pPr>
    </w:p>
    <w:p>
      <w:pPr>
        <w:pStyle w:val="BodyText"/>
        <w:spacing w:line="451" w:lineRule="auto"/>
        <w:ind w:right="8594"/>
        <w:jc w:val="left"/>
      </w:pPr>
      <w:r>
        <w:rPr>
          <w:rFonts w:ascii="Times New Roman" w:hAnsi="Times New Roman" w:cs="Times New Roman" w:eastAsia="Times New Roman" w:hint="default"/>
        </w:rPr>
        <w:t>□ </w:t>
      </w:r>
      <w:r>
        <w:rPr/>
        <w:t>适用 √</w:t>
      </w:r>
      <w:r>
        <w:rPr>
          <w:spacing w:val="2"/>
        </w:rPr>
        <w:t> </w:t>
      </w:r>
      <w:r>
        <w:rPr/>
        <w:t>不适用</w:t>
      </w:r>
      <w:r>
        <w:rPr>
          <w:w w:val="99"/>
        </w:rPr>
        <w:t> </w:t>
      </w:r>
      <w:r>
        <w:rPr/>
        <w:t>主要控股参股公司情况说明</w:t>
      </w:r>
    </w:p>
    <w:p>
      <w:pPr>
        <w:pStyle w:val="BodyText"/>
        <w:spacing w:line="451" w:lineRule="auto" w:before="74"/>
        <w:ind w:right="1131" w:firstLine="360"/>
        <w:jc w:val="both"/>
      </w:pPr>
      <w:r>
        <w:rPr/>
        <w:t>深圳市今天国际物流技术股份有限公司</w:t>
      </w:r>
      <w:r>
        <w:rPr>
          <w:spacing w:val="-46"/>
        </w:rPr>
        <w:t> </w:t>
      </w:r>
      <w:r>
        <w:rPr>
          <w:rFonts w:ascii="Times New Roman" w:hAnsi="Times New Roman" w:cs="Times New Roman" w:eastAsia="Times New Roman" w:hint="default"/>
        </w:rPr>
        <w:t>2017 </w:t>
      </w:r>
      <w:r>
        <w:rPr/>
        <w:t>年与申云植签署股权转让协议书，约定今天国际以</w:t>
      </w:r>
      <w:r>
        <w:rPr>
          <w:spacing w:val="-46"/>
        </w:rPr>
        <w:t> </w:t>
      </w:r>
      <w:r>
        <w:rPr>
          <w:rFonts w:ascii="Times New Roman" w:hAnsi="Times New Roman" w:cs="Times New Roman" w:eastAsia="Times New Roman" w:hint="default"/>
        </w:rPr>
        <w:t>3,432 </w:t>
      </w:r>
      <w:r>
        <w:rPr/>
        <w:t>万元的价款受让 其持有的深圳市旭龙昇电子有限公司</w:t>
      </w:r>
      <w:r>
        <w:rPr>
          <w:spacing w:val="-58"/>
        </w:rPr>
        <w:t> </w:t>
      </w:r>
      <w:r>
        <w:rPr>
          <w:rFonts w:ascii="Times New Roman" w:hAnsi="Times New Roman" w:cs="Times New Roman" w:eastAsia="Times New Roman" w:hint="default"/>
        </w:rPr>
        <w:t>33%</w:t>
      </w:r>
      <w:r>
        <w:rPr/>
        <w:t>的股权，当旭龙昇业绩承诺期（</w:t>
      </w:r>
      <w:r>
        <w:rPr>
          <w:rFonts w:ascii="Times New Roman" w:hAnsi="Times New Roman" w:cs="Times New Roman" w:eastAsia="Times New Roman" w:hint="default"/>
        </w:rPr>
        <w:t>2017-2019</w:t>
      </w:r>
      <w:r>
        <w:rPr>
          <w:rFonts w:ascii="Times New Roman" w:hAnsi="Times New Roman" w:cs="Times New Roman" w:eastAsia="Times New Roman" w:hint="default"/>
          <w:spacing w:val="-12"/>
        </w:rPr>
        <w:t> </w:t>
      </w:r>
      <w:r>
        <w:rPr/>
        <w:t>年）连续三年未达成扣非净利润目标或 者累计实际实现的经审计的扣非净利润总额低于承诺期内三年合计之扣非净利润目标</w:t>
      </w:r>
      <w:r>
        <w:rPr>
          <w:spacing w:val="-46"/>
        </w:rPr>
        <w:t> </w:t>
      </w:r>
      <w:r>
        <w:rPr>
          <w:rFonts w:ascii="Times New Roman" w:hAnsi="Times New Roman" w:cs="Times New Roman" w:eastAsia="Times New Roman" w:hint="default"/>
        </w:rPr>
        <w:t>3,800</w:t>
      </w:r>
      <w:r>
        <w:rPr>
          <w:rFonts w:ascii="Times New Roman" w:hAnsi="Times New Roman" w:cs="Times New Roman" w:eastAsia="Times New Roman" w:hint="default"/>
          <w:spacing w:val="-1"/>
        </w:rPr>
        <w:t> </w:t>
      </w:r>
      <w:r>
        <w:rPr/>
        <w:t>万元时</w:t>
      </w:r>
      <w:r>
        <w:rPr>
          <w:rFonts w:ascii="Times New Roman" w:hAnsi="Times New Roman" w:cs="Times New Roman" w:eastAsia="Times New Roman" w:hint="default"/>
        </w:rPr>
        <w:t>,</w:t>
      </w:r>
      <w:r>
        <w:rPr/>
        <w:t>由申云植回购今天国际</w:t>
      </w:r>
    </w:p>
    <w:p>
      <w:pPr>
        <w:pStyle w:val="BodyText"/>
        <w:spacing w:line="240" w:lineRule="auto" w:before="43"/>
        <w:ind w:right="0"/>
        <w:jc w:val="both"/>
      </w:pPr>
      <w:r>
        <w:rPr/>
        <w:t>持有旭龙昇的全部股权。截至</w:t>
      </w:r>
      <w:r>
        <w:rPr>
          <w:spacing w:val="-46"/>
        </w:rPr>
        <w:t> </w:t>
      </w: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日，经立信会计师事务所（特殊普通合伙）审计确认旭龙昇</w:t>
      </w:r>
      <w:r>
        <w:rPr>
          <w:spacing w:val="-46"/>
        </w:rPr>
        <w:t> </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2019 </w:t>
      </w:r>
      <w:r>
        <w:rPr/>
        <w:t>年实</w:t>
      </w:r>
    </w:p>
    <w:p>
      <w:pPr>
        <w:spacing w:line="240" w:lineRule="auto" w:before="9"/>
        <w:rPr>
          <w:rFonts w:ascii="宋体" w:hAnsi="宋体" w:cs="宋体" w:eastAsia="宋体" w:hint="default"/>
          <w:sz w:val="16"/>
          <w:szCs w:val="16"/>
        </w:rPr>
      </w:pPr>
    </w:p>
    <w:p>
      <w:pPr>
        <w:pStyle w:val="BodyText"/>
        <w:spacing w:line="451" w:lineRule="auto"/>
        <w:ind w:right="1116"/>
        <w:jc w:val="left"/>
      </w:pPr>
      <w:r>
        <w:rPr/>
        <w:t>现的扣非净利润分别为</w:t>
      </w:r>
      <w:r>
        <w:rPr>
          <w:spacing w:val="-47"/>
        </w:rPr>
        <w:t> </w:t>
      </w:r>
      <w:r>
        <w:rPr>
          <w:rFonts w:ascii="Times New Roman" w:hAnsi="Times New Roman" w:cs="Times New Roman" w:eastAsia="Times New Roman" w:hint="default"/>
        </w:rPr>
        <w:t>9,971,426.03 </w:t>
      </w:r>
      <w:r>
        <w:rPr/>
        <w:t>元、</w:t>
      </w:r>
      <w:r>
        <w:rPr>
          <w:rFonts w:ascii="Times New Roman" w:hAnsi="Times New Roman" w:cs="Times New Roman" w:eastAsia="Times New Roman" w:hint="default"/>
        </w:rPr>
        <w:t>12,554,541.28</w:t>
      </w:r>
      <w:r>
        <w:rPr>
          <w:rFonts w:ascii="Times New Roman" w:hAnsi="Times New Roman" w:cs="Times New Roman" w:eastAsia="Times New Roman" w:hint="default"/>
          <w:spacing w:val="-1"/>
        </w:rPr>
        <w:t> </w:t>
      </w:r>
      <w:r>
        <w:rPr/>
        <w:t>元和</w:t>
      </w:r>
      <w:r>
        <w:rPr>
          <w:spacing w:val="-48"/>
        </w:rPr>
        <w:t> </w:t>
      </w:r>
      <w:r>
        <w:rPr>
          <w:rFonts w:ascii="Times New Roman" w:hAnsi="Times New Roman" w:cs="Times New Roman" w:eastAsia="Times New Roman" w:hint="default"/>
        </w:rPr>
        <w:t>12,528,223.4 </w:t>
      </w:r>
      <w:r>
        <w:rPr/>
        <w:t>元、合计</w:t>
      </w:r>
      <w:r>
        <w:rPr>
          <w:spacing w:val="-50"/>
        </w:rPr>
        <w:t> </w:t>
      </w:r>
      <w:r>
        <w:rPr>
          <w:rFonts w:ascii="Times New Roman" w:hAnsi="Times New Roman" w:cs="Times New Roman" w:eastAsia="Times New Roman" w:hint="default"/>
        </w:rPr>
        <w:t>35,054,190.71</w:t>
      </w:r>
      <w:r>
        <w:rPr>
          <w:rFonts w:ascii="Times New Roman" w:hAnsi="Times New Roman" w:cs="Times New Roman" w:eastAsia="Times New Roman" w:hint="default"/>
          <w:spacing w:val="-1"/>
        </w:rPr>
        <w:t> </w:t>
      </w:r>
      <w:r>
        <w:rPr/>
        <w:t>元，占业绩承诺</w:t>
      </w:r>
      <w:r>
        <w:rPr>
          <w:spacing w:val="-50"/>
        </w:rPr>
        <w:t> </w:t>
      </w:r>
      <w:r>
        <w:rPr>
          <w:rFonts w:ascii="Times New Roman" w:hAnsi="Times New Roman" w:cs="Times New Roman" w:eastAsia="Times New Roman" w:hint="default"/>
        </w:rPr>
        <w:t>3,800</w:t>
      </w:r>
      <w:r>
        <w:rPr>
          <w:rFonts w:ascii="Times New Roman" w:hAnsi="Times New Roman" w:cs="Times New Roman" w:eastAsia="Times New Roman" w:hint="default"/>
          <w:spacing w:val="-1"/>
        </w:rPr>
        <w:t> </w:t>
      </w:r>
      <w:r>
        <w:rPr>
          <w:spacing w:val="-3"/>
        </w:rPr>
        <w:t>万元 </w:t>
      </w:r>
      <w:r>
        <w:rPr/>
        <w:t>的</w:t>
      </w:r>
      <w:r>
        <w:rPr>
          <w:spacing w:val="-45"/>
        </w:rPr>
        <w:t> </w:t>
      </w:r>
      <w:r>
        <w:rPr>
          <w:rFonts w:ascii="Times New Roman" w:hAnsi="Times New Roman" w:cs="Times New Roman" w:eastAsia="Times New Roman" w:hint="default"/>
        </w:rPr>
        <w:t>92.25%</w:t>
      </w:r>
      <w:r>
        <w:rPr/>
        <w:t>。双方根据</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年股权转让协议相关约定，正在对此事项涉及的现金补偿和股份回购事宜进行友好协商。</w:t>
      </w:r>
    </w:p>
    <w:p>
      <w:pPr>
        <w:pStyle w:val="Heading2"/>
        <w:spacing w:line="232" w:lineRule="exact"/>
        <w:ind w:right="0"/>
        <w:jc w:val="both"/>
        <w:rPr>
          <w:b w:val="0"/>
          <w:bCs w:val="0"/>
        </w:rPr>
      </w:pPr>
      <w:bookmarkStart w:name="八、公司控制的结构化主体情况" w:id="53"/>
      <w:bookmarkEnd w:id="53"/>
      <w:r>
        <w:rPr>
          <w:b w:val="0"/>
          <w:bCs w:val="0"/>
        </w:rPr>
      </w:r>
      <w:r>
        <w:rPr/>
        <w:t>八、公司控制的结构化主体情况</w:t>
      </w:r>
      <w:r>
        <w:rPr>
          <w:b w:val="0"/>
          <w:bCs w:val="0"/>
        </w:rPr>
      </w:r>
    </w:p>
    <w:p>
      <w:pPr>
        <w:pStyle w:val="BodyText"/>
        <w:spacing w:line="240" w:lineRule="auto" w:before="44"/>
        <w:ind w:right="0"/>
        <w:jc w:val="both"/>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0"/>
        <w:jc w:val="both"/>
        <w:rPr>
          <w:b w:val="0"/>
          <w:bCs w:val="0"/>
        </w:rPr>
      </w:pPr>
      <w:bookmarkStart w:name="九、公司未来发展的展望" w:id="54"/>
      <w:bookmarkEnd w:id="54"/>
      <w:r>
        <w:rPr>
          <w:b w:val="0"/>
          <w:bCs w:val="0"/>
        </w:rPr>
      </w:r>
      <w:r>
        <w:rPr/>
        <w:t>九、公司未来发展的展望</w:t>
      </w:r>
      <w:r>
        <w:rPr>
          <w:b w:val="0"/>
          <w:bCs w:val="0"/>
        </w:rPr>
      </w:r>
    </w:p>
    <w:p>
      <w:pPr>
        <w:pStyle w:val="Heading5"/>
        <w:spacing w:line="240" w:lineRule="auto" w:before="125"/>
        <w:ind w:left="0" w:right="8002"/>
        <w:jc w:val="center"/>
        <w:rPr>
          <w:b w:val="0"/>
          <w:bCs w:val="0"/>
        </w:rPr>
      </w:pPr>
      <w:r>
        <w:rPr>
          <w:rFonts w:ascii="Times New Roman" w:hAnsi="Times New Roman" w:cs="Times New Roman" w:eastAsia="Times New Roman" w:hint="default"/>
        </w:rPr>
        <w:t>1</w:t>
      </w:r>
      <w:r>
        <w:rPr/>
        <w:t>、行业发展趋势和前景</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0" w:firstLine="360"/>
        <w:jc w:val="both"/>
      </w:pPr>
      <w:r>
        <w:rPr/>
        <w:t>（</w:t>
      </w:r>
      <w:r>
        <w:rPr>
          <w:rFonts w:ascii="Times New Roman" w:hAnsi="Times New Roman" w:cs="Times New Roman" w:eastAsia="Times New Roman" w:hint="default"/>
        </w:rPr>
        <w:t>1</w:t>
      </w:r>
      <w:r>
        <w:rPr/>
        <w:t>）良好的政策支持激发智慧物流系统和智能制造系统建设高潮。国务院</w:t>
      </w:r>
      <w:r>
        <w:rPr>
          <w:rFonts w:ascii="Times New Roman" w:hAnsi="Times New Roman" w:cs="Times New Roman" w:eastAsia="Times New Roman" w:hint="default"/>
        </w:rPr>
        <w:t>2014</w:t>
      </w:r>
      <w:r>
        <w:rPr/>
        <w:t>年发布物流业发展中长期规划（</w:t>
      </w:r>
      <w:r>
        <w:rPr>
          <w:rFonts w:ascii="Times New Roman" w:hAnsi="Times New Roman" w:cs="Times New Roman" w:eastAsia="Times New Roman" w:hint="default"/>
        </w:rPr>
        <w:t>2014</w:t>
      </w:r>
      <w:r>
        <w:rPr/>
        <w:t>－ </w:t>
      </w:r>
      <w:r>
        <w:rPr>
          <w:rFonts w:ascii="Times New Roman" w:hAnsi="Times New Roman" w:cs="Times New Roman" w:eastAsia="Times New Roman" w:hint="default"/>
          <w:spacing w:val="-2"/>
        </w:rPr>
        <w:t>2020</w:t>
      </w:r>
      <w:r>
        <w:rPr>
          <w:spacing w:val="-2"/>
        </w:rPr>
        <w:t>年），旨在加强物流核心技术和装备研发，推动关键技术装备产业化，鼓励物流企业采用先进适用技术和装备。加快食</w:t>
      </w:r>
      <w:r>
        <w:rPr>
          <w:spacing w:val="-69"/>
        </w:rPr>
        <w:t> </w:t>
      </w:r>
      <w:r>
        <w:rPr>
          <w:spacing w:val="-69"/>
        </w:rPr>
      </w:r>
      <w:r>
        <w:rPr>
          <w:spacing w:val="-2"/>
        </w:rPr>
        <w:t>品冷链、医药、烟草、机械、汽车、干散货、危险化学品等专业物流装备的研发，提升物流装备的专业化水平。为贯彻落实</w:t>
      </w:r>
    </w:p>
    <w:p>
      <w:pPr>
        <w:pStyle w:val="BodyText"/>
        <w:spacing w:line="451" w:lineRule="auto" w:before="74"/>
        <w:ind w:right="1128"/>
        <w:jc w:val="both"/>
      </w:pPr>
      <w:r>
        <w:rPr>
          <w:spacing w:val="-9"/>
        </w:rPr>
        <w:t>《中国制造</w:t>
      </w:r>
      <w:r>
        <w:rPr>
          <w:rFonts w:ascii="Times New Roman" w:hAnsi="Times New Roman" w:cs="Times New Roman" w:eastAsia="Times New Roman" w:hint="default"/>
          <w:spacing w:val="-9"/>
        </w:rPr>
        <w:t>2025</w:t>
      </w:r>
      <w:r>
        <w:rPr>
          <w:spacing w:val="-9"/>
        </w:rPr>
        <w:t>》，</w:t>
      </w:r>
      <w:r>
        <w:rPr>
          <w:rFonts w:ascii="Times New Roman" w:hAnsi="Times New Roman" w:cs="Times New Roman" w:eastAsia="Times New Roman" w:hint="default"/>
          <w:spacing w:val="-9"/>
        </w:rPr>
        <w:t>2016</w:t>
      </w:r>
      <w:r>
        <w:rPr>
          <w:spacing w:val="-9"/>
        </w:rPr>
        <w:t>年中国先后发布《机器人产业发展规划（</w:t>
      </w:r>
      <w:r>
        <w:rPr>
          <w:rFonts w:ascii="Times New Roman" w:hAnsi="Times New Roman" w:cs="Times New Roman" w:eastAsia="Times New Roman" w:hint="default"/>
          <w:spacing w:val="-9"/>
        </w:rPr>
        <w:t>2016</w:t>
      </w:r>
      <w:r>
        <w:rPr>
          <w:spacing w:val="-9"/>
        </w:rPr>
        <w:t>－</w:t>
      </w:r>
      <w:r>
        <w:rPr>
          <w:rFonts w:ascii="Times New Roman" w:hAnsi="Times New Roman" w:cs="Times New Roman" w:eastAsia="Times New Roman" w:hint="default"/>
          <w:spacing w:val="-9"/>
        </w:rPr>
        <w:t>2020</w:t>
      </w:r>
      <w:r>
        <w:rPr>
          <w:spacing w:val="-9"/>
        </w:rPr>
        <w:t>年）》和《智能制造发展规划</w:t>
      </w:r>
      <w:r>
        <w:rPr>
          <w:spacing w:val="-46"/>
        </w:rPr>
        <w:t> </w:t>
      </w:r>
      <w:r>
        <w:rPr>
          <w:spacing w:val="-14"/>
        </w:rPr>
        <w:t>（</w:t>
      </w:r>
      <w:r>
        <w:rPr>
          <w:rFonts w:ascii="Times New Roman" w:hAnsi="Times New Roman" w:cs="Times New Roman" w:eastAsia="Times New Roman" w:hint="default"/>
          <w:spacing w:val="-14"/>
        </w:rPr>
        <w:t>2016</w:t>
      </w:r>
      <w:r>
        <w:rPr>
          <w:spacing w:val="-14"/>
        </w:rPr>
        <w:t>－</w:t>
      </w:r>
      <w:r>
        <w:rPr>
          <w:rFonts w:ascii="Times New Roman" w:hAnsi="Times New Roman" w:cs="Times New Roman" w:eastAsia="Times New Roman" w:hint="default"/>
          <w:spacing w:val="-14"/>
        </w:rPr>
        <w:t>2020</w:t>
      </w:r>
      <w:r>
        <w:rPr>
          <w:spacing w:val="-14"/>
        </w:rPr>
        <w:t>年）》，</w:t>
      </w:r>
      <w:r>
        <w:rPr>
          <w:spacing w:val="-82"/>
        </w:rPr>
        <w:t> </w:t>
      </w:r>
      <w:r>
        <w:rPr>
          <w:spacing w:val="-82"/>
        </w:rPr>
      </w:r>
      <w:r>
        <w:rPr>
          <w:spacing w:val="-2"/>
        </w:rPr>
        <w:t>旨在通过大力发展机器人与智能制造，打造中国制造业竞争新优势，激发机器人与智能制造行业水平不断提升。</w:t>
      </w:r>
      <w:r>
        <w:rPr>
          <w:rFonts w:ascii="Times New Roman" w:hAnsi="Times New Roman" w:cs="Times New Roman" w:eastAsia="Times New Roman" w:hint="default"/>
          <w:spacing w:val="-2"/>
        </w:rPr>
        <w:t>2017</w:t>
      </w:r>
      <w:r>
        <w:rPr>
          <w:spacing w:val="-2"/>
        </w:rPr>
        <w:t>年国务</w:t>
      </w:r>
      <w:r>
        <w:rPr>
          <w:spacing w:val="-59"/>
        </w:rPr>
        <w:t> </w:t>
      </w:r>
      <w:r>
        <w:rPr>
          <w:spacing w:val="-59"/>
        </w:rPr>
      </w:r>
      <w:r>
        <w:rPr>
          <w:w w:val="100"/>
        </w:rPr>
        <w:t>院发布《关于深化</w:t>
      </w:r>
      <w:r>
        <w:rPr>
          <w:rFonts w:ascii="Times New Roman" w:hAnsi="Times New Roman" w:cs="Times New Roman" w:eastAsia="Times New Roman" w:hint="default"/>
          <w:w w:val="100"/>
        </w:rPr>
        <w:t>“</w:t>
      </w:r>
      <w:r>
        <w:rPr>
          <w:w w:val="100"/>
        </w:rPr>
        <w:t>互联网</w:t>
      </w:r>
      <w:r>
        <w:rPr>
          <w:rFonts w:ascii="Times New Roman" w:hAnsi="Times New Roman" w:cs="Times New Roman" w:eastAsia="Times New Roman" w:hint="default"/>
          <w:w w:val="100"/>
        </w:rPr>
        <w:t>+</w:t>
      </w:r>
      <w:r>
        <w:rPr>
          <w:w w:val="100"/>
        </w:rPr>
        <w:t>先进制造业</w:t>
      </w:r>
      <w:r>
        <w:rPr>
          <w:rFonts w:ascii="Times New Roman" w:hAnsi="Times New Roman" w:cs="Times New Roman" w:eastAsia="Times New Roman" w:hint="default"/>
          <w:w w:val="100"/>
        </w:rPr>
        <w:t>”</w:t>
      </w:r>
      <w:r>
        <w:rPr>
          <w:rFonts w:ascii="Times New Roman" w:hAnsi="Times New Roman" w:cs="Times New Roman" w:eastAsia="Times New Roman" w:hint="default"/>
          <w:spacing w:val="13"/>
          <w:w w:val="100"/>
        </w:rPr>
        <w:t> </w:t>
      </w:r>
      <w:r>
        <w:rPr>
          <w:spacing w:val="-3"/>
        </w:rPr>
        <w:t>发展工业互联网的指导意见》，旨在</w:t>
      </w:r>
      <w:r>
        <w:rPr>
          <w:color w:val="333333"/>
          <w:spacing w:val="-3"/>
        </w:rPr>
        <w:t>加快建设和发展工业互联网，推动互联网、大</w:t>
      </w:r>
      <w:r>
        <w:rPr>
          <w:color w:val="333333"/>
          <w:spacing w:val="-86"/>
        </w:rPr>
        <w:t> </w:t>
      </w:r>
      <w:r>
        <w:rPr>
          <w:color w:val="333333"/>
          <w:spacing w:val="-86"/>
        </w:rPr>
      </w:r>
      <w:r>
        <w:rPr>
          <w:color w:val="333333"/>
          <w:spacing w:val="-2"/>
        </w:rPr>
        <w:t>数据、人工智能和实体经济深度融合，发展先进制造业，支持传统产业优化升级。</w:t>
      </w:r>
      <w:r>
        <w:rPr>
          <w:rFonts w:ascii="Times New Roman" w:hAnsi="Times New Roman" w:cs="Times New Roman" w:eastAsia="Times New Roman" w:hint="default"/>
          <w:color w:val="333333"/>
          <w:spacing w:val="-2"/>
        </w:rPr>
        <w:t>2019</w:t>
      </w:r>
      <w:r>
        <w:rPr>
          <w:color w:val="333333"/>
          <w:spacing w:val="-2"/>
        </w:rPr>
        <w:t>年发改委等部委发布《关于推动物流</w:t>
      </w:r>
      <w:r>
        <w:rPr>
          <w:spacing w:val="-2"/>
        </w:rPr>
      </w:r>
    </w:p>
    <w:p>
      <w:pPr>
        <w:spacing w:after="0" w:line="451" w:lineRule="auto"/>
        <w:jc w:val="both"/>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right="1140"/>
        <w:jc w:val="both"/>
      </w:pPr>
      <w:r>
        <w:rPr>
          <w:color w:val="333333"/>
          <w:spacing w:val="-2"/>
        </w:rPr>
        <w:t>高质量发展促进形成强大国内市场的意见》，启动国家物流枢纽网络建设，完善国家物流公共信息平台，实施物流智能化改</w:t>
      </w:r>
      <w:r>
        <w:rPr>
          <w:color w:val="333333"/>
          <w:spacing w:val="-72"/>
        </w:rPr>
        <w:t> </w:t>
      </w:r>
      <w:r>
        <w:rPr>
          <w:color w:val="333333"/>
          <w:spacing w:val="-72"/>
        </w:rPr>
      </w:r>
      <w:r>
        <w:rPr>
          <w:color w:val="333333"/>
        </w:rPr>
        <w:t>造行动。</w:t>
      </w:r>
      <w:r>
        <w:rPr/>
      </w:r>
    </w:p>
    <w:p>
      <w:pPr>
        <w:pStyle w:val="BodyText"/>
        <w:spacing w:line="465" w:lineRule="auto" w:before="54"/>
        <w:ind w:right="1128" w:firstLine="360"/>
        <w:jc w:val="both"/>
      </w:pPr>
      <w:r>
        <w:rPr>
          <w:spacing w:val="-4"/>
        </w:rPr>
        <w:t>（</w:t>
      </w:r>
      <w:r>
        <w:rPr>
          <w:rFonts w:ascii="Times New Roman" w:hAnsi="Times New Roman" w:cs="Times New Roman" w:eastAsia="Times New Roman" w:hint="default"/>
          <w:spacing w:val="-4"/>
        </w:rPr>
        <w:t>2</w:t>
      </w:r>
      <w:r>
        <w:rPr>
          <w:spacing w:val="-4"/>
        </w:rPr>
        <w:t>）市场需求日趋旺盛。随着人力成本增加和土地资源缺乏以及企业信息化管理需求的上升，企业日益需要更为快捷、</w:t>
      </w:r>
      <w:r>
        <w:rPr/>
        <w:t> </w:t>
      </w:r>
      <w:r>
        <w:rPr>
          <w:spacing w:val="-2"/>
        </w:rPr>
        <w:t>精准、有效的智慧物流系统和智能制造系统，智慧物流系统和智能制造系统可以节约仓库占地面积、减少人力及人员作业强</w:t>
      </w:r>
      <w:r>
        <w:rPr>
          <w:spacing w:val="-63"/>
        </w:rPr>
        <w:t> </w:t>
      </w:r>
      <w:r>
        <w:rPr>
          <w:spacing w:val="-63"/>
        </w:rPr>
      </w:r>
      <w:r>
        <w:rPr>
          <w:spacing w:val="-2"/>
        </w:rPr>
        <w:t>度、提高效率和良品率，可以与企业其他管理系统无缝对接，系统之间自动进行信息接收与传递，使企业实现信息流、物流</w:t>
      </w:r>
      <w:r>
        <w:rPr>
          <w:spacing w:val="-66"/>
        </w:rPr>
        <w:t> </w:t>
      </w:r>
      <w:r>
        <w:rPr>
          <w:spacing w:val="-66"/>
        </w:rPr>
      </w:r>
      <w:r>
        <w:rPr>
          <w:spacing w:val="-2"/>
        </w:rPr>
        <w:t>和资金流一体化，提升企业信息化管理水平。智慧物流系统和智能制造系统日渐成为烟草、动力锂电、</w:t>
      </w:r>
      <w:r>
        <w:rPr>
          <w:rFonts w:ascii="Times New Roman" w:hAnsi="Times New Roman" w:cs="Times New Roman" w:eastAsia="Times New Roman" w:hint="default"/>
          <w:spacing w:val="-2"/>
        </w:rPr>
        <w:t>3C</w:t>
      </w:r>
      <w:r>
        <w:rPr>
          <w:spacing w:val="-2"/>
        </w:rPr>
        <w:t>、家具制造制药、</w:t>
      </w:r>
      <w:r>
        <w:rPr/>
        <w:t> </w:t>
      </w:r>
      <w:r>
        <w:rPr>
          <w:spacing w:val="-2"/>
        </w:rPr>
        <w:t>商业流通等行业提高竞争力的必要手段。现代工业已经逐渐迈入智能制造和工业互联网时代，各行业大中型企业需要广泛建</w:t>
      </w:r>
      <w:r>
        <w:rPr>
          <w:spacing w:val="-64"/>
        </w:rPr>
        <w:t> </w:t>
      </w:r>
      <w:r>
        <w:rPr>
          <w:spacing w:val="-64"/>
        </w:rPr>
      </w:r>
      <w:r>
        <w:rPr/>
        <w:t>设智慧物流系统和智能制造系统。</w:t>
      </w:r>
      <w:r>
        <w:rPr>
          <w:rFonts w:ascii="Times New Roman" w:hAnsi="Times New Roman" w:cs="Times New Roman" w:eastAsia="Times New Roman" w:hint="default"/>
        </w:rPr>
        <w:t>2019</w:t>
      </w:r>
      <w:r>
        <w:rPr/>
        <w:t>年智慧物流系统和智能制造系统建设市场规模均将超过千亿以上。</w:t>
      </w:r>
    </w:p>
    <w:p>
      <w:pPr>
        <w:pStyle w:val="BodyText"/>
        <w:spacing w:line="451" w:lineRule="auto" w:before="32"/>
        <w:ind w:left="513" w:right="1116"/>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2"/>
        </w:rPr>
        <w:t>凭借公司在物流系统的技术积累和技术创新，为客户打造智慧物流系统，提高客户物流效率和物流管理水平、降低物流</w:t>
      </w:r>
    </w:p>
    <w:p>
      <w:pPr>
        <w:pStyle w:val="BodyText"/>
        <w:spacing w:line="477" w:lineRule="auto" w:before="74"/>
        <w:ind w:right="1133"/>
        <w:jc w:val="both"/>
      </w:pPr>
      <w:r>
        <w:rPr>
          <w:spacing w:val="-2"/>
        </w:rPr>
        <w:t>成本。同时依托物流技术优势，研究开发工业机器人、智能生产系统，为客户打造智能制造系统。打通智慧物流系统和智能</w:t>
      </w:r>
      <w:r>
        <w:rPr>
          <w:spacing w:val="-67"/>
        </w:rPr>
        <w:t> </w:t>
      </w:r>
      <w:r>
        <w:rPr>
          <w:spacing w:val="-67"/>
        </w:rPr>
      </w:r>
      <w:r>
        <w:rPr>
          <w:spacing w:val="-2"/>
        </w:rPr>
        <w:t>制造系统，为客户构建包含智能制造系统和智慧物流系统的透明工厂和智能配送体系，成为智慧物流和智能制造技术行业的</w:t>
      </w:r>
      <w:r>
        <w:rPr>
          <w:spacing w:val="-64"/>
        </w:rPr>
        <w:t> </w:t>
      </w:r>
      <w:r>
        <w:rPr>
          <w:spacing w:val="-64"/>
        </w:rPr>
      </w:r>
      <w:r>
        <w:rPr/>
        <w:t>领军者和标准制定者。</w:t>
      </w:r>
    </w:p>
    <w:p>
      <w:pPr>
        <w:pStyle w:val="Heading5"/>
        <w:spacing w:line="240" w:lineRule="auto" w:before="54"/>
        <w:ind w:left="513" w:right="1116"/>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年公司经营计划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1118"/>
        <w:jc w:val="left"/>
      </w:pPr>
      <w:r>
        <w:rPr/>
        <w:t>（</w:t>
      </w:r>
      <w:r>
        <w:rPr>
          <w:rFonts w:ascii="Times New Roman" w:hAnsi="Times New Roman" w:cs="Times New Roman" w:eastAsia="Times New Roman" w:hint="default"/>
        </w:rPr>
        <w:t>1</w:t>
      </w:r>
      <w:r>
        <w:rPr/>
        <w:t>）继续加强在各下游应用行业的横向、纵向业务延伸。 烟草行业要精耕细作</w:t>
      </w:r>
      <w:r>
        <w:rPr>
          <w:rFonts w:ascii="Times New Roman" w:hAnsi="Times New Roman" w:cs="Times New Roman" w:eastAsia="Times New Roman" w:hint="default"/>
        </w:rPr>
        <w:t>:</w:t>
      </w:r>
      <w:r>
        <w:rPr/>
        <w:t>工业物流系统仍要加大力度开发</w:t>
      </w:r>
      <w:r>
        <w:rPr>
          <w:rFonts w:ascii="Times New Roman" w:hAnsi="Times New Roman" w:cs="Times New Roman" w:eastAsia="Times New Roman" w:hint="default"/>
        </w:rPr>
        <w:t>,</w:t>
      </w:r>
      <w:r>
        <w:rPr/>
        <w:t>售后服务方面要挖掘客户更多的需求，今天智能工厂云平台向烟</w:t>
      </w:r>
    </w:p>
    <w:p>
      <w:pPr>
        <w:pStyle w:val="BodyText"/>
        <w:spacing w:line="477" w:lineRule="auto" w:before="44"/>
        <w:ind w:right="1131"/>
        <w:jc w:val="both"/>
      </w:pPr>
      <w:r>
        <w:rPr>
          <w:spacing w:val="-2"/>
        </w:rPr>
        <w:t>草行业大力拓展。新能源锂电行业要大刀阔斧：要加大对动力电池领军企业和新锐势力的拓展力度。新拓展的大型商超、石</w:t>
      </w:r>
      <w:r>
        <w:rPr>
          <w:spacing w:val="-64"/>
        </w:rPr>
        <w:t> </w:t>
      </w:r>
      <w:r>
        <w:rPr>
          <w:spacing w:val="-64"/>
        </w:rPr>
      </w:r>
      <w:r>
        <w:rPr>
          <w:spacing w:val="-2"/>
        </w:rPr>
        <w:t>化、医药行业，要精心打造标杆示范项目，完成行业解决方案的标准化建设并推广普及。除此之外，要聚焦三至四个新行业</w:t>
      </w:r>
      <w:r>
        <w:rPr>
          <w:spacing w:val="-67"/>
        </w:rPr>
        <w:t> </w:t>
      </w:r>
      <w:r>
        <w:rPr>
          <w:spacing w:val="-67"/>
        </w:rPr>
      </w:r>
      <w:r>
        <w:rPr/>
        <w:t>和智能制造领域的业务拓展，例如半导体、汽车制造、</w:t>
      </w:r>
      <w:r>
        <w:rPr>
          <w:rFonts w:ascii="Times New Roman" w:hAnsi="Times New Roman" w:cs="Times New Roman" w:eastAsia="Times New Roman" w:hint="default"/>
        </w:rPr>
        <w:t>3C</w:t>
      </w:r>
      <w:r>
        <w:rPr/>
        <w:t>制造、军工等行业。</w:t>
      </w:r>
    </w:p>
    <w:p>
      <w:pPr>
        <w:pStyle w:val="BodyText"/>
        <w:spacing w:line="451" w:lineRule="auto" w:before="21"/>
        <w:ind w:left="513" w:right="1116"/>
        <w:jc w:val="left"/>
      </w:pPr>
      <w:r>
        <w:rPr/>
        <w:t>（</w:t>
      </w:r>
      <w:r>
        <w:rPr>
          <w:rFonts w:ascii="Times New Roman" w:hAnsi="Times New Roman" w:cs="Times New Roman" w:eastAsia="Times New Roman" w:hint="default"/>
        </w:rPr>
        <w:t>2</w:t>
      </w:r>
      <w:r>
        <w:rPr/>
        <w:t>）继续加大技术研发投入，提高技术水平 </w:t>
      </w:r>
      <w:r>
        <w:rPr>
          <w:spacing w:val="-2"/>
        </w:rPr>
        <w:t>依托智能制造研究院和博士后创新实践基地，吸引更多的优秀人才，结合公司的战略和市场的需求系统地进行烟草、新</w:t>
      </w:r>
    </w:p>
    <w:p>
      <w:pPr>
        <w:pStyle w:val="BodyText"/>
        <w:spacing w:line="463" w:lineRule="auto" w:before="74"/>
        <w:ind w:right="1131"/>
        <w:jc w:val="both"/>
      </w:pPr>
      <w:r>
        <w:rPr>
          <w:spacing w:val="-2"/>
        </w:rPr>
        <w:t>能源、汽车、石化、医药等行业的智能制造整体解决方案的研究。更加深入地研究和应用智慧物流技术，结合智慧物流和智</w:t>
      </w:r>
      <w:r>
        <w:rPr>
          <w:spacing w:val="-65"/>
        </w:rPr>
        <w:t> </w:t>
      </w:r>
      <w:r>
        <w:rPr>
          <w:spacing w:val="-65"/>
        </w:rPr>
      </w:r>
      <w:r>
        <w:rPr>
          <w:spacing w:val="-2"/>
        </w:rPr>
        <w:t>能制造技术，打造智能决策支持系统，帮助生产企业实现智能制造和柔性生产。同时，对智能决策系统所需要的核心信息技</w:t>
      </w:r>
      <w:r>
        <w:rPr>
          <w:spacing w:val="-64"/>
        </w:rPr>
        <w:t> </w:t>
      </w:r>
      <w:r>
        <w:rPr>
          <w:spacing w:val="-64"/>
        </w:rPr>
      </w:r>
      <w:r>
        <w:rPr>
          <w:spacing w:val="-3"/>
        </w:rPr>
        <w:t>术和智能设备进行专项研究，具体包括：</w:t>
      </w:r>
      <w:r>
        <w:rPr>
          <w:rFonts w:ascii="Times New Roman" w:hAnsi="Times New Roman" w:cs="Times New Roman" w:eastAsia="Times New Roman" w:hint="default"/>
          <w:spacing w:val="-3"/>
        </w:rPr>
        <w:t>5G</w:t>
      </w:r>
      <w:r>
        <w:rPr>
          <w:spacing w:val="-3"/>
        </w:rPr>
        <w:t>技术应用、堆垛机系统、区块链技术应用、今天智能工厂云平台产品研发项目、</w:t>
      </w:r>
      <w:r>
        <w:rPr>
          <w:spacing w:val="-47"/>
        </w:rPr>
        <w:t> </w:t>
      </w:r>
      <w:r>
        <w:rPr>
          <w:spacing w:val="-47"/>
        </w:rPr>
      </w:r>
      <w:r>
        <w:rPr>
          <w:rFonts w:ascii="Times New Roman" w:hAnsi="Times New Roman" w:cs="Times New Roman" w:eastAsia="Times New Roman" w:hint="default"/>
          <w:spacing w:val="-1"/>
        </w:rPr>
        <w:t>WisdomX</w:t>
      </w:r>
      <w:r>
        <w:rPr>
          <w:spacing w:val="-1"/>
        </w:rPr>
        <w:t>技术平台、不同负载及取货高度的叉式激光导引</w:t>
      </w:r>
      <w:r>
        <w:rPr>
          <w:rFonts w:ascii="Times New Roman" w:hAnsi="Times New Roman" w:cs="Times New Roman" w:eastAsia="Times New Roman" w:hint="default"/>
          <w:spacing w:val="-1"/>
        </w:rPr>
        <w:t>AGV</w:t>
      </w:r>
      <w:r>
        <w:rPr>
          <w:spacing w:val="-1"/>
        </w:rPr>
        <w:t>及牵引式自然导引</w:t>
      </w:r>
      <w:r>
        <w:rPr>
          <w:rFonts w:ascii="Times New Roman" w:hAnsi="Times New Roman" w:cs="Times New Roman" w:eastAsia="Times New Roman" w:hint="default"/>
          <w:spacing w:val="-1"/>
        </w:rPr>
        <w:t>AGV</w:t>
      </w:r>
      <w:r>
        <w:rPr>
          <w:spacing w:val="-1"/>
        </w:rPr>
        <w:t>、链式双舵轮万向</w:t>
      </w:r>
      <w:r>
        <w:rPr>
          <w:rFonts w:ascii="Times New Roman" w:hAnsi="Times New Roman" w:cs="Times New Roman" w:eastAsia="Times New Roman" w:hint="default"/>
          <w:spacing w:val="-1"/>
        </w:rPr>
        <w:t>AGV</w:t>
      </w:r>
      <w:r>
        <w:rPr>
          <w:spacing w:val="-1"/>
        </w:rPr>
        <w:t>研发、机器人</w:t>
      </w:r>
      <w:r>
        <w:rPr>
          <w:spacing w:val="-54"/>
        </w:rPr>
        <w:t> </w:t>
      </w:r>
      <w:r>
        <w:rPr>
          <w:spacing w:val="-54"/>
        </w:rPr>
      </w:r>
      <w:r>
        <w:rPr/>
        <w:t>柔性夹具、人工智能与机器学习、数据分析工具开发及应用、汽车、石化、医院医药等行业物流系统设计应用的研发。</w:t>
      </w:r>
    </w:p>
    <w:p>
      <w:pPr>
        <w:pStyle w:val="BodyText"/>
        <w:spacing w:line="451" w:lineRule="auto" w:before="65"/>
        <w:ind w:left="513" w:right="1116"/>
        <w:jc w:val="left"/>
      </w:pPr>
      <w:r>
        <w:rPr/>
        <w:t>（</w:t>
      </w:r>
      <w:r>
        <w:rPr>
          <w:rFonts w:ascii="Times New Roman" w:hAnsi="Times New Roman" w:cs="Times New Roman" w:eastAsia="Times New Roman" w:hint="default"/>
        </w:rPr>
        <w:t>3</w:t>
      </w:r>
      <w:r>
        <w:rPr/>
        <w:t>）加强管理，提高公司运营效率 </w:t>
      </w:r>
      <w:r>
        <w:rPr>
          <w:spacing w:val="-1"/>
        </w:rPr>
        <w:t>完善参股公司和控股子公司的系统性、制度化管理；强化公司质量管理控制体系；完善公司</w:t>
      </w:r>
      <w:r>
        <w:rPr>
          <w:rFonts w:ascii="Times New Roman" w:hAnsi="Times New Roman" w:cs="Times New Roman" w:eastAsia="Times New Roman" w:hint="default"/>
          <w:spacing w:val="-1"/>
        </w:rPr>
        <w:t>ERP</w:t>
      </w:r>
      <w:r>
        <w:rPr>
          <w:spacing w:val="-1"/>
        </w:rPr>
        <w:t>管理系统；实现规划集</w:t>
      </w:r>
    </w:p>
    <w:p>
      <w:pPr>
        <w:pStyle w:val="BodyText"/>
        <w:spacing w:line="477" w:lineRule="auto" w:before="43"/>
        <w:ind w:right="1135"/>
        <w:jc w:val="both"/>
      </w:pPr>
      <w:r>
        <w:rPr>
          <w:spacing w:val="-2"/>
        </w:rPr>
        <w:t>成、电控标准化；实现办公、财务软件标准化；持续推进股权激励政策，完善人才激励和约束机制；修订和完善公司的权限</w:t>
      </w:r>
      <w:r>
        <w:rPr>
          <w:spacing w:val="-70"/>
        </w:rPr>
        <w:t> </w:t>
      </w:r>
      <w:r>
        <w:rPr>
          <w:spacing w:val="-70"/>
        </w:rPr>
      </w:r>
      <w:r>
        <w:rPr/>
        <w:t>体系，优化公司的治理机制。</w:t>
      </w:r>
    </w:p>
    <w:p>
      <w:pPr>
        <w:spacing w:after="0" w:line="477" w:lineRule="auto"/>
        <w:jc w:val="both"/>
        <w:sectPr>
          <w:pgSz w:w="11910" w:h="16840"/>
          <w:pgMar w:header="877" w:footer="980" w:top="108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1116"/>
        <w:jc w:val="left"/>
        <w:rPr>
          <w:b w:val="0"/>
          <w:bCs w:val="0"/>
        </w:rPr>
      </w:pPr>
      <w:bookmarkStart w:name="十、接待调研、沟通、采访等活动登记表" w:id="55"/>
      <w:bookmarkEnd w:id="55"/>
      <w:r>
        <w:rPr>
          <w:b w:val="0"/>
          <w:bCs w:val="0"/>
        </w:rPr>
      </w:r>
      <w:r>
        <w:rPr/>
        <w:t>十、接待调研、沟通、采访等活动登记表</w:t>
      </w:r>
      <w:r>
        <w:rPr>
          <w:b w:val="0"/>
          <w:bCs w:val="0"/>
        </w:rPr>
      </w:r>
    </w:p>
    <w:p>
      <w:pPr>
        <w:pStyle w:val="Heading3"/>
        <w:spacing w:line="240" w:lineRule="auto" w:before="26"/>
        <w:ind w:right="1116"/>
        <w:jc w:val="left"/>
        <w:rPr>
          <w:b w:val="0"/>
          <w:bCs w:val="0"/>
        </w:rPr>
      </w:pPr>
      <w:bookmarkStart w:name="1、报告期内接待调研、沟通、采访等活动登记表" w:id="56"/>
      <w:bookmarkEnd w:id="56"/>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pStyle w:val="BodyText"/>
        <w:spacing w:line="451" w:lineRule="auto" w:before="121"/>
        <w:ind w:right="66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公司报告期内未发生接待调研、沟通、采访等活动。</w:t>
      </w:r>
    </w:p>
    <w:p>
      <w:pPr>
        <w:spacing w:after="0" w:line="451"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978"/>
        <w:jc w:val="center"/>
        <w:rPr>
          <w:b w:val="0"/>
          <w:bCs w:val="0"/>
        </w:rPr>
      </w:pPr>
      <w:bookmarkStart w:name="第五节重要事项" w:id="57"/>
      <w:bookmarkEnd w:id="57"/>
      <w:r>
        <w:rPr>
          <w:b w:val="0"/>
          <w:bCs w:val="0"/>
        </w:rPr>
      </w:r>
      <w:bookmarkStart w:name="_bookmark3" w:id="58"/>
      <w:bookmarkEnd w:id="58"/>
      <w:r>
        <w:rPr>
          <w:b w:val="0"/>
          <w:bCs w:val="0"/>
        </w:rPr>
      </w:r>
      <w:r>
        <w:rPr/>
        <w:t>第五节重要事项</w:t>
      </w:r>
      <w:r>
        <w:rPr>
          <w:b w:val="0"/>
          <w:bCs w:val="0"/>
        </w:rPr>
      </w:r>
    </w:p>
    <w:p>
      <w:pPr>
        <w:pStyle w:val="Heading2"/>
        <w:spacing w:line="240" w:lineRule="auto" w:before="178"/>
        <w:ind w:right="1116"/>
        <w:jc w:val="left"/>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pStyle w:val="BodyText"/>
        <w:spacing w:line="240" w:lineRule="auto" w:before="125"/>
        <w:ind w:right="1116"/>
        <w:jc w:val="left"/>
      </w:pPr>
      <w:r>
        <w:rPr/>
        <w:t>报告期内普通股利润分配政策，特别是现金分红政策的制定、执行或调整情况</w:t>
      </w:r>
    </w:p>
    <w:p>
      <w:pPr>
        <w:spacing w:line="240" w:lineRule="auto" w:before="10"/>
        <w:rPr>
          <w:rFonts w:ascii="宋体" w:hAnsi="宋体" w:cs="宋体" w:eastAsia="宋体" w:hint="default"/>
          <w:sz w:val="17"/>
          <w:szCs w:val="17"/>
        </w:rPr>
      </w:pPr>
    </w:p>
    <w:p>
      <w:pPr>
        <w:pStyle w:val="BodyText"/>
        <w:spacing w:line="451" w:lineRule="auto"/>
        <w:ind w:left="513" w:right="1116" w:hanging="361"/>
        <w:jc w:val="left"/>
      </w:pPr>
      <w:r>
        <w:rPr>
          <w:rFonts w:ascii="Times New Roman" w:hAnsi="Times New Roman" w:cs="Times New Roman" w:eastAsia="Times New Roman" w:hint="default"/>
        </w:rPr>
        <w:t>√ </w:t>
      </w:r>
      <w:r>
        <w:rPr/>
        <w:t>适用 □</w:t>
      </w:r>
      <w:r>
        <w:rPr>
          <w:spacing w:val="3"/>
        </w:rPr>
        <w:t> </w:t>
      </w:r>
      <w:r>
        <w:rPr/>
        <w:t>不适用</w:t>
      </w:r>
      <w:r>
        <w:rPr/>
        <w:t> </w:t>
      </w:r>
      <w:r>
        <w:rPr>
          <w:spacing w:val="-2"/>
        </w:rPr>
        <w:t>公司严格按照《公司章程》相关利润分配政策和审议程序实施利润分配方案，分红标准和分红比例明确清晰，相关的决</w:t>
      </w:r>
    </w:p>
    <w:p>
      <w:pPr>
        <w:pStyle w:val="BodyText"/>
        <w:spacing w:line="463" w:lineRule="auto" w:before="74"/>
        <w:ind w:right="1034"/>
        <w:jc w:val="left"/>
      </w:pPr>
      <w:r>
        <w:rPr/>
        <w:t>策程序和机制完备。公司利润分配方案须经由董事会、监事会审议通过，提交股东大会审议，并由独立董事发表独立意见，</w:t>
      </w:r>
      <w:r>
        <w:rPr>
          <w:spacing w:val="-83"/>
        </w:rPr>
        <w:t> </w:t>
      </w:r>
      <w:r>
        <w:rPr>
          <w:spacing w:val="-83"/>
        </w:rPr>
      </w:r>
      <w:r>
        <w:rPr>
          <w:spacing w:val="-2"/>
        </w:rPr>
        <w:t>审议通过后在规定时间内进行实施，切实保证了全体股东的利益。报告期内，公司实施了</w:t>
      </w:r>
      <w:r>
        <w:rPr>
          <w:rFonts w:ascii="Times New Roman" w:hAnsi="Times New Roman" w:cs="Times New Roman" w:eastAsia="Times New Roman" w:hint="default"/>
          <w:spacing w:val="-2"/>
        </w:rPr>
        <w:t>2018</w:t>
      </w:r>
      <w:r>
        <w:rPr>
          <w:spacing w:val="-2"/>
        </w:rPr>
        <w:t>年度及</w:t>
      </w:r>
      <w:r>
        <w:rPr>
          <w:rFonts w:ascii="Times New Roman" w:hAnsi="Times New Roman" w:cs="Times New Roman" w:eastAsia="Times New Roman" w:hint="default"/>
          <w:spacing w:val="-2"/>
        </w:rPr>
        <w:t>2019</w:t>
      </w:r>
      <w:r>
        <w:rPr>
          <w:spacing w:val="-2"/>
        </w:rPr>
        <w:t>年半年度利润分配</w:t>
      </w:r>
      <w:r>
        <w:rPr>
          <w:spacing w:val="-57"/>
        </w:rPr>
        <w:t> </w:t>
      </w:r>
      <w:r>
        <w:rPr>
          <w:spacing w:val="-57"/>
        </w:rPr>
      </w:r>
      <w:r>
        <w:rPr/>
        <w:t>方案。</w:t>
      </w:r>
    </w:p>
    <w:p>
      <w:pPr>
        <w:pStyle w:val="BodyText"/>
        <w:spacing w:line="240" w:lineRule="auto" w:before="65"/>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年年度利润分配方案为：以公司总股本剔除已回购注销股份后的现有总股本</w:t>
      </w:r>
      <w:r>
        <w:rPr>
          <w:rFonts w:ascii="Times New Roman" w:hAnsi="Times New Roman" w:cs="Times New Roman" w:eastAsia="Times New Roman" w:hint="default"/>
        </w:rPr>
        <w:t>275,034,744</w:t>
      </w:r>
      <w:r>
        <w:rPr/>
        <w:t>股为基数，向全体股东每</w:t>
      </w:r>
      <w:r>
        <w:rPr>
          <w:rFonts w:ascii="Times New Roman" w:hAnsi="Times New Roman" w:cs="Times New Roman" w:eastAsia="Times New Roman" w:hint="default"/>
        </w:rPr>
        <w:t>10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6"/>
        <w:jc w:val="left"/>
      </w:pPr>
      <w:r>
        <w:rPr/>
        <w:t>股派</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t>元人民币现金。详</w:t>
      </w:r>
      <w:r>
        <w:rPr>
          <w:spacing w:val="-3"/>
        </w:rPr>
        <w:t>见</w:t>
      </w:r>
      <w:r>
        <w:rPr/>
        <w:t>巨潮资讯网《</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年年度权</w:t>
      </w:r>
      <w:r>
        <w:rPr>
          <w:spacing w:val="-3"/>
        </w:rPr>
        <w:t>益</w:t>
      </w:r>
      <w:r>
        <w:rPr/>
        <w:t>分派实施的公告</w:t>
      </w:r>
      <w:r>
        <w:rPr>
          <w:spacing w:val="-92"/>
        </w:rPr>
        <w:t>》</w:t>
      </w:r>
      <w:r>
        <w:rPr/>
        <w:t>（公告编号</w:t>
      </w:r>
      <w:r>
        <w:rPr>
          <w:spacing w:val="2"/>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spacing w:val="-92"/>
        </w:rPr>
        <w:t>）。</w:t>
      </w:r>
      <w:r>
        <w:rPr/>
      </w:r>
    </w:p>
    <w:p>
      <w:pPr>
        <w:spacing w:line="240" w:lineRule="auto" w:before="9"/>
        <w:rPr>
          <w:rFonts w:ascii="宋体" w:hAnsi="宋体" w:cs="宋体" w:eastAsia="宋体" w:hint="default"/>
          <w:sz w:val="16"/>
          <w:szCs w:val="16"/>
        </w:rPr>
      </w:pPr>
    </w:p>
    <w:p>
      <w:pPr>
        <w:pStyle w:val="BodyText"/>
        <w:spacing w:line="451" w:lineRule="auto"/>
        <w:ind w:right="1128" w:firstLine="360"/>
        <w:jc w:val="left"/>
      </w:pPr>
      <w:r>
        <w:rPr/>
        <w:pict>
          <v:shape style="position:absolute;margin-left:56.400002pt;margin-top:42.431717pt;width:479.3pt;height:113.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94"/>
                    <w:gridCol w:w="2977"/>
                  </w:tblGrid>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2"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6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年半年度利润分配方案为</w:t>
      </w:r>
      <w:r>
        <w:rPr>
          <w:spacing w:val="-89"/>
        </w:rPr>
        <w:t>：</w:t>
      </w:r>
      <w:r>
        <w:rPr/>
        <w:t>以公司现有总股本</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4</w:t>
      </w:r>
      <w:r>
        <w:rPr/>
        <w:t>股为基数</w:t>
      </w:r>
      <w:r>
        <w:rPr>
          <w:spacing w:val="-87"/>
        </w:rPr>
        <w:t>，</w:t>
      </w:r>
      <w:r>
        <w:rPr/>
        <w:t>向全体股东每</w:t>
      </w:r>
      <w:r>
        <w:rPr>
          <w:rFonts w:ascii="Times New Roman" w:hAnsi="Times New Roman" w:cs="Times New Roman" w:eastAsia="Times New Roman" w:hint="default"/>
          <w:spacing w:val="1"/>
        </w:rPr>
        <w:t>10</w:t>
      </w:r>
      <w:r>
        <w:rPr/>
        <w:t>股</w:t>
      </w:r>
      <w:r>
        <w:rPr>
          <w:spacing w:val="-3"/>
        </w:rPr>
        <w:t>派</w:t>
      </w:r>
      <w:r>
        <w:rPr/>
        <w:t>发</w:t>
      </w:r>
      <w:r>
        <w:rPr>
          <w:rFonts w:ascii="Times New Roman" w:hAnsi="Times New Roman" w:cs="Times New Roman" w:eastAsia="Times New Roman" w:hint="default"/>
          <w:spacing w:val="1"/>
        </w:rPr>
        <w:t>1</w:t>
      </w:r>
      <w:r>
        <w:rPr/>
        <w:t>元人民币现</w:t>
      </w:r>
      <w:r>
        <w:rPr>
          <w:spacing w:val="-87"/>
        </w:rPr>
        <w:t>金</w:t>
      </w:r>
      <w:r>
        <w:rPr/>
        <w:t>（含税</w:t>
      </w:r>
      <w:r>
        <w:rPr>
          <w:spacing w:val="-92"/>
        </w:rPr>
        <w:t>）</w:t>
      </w:r>
      <w:r>
        <w:rPr/>
        <w:t>。</w:t>
      </w:r>
      <w:r>
        <w:rPr/>
        <w:t> 详见巨潮资讯网《</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年半</w:t>
      </w:r>
      <w:r>
        <w:rPr>
          <w:spacing w:val="-3"/>
        </w:rPr>
        <w:t>年</w:t>
      </w:r>
      <w:r>
        <w:rPr/>
        <w:t>度权益分派实施的公告</w:t>
      </w:r>
      <w:r>
        <w:rPr>
          <w:spacing w:val="-92"/>
        </w:rPr>
        <w:t>》</w:t>
      </w:r>
      <w:r>
        <w:rPr/>
        <w:t>（公</w:t>
      </w:r>
      <w:r>
        <w:rPr>
          <w:spacing w:val="2"/>
        </w:rPr>
        <w:t>告</w:t>
      </w:r>
      <w:r>
        <w:rPr/>
        <w:t>编号</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62</w:t>
      </w:r>
      <w:r>
        <w:rPr>
          <w:spacing w:val="-92"/>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116"/>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BodyText"/>
        <w:spacing w:line="463" w:lineRule="auto"/>
        <w:ind w:right="4274"/>
        <w:jc w:val="left"/>
      </w:pPr>
      <w:r>
        <w:rPr/>
        <w:pict>
          <v:shape style="position:absolute;margin-left:56.459999pt;margin-top:65.831741pt;width:476.8pt;height:19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39"/>
                  </w:tblGrid>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z w:val="18"/>
                          </w:rPr>
                          <w:t>0.6</w:t>
                        </w:r>
                      </w:p>
                    </w:tc>
                  </w:tr>
                  <w:tr>
                    <w:trPr>
                      <w:trHeight w:val="49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sz w:val="18"/>
                          </w:rPr>
                          <w:t>0</w:t>
                        </w:r>
                      </w:p>
                    </w:tc>
                  </w:tr>
                  <w:tr>
                    <w:trPr>
                      <w:trHeight w:val="49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273,175,416</w:t>
                        </w:r>
                      </w:p>
                    </w:tc>
                  </w:tr>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16,390,524.96</w:t>
                        </w:r>
                      </w:p>
                    </w:tc>
                  </w:tr>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16,390,524.96</w:t>
                        </w:r>
                      </w:p>
                    </w:tc>
                  </w:tr>
                  <w:tr>
                    <w:trPr>
                      <w:trHeight w:val="4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207,428,088.37</w:t>
                        </w:r>
                      </w:p>
                    </w:tc>
                  </w:tr>
                </w:tbl>
                <w:p>
                  <w:pPr/>
                </w:p>
              </w:txbxContent>
            </v:textbox>
            <w10:wrap type="none"/>
          </v:shape>
        </w:pict>
      </w:r>
      <w:r>
        <w:rPr>
          <w:rFonts w:ascii="Times New Roman" w:hAnsi="Times New Roman" w:cs="Times New Roman" w:eastAsia="Times New Roman" w:hint="default"/>
        </w:rPr>
        <w:t>√ </w:t>
      </w:r>
      <w:r>
        <w:rPr/>
        <w:t>是 □ 否 □</w:t>
      </w:r>
      <w:r>
        <w:rPr>
          <w:spacing w:val="2"/>
        </w:rPr>
        <w:t> </w:t>
      </w:r>
      <w:r>
        <w:rPr/>
        <w:t>不适用</w:t>
      </w:r>
      <w:r>
        <w:rPr/>
        <w:t> 公司报告期利润分配预案及资本公积金转增股本预案符合公司章程等的相关规定。 本年度利润分配及资本公积金转增股本情况</w:t>
      </w:r>
    </w:p>
    <w:p>
      <w:pPr>
        <w:spacing w:after="0" w:line="463" w:lineRule="auto"/>
        <w:jc w:val="left"/>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39"/>
      </w:tblGrid>
      <w:tr>
        <w:trPr>
          <w:trHeight w:val="49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5" w:hRule="exact"/>
        </w:trPr>
        <w:tc>
          <w:tcPr>
            <w:tcW w:w="9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947" w:hRule="exact"/>
        </w:trPr>
        <w:tc>
          <w:tcPr>
            <w:tcW w:w="9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91" w:hRule="exact"/>
        </w:trPr>
        <w:tc>
          <w:tcPr>
            <w:tcW w:w="9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86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86" w:hRule="exact"/>
        </w:trPr>
        <w:tc>
          <w:tcPr>
            <w:tcW w:w="9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经立信会计师事务所（特殊普通合伙）审计，截至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207,428,088.37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公积余额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196,902,577.87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年度利润分配拟以截至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日公司股本总数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275,034,744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扣除拟</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回购注销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名激励对象合计持有的已授予尚未解锁的限制性股票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1,859,328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股后的总股本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273,175,416 </w:t>
            </w:r>
            <w:r>
              <w:rPr>
                <w:rFonts w:ascii="宋体" w:hAnsi="宋体" w:cs="宋体" w:eastAsia="宋体" w:hint="default"/>
                <w:sz w:val="18"/>
                <w:szCs w:val="18"/>
              </w:rPr>
              <w:t>股为基数，向全</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股派送现金股利</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合计</w:t>
            </w:r>
            <w:r>
              <w:rPr>
                <w:rFonts w:ascii="宋体" w:hAnsi="宋体" w:cs="宋体" w:eastAsia="宋体" w:hint="default"/>
                <w:spacing w:val="-3"/>
                <w:sz w:val="18"/>
                <w:szCs w:val="18"/>
              </w:rPr>
              <w:t>派</w:t>
            </w:r>
            <w:r>
              <w:rPr>
                <w:rFonts w:ascii="宋体" w:hAnsi="宋体" w:cs="宋体" w:eastAsia="宋体" w:hint="default"/>
                <w:sz w:val="18"/>
                <w:szCs w:val="18"/>
              </w:rPr>
              <w:t>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，剩余未分配利润结</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103" w:right="101"/>
              <w:jc w:val="left"/>
              <w:rPr>
                <w:rFonts w:ascii="宋体" w:hAnsi="宋体" w:cs="宋体" w:eastAsia="宋体" w:hint="default"/>
                <w:sz w:val="18"/>
                <w:szCs w:val="18"/>
              </w:rPr>
            </w:pPr>
            <w:r>
              <w:rPr>
                <w:rFonts w:ascii="宋体" w:hAnsi="宋体" w:cs="宋体" w:eastAsia="宋体" w:hint="default"/>
                <w:sz w:val="18"/>
                <w:szCs w:val="18"/>
              </w:rPr>
              <w:t>转以后年度。本年度不转增股本，不送红股。本预案需提交公司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年度股东大会审议批准后方可实施，若未来在权 益分派实施时发生总股本变动的情况，则以分配总额不变的原则按比例进行调整。</w:t>
            </w:r>
          </w:p>
        </w:tc>
      </w:tr>
    </w:tbl>
    <w:p>
      <w:pPr>
        <w:pStyle w:val="BodyText"/>
        <w:spacing w:line="240" w:lineRule="auto" w:before="87"/>
        <w:ind w:right="1116"/>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年度利润分配方案</w:t>
      </w:r>
      <w:r>
        <w:rPr>
          <w:spacing w:val="-22"/>
        </w:rPr>
        <w:t>：</w:t>
      </w:r>
      <w:r>
        <w:rPr/>
        <w:t>以总股本</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0</w:t>
      </w:r>
      <w:r>
        <w:rPr/>
        <w:t>股为基数</w:t>
      </w:r>
      <w:r>
        <w:rPr>
          <w:spacing w:val="-22"/>
        </w:rPr>
        <w:t>，</w:t>
      </w:r>
      <w:r>
        <w:rPr/>
        <w:t>向全体股东每</w:t>
      </w:r>
      <w:r>
        <w:rPr>
          <w:spacing w:val="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股派送现金</w:t>
      </w:r>
      <w:r>
        <w:rPr>
          <w:spacing w:val="-3"/>
        </w:rPr>
        <w:t>股</w:t>
      </w:r>
      <w:r>
        <w:rPr/>
        <w:t>利人民币</w:t>
      </w:r>
      <w:r>
        <w:rPr>
          <w:spacing w:val="1"/>
        </w:rPr>
        <w:t>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spacing w:val="-22"/>
        </w:rPr>
        <w:t>元</w:t>
      </w:r>
      <w:r>
        <w:rPr/>
        <w:t>（含税</w:t>
      </w:r>
      <w:r>
        <w:rPr>
          <w:spacing w:val="-92"/>
        </w:rPr>
        <w:t>）</w:t>
      </w:r>
      <w:r>
        <w:rPr>
          <w:spacing w:val="-22"/>
        </w:rPr>
        <w:t>，</w:t>
      </w:r>
      <w:r>
        <w:rPr/>
        <w:t>合计</w:t>
      </w:r>
    </w:p>
    <w:p>
      <w:pPr>
        <w:spacing w:line="240" w:lineRule="auto" w:before="9"/>
        <w:rPr>
          <w:rFonts w:ascii="宋体" w:hAnsi="宋体" w:cs="宋体" w:eastAsia="宋体" w:hint="default"/>
          <w:sz w:val="16"/>
          <w:szCs w:val="16"/>
        </w:rPr>
      </w:pPr>
    </w:p>
    <w:p>
      <w:pPr>
        <w:pStyle w:val="BodyText"/>
        <w:spacing w:line="451" w:lineRule="auto"/>
        <w:ind w:right="1116"/>
        <w:jc w:val="left"/>
      </w:pPr>
      <w:r>
        <w:rPr>
          <w:spacing w:val="-2"/>
        </w:rPr>
        <w:t>派发现金股利</w:t>
      </w:r>
      <w:r>
        <w:rPr>
          <w:rFonts w:ascii="Times New Roman" w:hAnsi="Times New Roman" w:cs="Times New Roman" w:eastAsia="Times New Roman" w:hint="default"/>
          <w:spacing w:val="-2"/>
        </w:rPr>
        <w:t>46,208,880.00</w:t>
      </w:r>
      <w:r>
        <w:rPr>
          <w:spacing w:val="-2"/>
        </w:rPr>
        <w:t>元（含税），不送红股，以资本公积转增股本，每</w:t>
      </w:r>
      <w:r>
        <w:rPr/>
        <w:t>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t>股，合计转增</w:t>
      </w:r>
      <w:r>
        <w:rPr>
          <w:spacing w:val="28"/>
        </w:rPr>
        <w:t> </w:t>
      </w:r>
      <w:r>
        <w:rPr>
          <w:rFonts w:ascii="Times New Roman" w:hAnsi="Times New Roman" w:cs="Times New Roman" w:eastAsia="Times New Roman" w:hint="default"/>
        </w:rPr>
        <w:t>123,223,680</w:t>
      </w:r>
      <w:r>
        <w:rPr/>
        <w:t>股。 该利润分配方案已实施完毕。</w:t>
      </w:r>
    </w:p>
    <w:p>
      <w:pPr>
        <w:pStyle w:val="BodyText"/>
        <w:spacing w:line="451" w:lineRule="auto" w:before="74"/>
        <w:ind w:right="1129" w:firstLine="360"/>
        <w:jc w:val="both"/>
      </w:pPr>
      <w:r>
        <w:rPr>
          <w:rFonts w:ascii="Times New Roman" w:hAnsi="Times New Roman" w:cs="Times New Roman" w:eastAsia="Times New Roman" w:hint="default"/>
        </w:rPr>
        <w:t>2018</w:t>
      </w:r>
      <w:r>
        <w:rPr/>
        <w:t>年度利润分配方案：以截至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日公司股本总数</w:t>
      </w:r>
      <w:r>
        <w:rPr>
          <w:rFonts w:ascii="Times New Roman" w:hAnsi="Times New Roman" w:cs="Times New Roman" w:eastAsia="Times New Roman" w:hint="default"/>
        </w:rPr>
        <w:t>277,253,280</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扣除回购注销</w:t>
      </w:r>
      <w:r>
        <w:rPr>
          <w:rFonts w:ascii="Times New Roman" w:hAnsi="Times New Roman" w:cs="Times New Roman" w:eastAsia="Times New Roman" w:hint="default"/>
        </w:rPr>
        <w:t>88</w:t>
      </w:r>
      <w:r>
        <w:rPr/>
        <w:t>名激励对象合计持有的已 授予尚未解锁的限制性股票</w:t>
      </w:r>
      <w:r>
        <w:rPr>
          <w:rFonts w:ascii="Times New Roman" w:hAnsi="Times New Roman" w:cs="Times New Roman" w:eastAsia="Times New Roman" w:hint="default"/>
        </w:rPr>
        <w:t>2,218,536</w:t>
      </w:r>
      <w:r>
        <w:rPr/>
        <w:t>股后的总股本</w:t>
      </w:r>
      <w:r>
        <w:rPr>
          <w:rFonts w:ascii="Times New Roman" w:hAnsi="Times New Roman" w:cs="Times New Roman" w:eastAsia="Times New Roman" w:hint="default"/>
        </w:rPr>
        <w:t>275,034,744</w:t>
      </w:r>
      <w:r>
        <w:rPr/>
        <w:t>股为基数，向全体股东每</w:t>
      </w:r>
      <w:r>
        <w:rPr>
          <w:rFonts w:ascii="Times New Roman" w:hAnsi="Times New Roman" w:cs="Times New Roman" w:eastAsia="Times New Roman" w:hint="default"/>
        </w:rPr>
        <w:t>10</w:t>
      </w:r>
      <w:r>
        <w:rPr/>
        <w:t>股派送现金股利人民币</w:t>
      </w:r>
      <w:r>
        <w:rPr>
          <w:rFonts w:ascii="Times New Roman" w:hAnsi="Times New Roman" w:cs="Times New Roman" w:eastAsia="Times New Roman" w:hint="default"/>
        </w:rPr>
        <w:t>0.6</w:t>
      </w:r>
      <w:r>
        <w:rPr/>
        <w:t>元（含</w:t>
      </w:r>
      <w:r>
        <w:rPr>
          <w:spacing w:val="-49"/>
        </w:rPr>
        <w:t> </w:t>
      </w:r>
      <w:r>
        <w:rPr>
          <w:spacing w:val="-49"/>
        </w:rPr>
      </w:r>
      <w:r>
        <w:rPr>
          <w:spacing w:val="-4"/>
        </w:rPr>
        <w:t>税），合计派发现金股利</w:t>
      </w:r>
      <w:r>
        <w:rPr>
          <w:rFonts w:ascii="Times New Roman" w:hAnsi="Times New Roman" w:cs="Times New Roman" w:eastAsia="Times New Roman" w:hint="default"/>
          <w:spacing w:val="-4"/>
        </w:rPr>
        <w:t>16,502,084.64</w:t>
      </w:r>
      <w:r>
        <w:rPr>
          <w:spacing w:val="-4"/>
        </w:rPr>
        <w:t>元（含税），不送红股，不以资本公积金转增股本。该利润分配方案已实施完毕。</w:t>
      </w:r>
    </w:p>
    <w:p>
      <w:pPr>
        <w:pStyle w:val="BodyText"/>
        <w:spacing w:line="451" w:lineRule="auto" w:before="43"/>
        <w:ind w:right="1134" w:firstLine="36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年半年度利润分配方案</w:t>
      </w:r>
      <w:r>
        <w:rPr>
          <w:spacing w:val="-22"/>
        </w:rPr>
        <w:t>：</w:t>
      </w:r>
      <w:r>
        <w:rPr/>
        <w:t>以总股本</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
        </w:rPr>
        <w:t>4</w:t>
      </w:r>
      <w:r>
        <w:rPr/>
        <w:t>股为基</w:t>
      </w:r>
      <w:r>
        <w:rPr>
          <w:spacing w:val="-3"/>
        </w:rPr>
        <w:t>数</w:t>
      </w:r>
      <w:r>
        <w:rPr>
          <w:spacing w:val="-22"/>
        </w:rPr>
        <w:t>，</w:t>
      </w:r>
      <w:r>
        <w:rPr/>
        <w:t>向全体股东每</w:t>
      </w:r>
      <w:r>
        <w:rPr>
          <w:rFonts w:ascii="Times New Roman" w:hAnsi="Times New Roman" w:cs="Times New Roman" w:eastAsia="Times New Roman" w:hint="default"/>
          <w:spacing w:val="1"/>
        </w:rPr>
        <w:t>10</w:t>
      </w:r>
      <w:r>
        <w:rPr/>
        <w:t>股派发</w:t>
      </w:r>
      <w:r>
        <w:rPr>
          <w:rFonts w:ascii="Times New Roman" w:hAnsi="Times New Roman" w:cs="Times New Roman" w:eastAsia="Times New Roman" w:hint="default"/>
          <w:spacing w:val="1"/>
        </w:rPr>
        <w:t>1</w:t>
      </w:r>
      <w:r>
        <w:rPr/>
        <w:t>元</w:t>
      </w:r>
      <w:r>
        <w:rPr>
          <w:spacing w:val="-3"/>
        </w:rPr>
        <w:t>人</w:t>
      </w:r>
      <w:r>
        <w:rPr/>
        <w:t>民币现</w:t>
      </w:r>
      <w:r>
        <w:rPr>
          <w:spacing w:val="-22"/>
        </w:rPr>
        <w:t>金</w:t>
      </w:r>
      <w:r>
        <w:rPr/>
        <w:t>（含税</w:t>
      </w:r>
      <w:r>
        <w:rPr>
          <w:spacing w:val="-92"/>
        </w:rPr>
        <w:t>）</w:t>
      </w:r>
      <w:r>
        <w:rPr>
          <w:spacing w:val="-22"/>
        </w:rPr>
        <w:t>，</w:t>
      </w:r>
      <w:r>
        <w:rPr/>
        <w:t>合计派发</w:t>
      </w:r>
      <w:r>
        <w:rPr/>
        <w:t> 现金股利</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
        </w:rPr>
        <w:t>0</w:t>
      </w:r>
      <w:r>
        <w:rPr/>
        <w:t>元（</w:t>
      </w:r>
      <w:r>
        <w:rPr>
          <w:spacing w:val="-3"/>
        </w:rPr>
        <w:t>含</w:t>
      </w:r>
      <w:r>
        <w:rPr/>
        <w:t>税</w:t>
      </w:r>
      <w:r>
        <w:rPr>
          <w:spacing w:val="-92"/>
        </w:rPr>
        <w:t>）</w:t>
      </w:r>
      <w:r>
        <w:rPr/>
        <w:t>，不送红股，不以资本公</w:t>
      </w:r>
      <w:r>
        <w:rPr>
          <w:spacing w:val="2"/>
        </w:rPr>
        <w:t>积</w:t>
      </w:r>
      <w:r>
        <w:rPr/>
        <w:t>金转增股本。该利润分配方案已实施完毕。</w:t>
      </w:r>
    </w:p>
    <w:p>
      <w:pPr>
        <w:pStyle w:val="BodyText"/>
        <w:spacing w:line="451" w:lineRule="auto" w:before="43"/>
        <w:ind w:right="1128" w:firstLine="360"/>
        <w:jc w:val="both"/>
      </w:pPr>
      <w:r>
        <w:rPr>
          <w:rFonts w:ascii="Times New Roman" w:hAnsi="Times New Roman" w:cs="Times New Roman" w:eastAsia="Times New Roman" w:hint="default"/>
        </w:rPr>
        <w:t>2019</w:t>
      </w:r>
      <w:r>
        <w:rPr/>
        <w:t>年度利润分配预案：以截至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日公司股本总数</w:t>
      </w:r>
      <w:r>
        <w:rPr>
          <w:rFonts w:ascii="Times New Roman" w:hAnsi="Times New Roman" w:cs="Times New Roman" w:eastAsia="Times New Roman" w:hint="default"/>
        </w:rPr>
        <w:t>275,034,744</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扣除拟回购注销</w:t>
      </w:r>
      <w:r>
        <w:rPr>
          <w:rFonts w:ascii="Times New Roman" w:hAnsi="Times New Roman" w:cs="Times New Roman" w:eastAsia="Times New Roman" w:hint="default"/>
        </w:rPr>
        <w:t>78</w:t>
      </w:r>
      <w:r>
        <w:rPr/>
        <w:t>名激励对象合计持有的 已授予尚未解锁的限制性股票</w:t>
      </w:r>
      <w:r>
        <w:rPr>
          <w:rFonts w:ascii="Times New Roman" w:hAnsi="Times New Roman" w:cs="Times New Roman" w:eastAsia="Times New Roman" w:hint="default"/>
        </w:rPr>
        <w:t>1,859,328</w:t>
      </w:r>
      <w:r>
        <w:rPr/>
        <w:t>股后的总股本</w:t>
      </w:r>
      <w:r>
        <w:rPr>
          <w:rFonts w:ascii="Times New Roman" w:hAnsi="Times New Roman" w:cs="Times New Roman" w:eastAsia="Times New Roman" w:hint="default"/>
        </w:rPr>
        <w:t>273,175,416</w:t>
      </w:r>
      <w:r>
        <w:rPr/>
        <w:t>股为基数，向全体股东每</w:t>
      </w:r>
      <w:r>
        <w:rPr>
          <w:rFonts w:ascii="Times New Roman" w:hAnsi="Times New Roman" w:cs="Times New Roman" w:eastAsia="Times New Roman" w:hint="default"/>
        </w:rPr>
        <w:t>10</w:t>
      </w:r>
      <w:r>
        <w:rPr/>
        <w:t>股派送现金股利人民币</w:t>
      </w:r>
      <w:r>
        <w:rPr>
          <w:rFonts w:ascii="Times New Roman" w:hAnsi="Times New Roman" w:cs="Times New Roman" w:eastAsia="Times New Roman" w:hint="default"/>
        </w:rPr>
        <w:t>0.60</w:t>
      </w:r>
      <w:r>
        <w:rPr/>
        <w:t>元</w:t>
      </w:r>
    </w:p>
    <w:p>
      <w:pPr>
        <w:pStyle w:val="BodyText"/>
        <w:spacing w:line="451" w:lineRule="auto" w:before="44"/>
        <w:ind w:right="1356"/>
        <w:jc w:val="left"/>
      </w:pPr>
      <w:r>
        <w:rPr>
          <w:spacing w:val="-19"/>
        </w:rPr>
        <w:t>（含税），</w:t>
      </w:r>
      <w:r>
        <w:rPr>
          <w:spacing w:val="18"/>
        </w:rPr>
        <w:t> </w:t>
      </w:r>
      <w:r>
        <w:rPr>
          <w:spacing w:val="-2"/>
        </w:rPr>
        <w:t>合计派发现金股利</w:t>
      </w:r>
      <w:r>
        <w:rPr>
          <w:rFonts w:ascii="Times New Roman" w:hAnsi="Times New Roman" w:cs="Times New Roman" w:eastAsia="Times New Roman" w:hint="default"/>
          <w:spacing w:val="-2"/>
        </w:rPr>
        <w:t>16,390,524.96</w:t>
      </w:r>
      <w:r>
        <w:rPr>
          <w:spacing w:val="-2"/>
        </w:rPr>
        <w:t>元（含税），剩余未分配利润结转以后年度。本年度不转增股本，不送红股。</w:t>
      </w:r>
      <w:r>
        <w:rPr>
          <w:spacing w:val="-88"/>
        </w:rPr>
        <w:t> </w:t>
      </w:r>
      <w:r>
        <w:rPr>
          <w:spacing w:val="-88"/>
        </w:rPr>
      </w:r>
      <w:r>
        <w:rPr/>
        <w:t>公司近三年（包括本报告期）普通股现金分红情况表</w:t>
      </w:r>
    </w:p>
    <w:p>
      <w:pPr>
        <w:pStyle w:val="BodyText"/>
        <w:spacing w:line="240" w:lineRule="auto" w:before="74"/>
        <w:ind w:left="0" w:right="1131"/>
        <w:jc w:val="right"/>
      </w:pPr>
      <w:r>
        <w:rPr/>
        <w:t>单位：元</w:t>
      </w:r>
    </w:p>
    <w:p>
      <w:pPr>
        <w:spacing w:after="0" w:line="240" w:lineRule="auto"/>
        <w:jc w:val="right"/>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12"/>
        <w:gridCol w:w="1380"/>
        <w:gridCol w:w="1366"/>
        <w:gridCol w:w="1214"/>
        <w:gridCol w:w="1008"/>
        <w:gridCol w:w="1195"/>
        <w:gridCol w:w="1292"/>
        <w:gridCol w:w="1102"/>
      </w:tblGrid>
      <w:tr>
        <w:trPr>
          <w:trHeight w:val="2818"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36" w:right="137"/>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51" w:right="15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41" w:right="135"/>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41" w:right="143"/>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101" w:hanging="3"/>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1"/>
                <w:sz w:val="18"/>
                <w:szCs w:val="18"/>
              </w:rPr>
              <w:t>额（含其他方</w:t>
            </w:r>
            <w:r>
              <w:rPr>
                <w:rFonts w:ascii="宋体" w:hAnsi="宋体" w:cs="宋体" w:eastAsia="宋体" w:hint="default"/>
                <w:sz w:val="18"/>
                <w:szCs w:val="18"/>
              </w:rPr>
              <w:t> 式）</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5" w:right="101" w:hanging="1"/>
              <w:jc w:val="center"/>
              <w:rPr>
                <w:rFonts w:ascii="宋体" w:hAnsi="宋体" w:cs="宋体" w:eastAsia="宋体" w:hint="default"/>
                <w:sz w:val="18"/>
                <w:szCs w:val="18"/>
              </w:rPr>
            </w:pPr>
            <w:r>
              <w:rPr>
                <w:rFonts w:ascii="宋体" w:hAnsi="宋体" w:cs="宋体" w:eastAsia="宋体" w:hint="default"/>
                <w:sz w:val="18"/>
                <w:szCs w:val="18"/>
              </w:rPr>
              <w:t>现金分红 </w:t>
            </w:r>
            <w:r>
              <w:rPr>
                <w:rFonts w:ascii="宋体" w:hAnsi="宋体" w:cs="宋体" w:eastAsia="宋体" w:hint="default"/>
                <w:spacing w:val="-4"/>
                <w:sz w:val="18"/>
                <w:szCs w:val="18"/>
              </w:rPr>
              <w:t>总额（含其</w:t>
            </w:r>
            <w:r>
              <w:rPr>
                <w:rFonts w:ascii="宋体" w:hAnsi="宋体" w:cs="宋体" w:eastAsia="宋体" w:hint="default"/>
                <w:sz w:val="18"/>
                <w:szCs w:val="18"/>
              </w:rPr>
              <w:t> </w:t>
            </w:r>
            <w:r>
              <w:rPr>
                <w:rFonts w:ascii="宋体" w:hAnsi="宋体" w:cs="宋体" w:eastAsia="宋体" w:hint="default"/>
                <w:spacing w:val="-4"/>
                <w:sz w:val="18"/>
                <w:szCs w:val="18"/>
              </w:rPr>
              <w:t>他方式）占</w:t>
            </w:r>
            <w:r>
              <w:rPr>
                <w:rFonts w:ascii="宋体" w:hAnsi="宋体" w:cs="宋体" w:eastAsia="宋体" w:hint="default"/>
                <w:sz w:val="18"/>
                <w:szCs w:val="18"/>
              </w:rPr>
              <w:t> 合并报表 中归属于 上市公司 普通股股 东的净利 润的比率</w:t>
            </w:r>
          </w:p>
        </w:tc>
      </w:tr>
      <w:tr>
        <w:trPr>
          <w:trHeight w:val="322"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43,893,999.36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47,514,815.30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92.38%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43,893,999.36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92.38%</w:t>
            </w:r>
          </w:p>
        </w:tc>
      </w:tr>
      <w:tr>
        <w:trPr>
          <w:trHeight w:val="322"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16,502,084.64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18,219,848.27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90.57%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16,502,084.64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90.57%</w:t>
            </w:r>
          </w:p>
        </w:tc>
      </w:tr>
      <w:tr>
        <w:trPr>
          <w:trHeight w:val="324"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46,208,880.00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93,204,793.30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49.58%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46,208,880.00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49.58%</w:t>
            </w:r>
          </w:p>
        </w:tc>
      </w:tr>
    </w:tbl>
    <w:p>
      <w:pPr>
        <w:pStyle w:val="BodyText"/>
        <w:spacing w:line="240" w:lineRule="auto" w:before="88"/>
        <w:ind w:right="1116"/>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59" w:lineRule="auto" w:before="93"/>
        <w:ind w:right="1116"/>
        <w:jc w:val="left"/>
        <w:rPr>
          <w:b w:val="0"/>
          <w:bCs w:val="0"/>
        </w:rPr>
      </w:pPr>
      <w:bookmarkStart w:name="二、承诺事项履行情况" w:id="60"/>
      <w:bookmarkEnd w:id="60"/>
      <w:r>
        <w:rPr>
          <w:b w:val="0"/>
          <w:bCs w:val="0"/>
        </w:rPr>
      </w:r>
      <w:r>
        <w:rPr>
          <w:sz w:val="24"/>
          <w:szCs w:val="24"/>
        </w:rPr>
        <w:t>二、承诺事项履行情况</w:t>
      </w:r>
      <w:r>
        <w:rPr>
          <w:w w:val="99"/>
          <w:sz w:val="24"/>
          <w:szCs w:val="24"/>
        </w:rPr>
        <w:t> </w:t>
      </w:r>
      <w:bookmarkStart w:name="1、公司实际控制人、股东、关联方、收购人以及公司等承诺相关方在报告期内履行完毕及" w:id="61"/>
      <w:bookmarkEnd w:id="61"/>
      <w:r>
        <w:rPr>
          <w:w w:val="99"/>
          <w:sz w:val="24"/>
          <w:szCs w:val="24"/>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pStyle w:val="BodyText"/>
        <w:spacing w:line="240" w:lineRule="auto" w:before="41"/>
        <w:ind w:right="1116"/>
        <w:jc w:val="left"/>
      </w:pPr>
      <w:r>
        <w:rPr>
          <w:rFonts w:ascii="Times New Roman" w:hAnsi="Times New Roman" w:cs="Times New Roman" w:eastAsia="Times New Roman" w:hint="default"/>
        </w:rPr>
        <w:t>√  </w:t>
      </w:r>
      <w:r>
        <w:rPr/>
        <w:t>适用 □</w:t>
      </w:r>
      <w:r>
        <w:rPr>
          <w:spacing w:val="3"/>
        </w:rPr>
        <w:t> </w:t>
      </w:r>
      <w:r>
        <w:rPr/>
        <w:t>不适用</w:t>
      </w:r>
    </w:p>
    <w:p>
      <w:pPr>
        <w:spacing w:after="0" w:line="240" w:lineRule="auto"/>
        <w:jc w:val="left"/>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403"/>
        <w:gridCol w:w="2291"/>
        <w:gridCol w:w="1491"/>
        <w:gridCol w:w="5288"/>
        <w:gridCol w:w="1522"/>
        <w:gridCol w:w="1054"/>
        <w:gridCol w:w="1114"/>
      </w:tblGrid>
      <w:tr>
        <w:trPr>
          <w:trHeight w:val="41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58"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3" w:right="208"/>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4" w:right="101"/>
              <w:jc w:val="both"/>
              <w:rPr>
                <w:rFonts w:ascii="宋体" w:hAnsi="宋体" w:cs="宋体" w:eastAsia="宋体" w:hint="default"/>
                <w:sz w:val="18"/>
                <w:szCs w:val="18"/>
              </w:rPr>
            </w:pPr>
            <w:r>
              <w:rPr>
                <w:rFonts w:ascii="宋体" w:hAnsi="宋体" w:cs="宋体" w:eastAsia="宋体" w:hint="default"/>
                <w:spacing w:val="-8"/>
                <w:sz w:val="18"/>
                <w:szCs w:val="18"/>
              </w:rPr>
              <w:t>邵健伟、邵健锋、深圳市华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锐丰投资合伙企业（有限合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伙）</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自今天国际股票上市之日起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企业不转让或者委 托他人管理本人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企业直接或间接持有的今天国际在首次公开发 </w:t>
            </w:r>
            <w:r>
              <w:rPr>
                <w:rFonts w:ascii="宋体" w:hAnsi="宋体" w:cs="宋体" w:eastAsia="宋体" w:hint="default"/>
                <w:spacing w:val="-1"/>
                <w:sz w:val="18"/>
                <w:szCs w:val="18"/>
              </w:rPr>
              <w:t>行前已发行的股份，也不由今天国际回购本人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企业直接或间接持</w:t>
            </w:r>
            <w:r>
              <w:rPr>
                <w:rFonts w:ascii="宋体" w:hAnsi="宋体" w:cs="宋体" w:eastAsia="宋体" w:hint="default"/>
                <w:spacing w:val="-81"/>
                <w:sz w:val="18"/>
                <w:szCs w:val="18"/>
              </w:rPr>
              <w:t> </w:t>
            </w:r>
            <w:r>
              <w:rPr>
                <w:rFonts w:ascii="宋体" w:hAnsi="宋体" w:cs="宋体" w:eastAsia="宋体" w:hint="default"/>
                <w:sz w:val="18"/>
                <w:szCs w:val="18"/>
              </w:rPr>
              <w:t>有的今天国际在首次公开发行前已发行的股份。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755" w:hRule="exact"/>
        </w:trPr>
        <w:tc>
          <w:tcPr>
            <w:tcW w:w="1403" w:type="dxa"/>
            <w:vMerge/>
            <w:tcBorders>
              <w:left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邵健伟、邵健锋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对于本人在本次发行前持有的公司股份，本人将严格遵守已做出 的关于所持公司股份流通限制及自愿锁定的承诺，在限售期内， 不出售本次发行前持有的公司股份。限售期届满后的两年内，本 人将根据自身需要选择集中竞价、大宗交易及协议转让等法律、 法规规定的方式减持，每年减持的比例不超过本人持有公司股份 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，减持价格不低于本次发行时的发行价格（公司上市 </w:t>
            </w:r>
            <w:r>
              <w:rPr>
                <w:rFonts w:ascii="宋体" w:hAnsi="宋体" w:cs="宋体" w:eastAsia="宋体" w:hint="default"/>
                <w:spacing w:val="-6"/>
                <w:sz w:val="18"/>
                <w:szCs w:val="18"/>
              </w:rPr>
              <w:t>后发生除权除息事项的，减持价格做相应调整，下同）。今天国际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个月内，如今天国际股票连续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w:t>
            </w:r>
          </w:p>
          <w:p>
            <w:pPr>
              <w:pStyle w:val="TableParagraph"/>
              <w:spacing w:line="307" w:lineRule="auto" w:before="1"/>
              <w:ind w:left="103" w:right="132"/>
              <w:jc w:val="left"/>
              <w:rPr>
                <w:rFonts w:ascii="宋体" w:hAnsi="宋体" w:cs="宋体" w:eastAsia="宋体" w:hint="default"/>
                <w:sz w:val="18"/>
                <w:szCs w:val="18"/>
              </w:rPr>
            </w:pPr>
            <w:r>
              <w:rPr>
                <w:rFonts w:ascii="宋体" w:hAnsi="宋体" w:cs="宋体" w:eastAsia="宋体" w:hint="default"/>
                <w:sz w:val="18"/>
                <w:szCs w:val="18"/>
              </w:rPr>
              <w:t>于首次公开发行的发行价，或者上市后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个月期末收盘价低于首 次公开发行的发行价，本人持有的今天国际首次公开发行股票前 已发行的股票将在上述锁定期限届满后自动延长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个月的锁定 期。本人不会因职务变更、离职等原因而放弃履行上述承诺。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44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33"/>
              <w:ind w:left="103" w:right="118"/>
              <w:jc w:val="both"/>
              <w:rPr>
                <w:rFonts w:ascii="宋体" w:hAnsi="宋体" w:cs="宋体" w:eastAsia="宋体" w:hint="default"/>
                <w:sz w:val="18"/>
                <w:szCs w:val="18"/>
              </w:rPr>
            </w:pPr>
            <w:r>
              <w:rPr>
                <w:rFonts w:ascii="宋体" w:hAnsi="宋体" w:cs="宋体" w:eastAsia="宋体" w:hint="default"/>
                <w:sz w:val="18"/>
                <w:szCs w:val="18"/>
              </w:rPr>
              <w:t>对于本人在本次发行前持有的公司股份，本人将严格遵守已做出 的关于所持公司股份流通限制及自愿锁定的承诺，在限售期内， 不出售本次发行前持有的公司股份。限售期届满后的两年内，本 人将根据自身需要选择集中竞价、大宗交易及协议转让等法律、 法规规定的方式减持，每年减持的比例不超过本人持有公司股份 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，减持价格不低于本次发行时的发行价格。公司上市 后发生除权除息事项的，减持价格做相应调整。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6840" w:h="11910" w:orient="landscape"/>
          <w:pgMar w:header="877" w:footer="980" w:top="1080" w:bottom="1160" w:left="1300" w:right="1120"/>
          <w:pgNumType w:start="31"/>
        </w:sectPr>
      </w:pPr>
    </w:p>
    <w:tbl>
      <w:tblPr>
        <w:tblW w:w="0" w:type="auto"/>
        <w:jc w:val="left"/>
        <w:tblInd w:w="135" w:type="dxa"/>
        <w:tblLayout w:type="fixed"/>
        <w:tblCellMar>
          <w:top w:w="0" w:type="dxa"/>
          <w:left w:w="0" w:type="dxa"/>
          <w:bottom w:w="0" w:type="dxa"/>
          <w:right w:w="0" w:type="dxa"/>
        </w:tblCellMar>
        <w:tblLook w:val="01E0"/>
      </w:tblPr>
      <w:tblGrid>
        <w:gridCol w:w="1403"/>
        <w:gridCol w:w="2291"/>
        <w:gridCol w:w="1491"/>
        <w:gridCol w:w="5288"/>
        <w:gridCol w:w="1522"/>
        <w:gridCol w:w="1054"/>
        <w:gridCol w:w="1116"/>
      </w:tblGrid>
      <w:tr>
        <w:trPr>
          <w:trHeight w:val="2821"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3" w:right="116"/>
              <w:jc w:val="left"/>
              <w:rPr>
                <w:rFonts w:ascii="宋体" w:hAnsi="宋体" w:cs="宋体" w:eastAsia="宋体" w:hint="default"/>
                <w:sz w:val="18"/>
                <w:szCs w:val="18"/>
              </w:rPr>
            </w:pPr>
            <w:r>
              <w:rPr>
                <w:rFonts w:ascii="宋体" w:hAnsi="宋体" w:cs="宋体" w:eastAsia="宋体" w:hint="default"/>
                <w:sz w:val="18"/>
                <w:szCs w:val="18"/>
              </w:rPr>
              <w:t>避免同业竞争的 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2"/>
              <w:jc w:val="both"/>
              <w:rPr>
                <w:rFonts w:ascii="宋体" w:hAnsi="宋体" w:cs="宋体" w:eastAsia="宋体" w:hint="default"/>
                <w:sz w:val="18"/>
                <w:szCs w:val="18"/>
              </w:rPr>
            </w:pPr>
            <w:r>
              <w:rPr>
                <w:rFonts w:ascii="宋体" w:hAnsi="宋体" w:cs="宋体" w:eastAsia="宋体" w:hint="default"/>
                <w:sz w:val="18"/>
                <w:szCs w:val="18"/>
              </w:rPr>
              <w:t>本人及本人控制的其它企业目前未从事与公司有竞争或可能构成 竞争的任何业务。本人及本人控制的其它企业不会直接或间接从 事与公司的产品或业务相竞争或可能构成竞争的任何活动。对于 本人及本人控制的其它企业将来以收购、兼并或其他方式增加的 与公司的产品或业务相竞争或可能构成竞争的任何资产、业务， 公司有优先购买该等资产、业务的权益。本人及本人控制的其它 企业拟出售或转让其任何与公司的产品或业务相关的任何资产、 业务时，公司有优先购买该等资产、业务的权益。如违反上述承 诺，本人同意承担给公司造成的全部损失。</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63" w:hRule="exact"/>
        </w:trPr>
        <w:tc>
          <w:tcPr>
            <w:tcW w:w="1403" w:type="dxa"/>
            <w:vMerge/>
            <w:tcBorders>
              <w:left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104" w:right="101"/>
              <w:jc w:val="left"/>
              <w:rPr>
                <w:rFonts w:ascii="宋体" w:hAnsi="宋体" w:cs="宋体" w:eastAsia="宋体" w:hint="default"/>
                <w:sz w:val="18"/>
                <w:szCs w:val="18"/>
              </w:rPr>
            </w:pPr>
            <w:r>
              <w:rPr>
                <w:rFonts w:ascii="宋体" w:hAnsi="宋体" w:cs="宋体" w:eastAsia="宋体" w:hint="default"/>
                <w:spacing w:val="-8"/>
                <w:sz w:val="18"/>
                <w:szCs w:val="18"/>
              </w:rPr>
              <w:t>张小麒、梁建平、徐峰、张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永清、刘成凯</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103" w:right="129"/>
              <w:jc w:val="both"/>
              <w:rPr>
                <w:rFonts w:ascii="宋体" w:hAnsi="宋体" w:cs="宋体" w:eastAsia="宋体" w:hint="default"/>
                <w:sz w:val="18"/>
                <w:szCs w:val="18"/>
              </w:rPr>
            </w:pPr>
            <w:r>
              <w:rPr>
                <w:rFonts w:ascii="宋体" w:hAnsi="宋体" w:cs="宋体" w:eastAsia="宋体" w:hint="default"/>
                <w:sz w:val="18"/>
                <w:szCs w:val="18"/>
              </w:rPr>
              <w:t>如本人在上述锁定期届满后两年内减持今天国际首次公开发行股 票前已发行的股票，减持价格不低于首次公开发行的发行价（今 天国际上市后发生除权、除息事项的，发行价格作相应调整，下 </w:t>
            </w:r>
            <w:r>
              <w:rPr>
                <w:rFonts w:ascii="宋体" w:hAnsi="宋体" w:cs="宋体" w:eastAsia="宋体" w:hint="default"/>
                <w:spacing w:val="-10"/>
                <w:sz w:val="18"/>
                <w:szCs w:val="18"/>
              </w:rPr>
              <w:t>同）；今天国际上市后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个月内，如今天国际股票连续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个交易</w:t>
            </w:r>
          </w:p>
          <w:p>
            <w:pPr>
              <w:pStyle w:val="TableParagraph"/>
              <w:spacing w:line="309" w:lineRule="auto"/>
              <w:ind w:left="103" w:right="132"/>
              <w:jc w:val="both"/>
              <w:rPr>
                <w:rFonts w:ascii="宋体" w:hAnsi="宋体" w:cs="宋体" w:eastAsia="宋体" w:hint="default"/>
                <w:sz w:val="18"/>
                <w:szCs w:val="18"/>
              </w:rPr>
            </w:pPr>
            <w:r>
              <w:rPr>
                <w:rFonts w:ascii="宋体" w:hAnsi="宋体" w:cs="宋体" w:eastAsia="宋体" w:hint="default"/>
                <w:sz w:val="18"/>
                <w:szCs w:val="18"/>
              </w:rPr>
              <w:t>日的收盘价均低于首次公开发行的发行价，或者上市后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末收盘价低于首次公开发行的发行价，本人持有的今天国际首次 公开发行股票前已发行的股票将在上述锁定期限届满后自动延长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个月的锁定期。本人不会因职务变更、离职等原因而放弃履行 上述承诺。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2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4" w:right="14"/>
              <w:jc w:val="left"/>
              <w:rPr>
                <w:rFonts w:ascii="宋体" w:hAnsi="宋体" w:cs="宋体" w:eastAsia="宋体" w:hint="default"/>
                <w:sz w:val="18"/>
                <w:szCs w:val="18"/>
              </w:rPr>
            </w:pPr>
            <w:r>
              <w:rPr>
                <w:rFonts w:ascii="宋体" w:hAnsi="宋体" w:cs="宋体" w:eastAsia="宋体" w:hint="default"/>
                <w:sz w:val="18"/>
                <w:szCs w:val="18"/>
              </w:rPr>
              <w:t>邵健伟、张小麒、梁建平、 </w:t>
            </w:r>
            <w:r>
              <w:rPr>
                <w:rFonts w:ascii="宋体" w:hAnsi="宋体" w:cs="宋体" w:eastAsia="宋体" w:hint="default"/>
                <w:spacing w:val="-8"/>
                <w:sz w:val="18"/>
                <w:szCs w:val="18"/>
              </w:rPr>
              <w:t>徐峰、金春保、冯文学、仪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春燕、邵健锋、张永清、刘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成凯</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除上述锁定期的承诺外，在本人担任今天国际董事、监事、高级 管理人员期间，本人每年各自转让的股份不超过自身直接或间接 持有今天国际股份总数的百分之二十五；在今天国际股票上市之 日起六个月内申报离职的，自申报离职之日起十八个月内不转让 直接或间接持有的今天国际股份；在今天国际股票上市之日起第 七个月至第十二个月之间申报离职的，自申报离职之日起十二个 月内不转让直接或间接持有的今天国际股份；在今天国际股票上 市之日起十二个月后申报离职的，自申报离职之日起六个月内不 转让直接或间接持有的今天国际股份。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6840" w:h="11910" w:orient="landscape"/>
          <w:pgMar w:header="877" w:footer="980" w:top="1120" w:bottom="1160" w:left="1300" w:right="1120"/>
        </w:sectPr>
      </w:pPr>
    </w:p>
    <w:p>
      <w:pPr>
        <w:spacing w:line="240" w:lineRule="auto" w:before="5"/>
        <w:rPr>
          <w:rFonts w:ascii="Times New Roman" w:hAnsi="Times New Roman" w:cs="Times New Roman" w:eastAsia="Times New Roman" w:hint="default"/>
          <w:sz w:val="17"/>
          <w:szCs w:val="17"/>
        </w:rPr>
      </w:pPr>
      <w:r>
        <w:rPr/>
        <w:pict>
          <v:shape style="position:absolute;margin-left:71.760002pt;margin-top:56.640007pt;width:708.85pt;height:478.1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3"/>
                    <w:gridCol w:w="2291"/>
                    <w:gridCol w:w="1491"/>
                    <w:gridCol w:w="5288"/>
                    <w:gridCol w:w="1522"/>
                    <w:gridCol w:w="1054"/>
                    <w:gridCol w:w="1114"/>
                  </w:tblGrid>
                  <w:tr>
                    <w:trPr>
                      <w:trHeight w:val="500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103" w:right="116"/>
                          <w:jc w:val="left"/>
                          <w:rPr>
                            <w:rFonts w:ascii="宋体" w:hAnsi="宋体" w:cs="宋体" w:eastAsia="宋体" w:hint="default"/>
                            <w:sz w:val="18"/>
                            <w:szCs w:val="18"/>
                          </w:rPr>
                        </w:pPr>
                        <w:r>
                          <w:rPr>
                            <w:rFonts w:ascii="宋体" w:hAnsi="宋体" w:cs="宋体" w:eastAsia="宋体" w:hint="default"/>
                            <w:sz w:val="18"/>
                            <w:szCs w:val="18"/>
                          </w:rPr>
                          <w:t>依法赔偿和回购 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tabs>
                            <w:tab w:pos="3797" w:val="left" w:leader="none"/>
                          </w:tabs>
                          <w:spacing w:line="316" w:lineRule="auto" w:before="11"/>
                          <w:ind w:left="103" w:right="41"/>
                          <w:jc w:val="left"/>
                          <w:rPr>
                            <w:rFonts w:ascii="宋体" w:hAnsi="宋体" w:cs="宋体" w:eastAsia="宋体" w:hint="default"/>
                            <w:sz w:val="18"/>
                            <w:szCs w:val="18"/>
                          </w:rPr>
                        </w:pPr>
                        <w:r>
                          <w:rPr>
                            <w:rFonts w:ascii="宋体" w:hAnsi="宋体" w:cs="宋体" w:eastAsia="宋体" w:hint="default"/>
                            <w:sz w:val="18"/>
                            <w:szCs w:val="18"/>
                          </w:rPr>
                          <w:t>如《招股说明书》存在虚假记载、误导性陈述或者重大遗漏，致 使投资者在买卖公司股票的证券交易中遭受损失的，公司将依法 赔偿投资者的损失。具体措施为：在中国证监会对公司作出正式 的行政处罚决定书并认定公司存在上述违法行为后，公司将对提 出索赔要求的公众投资者进行登记，并在查实其主体资格及损失 金额后及时支付赔偿金。</w:t>
                          <w:tab/>
                          <w:t>如《招股说明书》 存在虚假记载、误导性陈述或者重大遗漏，并对判断公司是否符 合法律、法规、规范性文件规定的首次公开发行股票并上市的发 行条件构成重大、实质影响的，公司将依法回购首次公开发行的 全部新股。具体措施为：在中国证监会对公司作出正式的行政处 罚决定书并认定公司存在上述违法行为后的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天内，公司将依法</w:t>
                        </w:r>
                        <w:r>
                          <w:rPr>
                            <w:rFonts w:ascii="宋体" w:hAnsi="宋体" w:cs="宋体" w:eastAsia="宋体" w:hint="default"/>
                            <w:sz w:val="18"/>
                            <w:szCs w:val="18"/>
                          </w:rPr>
                          <w:t> 启动回购股份的程序，回购价格按首次公开发行的发行价格并加 算银行同期存款利息确定，回购股份数按首次公开发行的新股数 量确定，并按法律、法规、规范性文件的相关规定办理手续。公 司上市后发生除权除息事项的，上述回购价格及回购股份的数量 将做相应调整。</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68"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张永清、梁建平、徐峰</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16"/>
                          <w:jc w:val="both"/>
                          <w:rPr>
                            <w:rFonts w:ascii="宋体" w:hAnsi="宋体" w:cs="宋体" w:eastAsia="宋体" w:hint="default"/>
                            <w:sz w:val="18"/>
                            <w:szCs w:val="18"/>
                          </w:rPr>
                        </w:pPr>
                        <w:r>
                          <w:rPr>
                            <w:rFonts w:ascii="宋体" w:hAnsi="宋体" w:cs="宋体" w:eastAsia="宋体" w:hint="default"/>
                            <w:sz w:val="18"/>
                            <w:szCs w:val="18"/>
                          </w:rPr>
                          <w:t>部分董事、高管 承诺不减持公司 股权激励股份</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103" w:right="132"/>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个月内不减持其获授的公司股权激励 股份。如在上述期间违反承诺，则减持股份所得的全部收益归公 司所有。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570"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9" w:lineRule="auto"/>
                          <w:ind w:left="103" w:right="78"/>
                          <w:jc w:val="both"/>
                          <w:rPr>
                            <w:rFonts w:ascii="宋体" w:hAnsi="宋体" w:cs="宋体" w:eastAsia="宋体" w:hint="default"/>
                            <w:sz w:val="18"/>
                            <w:szCs w:val="18"/>
                          </w:rPr>
                        </w:pPr>
                        <w:r>
                          <w:rPr>
                            <w:rFonts w:ascii="宋体" w:hAnsi="宋体" w:cs="宋体" w:eastAsia="宋体" w:hint="default"/>
                            <w:spacing w:val="17"/>
                            <w:sz w:val="18"/>
                            <w:szCs w:val="18"/>
                          </w:rPr>
                          <w:t>其他对公司中</w:t>
                        </w:r>
                        <w:r>
                          <w:rPr>
                            <w:rFonts w:ascii="宋体" w:hAnsi="宋体" w:cs="宋体" w:eastAsia="宋体" w:hint="default"/>
                            <w:spacing w:val="-87"/>
                            <w:sz w:val="18"/>
                            <w:szCs w:val="18"/>
                          </w:rPr>
                          <w:t> </w:t>
                        </w:r>
                        <w:r>
                          <w:rPr>
                            <w:rFonts w:ascii="宋体" w:hAnsi="宋体" w:cs="宋体" w:eastAsia="宋体" w:hint="default"/>
                            <w:spacing w:val="17"/>
                            <w:sz w:val="18"/>
                            <w:szCs w:val="18"/>
                          </w:rPr>
                          <w:t>小股东所作承</w:t>
                        </w:r>
                        <w:r>
                          <w:rPr>
                            <w:rFonts w:ascii="宋体" w:hAnsi="宋体" w:cs="宋体" w:eastAsia="宋体" w:hint="default"/>
                            <w:spacing w:val="-87"/>
                            <w:sz w:val="18"/>
                            <w:szCs w:val="18"/>
                          </w:rPr>
                          <w:t> </w:t>
                        </w:r>
                        <w:r>
                          <w:rPr>
                            <w:rFonts w:ascii="宋体" w:hAnsi="宋体" w:cs="宋体" w:eastAsia="宋体" w:hint="default"/>
                            <w:sz w:val="18"/>
                            <w:szCs w:val="18"/>
                          </w:rPr>
                          <w:t>诺</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社保承诺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若公司及其子公司将来被所在地社保主管部门追缴全部或部分应 </w:t>
                        </w:r>
                        <w:r>
                          <w:rPr>
                            <w:rFonts w:ascii="宋体" w:hAnsi="宋体" w:cs="宋体" w:eastAsia="宋体" w:hint="default"/>
                            <w:spacing w:val="-1"/>
                            <w:sz w:val="18"/>
                            <w:szCs w:val="18"/>
                          </w:rPr>
                          <w:t>缴未缴的社会保险费用和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或因此受到任何处罚、损失，本人将连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带承担由此产生的全部费用，在公司及其子公司必须先行支付相 关费用的情况下，本人将及时向公司及其子公司给予全额补偿， 以确保公司及其子公司不会因此遭受任何损失</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09"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104" w:right="194"/>
                          <w:jc w:val="left"/>
                          <w:rPr>
                            <w:rFonts w:ascii="宋体" w:hAnsi="宋体" w:cs="宋体" w:eastAsia="宋体" w:hint="default"/>
                            <w:sz w:val="18"/>
                            <w:szCs w:val="18"/>
                          </w:rPr>
                        </w:pPr>
                        <w:r>
                          <w:rPr>
                            <w:rFonts w:ascii="宋体" w:hAnsi="宋体" w:cs="宋体" w:eastAsia="宋体" w:hint="default"/>
                            <w:sz w:val="18"/>
                            <w:szCs w:val="18"/>
                          </w:rPr>
                          <w:t>曲水新智丰创业投资管理 合伙企业（有限合伙）</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股东减持承诺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4" w:lineRule="auto"/>
                          <w:ind w:left="103" w:right="10"/>
                          <w:jc w:val="left"/>
                          <w:rPr>
                            <w:rFonts w:ascii="宋体" w:hAnsi="宋体" w:cs="宋体" w:eastAsia="宋体" w:hint="default"/>
                            <w:sz w:val="18"/>
                            <w:szCs w:val="18"/>
                          </w:rPr>
                        </w:pPr>
                        <w:r>
                          <w:rPr>
                            <w:rFonts w:ascii="宋体" w:hAnsi="宋体" w:cs="宋体" w:eastAsia="宋体" w:hint="default"/>
                            <w:spacing w:val="-8"/>
                            <w:sz w:val="18"/>
                            <w:szCs w:val="18"/>
                          </w:rPr>
                          <w:t>承诺自发布《关于股东股份减持计划实施完毕的公告》（公告编号：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2018-038</w:t>
                        </w:r>
                        <w:r>
                          <w:rPr>
                            <w:rFonts w:ascii="宋体" w:hAnsi="宋体" w:cs="宋体" w:eastAsia="宋体" w:hint="default"/>
                            <w:sz w:val="18"/>
                            <w:szCs w:val="18"/>
                          </w:rPr>
                          <w:t>）之日（即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个月内不转让或者 委托他人管理其直接持有的今天国际在首次公开发行前已发行的 股份，也不由今天国际回购其直接持有的今天国际在首次公开发 行前已发行的股份。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77" w:footer="980" w:top="1140" w:bottom="1200" w:left="130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403"/>
        <w:gridCol w:w="2291"/>
        <w:gridCol w:w="1491"/>
        <w:gridCol w:w="5288"/>
        <w:gridCol w:w="1522"/>
        <w:gridCol w:w="1054"/>
        <w:gridCol w:w="1114"/>
      </w:tblGrid>
      <w:tr>
        <w:trPr>
          <w:trHeight w:val="1908" w:hRule="exact"/>
        </w:trPr>
        <w:tc>
          <w:tcPr>
            <w:tcW w:w="1403" w:type="dxa"/>
            <w:tcBorders>
              <w:top w:val="single" w:sz="4" w:space="0" w:color="D6D6D6"/>
              <w:left w:val="single" w:sz="4" w:space="0" w:color="000000"/>
              <w:bottom w:val="single" w:sz="4" w:space="0" w:color="000000"/>
              <w:right w:val="single" w:sz="4" w:space="0" w:color="000000"/>
            </w:tcBorders>
            <w:shd w:val="clear" w:color="auto" w:fill="D2D2D2"/>
          </w:tcPr>
          <w:p>
            <w:pP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00" w:lineRule="auto"/>
              <w:ind w:left="103" w:right="221"/>
              <w:jc w:val="left"/>
              <w:rPr>
                <w:rFonts w:ascii="宋体" w:hAnsi="宋体" w:cs="宋体" w:eastAsia="宋体" w:hint="default"/>
                <w:sz w:val="18"/>
                <w:szCs w:val="18"/>
              </w:rPr>
            </w:pPr>
            <w:r>
              <w:rPr>
                <w:rFonts w:ascii="宋体" w:hAnsi="宋体" w:cs="宋体" w:eastAsia="宋体" w:hint="default"/>
                <w:sz w:val="18"/>
                <w:szCs w:val="18"/>
              </w:rPr>
              <w:t>承诺自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日起六个月内使用自有资金增持本公司股 票，增持金额不少于人民币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万元，增持比例不超过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2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208"/>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78"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00"/>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11"/>
                <w:sz w:val="18"/>
                <w:szCs w:val="18"/>
              </w:rPr>
              <w:t>履行完毕的，应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当详细说明未 完成履行的具 体原因及下一 步的工作计划</w:t>
            </w:r>
          </w:p>
        </w:tc>
        <w:tc>
          <w:tcPr>
            <w:tcW w:w="127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77" w:footer="980" w:top="1080" w:bottom="1160" w:left="1300" w:right="1120"/>
        </w:sectPr>
      </w:pPr>
    </w:p>
    <w:p>
      <w:pPr>
        <w:spacing w:line="240" w:lineRule="auto" w:before="9"/>
        <w:rPr>
          <w:rFonts w:ascii="Times New Roman" w:hAnsi="Times New Roman" w:cs="Times New Roman" w:eastAsia="Times New Roman" w:hint="default"/>
          <w:sz w:val="25"/>
          <w:szCs w:val="25"/>
        </w:rPr>
      </w:pPr>
    </w:p>
    <w:p>
      <w:pPr>
        <w:pStyle w:val="Heading3"/>
        <w:spacing w:line="259" w:lineRule="auto" w:before="36"/>
        <w:ind w:right="1116"/>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pStyle w:val="BodyText"/>
        <w:spacing w:line="240" w:lineRule="auto" w:before="41"/>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1116"/>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pStyle w:val="BodyText"/>
        <w:spacing w:line="451" w:lineRule="auto" w:before="125"/>
        <w:ind w:right="49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公司报告期不存在控股股东及其关联方对上市公司的非经营性占用资金。</w:t>
      </w:r>
    </w:p>
    <w:p>
      <w:pPr>
        <w:pStyle w:val="Heading2"/>
        <w:spacing w:line="263" w:lineRule="exact"/>
        <w:ind w:right="1116"/>
        <w:jc w:val="left"/>
        <w:rPr>
          <w:b w:val="0"/>
          <w:bCs w:val="0"/>
        </w:rPr>
      </w:pPr>
      <w:bookmarkStart w:name="四、董事会对最近一期“非标准审计报告”相关情况的说明" w:id="64"/>
      <w:bookmarkEnd w:id="64"/>
      <w:r>
        <w:rPr>
          <w:b w:val="0"/>
          <w:bCs w:val="0"/>
        </w:rPr>
      </w:r>
      <w:r>
        <w:rPr/>
        <w:t>四、董事会对最近一期“非标准审计报告”相关情况的说明</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1116"/>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五、董事会、监事会、独立董事（如有）对会计师事务所本报告期“非标准审计报告”的说</w:t>
      </w:r>
      <w:r>
        <w:rPr>
          <w:w w:val="99"/>
        </w:rPr>
        <w:t> </w:t>
      </w:r>
      <w:r>
        <w:rPr/>
        <w:t>明</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7"/>
        <w:ind w:right="1116"/>
        <w:jc w:val="left"/>
        <w:rPr>
          <w:b w:val="0"/>
          <w:bCs w:val="0"/>
        </w:rPr>
      </w:pPr>
      <w:bookmarkStart w:name="六、董事会关于报告期会计政策、会计估计变更或重大会计差错更正的说明" w:id="66"/>
      <w:bookmarkEnd w:id="66"/>
      <w:r>
        <w:rPr>
          <w:b w:val="0"/>
          <w:bCs w:val="0"/>
        </w:rPr>
      </w:r>
      <w:r>
        <w:rPr/>
        <w:t>六、董事会关于报告期会计政策、会计估计变更或重大会计差错更正的说明</w:t>
      </w:r>
      <w:r>
        <w:rPr>
          <w:b w:val="0"/>
          <w:bCs w:val="0"/>
        </w:rPr>
      </w:r>
    </w:p>
    <w:p>
      <w:pPr>
        <w:pStyle w:val="BodyText"/>
        <w:spacing w:line="240" w:lineRule="auto" w:before="46"/>
        <w:ind w:right="1116"/>
        <w:jc w:val="left"/>
      </w:pPr>
      <w:r>
        <w:rPr>
          <w:rFonts w:ascii="Times New Roman" w:hAnsi="Times New Roman" w:cs="Times New Roman" w:eastAsia="Times New Roman" w:hint="default"/>
        </w:rPr>
        <w:t>√  </w:t>
      </w:r>
      <w:r>
        <w:rPr/>
        <w:t>适用 □</w:t>
      </w:r>
      <w:r>
        <w:rPr>
          <w:spacing w:val="3"/>
        </w:rPr>
        <w:t> </w:t>
      </w:r>
      <w:r>
        <w:rPr/>
        <w:t>不适用</w:t>
      </w:r>
    </w:p>
    <w:p>
      <w:pPr>
        <w:pStyle w:val="BodyText"/>
        <w:spacing w:line="240" w:lineRule="auto" w:before="142"/>
        <w:ind w:left="513" w:right="0"/>
        <w:jc w:val="left"/>
      </w:pPr>
      <w:r>
        <w:rPr>
          <w:rFonts w:ascii="Times New Roman" w:hAnsi="Times New Roman" w:cs="Times New Roman" w:eastAsia="Times New Roman" w:hint="default"/>
          <w:color w:val="111F2C"/>
        </w:rPr>
        <w:t>1</w:t>
      </w:r>
      <w:r>
        <w:rPr>
          <w:color w:val="111F2C"/>
        </w:rPr>
        <w:t>、公司于</w:t>
      </w:r>
      <w:r>
        <w:rPr>
          <w:color w:val="111F2C"/>
          <w:spacing w:val="-46"/>
        </w:rPr>
        <w:t> </w:t>
      </w:r>
      <w:r>
        <w:rPr>
          <w:rFonts w:ascii="Times New Roman" w:hAnsi="Times New Roman" w:cs="Times New Roman" w:eastAsia="Times New Roman" w:hint="default"/>
          <w:color w:val="111F2C"/>
        </w:rPr>
        <w:t>2019</w:t>
      </w:r>
      <w:r>
        <w:rPr>
          <w:rFonts w:ascii="Times New Roman" w:hAnsi="Times New Roman" w:cs="Times New Roman" w:eastAsia="Times New Roman" w:hint="default"/>
          <w:color w:val="111F2C"/>
          <w:spacing w:val="-2"/>
        </w:rPr>
        <w:t> </w:t>
      </w:r>
      <w:r>
        <w:rPr>
          <w:color w:val="111F2C"/>
        </w:rPr>
        <w:t>年</w:t>
      </w:r>
      <w:r>
        <w:rPr>
          <w:color w:val="111F2C"/>
          <w:spacing w:val="-46"/>
        </w:rPr>
        <w:t> </w:t>
      </w:r>
      <w:r>
        <w:rPr>
          <w:rFonts w:ascii="Times New Roman" w:hAnsi="Times New Roman" w:cs="Times New Roman" w:eastAsia="Times New Roman" w:hint="default"/>
          <w:color w:val="111F2C"/>
        </w:rPr>
        <w:t>4</w:t>
      </w:r>
      <w:r>
        <w:rPr>
          <w:rFonts w:ascii="Times New Roman" w:hAnsi="Times New Roman" w:cs="Times New Roman" w:eastAsia="Times New Roman" w:hint="default"/>
          <w:color w:val="111F2C"/>
          <w:spacing w:val="-2"/>
        </w:rPr>
        <w:t> </w:t>
      </w:r>
      <w:r>
        <w:rPr>
          <w:color w:val="111F2C"/>
        </w:rPr>
        <w:t>月</w:t>
      </w:r>
      <w:r>
        <w:rPr>
          <w:color w:val="111F2C"/>
          <w:spacing w:val="-46"/>
        </w:rPr>
        <w:t> </w:t>
      </w:r>
      <w:r>
        <w:rPr>
          <w:rFonts w:ascii="Times New Roman" w:hAnsi="Times New Roman" w:cs="Times New Roman" w:eastAsia="Times New Roman" w:hint="default"/>
          <w:color w:val="111F2C"/>
        </w:rPr>
        <w:t>20 </w:t>
      </w:r>
      <w:r>
        <w:rPr>
          <w:color w:val="111F2C"/>
        </w:rPr>
        <w:t>召开的第三届董事会第十八次会议、第三次监事会第十五次会议，审议通过了《关于变更公</w:t>
      </w:r>
      <w:r>
        <w:rPr/>
      </w:r>
    </w:p>
    <w:p>
      <w:pPr>
        <w:spacing w:line="240" w:lineRule="auto" w:before="9"/>
        <w:rPr>
          <w:rFonts w:ascii="宋体" w:hAnsi="宋体" w:cs="宋体" w:eastAsia="宋体" w:hint="default"/>
          <w:sz w:val="16"/>
          <w:szCs w:val="16"/>
        </w:rPr>
      </w:pPr>
    </w:p>
    <w:p>
      <w:pPr>
        <w:pStyle w:val="BodyText"/>
        <w:spacing w:line="240" w:lineRule="auto"/>
        <w:ind w:right="1116"/>
        <w:jc w:val="left"/>
      </w:pPr>
      <w:r>
        <w:rPr>
          <w:color w:val="111F2C"/>
        </w:rPr>
        <w:t>司会计政策的议案</w:t>
      </w:r>
      <w:r>
        <w:rPr>
          <w:color w:val="111F2C"/>
          <w:spacing w:val="-92"/>
        </w:rPr>
        <w:t>》</w:t>
      </w:r>
      <w:r>
        <w:rPr>
          <w:color w:val="111F2C"/>
        </w:rPr>
        <w:t>：根据财</w:t>
      </w:r>
      <w:r>
        <w:rPr>
          <w:color w:val="111F2C"/>
          <w:spacing w:val="2"/>
        </w:rPr>
        <w:t>政</w:t>
      </w:r>
      <w:r>
        <w:rPr>
          <w:color w:val="111F2C"/>
        </w:rPr>
        <w:t>部于</w:t>
      </w:r>
      <w:r>
        <w:rPr>
          <w:color w:val="111F2C"/>
          <w:spacing w:val="-44"/>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spacing w:val="-2"/>
        </w:rPr>
        <w:t>0</w:t>
      </w:r>
      <w:r>
        <w:rPr>
          <w:rFonts w:ascii="Times New Roman" w:hAnsi="Times New Roman" w:cs="Times New Roman" w:eastAsia="Times New Roman" w:hint="default"/>
          <w:color w:val="111F2C"/>
          <w:spacing w:val="1"/>
        </w:rPr>
        <w:t>1</w:t>
      </w:r>
      <w:r>
        <w:rPr>
          <w:rFonts w:ascii="Times New Roman" w:hAnsi="Times New Roman" w:cs="Times New Roman" w:eastAsia="Times New Roman" w:hint="default"/>
          <w:color w:val="111F2C"/>
        </w:rPr>
        <w:t>7  </w:t>
      </w:r>
      <w:r>
        <w:rPr>
          <w:color w:val="111F2C"/>
        </w:rPr>
        <w:t>年发布修订后的</w:t>
      </w:r>
      <w:r>
        <w:rPr>
          <w:color w:val="111F2C"/>
          <w:spacing w:val="-3"/>
        </w:rPr>
        <w:t>《</w:t>
      </w:r>
      <w:r>
        <w:rPr>
          <w:color w:val="111F2C"/>
        </w:rPr>
        <w:t>企业会计准则第</w:t>
      </w:r>
      <w:r>
        <w:rPr>
          <w:color w:val="111F2C"/>
          <w:spacing w:val="1"/>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rPr>
        <w:t>2  </w:t>
      </w:r>
      <w:r>
        <w:rPr>
          <w:color w:val="111F2C"/>
        </w:rPr>
        <w:t>号—金</w:t>
      </w:r>
      <w:r>
        <w:rPr>
          <w:color w:val="111F2C"/>
          <w:spacing w:val="-3"/>
        </w:rPr>
        <w:t>融</w:t>
      </w:r>
      <w:r>
        <w:rPr>
          <w:color w:val="111F2C"/>
        </w:rPr>
        <w:t>工具确认和计量</w:t>
      </w:r>
      <w:r>
        <w:rPr>
          <w:color w:val="111F2C"/>
          <w:spacing w:val="-92"/>
        </w:rPr>
        <w:t>》、</w:t>
      </w:r>
      <w:r>
        <w:rPr>
          <w:color w:val="111F2C"/>
        </w:rPr>
        <w:t>《企业会</w:t>
      </w:r>
      <w:r>
        <w:rPr>
          <w:color w:val="111F2C"/>
          <w:spacing w:val="2"/>
        </w:rPr>
        <w:t>计</w:t>
      </w:r>
      <w:r>
        <w:rPr>
          <w:color w:val="111F2C"/>
        </w:rPr>
        <w:t>准</w:t>
      </w:r>
      <w:r>
        <w:rPr/>
      </w:r>
    </w:p>
    <w:p>
      <w:pPr>
        <w:spacing w:line="240" w:lineRule="auto" w:before="9"/>
        <w:rPr>
          <w:rFonts w:ascii="宋体" w:hAnsi="宋体" w:cs="宋体" w:eastAsia="宋体" w:hint="default"/>
          <w:sz w:val="16"/>
          <w:szCs w:val="16"/>
        </w:rPr>
      </w:pPr>
    </w:p>
    <w:p>
      <w:pPr>
        <w:pStyle w:val="BodyText"/>
        <w:spacing w:line="240" w:lineRule="auto"/>
        <w:ind w:right="0"/>
        <w:jc w:val="left"/>
      </w:pPr>
      <w:r>
        <w:rPr>
          <w:color w:val="111F2C"/>
        </w:rPr>
        <w:t>则第</w:t>
      </w:r>
      <w:r>
        <w:rPr>
          <w:color w:val="111F2C"/>
          <w:spacing w:val="1"/>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rPr>
        <w:t>3  </w:t>
      </w:r>
      <w:r>
        <w:rPr>
          <w:color w:val="111F2C"/>
          <w:spacing w:val="-1"/>
        </w:rPr>
        <w:t>号</w:t>
      </w:r>
      <w:r>
        <w:rPr>
          <w:color w:val="111F2C"/>
        </w:rPr>
        <w:t>—</w:t>
      </w:r>
      <w:r>
        <w:rPr>
          <w:color w:val="111F2C"/>
          <w:spacing w:val="1"/>
        </w:rPr>
        <w:t> </w:t>
      </w:r>
      <w:r>
        <w:rPr>
          <w:color w:val="111F2C"/>
        </w:rPr>
        <w:t>金融资产转移</w:t>
      </w:r>
      <w:r>
        <w:rPr>
          <w:color w:val="111F2C"/>
          <w:spacing w:val="-92"/>
        </w:rPr>
        <w:t>》</w:t>
      </w:r>
      <w:r>
        <w:rPr>
          <w:color w:val="111F2C"/>
          <w:spacing w:val="-113"/>
        </w:rPr>
        <w:t>、</w:t>
      </w:r>
      <w:r>
        <w:rPr>
          <w:color w:val="111F2C"/>
        </w:rPr>
        <w:t>《企业会计准则第</w:t>
      </w:r>
      <w:r>
        <w:rPr>
          <w:color w:val="111F2C"/>
          <w:spacing w:val="-44"/>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rPr>
        <w:t>4</w:t>
      </w:r>
      <w:r>
        <w:rPr>
          <w:rFonts w:ascii="Times New Roman" w:hAnsi="Times New Roman" w:cs="Times New Roman" w:eastAsia="Times New Roman" w:hint="default"/>
          <w:color w:val="111F2C"/>
          <w:spacing w:val="1"/>
        </w:rPr>
        <w:t> </w:t>
      </w:r>
      <w:r>
        <w:rPr>
          <w:color w:val="111F2C"/>
        </w:rPr>
        <w:t>号—套</w:t>
      </w:r>
      <w:r>
        <w:rPr>
          <w:color w:val="111F2C"/>
          <w:spacing w:val="-3"/>
        </w:rPr>
        <w:t>期</w:t>
      </w:r>
      <w:r>
        <w:rPr>
          <w:color w:val="111F2C"/>
        </w:rPr>
        <w:t>会计</w:t>
      </w:r>
      <w:r>
        <w:rPr>
          <w:color w:val="111F2C"/>
          <w:spacing w:val="-22"/>
        </w:rPr>
        <w:t>》及</w:t>
      </w:r>
      <w:r>
        <w:rPr>
          <w:color w:val="111F2C"/>
        </w:rPr>
        <w:t>《企业会计准则第</w:t>
      </w:r>
      <w:r>
        <w:rPr>
          <w:color w:val="111F2C"/>
          <w:spacing w:val="-45"/>
        </w:rPr>
        <w:t> </w:t>
      </w:r>
      <w:r>
        <w:rPr>
          <w:rFonts w:ascii="Times New Roman" w:hAnsi="Times New Roman" w:cs="Times New Roman" w:eastAsia="Times New Roman" w:hint="default"/>
          <w:color w:val="111F2C"/>
          <w:spacing w:val="1"/>
        </w:rPr>
        <w:t>3</w:t>
      </w:r>
      <w:r>
        <w:rPr>
          <w:rFonts w:ascii="Times New Roman" w:hAnsi="Times New Roman" w:cs="Times New Roman" w:eastAsia="Times New Roman" w:hint="default"/>
          <w:color w:val="111F2C"/>
        </w:rPr>
        <w:t>7</w:t>
      </w:r>
      <w:r>
        <w:rPr>
          <w:rFonts w:ascii="Times New Roman" w:hAnsi="Times New Roman" w:cs="Times New Roman" w:eastAsia="Times New Roman" w:hint="default"/>
          <w:color w:val="111F2C"/>
          <w:spacing w:val="-1"/>
        </w:rPr>
        <w:t> </w:t>
      </w:r>
      <w:r>
        <w:rPr>
          <w:color w:val="111F2C"/>
        </w:rPr>
        <w:t>号—金融工具列报</w:t>
      </w:r>
      <w:r>
        <w:rPr>
          <w:color w:val="111F2C"/>
          <w:spacing w:val="-113"/>
        </w:rPr>
        <w:t>》</w:t>
      </w:r>
      <w:r>
        <w:rPr>
          <w:color w:val="111F2C"/>
        </w:rPr>
        <w:t>（上述四项</w:t>
      </w:r>
      <w:r>
        <w:rPr/>
      </w:r>
    </w:p>
    <w:p>
      <w:pPr>
        <w:spacing w:line="240" w:lineRule="auto" w:before="9"/>
        <w:rPr>
          <w:rFonts w:ascii="宋体" w:hAnsi="宋体" w:cs="宋体" w:eastAsia="宋体" w:hint="default"/>
          <w:sz w:val="16"/>
          <w:szCs w:val="16"/>
        </w:rPr>
      </w:pPr>
    </w:p>
    <w:p>
      <w:pPr>
        <w:pStyle w:val="BodyText"/>
        <w:spacing w:line="240" w:lineRule="auto"/>
        <w:ind w:right="0"/>
        <w:jc w:val="left"/>
      </w:pPr>
      <w:r>
        <w:rPr>
          <w:color w:val="111F2C"/>
        </w:rPr>
        <w:t>准则以下简</w:t>
      </w:r>
      <w:r>
        <w:rPr>
          <w:color w:val="111F2C"/>
          <w:spacing w:val="-44"/>
        </w:rPr>
        <w:t>称</w:t>
      </w:r>
      <w:r>
        <w:rPr>
          <w:color w:val="111F2C"/>
        </w:rPr>
        <w:t>“新金融工具准则</w:t>
      </w:r>
      <w:r>
        <w:rPr>
          <w:color w:val="111F2C"/>
          <w:spacing w:val="-92"/>
        </w:rPr>
        <w:t>”</w:t>
      </w:r>
      <w:r>
        <w:rPr>
          <w:color w:val="111F2C"/>
          <w:spacing w:val="-44"/>
        </w:rPr>
        <w:t>）</w:t>
      </w:r>
      <w:r>
        <w:rPr>
          <w:color w:val="111F2C"/>
        </w:rPr>
        <w:t>等文件规定</w:t>
      </w:r>
      <w:r>
        <w:rPr>
          <w:color w:val="111F2C"/>
          <w:spacing w:val="-44"/>
        </w:rPr>
        <w:t>，</w:t>
      </w:r>
      <w:r>
        <w:rPr>
          <w:color w:val="111F2C"/>
        </w:rPr>
        <w:t>对公司原</w:t>
      </w:r>
      <w:r>
        <w:rPr>
          <w:color w:val="111F2C"/>
          <w:spacing w:val="2"/>
        </w:rPr>
        <w:t>采</w:t>
      </w:r>
      <w:r>
        <w:rPr>
          <w:color w:val="111F2C"/>
        </w:rPr>
        <w:t>用的相关会计政策进行调整</w:t>
      </w:r>
      <w:r>
        <w:rPr>
          <w:color w:val="111F2C"/>
          <w:spacing w:val="-44"/>
        </w:rPr>
        <w:t>。</w:t>
      </w:r>
      <w:r>
        <w:rPr>
          <w:color w:val="111F2C"/>
        </w:rPr>
        <w:t>公司自</w:t>
      </w:r>
      <w:r>
        <w:rPr>
          <w:color w:val="111F2C"/>
          <w:spacing w:val="2"/>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spacing w:val="-2"/>
        </w:rPr>
        <w:t>0</w:t>
      </w:r>
      <w:r>
        <w:rPr>
          <w:rFonts w:ascii="Times New Roman" w:hAnsi="Times New Roman" w:cs="Times New Roman" w:eastAsia="Times New Roman" w:hint="default"/>
          <w:color w:val="111F2C"/>
          <w:spacing w:val="1"/>
        </w:rPr>
        <w:t>1</w:t>
      </w:r>
      <w:r>
        <w:rPr>
          <w:rFonts w:ascii="Times New Roman" w:hAnsi="Times New Roman" w:cs="Times New Roman" w:eastAsia="Times New Roman" w:hint="default"/>
          <w:color w:val="111F2C"/>
        </w:rPr>
        <w:t>9  </w:t>
      </w:r>
      <w:r>
        <w:rPr>
          <w:color w:val="111F2C"/>
        </w:rPr>
        <w:t>年第一季度报</w:t>
      </w:r>
      <w:r>
        <w:rPr>
          <w:color w:val="111F2C"/>
          <w:spacing w:val="-3"/>
        </w:rPr>
        <w:t>告</w:t>
      </w:r>
      <w:r>
        <w:rPr>
          <w:color w:val="111F2C"/>
        </w:rPr>
        <w:t>起，</w:t>
      </w:r>
      <w:r>
        <w:rPr/>
      </w:r>
    </w:p>
    <w:p>
      <w:pPr>
        <w:spacing w:line="240" w:lineRule="auto" w:before="9"/>
        <w:rPr>
          <w:rFonts w:ascii="宋体" w:hAnsi="宋体" w:cs="宋体" w:eastAsia="宋体" w:hint="default"/>
          <w:sz w:val="16"/>
          <w:szCs w:val="16"/>
        </w:rPr>
      </w:pPr>
    </w:p>
    <w:p>
      <w:pPr>
        <w:pStyle w:val="BodyText"/>
        <w:spacing w:line="451" w:lineRule="auto"/>
        <w:ind w:right="1123"/>
        <w:jc w:val="left"/>
      </w:pPr>
      <w:r>
        <w:rPr>
          <w:color w:val="111F2C"/>
        </w:rPr>
        <w:t>按新金融工具准则要求进行会计报表披露，对可比期间信息不予调整，首日执行新准则与现行准则的差异追溯调整</w:t>
      </w:r>
      <w:r>
        <w:rPr>
          <w:color w:val="111F2C"/>
          <w:spacing w:val="-43"/>
        </w:rPr>
        <w:t> </w:t>
      </w:r>
      <w:r>
        <w:rPr>
          <w:rFonts w:ascii="Times New Roman" w:hAnsi="Times New Roman" w:cs="Times New Roman" w:eastAsia="Times New Roman" w:hint="default"/>
          <w:color w:val="111F2C"/>
        </w:rPr>
        <w:t>2019</w:t>
      </w:r>
      <w:r>
        <w:rPr>
          <w:rFonts w:ascii="Times New Roman" w:hAnsi="Times New Roman" w:cs="Times New Roman" w:eastAsia="Times New Roman" w:hint="default"/>
          <w:color w:val="111F2C"/>
          <w:spacing w:val="-1"/>
        </w:rPr>
        <w:t> </w:t>
      </w:r>
      <w:r>
        <w:rPr>
          <w:color w:val="111F2C"/>
        </w:rPr>
        <w:t>年 年初未分配利润或其他综合收益。</w:t>
      </w:r>
      <w:r>
        <w:rPr/>
      </w:r>
    </w:p>
    <w:p>
      <w:pPr>
        <w:pStyle w:val="BodyText"/>
        <w:spacing w:line="240" w:lineRule="auto" w:before="74"/>
        <w:ind w:left="513" w:right="0"/>
        <w:jc w:val="left"/>
      </w:pPr>
      <w:r>
        <w:rPr>
          <w:rFonts w:ascii="Times New Roman" w:hAnsi="Times New Roman" w:cs="Times New Roman" w:eastAsia="Times New Roman" w:hint="default"/>
          <w:color w:val="111F2C"/>
          <w:spacing w:val="1"/>
        </w:rPr>
        <w:t>2</w:t>
      </w:r>
      <w:r>
        <w:rPr>
          <w:color w:val="111F2C"/>
          <w:spacing w:val="-17"/>
        </w:rPr>
        <w:t>、</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spacing w:val="-2"/>
        </w:rPr>
        <w:t>0</w:t>
      </w:r>
      <w:r>
        <w:rPr>
          <w:rFonts w:ascii="Times New Roman" w:hAnsi="Times New Roman" w:cs="Times New Roman" w:eastAsia="Times New Roman" w:hint="default"/>
          <w:color w:val="111F2C"/>
          <w:spacing w:val="1"/>
        </w:rPr>
        <w:t>1</w:t>
      </w:r>
      <w:r>
        <w:rPr>
          <w:rFonts w:ascii="Times New Roman" w:hAnsi="Times New Roman" w:cs="Times New Roman" w:eastAsia="Times New Roman" w:hint="default"/>
          <w:color w:val="111F2C"/>
        </w:rPr>
        <w:t>9  </w:t>
      </w:r>
      <w:r>
        <w:rPr>
          <w:color w:val="111F2C"/>
        </w:rPr>
        <w:t>年</w:t>
      </w:r>
      <w:r>
        <w:rPr>
          <w:color w:val="111F2C"/>
          <w:spacing w:val="-2"/>
        </w:rPr>
        <w:t> </w:t>
      </w:r>
      <w:r>
        <w:rPr>
          <w:rFonts w:ascii="Times New Roman" w:hAnsi="Times New Roman" w:cs="Times New Roman" w:eastAsia="Times New Roman" w:hint="default"/>
          <w:color w:val="111F2C"/>
        </w:rPr>
        <w:t>8 </w:t>
      </w:r>
      <w:r>
        <w:rPr>
          <w:rFonts w:ascii="Times New Roman" w:hAnsi="Times New Roman" w:cs="Times New Roman" w:eastAsia="Times New Roman" w:hint="default"/>
          <w:color w:val="111F2C"/>
          <w:spacing w:val="2"/>
        </w:rPr>
        <w:t> </w:t>
      </w:r>
      <w:r>
        <w:rPr>
          <w:color w:val="111F2C"/>
        </w:rPr>
        <w:t>月</w:t>
      </w:r>
      <w:r>
        <w:rPr>
          <w:color w:val="111F2C"/>
          <w:spacing w:val="-2"/>
        </w:rPr>
        <w:t> </w:t>
      </w:r>
      <w:r>
        <w:rPr>
          <w:rFonts w:ascii="Times New Roman" w:hAnsi="Times New Roman" w:cs="Times New Roman" w:eastAsia="Times New Roman" w:hint="default"/>
          <w:color w:val="111F2C"/>
          <w:spacing w:val="-2"/>
        </w:rPr>
        <w:t>2</w:t>
      </w:r>
      <w:r>
        <w:rPr>
          <w:rFonts w:ascii="Times New Roman" w:hAnsi="Times New Roman" w:cs="Times New Roman" w:eastAsia="Times New Roman" w:hint="default"/>
          <w:color w:val="111F2C"/>
        </w:rPr>
        <w:t>3 </w:t>
      </w:r>
      <w:r>
        <w:rPr>
          <w:rFonts w:ascii="Times New Roman" w:hAnsi="Times New Roman" w:cs="Times New Roman" w:eastAsia="Times New Roman" w:hint="default"/>
          <w:color w:val="111F2C"/>
          <w:spacing w:val="2"/>
        </w:rPr>
        <w:t> </w:t>
      </w:r>
      <w:r>
        <w:rPr>
          <w:color w:val="111F2C"/>
        </w:rPr>
        <w:t>日</w:t>
      </w:r>
      <w:r>
        <w:rPr>
          <w:color w:val="111F2C"/>
          <w:spacing w:val="-17"/>
        </w:rPr>
        <w:t>，</w:t>
      </w:r>
      <w:r>
        <w:rPr>
          <w:color w:val="111F2C"/>
        </w:rPr>
        <w:t>公</w:t>
      </w:r>
      <w:r>
        <w:rPr>
          <w:color w:val="111F2C"/>
          <w:spacing w:val="-3"/>
        </w:rPr>
        <w:t>司</w:t>
      </w:r>
      <w:r>
        <w:rPr>
          <w:color w:val="111F2C"/>
        </w:rPr>
        <w:t>召开第三届董事会第十九次会议</w:t>
      </w:r>
      <w:r>
        <w:rPr>
          <w:color w:val="111F2C"/>
          <w:spacing w:val="-17"/>
        </w:rPr>
        <w:t>，</w:t>
      </w:r>
      <w:r>
        <w:rPr>
          <w:color w:val="111F2C"/>
        </w:rPr>
        <w:t>审议通过</w:t>
      </w:r>
      <w:r>
        <w:rPr>
          <w:color w:val="111F2C"/>
          <w:spacing w:val="-17"/>
        </w:rPr>
        <w:t>了</w:t>
      </w:r>
      <w:r>
        <w:rPr>
          <w:color w:val="111F2C"/>
        </w:rPr>
        <w:t>《关于会计政策变更的议案</w:t>
      </w:r>
      <w:r>
        <w:rPr>
          <w:color w:val="111F2C"/>
          <w:spacing w:val="-92"/>
        </w:rPr>
        <w:t>》</w:t>
      </w:r>
      <w:r>
        <w:rPr>
          <w:color w:val="111F2C"/>
          <w:spacing w:val="-17"/>
        </w:rPr>
        <w:t>：</w:t>
      </w:r>
      <w:r>
        <w:rPr>
          <w:color w:val="111F2C"/>
        </w:rPr>
        <w:t>根据财政部</w:t>
      </w:r>
      <w:r>
        <w:rPr/>
      </w:r>
    </w:p>
    <w:p>
      <w:pPr>
        <w:spacing w:line="240" w:lineRule="auto" w:before="9"/>
        <w:rPr>
          <w:rFonts w:ascii="宋体" w:hAnsi="宋体" w:cs="宋体" w:eastAsia="宋体" w:hint="default"/>
          <w:sz w:val="16"/>
          <w:szCs w:val="16"/>
        </w:rPr>
      </w:pPr>
    </w:p>
    <w:p>
      <w:pPr>
        <w:pStyle w:val="BodyText"/>
        <w:spacing w:line="240" w:lineRule="auto"/>
        <w:ind w:right="0"/>
        <w:jc w:val="left"/>
      </w:pPr>
      <w:r>
        <w:rPr>
          <w:color w:val="111F2C"/>
        </w:rPr>
        <w:t>于</w:t>
      </w:r>
      <w:r>
        <w:rPr>
          <w:color w:val="111F2C"/>
          <w:spacing w:val="-44"/>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spacing w:val="-2"/>
        </w:rPr>
        <w:t>0</w:t>
      </w:r>
      <w:r>
        <w:rPr>
          <w:rFonts w:ascii="Times New Roman" w:hAnsi="Times New Roman" w:cs="Times New Roman" w:eastAsia="Times New Roman" w:hint="default"/>
          <w:color w:val="111F2C"/>
          <w:spacing w:val="1"/>
        </w:rPr>
        <w:t>1</w:t>
      </w:r>
      <w:r>
        <w:rPr>
          <w:rFonts w:ascii="Times New Roman" w:hAnsi="Times New Roman" w:cs="Times New Roman" w:eastAsia="Times New Roman" w:hint="default"/>
          <w:color w:val="111F2C"/>
        </w:rPr>
        <w:t>9  </w:t>
      </w:r>
      <w:r>
        <w:rPr>
          <w:color w:val="111F2C"/>
        </w:rPr>
        <w:t>年</w:t>
      </w:r>
      <w:r>
        <w:rPr>
          <w:color w:val="111F2C"/>
          <w:spacing w:val="-2"/>
        </w:rPr>
        <w:t> </w:t>
      </w:r>
      <w:r>
        <w:rPr>
          <w:rFonts w:ascii="Times New Roman" w:hAnsi="Times New Roman" w:cs="Times New Roman" w:eastAsia="Times New Roman" w:hint="default"/>
          <w:color w:val="111F2C"/>
        </w:rPr>
        <w:t>4 </w:t>
      </w:r>
      <w:r>
        <w:rPr>
          <w:rFonts w:ascii="Times New Roman" w:hAnsi="Times New Roman" w:cs="Times New Roman" w:eastAsia="Times New Roman" w:hint="default"/>
          <w:color w:val="111F2C"/>
          <w:spacing w:val="2"/>
        </w:rPr>
        <w:t> </w:t>
      </w:r>
      <w:r>
        <w:rPr>
          <w:color w:val="111F2C"/>
        </w:rPr>
        <w:t>月发布</w:t>
      </w:r>
      <w:r>
        <w:rPr>
          <w:color w:val="111F2C"/>
          <w:spacing w:val="-22"/>
        </w:rPr>
        <w:t>的</w:t>
      </w:r>
      <w:r>
        <w:rPr>
          <w:color w:val="111F2C"/>
        </w:rPr>
        <w:t>《关</w:t>
      </w:r>
      <w:r>
        <w:rPr>
          <w:color w:val="111F2C"/>
          <w:spacing w:val="-3"/>
        </w:rPr>
        <w:t>于</w:t>
      </w:r>
      <w:r>
        <w:rPr>
          <w:color w:val="111F2C"/>
          <w:spacing w:val="-1"/>
        </w:rPr>
        <w:t>修</w:t>
      </w:r>
      <w:r>
        <w:rPr>
          <w:color w:val="111F2C"/>
        </w:rPr>
        <w:t>订印发</w:t>
      </w:r>
      <w:r>
        <w:rPr>
          <w:color w:val="111F2C"/>
          <w:spacing w:val="1"/>
        </w:rPr>
        <w:t> </w:t>
      </w:r>
      <w:r>
        <w:rPr>
          <w:rFonts w:ascii="Times New Roman" w:hAnsi="Times New Roman" w:cs="Times New Roman" w:eastAsia="Times New Roman" w:hint="default"/>
          <w:color w:val="111F2C"/>
          <w:spacing w:val="1"/>
        </w:rPr>
        <w:t>2</w:t>
      </w:r>
      <w:r>
        <w:rPr>
          <w:rFonts w:ascii="Times New Roman" w:hAnsi="Times New Roman" w:cs="Times New Roman" w:eastAsia="Times New Roman" w:hint="default"/>
          <w:color w:val="111F2C"/>
          <w:spacing w:val="-2"/>
        </w:rPr>
        <w:t>0</w:t>
      </w:r>
      <w:r>
        <w:rPr>
          <w:rFonts w:ascii="Times New Roman" w:hAnsi="Times New Roman" w:cs="Times New Roman" w:eastAsia="Times New Roman" w:hint="default"/>
          <w:color w:val="111F2C"/>
          <w:spacing w:val="1"/>
        </w:rPr>
        <w:t>1</w:t>
      </w:r>
      <w:r>
        <w:rPr>
          <w:rFonts w:ascii="Times New Roman" w:hAnsi="Times New Roman" w:cs="Times New Roman" w:eastAsia="Times New Roman" w:hint="default"/>
          <w:color w:val="111F2C"/>
        </w:rPr>
        <w:t>9  </w:t>
      </w:r>
      <w:r>
        <w:rPr>
          <w:color w:val="111F2C"/>
        </w:rPr>
        <w:t>年度一般企</w:t>
      </w:r>
      <w:r>
        <w:rPr>
          <w:color w:val="111F2C"/>
          <w:spacing w:val="-3"/>
        </w:rPr>
        <w:t>业</w:t>
      </w:r>
      <w:r>
        <w:rPr>
          <w:color w:val="111F2C"/>
        </w:rPr>
        <w:t>财务报表格式的通知</w:t>
      </w:r>
      <w:r>
        <w:rPr>
          <w:color w:val="111F2C"/>
          <w:spacing w:val="-113"/>
        </w:rPr>
        <w:t>》</w:t>
      </w:r>
      <w:r>
        <w:rPr>
          <w:color w:val="111F2C"/>
        </w:rPr>
        <w:t>（财会</w:t>
      </w:r>
      <w:r>
        <w:rPr>
          <w:rFonts w:ascii="Times New Roman" w:hAnsi="Times New Roman" w:cs="Times New Roman" w:eastAsia="Times New Roman" w:hint="default"/>
          <w:color w:val="111F2C"/>
          <w:spacing w:val="2"/>
        </w:rPr>
        <w:t>[</w:t>
      </w:r>
      <w:r>
        <w:rPr>
          <w:rFonts w:ascii="Times New Roman" w:hAnsi="Times New Roman" w:cs="Times New Roman" w:eastAsia="Times New Roman" w:hint="default"/>
          <w:color w:val="111F2C"/>
          <w:spacing w:val="-2"/>
        </w:rPr>
        <w:t>2</w:t>
      </w:r>
      <w:r>
        <w:rPr>
          <w:rFonts w:ascii="Times New Roman" w:hAnsi="Times New Roman" w:cs="Times New Roman" w:eastAsia="Times New Roman" w:hint="default"/>
          <w:color w:val="111F2C"/>
          <w:spacing w:val="1"/>
        </w:rPr>
        <w:t>01</w:t>
      </w:r>
      <w:r>
        <w:rPr>
          <w:rFonts w:ascii="Times New Roman" w:hAnsi="Times New Roman" w:cs="Times New Roman" w:eastAsia="Times New Roman" w:hint="default"/>
          <w:color w:val="111F2C"/>
          <w:spacing w:val="-2"/>
        </w:rPr>
        <w:t>9</w:t>
      </w:r>
      <w:r>
        <w:rPr>
          <w:rFonts w:ascii="Times New Roman" w:hAnsi="Times New Roman" w:cs="Times New Roman" w:eastAsia="Times New Roman" w:hint="default"/>
          <w:color w:val="111F2C"/>
        </w:rPr>
        <w:t>]6  </w:t>
      </w:r>
      <w:r>
        <w:rPr>
          <w:color w:val="111F2C"/>
        </w:rPr>
        <w:t>号</w:t>
      </w:r>
      <w:r>
        <w:rPr>
          <w:color w:val="111F2C"/>
          <w:spacing w:val="-92"/>
        </w:rPr>
        <w:t>）</w:t>
      </w:r>
      <w:r>
        <w:rPr>
          <w:color w:val="111F2C"/>
          <w:spacing w:val="-22"/>
        </w:rPr>
        <w:t>，</w:t>
      </w:r>
      <w:r>
        <w:rPr>
          <w:color w:val="111F2C"/>
        </w:rPr>
        <w:t>公司按照此文件中的</w:t>
      </w:r>
      <w:r>
        <w:rPr/>
      </w:r>
    </w:p>
    <w:p>
      <w:pPr>
        <w:spacing w:line="240" w:lineRule="auto" w:before="9"/>
        <w:rPr>
          <w:rFonts w:ascii="宋体" w:hAnsi="宋体" w:cs="宋体" w:eastAsia="宋体" w:hint="default"/>
          <w:sz w:val="16"/>
          <w:szCs w:val="16"/>
        </w:rPr>
      </w:pPr>
    </w:p>
    <w:p>
      <w:pPr>
        <w:pStyle w:val="BodyText"/>
        <w:spacing w:line="451" w:lineRule="auto"/>
        <w:ind w:right="1116"/>
        <w:jc w:val="left"/>
      </w:pPr>
      <w:r>
        <w:rPr>
          <w:color w:val="111F2C"/>
        </w:rPr>
        <w:t>相关要求编制 </w:t>
      </w:r>
      <w:r>
        <w:rPr>
          <w:rFonts w:ascii="Times New Roman" w:hAnsi="Times New Roman" w:cs="Times New Roman" w:eastAsia="Times New Roman" w:hint="default"/>
          <w:color w:val="111F2C"/>
        </w:rPr>
        <w:t>2019</w:t>
      </w:r>
      <w:r>
        <w:rPr>
          <w:rFonts w:ascii="Times New Roman" w:hAnsi="Times New Roman" w:cs="Times New Roman" w:eastAsia="Times New Roman" w:hint="default"/>
          <w:color w:val="111F2C"/>
          <w:spacing w:val="5"/>
        </w:rPr>
        <w:t> </w:t>
      </w:r>
      <w:r>
        <w:rPr>
          <w:color w:val="111F2C"/>
          <w:spacing w:val="-2"/>
        </w:rPr>
        <w:t>年度中期财务报表和年度财务报表及以后期间的财务报表。本次公司会计政策变更仅对财务报表格式和</w:t>
      </w:r>
      <w:r>
        <w:rPr>
          <w:color w:val="111F2C"/>
        </w:rPr>
        <w:t> 部分科目列示产生影响，不会对当期和变更之前公司的财务状况、经营成果和现金流量产生影响。</w:t>
      </w:r>
      <w:r>
        <w:rPr/>
      </w:r>
    </w:p>
    <w:p>
      <w:pPr>
        <w:pStyle w:val="BodyText"/>
        <w:spacing w:line="240" w:lineRule="auto" w:before="74"/>
        <w:ind w:left="0" w:right="1076"/>
        <w:jc w:val="center"/>
      </w:pPr>
      <w:r>
        <w:rPr>
          <w:color w:val="111F2C"/>
        </w:rPr>
        <w:t>因上述会计政策变更对财务报告的影响程度和范围具体详见第十二节</w:t>
      </w:r>
      <w:r>
        <w:rPr>
          <w:color w:val="111F2C"/>
          <w:spacing w:val="2"/>
        </w:rPr>
        <w:t> </w:t>
      </w:r>
      <w:r>
        <w:rPr>
          <w:color w:val="111F2C"/>
        </w:rPr>
        <w:t>五</w:t>
      </w:r>
      <w:r>
        <w:rPr>
          <w:color w:val="111F2C"/>
          <w:spacing w:val="-92"/>
        </w:rPr>
        <w:t>、</w:t>
      </w:r>
      <w:r>
        <w:rPr>
          <w:color w:val="111F2C"/>
        </w:rPr>
        <w:t>“</w:t>
      </w:r>
      <w:r>
        <w:rPr>
          <w:rFonts w:ascii="Times New Roman" w:hAnsi="Times New Roman" w:cs="Times New Roman" w:eastAsia="Times New Roman" w:hint="default"/>
          <w:color w:val="111F2C"/>
          <w:spacing w:val="1"/>
        </w:rPr>
        <w:t>28</w:t>
      </w:r>
      <w:r>
        <w:rPr>
          <w:color w:val="111F2C"/>
        </w:rPr>
        <w:t>、重要会</w:t>
      </w:r>
      <w:r>
        <w:rPr>
          <w:color w:val="111F2C"/>
          <w:spacing w:val="-3"/>
        </w:rPr>
        <w:t>计</w:t>
      </w:r>
      <w:r>
        <w:rPr>
          <w:color w:val="111F2C"/>
        </w:rPr>
        <w:t>政策及会计估计变更”</w:t>
      </w:r>
      <w:r>
        <w:rPr/>
      </w:r>
    </w:p>
    <w:p>
      <w:pPr>
        <w:pStyle w:val="Heading2"/>
        <w:spacing w:line="240" w:lineRule="auto" w:before="93"/>
        <w:ind w:right="1116"/>
        <w:jc w:val="left"/>
        <w:rPr>
          <w:b w:val="0"/>
          <w:bCs w:val="0"/>
        </w:rPr>
      </w:pPr>
      <w:bookmarkStart w:name="七、与上年度财务报告相比，合并报表范围发生变化的情况说明" w:id="67"/>
      <w:bookmarkEnd w:id="67"/>
      <w:r>
        <w:rPr>
          <w:b w:val="0"/>
          <w:bCs w:val="0"/>
        </w:rPr>
      </w:r>
      <w:r>
        <w:rPr/>
        <w:t>七、与上年度财务报告相比，合并报表范围发生变化的情况说明</w:t>
      </w:r>
      <w:r>
        <w:rPr>
          <w:b w:val="0"/>
          <w:bCs w:val="0"/>
        </w:rPr>
      </w:r>
    </w:p>
    <w:p>
      <w:pPr>
        <w:pStyle w:val="BodyText"/>
        <w:spacing w:line="451" w:lineRule="auto" w:before="123"/>
        <w:ind w:right="71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公司报告期无合并报表范围发生变化的情况。</w:t>
      </w:r>
    </w:p>
    <w:p>
      <w:pPr>
        <w:pStyle w:val="Heading2"/>
        <w:spacing w:line="263" w:lineRule="exact"/>
        <w:ind w:right="1116"/>
        <w:jc w:val="left"/>
        <w:rPr>
          <w:b w:val="0"/>
          <w:bCs w:val="0"/>
        </w:rPr>
      </w:pPr>
      <w:bookmarkStart w:name="八、聘任、解聘会计师事务所情况" w:id="68"/>
      <w:bookmarkEnd w:id="68"/>
      <w:r>
        <w:rPr>
          <w:b w:val="0"/>
          <w:bCs w:val="0"/>
        </w:rPr>
      </w:r>
      <w:r>
        <w:rPr/>
        <w:t>八、聘任、解聘会计师事务所情况</w:t>
      </w:r>
      <w:r>
        <w:rPr>
          <w:b w:val="0"/>
          <w:bCs w:val="0"/>
        </w:rPr>
      </w:r>
    </w:p>
    <w:p>
      <w:pPr>
        <w:pStyle w:val="BodyText"/>
        <w:spacing w:line="240" w:lineRule="auto" w:before="47"/>
        <w:ind w:right="1116"/>
        <w:jc w:val="left"/>
      </w:pPr>
      <w:r>
        <w:rPr/>
        <w:t>现聘任的会计事务所</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777"/>
        <w:gridCol w:w="3793"/>
      </w:tblGrid>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60</w:t>
            </w:r>
          </w:p>
        </w:tc>
      </w:tr>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w:t>
            </w:r>
          </w:p>
        </w:tc>
      </w:tr>
      <w:tr>
        <w:trPr>
          <w:trHeight w:val="323"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徐冬冬、宣宜辰</w:t>
            </w:r>
          </w:p>
        </w:tc>
      </w:tr>
      <w:tr>
        <w:trPr>
          <w:trHeight w:val="323"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徐冬冬（</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、宣宜辰（</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r>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headerReference w:type="default" r:id="rId21"/>
          <w:footerReference w:type="default" r:id="rId22"/>
          <w:pgSz w:w="11910" w:h="16840"/>
          <w:pgMar w:header="877" w:footer="980" w:top="1080" w:bottom="1160" w:left="980" w:right="0"/>
          <w:pgNumType w:start="35"/>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5777"/>
        <w:gridCol w:w="3793"/>
      </w:tblGrid>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5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8"/>
        <w:ind w:right="0"/>
        <w:jc w:val="both"/>
      </w:pPr>
      <w:r>
        <w:rPr/>
        <w:t>是否改聘会计师事务所</w:t>
      </w:r>
    </w:p>
    <w:p>
      <w:pPr>
        <w:spacing w:line="240" w:lineRule="auto" w:before="10"/>
        <w:rPr>
          <w:rFonts w:ascii="宋体" w:hAnsi="宋体" w:cs="宋体" w:eastAsia="宋体" w:hint="default"/>
          <w:sz w:val="17"/>
          <w:szCs w:val="17"/>
        </w:rPr>
      </w:pPr>
    </w:p>
    <w:p>
      <w:pPr>
        <w:pStyle w:val="BodyText"/>
        <w:spacing w:line="451" w:lineRule="auto"/>
        <w:ind w:right="6254"/>
        <w:jc w:val="left"/>
      </w:pPr>
      <w:r>
        <w:rPr>
          <w:rFonts w:ascii="Times New Roman" w:hAnsi="Times New Roman" w:cs="Times New Roman" w:eastAsia="Times New Roman" w:hint="default"/>
        </w:rPr>
        <w:t>□ </w:t>
      </w:r>
      <w:r>
        <w:rPr/>
        <w:t>是 √</w:t>
      </w:r>
      <w:r>
        <w:rPr>
          <w:spacing w:val="2"/>
        </w:rPr>
        <w:t> </w:t>
      </w:r>
      <w:r>
        <w:rPr/>
        <w:t>否</w:t>
      </w:r>
      <w:r>
        <w:rPr>
          <w:w w:val="99"/>
        </w:rPr>
        <w:t> </w:t>
      </w:r>
      <w:r>
        <w:rPr/>
        <w:t>聘请内部控制审计会计师事务所、财务顾问或保荐人情况</w:t>
      </w:r>
    </w:p>
    <w:p>
      <w:pPr>
        <w:pStyle w:val="BodyText"/>
        <w:spacing w:line="240" w:lineRule="auto" w:before="74"/>
        <w:ind w:right="0"/>
        <w:jc w:val="both"/>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93"/>
        <w:ind w:right="0"/>
        <w:jc w:val="both"/>
        <w:rPr>
          <w:b w:val="0"/>
          <w:bCs w:val="0"/>
        </w:rPr>
      </w:pPr>
      <w:bookmarkStart w:name="九、年度报告披露后面临暂停上市和终止上市情况" w:id="69"/>
      <w:bookmarkEnd w:id="69"/>
      <w:r>
        <w:rPr>
          <w:b w:val="0"/>
          <w:bCs w:val="0"/>
        </w:rPr>
      </w:r>
      <w:r>
        <w:rPr/>
        <w:t>九、年度报告披露后面临暂停上市和终止上市情况</w:t>
      </w:r>
      <w:r>
        <w:rPr>
          <w:b w:val="0"/>
          <w:bCs w:val="0"/>
        </w:rPr>
      </w:r>
    </w:p>
    <w:p>
      <w:pPr>
        <w:pStyle w:val="BodyText"/>
        <w:spacing w:line="240" w:lineRule="auto" w:before="44"/>
        <w:ind w:right="0"/>
        <w:jc w:val="both"/>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0"/>
        <w:jc w:val="both"/>
        <w:rPr>
          <w:b w:val="0"/>
          <w:bCs w:val="0"/>
        </w:rPr>
      </w:pPr>
      <w:bookmarkStart w:name="十、破产重整相关事项" w:id="70"/>
      <w:bookmarkEnd w:id="70"/>
      <w:r>
        <w:rPr>
          <w:b w:val="0"/>
          <w:bCs w:val="0"/>
        </w:rPr>
      </w:r>
      <w:r>
        <w:rPr/>
        <w:t>十、破产重整相关事项</w:t>
      </w:r>
      <w:r>
        <w:rPr>
          <w:b w:val="0"/>
          <w:bCs w:val="0"/>
        </w:rPr>
      </w:r>
    </w:p>
    <w:p>
      <w:pPr>
        <w:pStyle w:val="BodyText"/>
        <w:spacing w:line="451" w:lineRule="auto" w:before="126"/>
        <w:ind w:right="76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公司报告期未发生破产重整相关事项。</w:t>
      </w:r>
    </w:p>
    <w:p>
      <w:pPr>
        <w:pStyle w:val="Heading2"/>
        <w:spacing w:line="263" w:lineRule="exact"/>
        <w:ind w:right="0"/>
        <w:jc w:val="both"/>
        <w:rPr>
          <w:b w:val="0"/>
          <w:bCs w:val="0"/>
        </w:rPr>
      </w:pPr>
      <w:bookmarkStart w:name="十一、重大诉讼、仲裁事项" w:id="71"/>
      <w:bookmarkEnd w:id="71"/>
      <w:r>
        <w:rPr>
          <w:b w:val="0"/>
          <w:bCs w:val="0"/>
        </w:rPr>
      </w:r>
      <w:r>
        <w:rPr/>
        <w:t>十一、重大诉讼、仲裁事项</w:t>
      </w:r>
      <w:r>
        <w:rPr>
          <w:b w:val="0"/>
          <w:bCs w:val="0"/>
        </w:rPr>
      </w:r>
    </w:p>
    <w:p>
      <w:pPr>
        <w:pStyle w:val="BodyText"/>
        <w:spacing w:line="451" w:lineRule="auto" w:before="123"/>
        <w:ind w:right="7874"/>
        <w:jc w:val="left"/>
      </w:pPr>
      <w:r>
        <w:rPr>
          <w:rFonts w:ascii="Times New Roman" w:hAnsi="Times New Roman" w:cs="Times New Roman" w:eastAsia="Times New Roman" w:hint="default"/>
        </w:rPr>
        <w:t>□ </w:t>
      </w:r>
      <w:r>
        <w:rPr/>
        <w:t>适用 √</w:t>
      </w:r>
      <w:r>
        <w:rPr>
          <w:spacing w:val="2"/>
        </w:rPr>
        <w:t> </w:t>
      </w:r>
      <w:r>
        <w:rPr/>
        <w:t>不适用</w:t>
      </w:r>
      <w:r>
        <w:rPr>
          <w:w w:val="99"/>
        </w:rPr>
        <w:t> </w:t>
      </w:r>
      <w:r>
        <w:rPr/>
        <w:t>本年度公司无重大诉讼、仲裁事项。</w:t>
      </w:r>
    </w:p>
    <w:p>
      <w:pPr>
        <w:pStyle w:val="Heading2"/>
        <w:spacing w:line="263" w:lineRule="exact"/>
        <w:ind w:right="0"/>
        <w:jc w:val="both"/>
        <w:rPr>
          <w:b w:val="0"/>
          <w:bCs w:val="0"/>
        </w:rPr>
      </w:pPr>
      <w:bookmarkStart w:name="十二、处罚及整改情况" w:id="72"/>
      <w:bookmarkEnd w:id="72"/>
      <w:r>
        <w:rPr>
          <w:b w:val="0"/>
          <w:bCs w:val="0"/>
        </w:rPr>
      </w:r>
      <w:r>
        <w:rPr/>
        <w:t>十二、处罚及整改情况</w:t>
      </w:r>
      <w:r>
        <w:rPr>
          <w:b w:val="0"/>
          <w:bCs w:val="0"/>
        </w:rPr>
      </w:r>
    </w:p>
    <w:p>
      <w:pPr>
        <w:pStyle w:val="BodyText"/>
        <w:spacing w:line="451" w:lineRule="auto" w:before="125"/>
        <w:ind w:right="787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公司报告期不存在处罚及整改情况。</w:t>
      </w:r>
    </w:p>
    <w:p>
      <w:pPr>
        <w:pStyle w:val="Heading2"/>
        <w:spacing w:line="263" w:lineRule="exact"/>
        <w:ind w:right="0"/>
        <w:jc w:val="both"/>
        <w:rPr>
          <w:b w:val="0"/>
          <w:bCs w:val="0"/>
        </w:rPr>
      </w:pPr>
      <w:bookmarkStart w:name="十三、公司及其控股股东、实际控制人的诚信状况" w:id="73"/>
      <w:bookmarkEnd w:id="73"/>
      <w:r>
        <w:rPr>
          <w:b w:val="0"/>
          <w:bCs w:val="0"/>
        </w:rPr>
      </w:r>
      <w:r>
        <w:rPr/>
        <w:t>十三、公司及其控股股东、实际控制人的诚信状况</w:t>
      </w:r>
      <w:r>
        <w:rPr>
          <w:b w:val="0"/>
          <w:bCs w:val="0"/>
        </w:rPr>
      </w:r>
    </w:p>
    <w:p>
      <w:pPr>
        <w:pStyle w:val="BodyText"/>
        <w:spacing w:line="451" w:lineRule="auto" w:before="123"/>
        <w:ind w:right="1214"/>
        <w:jc w:val="left"/>
      </w:pPr>
      <w:r>
        <w:rPr>
          <w:rFonts w:ascii="Times New Roman" w:hAnsi="Times New Roman" w:cs="Times New Roman" w:eastAsia="Times New Roman" w:hint="default"/>
        </w:rPr>
        <w:t>√ </w:t>
      </w:r>
      <w:r>
        <w:rPr/>
        <w:t>适用 □</w:t>
      </w:r>
      <w:r>
        <w:rPr>
          <w:spacing w:val="3"/>
        </w:rPr>
        <w:t> </w:t>
      </w:r>
      <w:r>
        <w:rPr/>
        <w:t>不适用</w:t>
      </w:r>
      <w:r>
        <w:rPr/>
        <w:t> 公司控股股东、实际控制人邵健伟先生诚实守信，不存在未履行法院生效判决、所负数额较大的债务到期未清偿等情况。</w:t>
      </w:r>
    </w:p>
    <w:p>
      <w:pPr>
        <w:pStyle w:val="Heading2"/>
        <w:spacing w:line="263" w:lineRule="exact"/>
        <w:ind w:right="0"/>
        <w:jc w:val="both"/>
        <w:rPr>
          <w:b w:val="0"/>
          <w:bCs w:val="0"/>
        </w:rPr>
      </w:pPr>
      <w:bookmarkStart w:name="十四、公司股权激励计划、员工持股计划或其他员工激励措施的实施情况" w:id="74"/>
      <w:bookmarkEnd w:id="74"/>
      <w:r>
        <w:rPr>
          <w:b w:val="0"/>
          <w:bCs w:val="0"/>
        </w:rPr>
      </w:r>
      <w:r>
        <w:rPr/>
        <w:t>十四、公司股权激励计划、员工持股计划或其他员工激励措施的实施情况</w:t>
      </w:r>
      <w:r>
        <w:rPr>
          <w:b w:val="0"/>
          <w:bCs w:val="0"/>
        </w:rPr>
      </w:r>
    </w:p>
    <w:p>
      <w:pPr>
        <w:pStyle w:val="BodyText"/>
        <w:spacing w:line="451" w:lineRule="auto" w:before="125"/>
        <w:ind w:left="513" w:right="1123"/>
        <w:jc w:val="left"/>
      </w:pPr>
      <w:r>
        <w:rPr>
          <w:rFonts w:ascii="Times New Roman" w:hAnsi="Times New Roman" w:cs="Times New Roman" w:eastAsia="Times New Roman" w:hint="default"/>
        </w:rPr>
        <w:t>√ </w:t>
      </w:r>
      <w:r>
        <w:rPr/>
        <w:t>适用 □</w:t>
      </w:r>
      <w:r>
        <w:rPr>
          <w:spacing w:val="2"/>
        </w:rPr>
        <w:t> </w:t>
      </w:r>
      <w:r>
        <w:rPr/>
        <w:t>不适用</w:t>
      </w:r>
      <w:r>
        <w:rPr/>
        <w:t>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日召开第三届董事会第十三次会议审议通过了《关于调整公司</w:t>
      </w:r>
      <w:r>
        <w:rPr>
          <w:rFonts w:ascii="Times New Roman" w:hAnsi="Times New Roman" w:cs="Times New Roman" w:eastAsia="Times New Roman" w:hint="default"/>
        </w:rPr>
        <w:t>2017</w:t>
      </w:r>
      <w:r>
        <w:rPr/>
        <w:t>年限制性股票激励计划相关事项</w:t>
      </w:r>
    </w:p>
    <w:p>
      <w:pPr>
        <w:pStyle w:val="BodyText"/>
        <w:spacing w:line="451" w:lineRule="auto" w:before="43"/>
        <w:ind w:right="1131"/>
        <w:jc w:val="both"/>
      </w:pPr>
      <w:r>
        <w:rPr>
          <w:spacing w:val="-5"/>
        </w:rPr>
        <w:t>的议案》、《关于公司</w:t>
      </w:r>
      <w:r>
        <w:rPr>
          <w:rFonts w:ascii="Times New Roman" w:hAnsi="Times New Roman" w:cs="Times New Roman" w:eastAsia="Times New Roman" w:hint="default"/>
          <w:spacing w:val="-5"/>
        </w:rPr>
        <w:t>2017</w:t>
      </w:r>
      <w:r>
        <w:rPr>
          <w:spacing w:val="-5"/>
        </w:rPr>
        <w:t>年限制性股票激励计划首次授予第一个限售期可解除限售的议案》，详见巨潮资讯网《第三届董事</w:t>
      </w:r>
      <w:r>
        <w:rPr>
          <w:spacing w:val="-77"/>
        </w:rPr>
        <w:t> </w:t>
      </w:r>
      <w:r>
        <w:rPr>
          <w:spacing w:val="-77"/>
        </w:rPr>
      </w:r>
      <w:r>
        <w:rPr>
          <w:spacing w:val="-10"/>
        </w:rPr>
        <w:t>会第十三次会议决议公告》（公告编号：</w:t>
      </w:r>
      <w:r>
        <w:rPr>
          <w:rFonts w:ascii="Times New Roman" w:hAnsi="Times New Roman" w:cs="Times New Roman" w:eastAsia="Times New Roman" w:hint="default"/>
          <w:spacing w:val="-10"/>
        </w:rPr>
        <w:t>2018-033</w:t>
      </w:r>
      <w:r>
        <w:rPr>
          <w:spacing w:val="-10"/>
        </w:rPr>
        <w:t>）、《关于调整公司</w:t>
      </w:r>
      <w:r>
        <w:rPr>
          <w:rFonts w:ascii="Times New Roman" w:hAnsi="Times New Roman" w:cs="Times New Roman" w:eastAsia="Times New Roman" w:hint="default"/>
          <w:spacing w:val="-10"/>
        </w:rPr>
        <w:t>2017</w:t>
      </w:r>
      <w:r>
        <w:rPr>
          <w:spacing w:val="-10"/>
        </w:rPr>
        <w:t>年限制性股票激励计划相关事项的公告》（公告编号：</w:t>
      </w:r>
      <w:r>
        <w:rPr>
          <w:spacing w:val="-60"/>
        </w:rPr>
        <w:t> </w:t>
      </w:r>
      <w:r>
        <w:rPr>
          <w:spacing w:val="-60"/>
        </w:rPr>
      </w:r>
      <w:r>
        <w:rPr>
          <w:rFonts w:ascii="Times New Roman" w:hAnsi="Times New Roman" w:cs="Times New Roman" w:eastAsia="Times New Roman" w:hint="default"/>
          <w:spacing w:val="-6"/>
        </w:rPr>
        <w:t>2018-035</w:t>
      </w:r>
      <w:r>
        <w:rPr>
          <w:spacing w:val="-6"/>
        </w:rPr>
        <w:t>）、《关于公司</w:t>
      </w:r>
      <w:r>
        <w:rPr>
          <w:rFonts w:ascii="Times New Roman" w:hAnsi="Times New Roman" w:cs="Times New Roman" w:eastAsia="Times New Roman" w:hint="default"/>
          <w:spacing w:val="-6"/>
        </w:rPr>
        <w:t>2017</w:t>
      </w:r>
      <w:r>
        <w:rPr>
          <w:spacing w:val="-6"/>
        </w:rPr>
        <w:t>年限制性股票激励计划首次授予第一个限售期可解除限售的公告》（公告编号：</w:t>
      </w:r>
      <w:r>
        <w:rPr>
          <w:rFonts w:ascii="Times New Roman" w:hAnsi="Times New Roman" w:cs="Times New Roman" w:eastAsia="Times New Roman" w:hint="default"/>
          <w:spacing w:val="-6"/>
        </w:rPr>
        <w:t>2018-036</w:t>
      </w:r>
      <w:r>
        <w:rPr>
          <w:spacing w:val="-6"/>
        </w:rPr>
        <w:t>）。经调</w:t>
      </w:r>
      <w:r>
        <w:rPr>
          <w:spacing w:val="-86"/>
        </w:rPr>
        <w:t> </w:t>
      </w:r>
      <w:r>
        <w:rPr>
          <w:spacing w:val="-86"/>
        </w:rPr>
      </w:r>
      <w:r>
        <w:rPr/>
        <w:t>整，首次授予限制性股票数量为</w:t>
      </w:r>
      <w:r>
        <w:rPr>
          <w:rFonts w:ascii="Times New Roman" w:hAnsi="Times New Roman" w:cs="Times New Roman" w:eastAsia="Times New Roman" w:hint="default"/>
        </w:rPr>
        <w:t>5,093,280</w:t>
      </w:r>
      <w:r>
        <w:rPr/>
        <w:t>股，预留授予限制性股票数量为</w:t>
      </w:r>
      <w:r>
        <w:rPr>
          <w:rFonts w:ascii="Times New Roman" w:hAnsi="Times New Roman" w:cs="Times New Roman" w:eastAsia="Times New Roman" w:hint="default"/>
        </w:rPr>
        <w:t>972,000</w:t>
      </w:r>
      <w:r>
        <w:rPr/>
        <w:t>股，预留限制性股票失效。</w:t>
      </w:r>
    </w:p>
    <w:p>
      <w:pPr>
        <w:pStyle w:val="BodyText"/>
        <w:spacing w:line="451" w:lineRule="auto" w:before="43"/>
        <w:ind w:right="1128" w:firstLine="360"/>
        <w:jc w:val="both"/>
      </w:pPr>
      <w:r>
        <w:rPr/>
        <w:t>公司</w:t>
      </w:r>
      <w:r>
        <w:rPr>
          <w:rFonts w:ascii="Times New Roman" w:hAnsi="Times New Roman" w:cs="Times New Roman" w:eastAsia="Times New Roman" w:hint="default"/>
        </w:rPr>
        <w:t>2017</w:t>
      </w:r>
      <w:r>
        <w:rPr/>
        <w:t>年限制性股票激励计划首次授予的第一个限售期解除限售股份的上市流通日为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日，本次解除限售 </w:t>
      </w:r>
      <w:r>
        <w:rPr>
          <w:spacing w:val="-2"/>
        </w:rPr>
        <w:t>的股数为</w:t>
      </w:r>
      <w:r>
        <w:rPr>
          <w:rFonts w:ascii="Times New Roman" w:hAnsi="Times New Roman" w:cs="Times New Roman" w:eastAsia="Times New Roman" w:hint="default"/>
          <w:spacing w:val="-2"/>
        </w:rPr>
        <w:t>1,015,416</w:t>
      </w:r>
      <w:r>
        <w:rPr>
          <w:spacing w:val="-2"/>
        </w:rPr>
        <w:t>股，申请解除限售的激励对象为</w:t>
      </w:r>
      <w:r>
        <w:rPr>
          <w:rFonts w:ascii="Times New Roman" w:hAnsi="Times New Roman" w:cs="Times New Roman" w:eastAsia="Times New Roman" w:hint="default"/>
          <w:spacing w:val="-2"/>
        </w:rPr>
        <w:t>87</w:t>
      </w:r>
      <w:r>
        <w:rPr>
          <w:spacing w:val="-2"/>
        </w:rPr>
        <w:t>名首次授予激励对象。详见巨潮资讯网《关于</w:t>
      </w:r>
      <w:r>
        <w:rPr>
          <w:rFonts w:ascii="Times New Roman" w:hAnsi="Times New Roman" w:cs="Times New Roman" w:eastAsia="Times New Roman" w:hint="default"/>
          <w:spacing w:val="-2"/>
        </w:rPr>
        <w:t>2017</w:t>
      </w:r>
      <w:r>
        <w:rPr>
          <w:spacing w:val="-2"/>
        </w:rPr>
        <w:t>年限制性股票激励计</w:t>
      </w:r>
      <w:r>
        <w:rPr>
          <w:spacing w:val="-53"/>
        </w:rPr>
        <w:t> </w:t>
      </w:r>
      <w:r>
        <w:rPr>
          <w:spacing w:val="-53"/>
        </w:rPr>
      </w:r>
      <w:r>
        <w:rPr>
          <w:spacing w:val="-8"/>
        </w:rPr>
        <w:t>划第一期解锁股份上市流通的提示性公告》（公告编号：</w:t>
      </w:r>
      <w:r>
        <w:rPr>
          <w:rFonts w:ascii="Times New Roman" w:hAnsi="Times New Roman" w:cs="Times New Roman" w:eastAsia="Times New Roman" w:hint="default"/>
          <w:spacing w:val="-8"/>
        </w:rPr>
        <w:t>2018-041</w:t>
      </w:r>
      <w:r>
        <w:rPr>
          <w:spacing w:val="-8"/>
        </w:rPr>
        <w:t>）。</w:t>
      </w:r>
      <w:r>
        <w:rPr/>
      </w:r>
    </w:p>
    <w:p>
      <w:pPr>
        <w:pStyle w:val="BodyText"/>
        <w:spacing w:line="451" w:lineRule="auto" w:before="43"/>
        <w:ind w:right="1139"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日召开第三届董事会第十八次会议，审议通过了《关于回购注销部分已授予未解锁限制性股票的议 </w:t>
      </w:r>
      <w:r>
        <w:rPr>
          <w:spacing w:val="-2"/>
        </w:rPr>
        <w:t>案》，同意公司对</w:t>
      </w:r>
      <w:r>
        <w:rPr>
          <w:rFonts w:ascii="Times New Roman" w:hAnsi="Times New Roman" w:cs="Times New Roman" w:eastAsia="Times New Roman" w:hint="default"/>
          <w:spacing w:val="-2"/>
        </w:rPr>
        <w:t>2017</w:t>
      </w:r>
      <w:r>
        <w:rPr>
          <w:spacing w:val="-2"/>
        </w:rPr>
        <w:t>年限制性股票激励计划合计</w:t>
      </w:r>
      <w:r>
        <w:rPr>
          <w:rFonts w:ascii="Times New Roman" w:hAnsi="Times New Roman" w:cs="Times New Roman" w:eastAsia="Times New Roman" w:hint="default"/>
          <w:spacing w:val="-2"/>
        </w:rPr>
        <w:t>221.8536</w:t>
      </w:r>
      <w:r>
        <w:rPr>
          <w:spacing w:val="-2"/>
        </w:rPr>
        <w:t>万股限制性股票进行回购注销，回购价格为</w:t>
      </w:r>
      <w:r>
        <w:rPr>
          <w:rFonts w:ascii="Times New Roman" w:hAnsi="Times New Roman" w:cs="Times New Roman" w:eastAsia="Times New Roman" w:hint="default"/>
          <w:spacing w:val="-2"/>
        </w:rPr>
        <w:t>9.61</w:t>
      </w:r>
      <w:r>
        <w:rPr>
          <w:spacing w:val="-2"/>
        </w:rPr>
        <w:t>元</w:t>
      </w:r>
      <w:r>
        <w:rPr>
          <w:rFonts w:ascii="Times New Roman" w:hAnsi="Times New Roman" w:cs="Times New Roman" w:eastAsia="Times New Roman" w:hint="default"/>
          <w:spacing w:val="-2"/>
        </w:rPr>
        <w:t>/</w:t>
      </w:r>
      <w:r>
        <w:rPr>
          <w:spacing w:val="-2"/>
        </w:rPr>
        <w:t>股，具体内容</w:t>
      </w:r>
    </w:p>
    <w:p>
      <w:pPr>
        <w:spacing w:after="0" w:line="451" w:lineRule="auto"/>
        <w:jc w:val="both"/>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51" w:lineRule="auto" w:before="44"/>
        <w:ind w:right="1167"/>
        <w:jc w:val="left"/>
      </w:pPr>
      <w:r>
        <w:rPr/>
        <w:t>详见巨潮资讯网《第三届董事会第十八次会议决议公告</w:t>
      </w:r>
      <w:r>
        <w:rPr>
          <w:spacing w:val="-92"/>
        </w:rPr>
        <w:t>》</w:t>
      </w:r>
      <w:r>
        <w:rPr/>
        <w:t>（</w:t>
      </w:r>
      <w:r>
        <w:rPr>
          <w:spacing w:val="2"/>
        </w:rPr>
        <w:t>公</w:t>
      </w:r>
      <w:r>
        <w:rPr/>
        <w:t>告编号</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14</w:t>
      </w:r>
      <w:r>
        <w:rPr>
          <w:spacing w:val="-92"/>
        </w:rPr>
        <w:t>）、</w:t>
      </w:r>
      <w:r>
        <w:rPr/>
        <w:t>《关于回购注销部分已授予未解锁限制性</w:t>
      </w:r>
      <w:r>
        <w:rPr/>
        <w:t> 股票的公告</w:t>
      </w:r>
      <w:r>
        <w:rPr>
          <w:spacing w:val="-92"/>
        </w:rPr>
        <w:t>》</w:t>
      </w:r>
      <w:r>
        <w:rPr/>
        <w:t>（公告编号：</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spacing w:val="-92"/>
        </w:rPr>
        <w:t>）、</w:t>
      </w:r>
      <w:r>
        <w:rPr/>
        <w:t>《关于回购注销部分</w:t>
      </w:r>
      <w:r>
        <w:rPr>
          <w:spacing w:val="2"/>
        </w:rPr>
        <w:t>限</w:t>
      </w:r>
      <w:r>
        <w:rPr/>
        <w:t>制性股票减资暨通知债权人的公告</w:t>
      </w:r>
      <w:r>
        <w:rPr>
          <w:spacing w:val="-92"/>
        </w:rPr>
        <w:t>》</w:t>
      </w:r>
      <w:r>
        <w:rPr/>
        <w:t>（公告编号</w:t>
      </w:r>
      <w:r>
        <w:rPr>
          <w:spacing w:val="1"/>
        </w:rPr>
        <w:t>：</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spacing w:val="-92"/>
        </w:rPr>
        <w:t>）。</w:t>
      </w:r>
      <w:r>
        <w:rPr/>
      </w:r>
    </w:p>
    <w:p>
      <w:pPr>
        <w:pStyle w:val="BodyText"/>
        <w:spacing w:line="451" w:lineRule="auto" w:before="43"/>
        <w:ind w:right="1130" w:firstLine="360"/>
        <w:jc w:val="both"/>
      </w:pPr>
      <w:r>
        <w:rPr/>
        <w:t>公司</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spacing w:val="-3"/>
        </w:rPr>
        <w:t>月</w:t>
      </w:r>
      <w:r>
        <w:rPr>
          <w:rFonts w:ascii="Times New Roman" w:hAnsi="Times New Roman" w:cs="Times New Roman" w:eastAsia="Times New Roman" w:hint="default"/>
          <w:spacing w:val="1"/>
        </w:rPr>
        <w:t>15</w:t>
      </w:r>
      <w:r>
        <w:rPr/>
        <w:t>日召</w:t>
      </w:r>
      <w:r>
        <w:rPr>
          <w:spacing w:val="-3"/>
        </w:rPr>
        <w:t>开</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8</w:t>
      </w:r>
      <w:r>
        <w:rPr/>
        <w:t>年年度股东大会</w:t>
      </w:r>
      <w:r>
        <w:rPr>
          <w:spacing w:val="-27"/>
        </w:rPr>
        <w:t>，</w:t>
      </w:r>
      <w:r>
        <w:rPr/>
        <w:t>审议通过</w:t>
      </w:r>
      <w:r>
        <w:rPr>
          <w:spacing w:val="-27"/>
        </w:rPr>
        <w:t>了</w:t>
      </w:r>
      <w:r>
        <w:rPr/>
        <w:t>《关于回购注销部分已授予未解锁限制性股票的议案</w:t>
      </w:r>
      <w:r>
        <w:rPr>
          <w:spacing w:val="-92"/>
        </w:rPr>
        <w:t>》</w:t>
      </w:r>
      <w:r>
        <w:rPr>
          <w:spacing w:val="-27"/>
        </w:rPr>
        <w:t>，</w:t>
      </w:r>
      <w:r>
        <w:rPr/>
        <w:t>具</w:t>
      </w:r>
      <w:r>
        <w:rPr/>
        <w:t> 体内容详见巨潮资讯网《</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年年度股东大会决议公告</w:t>
      </w:r>
      <w:r>
        <w:rPr>
          <w:spacing w:val="-92"/>
        </w:rPr>
        <w:t>》</w:t>
      </w:r>
      <w:r>
        <w:rPr/>
        <w:t>（</w:t>
      </w:r>
      <w:r>
        <w:rPr>
          <w:spacing w:val="2"/>
        </w:rPr>
        <w:t>公</w:t>
      </w:r>
      <w:r>
        <w:rPr/>
        <w:t>告编号</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26</w:t>
      </w:r>
      <w:r>
        <w:rPr>
          <w:spacing w:val="-92"/>
        </w:rPr>
        <w:t>）。</w:t>
      </w:r>
      <w:r>
        <w:rPr/>
      </w:r>
    </w:p>
    <w:p>
      <w:pPr>
        <w:pStyle w:val="BodyText"/>
        <w:spacing w:line="451" w:lineRule="auto" w:before="43"/>
        <w:ind w:right="1131" w:firstLine="36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日，上述限制性股票已在中国证券登记结算有限责任公司深圳分公司完成回购注销手续，公司股份总 </w:t>
      </w:r>
      <w:r>
        <w:rPr>
          <w:spacing w:val="-1"/>
        </w:rPr>
        <w:t>数减少</w:t>
      </w:r>
      <w:r>
        <w:rPr>
          <w:rFonts w:ascii="Times New Roman" w:hAnsi="Times New Roman" w:cs="Times New Roman" w:eastAsia="Times New Roman" w:hint="default"/>
          <w:spacing w:val="-1"/>
        </w:rPr>
        <w:t>221.8536</w:t>
      </w:r>
      <w:r>
        <w:rPr>
          <w:spacing w:val="-1"/>
        </w:rPr>
        <w:t>万股，公司总股本由</w:t>
      </w:r>
      <w:r>
        <w:rPr>
          <w:rFonts w:ascii="Times New Roman" w:hAnsi="Times New Roman" w:cs="Times New Roman" w:eastAsia="Times New Roman" w:hint="default"/>
          <w:spacing w:val="-1"/>
        </w:rPr>
        <w:t>277,253,280</w:t>
      </w:r>
      <w:r>
        <w:rPr>
          <w:spacing w:val="-1"/>
        </w:rPr>
        <w:t>股减少至</w:t>
      </w:r>
      <w:r>
        <w:rPr>
          <w:rFonts w:ascii="Times New Roman" w:hAnsi="Times New Roman" w:cs="Times New Roman" w:eastAsia="Times New Roman" w:hint="default"/>
          <w:spacing w:val="-1"/>
        </w:rPr>
        <w:t>275,034,744</w:t>
      </w:r>
      <w:r>
        <w:rPr>
          <w:spacing w:val="-1"/>
        </w:rPr>
        <w:t>股，具体内容详见巨潮资讯网《关于部分已授予未解锁</w:t>
      </w:r>
      <w:r>
        <w:rPr>
          <w:spacing w:val="-73"/>
        </w:rPr>
        <w:t> </w:t>
      </w:r>
      <w:r>
        <w:rPr>
          <w:spacing w:val="-73"/>
        </w:rPr>
      </w:r>
      <w:r>
        <w:rPr>
          <w:spacing w:val="-9"/>
        </w:rPr>
        <w:t>限制性股票回购注销完成的公告》（公告编号：</w:t>
      </w:r>
      <w:r>
        <w:rPr>
          <w:rFonts w:ascii="Times New Roman" w:hAnsi="Times New Roman" w:cs="Times New Roman" w:eastAsia="Times New Roman" w:hint="default"/>
          <w:spacing w:val="-9"/>
        </w:rPr>
        <w:t>2019-028</w:t>
      </w:r>
      <w:r>
        <w:rPr>
          <w:spacing w:val="-9"/>
        </w:rPr>
        <w:t>）。</w:t>
      </w:r>
      <w:r>
        <w:rPr/>
      </w:r>
    </w:p>
    <w:p>
      <w:pPr>
        <w:pStyle w:val="BodyText"/>
        <w:spacing w:line="451" w:lineRule="auto" w:before="43"/>
        <w:ind w:right="1131" w:firstLine="360"/>
        <w:jc w:val="both"/>
      </w:pPr>
      <w:r>
        <w:rPr>
          <w:rFonts w:ascii="Times New Roman" w:hAnsi="Times New Roman" w:cs="Times New Roman" w:eastAsia="Times New Roman" w:hint="default"/>
          <w:spacing w:val="-7"/>
        </w:rPr>
        <w:t>2020</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27</w:t>
      </w:r>
      <w:r>
        <w:rPr>
          <w:spacing w:val="-7"/>
        </w:rPr>
        <w:t>日，公司召开第四届董事会第三次会议，审议通过了《关于回购注销剩余已授予未解锁限制性股票的议案》，</w:t>
      </w:r>
      <w:r>
        <w:rPr/>
        <w:t> </w:t>
      </w:r>
      <w:r>
        <w:rPr>
          <w:spacing w:val="-2"/>
        </w:rPr>
        <w:t>同意公司对</w:t>
      </w:r>
      <w:r>
        <w:rPr>
          <w:rFonts w:ascii="Times New Roman" w:hAnsi="Times New Roman" w:cs="Times New Roman" w:eastAsia="Times New Roman" w:hint="default"/>
          <w:spacing w:val="-2"/>
        </w:rPr>
        <w:t>2017</w:t>
      </w:r>
      <w:r>
        <w:rPr>
          <w:spacing w:val="-2"/>
        </w:rPr>
        <w:t>年限制性股票激励计划合计</w:t>
      </w:r>
      <w:r>
        <w:rPr>
          <w:rFonts w:ascii="Times New Roman" w:hAnsi="Times New Roman" w:cs="Times New Roman" w:eastAsia="Times New Roman" w:hint="default"/>
          <w:spacing w:val="-2"/>
        </w:rPr>
        <w:t>1,859,328</w:t>
      </w:r>
      <w:r>
        <w:rPr>
          <w:spacing w:val="-2"/>
        </w:rPr>
        <w:t>股限制性股票进行回购注销，回购价格</w:t>
      </w:r>
      <w:r>
        <w:rPr>
          <w:rFonts w:ascii="Times New Roman" w:hAnsi="Times New Roman" w:cs="Times New Roman" w:eastAsia="Times New Roman" w:hint="default"/>
          <w:spacing w:val="-2"/>
        </w:rPr>
        <w:t>9.45</w:t>
      </w:r>
      <w:r>
        <w:rPr>
          <w:spacing w:val="-2"/>
        </w:rPr>
        <w:t>元</w:t>
      </w:r>
      <w:r>
        <w:rPr>
          <w:rFonts w:ascii="Times New Roman" w:hAnsi="Times New Roman" w:cs="Times New Roman" w:eastAsia="Times New Roman" w:hint="default"/>
          <w:spacing w:val="-2"/>
        </w:rPr>
        <w:t>/</w:t>
      </w:r>
      <w:r>
        <w:rPr>
          <w:spacing w:val="-2"/>
        </w:rPr>
        <w:t>股，具体内容详见巨潮资</w:t>
      </w:r>
      <w:r>
        <w:rPr>
          <w:spacing w:val="-57"/>
        </w:rPr>
        <w:t> </w:t>
      </w:r>
      <w:r>
        <w:rPr>
          <w:spacing w:val="-57"/>
        </w:rPr>
      </w:r>
      <w:r>
        <w:rPr>
          <w:spacing w:val="-5"/>
        </w:rPr>
        <w:t>讯网《第四届董事会第三次会议决议公告》（公告编号：</w:t>
      </w:r>
      <w:r>
        <w:rPr>
          <w:rFonts w:ascii="Times New Roman" w:hAnsi="Times New Roman" w:cs="Times New Roman" w:eastAsia="Times New Roman" w:hint="default"/>
          <w:spacing w:val="-5"/>
        </w:rPr>
        <w:t>2020-010</w:t>
      </w:r>
      <w:r>
        <w:rPr>
          <w:spacing w:val="-5"/>
        </w:rPr>
        <w:t>）、《关于回购注销剩余已授予未解锁限制性股票的公告》</w:t>
      </w:r>
    </w:p>
    <w:p>
      <w:pPr>
        <w:pStyle w:val="BodyText"/>
        <w:spacing w:line="451" w:lineRule="auto" w:before="43"/>
        <w:ind w:right="1844"/>
        <w:jc w:val="left"/>
      </w:pPr>
      <w:r>
        <w:rPr>
          <w:spacing w:val="-8"/>
        </w:rPr>
        <w:t>（公告编号：</w:t>
      </w:r>
      <w:r>
        <w:rPr>
          <w:rFonts w:ascii="Times New Roman" w:hAnsi="Times New Roman" w:cs="Times New Roman" w:eastAsia="Times New Roman" w:hint="default"/>
          <w:spacing w:val="-8"/>
        </w:rPr>
        <w:t>2020-018</w:t>
      </w:r>
      <w:r>
        <w:rPr>
          <w:spacing w:val="-8"/>
        </w:rPr>
        <w:t>）、《关于回购注销剩余限制性股票减资暨通知债权人的公告》（公告编号：</w:t>
      </w:r>
      <w:r>
        <w:rPr>
          <w:rFonts w:ascii="Times New Roman" w:hAnsi="Times New Roman" w:cs="Times New Roman" w:eastAsia="Times New Roman" w:hint="default"/>
          <w:spacing w:val="-8"/>
        </w:rPr>
        <w:t>2020-019</w:t>
      </w:r>
      <w:r>
        <w:rPr>
          <w:spacing w:val="-8"/>
        </w:rPr>
        <w:t>）。</w:t>
      </w:r>
      <w:r>
        <w:rPr>
          <w:spacing w:val="-80"/>
        </w:rPr>
        <w:t> </w:t>
      </w: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BodyText"/>
        <w:spacing w:line="451" w:lineRule="auto" w:before="43"/>
        <w:ind w:right="1131" w:firstLine="360"/>
        <w:jc w:val="both"/>
      </w:pPr>
      <w:r>
        <w:rPr>
          <w:spacing w:val="-2"/>
        </w:rPr>
        <w:t>公司报告期内计提的股权激励费用为</w:t>
      </w:r>
      <w:r>
        <w:rPr>
          <w:rFonts w:ascii="Times New Roman" w:hAnsi="Times New Roman" w:cs="Times New Roman" w:eastAsia="Times New Roman" w:hint="default"/>
          <w:spacing w:val="-2"/>
        </w:rPr>
        <w:t>-5,858,660.60</w:t>
      </w:r>
      <w:r>
        <w:rPr>
          <w:spacing w:val="-2"/>
        </w:rPr>
        <w:t>元，占公司当期净利润的</w:t>
      </w:r>
      <w:r>
        <w:rPr>
          <w:rFonts w:ascii="Times New Roman" w:hAnsi="Times New Roman" w:cs="Times New Roman" w:eastAsia="Times New Roman" w:hint="default"/>
          <w:spacing w:val="-2"/>
        </w:rPr>
        <w:t>-12.33%</w:t>
      </w:r>
      <w:r>
        <w:rPr>
          <w:spacing w:val="-2"/>
        </w:rPr>
        <w:t>，其中核心技术人员的股权激励费用</w:t>
      </w:r>
      <w:r>
        <w:rPr/>
        <w:t> 占当期股权激励费用的比例为</w:t>
      </w:r>
      <w:r>
        <w:rPr>
          <w:rFonts w:ascii="Times New Roman" w:hAnsi="Times New Roman" w:cs="Times New Roman" w:eastAsia="Times New Roman" w:hint="default"/>
        </w:rPr>
        <w:t>37.5%</w:t>
      </w:r>
      <w:r>
        <w:rPr/>
        <w:t>。</w:t>
      </w:r>
    </w:p>
    <w:p>
      <w:pPr>
        <w:pStyle w:val="Heading2"/>
        <w:spacing w:line="232" w:lineRule="exact"/>
        <w:ind w:right="1116"/>
        <w:jc w:val="left"/>
        <w:rPr>
          <w:b w:val="0"/>
          <w:bCs w:val="0"/>
        </w:rPr>
      </w:pPr>
      <w:bookmarkStart w:name="十五、重大关联交易" w:id="75"/>
      <w:bookmarkEnd w:id="75"/>
      <w:r>
        <w:rPr>
          <w:b w:val="0"/>
          <w:bCs w:val="0"/>
        </w:rPr>
      </w:r>
      <w:r>
        <w:rPr/>
        <w:t>十五、重大关联交易</w:t>
      </w:r>
      <w:r>
        <w:rPr>
          <w:b w:val="0"/>
          <w:bCs w:val="0"/>
        </w:rPr>
      </w:r>
    </w:p>
    <w:p>
      <w:pPr>
        <w:pStyle w:val="Heading3"/>
        <w:spacing w:line="240" w:lineRule="auto" w:before="25"/>
        <w:ind w:right="1116"/>
        <w:jc w:val="left"/>
        <w:rPr>
          <w:b w:val="0"/>
          <w:bCs w:val="0"/>
        </w:rPr>
      </w:pPr>
      <w:bookmarkStart w:name="1、与日常经营相关的关联交易" w:id="76"/>
      <w:bookmarkEnd w:id="76"/>
      <w:r>
        <w:rPr>
          <w:b w:val="0"/>
          <w:bCs w:val="0"/>
        </w:rPr>
      </w:r>
      <w:r>
        <w:rPr>
          <w:rFonts w:ascii="Times New Roman" w:hAnsi="Times New Roman" w:cs="Times New Roman" w:eastAsia="Times New Roman" w:hint="default"/>
        </w:rPr>
        <w:t>1</w:t>
      </w:r>
      <w:r>
        <w:rPr/>
        <w:t>、与日常经营相关的关联交易</w:t>
      </w:r>
      <w:r>
        <w:rPr>
          <w:b w:val="0"/>
          <w:bCs w:val="0"/>
        </w:rPr>
      </w:r>
    </w:p>
    <w:p>
      <w:pPr>
        <w:pStyle w:val="BodyText"/>
        <w:spacing w:line="451" w:lineRule="auto" w:before="121"/>
        <w:ind w:right="67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公司报告期未发生与日常经营相关的关联交易。</w:t>
      </w:r>
    </w:p>
    <w:p>
      <w:pPr>
        <w:pStyle w:val="Heading3"/>
        <w:spacing w:line="265" w:lineRule="exact"/>
        <w:ind w:right="1116"/>
        <w:jc w:val="left"/>
        <w:rPr>
          <w:b w:val="0"/>
          <w:bCs w:val="0"/>
        </w:rPr>
      </w:pPr>
      <w:bookmarkStart w:name="2、资产或股权收购、出售发生的关联交易" w:id="77"/>
      <w:bookmarkEnd w:id="77"/>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pStyle w:val="BodyText"/>
        <w:spacing w:line="451" w:lineRule="auto" w:before="123"/>
        <w:ind w:right="643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公司报告期未发生资产或股权收购、出售的关联交易。</w:t>
      </w:r>
    </w:p>
    <w:p>
      <w:pPr>
        <w:pStyle w:val="Heading3"/>
        <w:spacing w:line="265" w:lineRule="exact"/>
        <w:ind w:right="1116"/>
        <w:jc w:val="left"/>
        <w:rPr>
          <w:b w:val="0"/>
          <w:bCs w:val="0"/>
        </w:rPr>
      </w:pPr>
      <w:bookmarkStart w:name="3、共同对外投资的关联交易" w:id="78"/>
      <w:bookmarkEnd w:id="78"/>
      <w:r>
        <w:rPr>
          <w:b w:val="0"/>
          <w:bCs w:val="0"/>
        </w:rPr>
      </w:r>
      <w:r>
        <w:rPr>
          <w:rFonts w:ascii="Times New Roman" w:hAnsi="Times New Roman" w:cs="Times New Roman" w:eastAsia="Times New Roman" w:hint="default"/>
        </w:rPr>
        <w:t>3</w:t>
      </w:r>
      <w:r>
        <w:rPr/>
        <w:t>、共同对外投资的关联交易</w:t>
      </w:r>
      <w:r>
        <w:rPr>
          <w:b w:val="0"/>
          <w:bCs w:val="0"/>
        </w:rPr>
      </w:r>
    </w:p>
    <w:p>
      <w:pPr>
        <w:pStyle w:val="BodyText"/>
        <w:spacing w:line="451" w:lineRule="auto" w:before="121"/>
        <w:ind w:right="71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公司报告期未发生共同对外投资的关联交易。</w:t>
      </w:r>
    </w:p>
    <w:p>
      <w:pPr>
        <w:pStyle w:val="Heading3"/>
        <w:spacing w:line="265" w:lineRule="exact"/>
        <w:ind w:right="1116"/>
        <w:jc w:val="left"/>
        <w:rPr>
          <w:b w:val="0"/>
          <w:bCs w:val="0"/>
        </w:rPr>
      </w:pPr>
      <w:bookmarkStart w:name="4、关联债权债务往来" w:id="79"/>
      <w:bookmarkEnd w:id="79"/>
      <w:r>
        <w:rPr>
          <w:b w:val="0"/>
          <w:bCs w:val="0"/>
        </w:rPr>
      </w:r>
      <w:r>
        <w:rPr>
          <w:rFonts w:ascii="Times New Roman" w:hAnsi="Times New Roman" w:cs="Times New Roman" w:eastAsia="Times New Roman" w:hint="default"/>
        </w:rPr>
        <w:t>4</w:t>
      </w:r>
      <w:r>
        <w:rPr/>
        <w:t>、关联债权债务往来</w:t>
      </w:r>
      <w:r>
        <w:rPr>
          <w:b w:val="0"/>
          <w:bCs w:val="0"/>
        </w:rPr>
      </w:r>
    </w:p>
    <w:p>
      <w:pPr>
        <w:pStyle w:val="BodyText"/>
        <w:spacing w:line="451" w:lineRule="auto" w:before="124"/>
        <w:ind w:right="76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公司报告期不存在关联债权债务往来。</w:t>
      </w:r>
    </w:p>
    <w:p>
      <w:pPr>
        <w:pStyle w:val="Heading3"/>
        <w:spacing w:line="265" w:lineRule="exact"/>
        <w:ind w:right="1116"/>
        <w:jc w:val="left"/>
        <w:rPr>
          <w:b w:val="0"/>
          <w:bCs w:val="0"/>
        </w:rPr>
      </w:pPr>
      <w:bookmarkStart w:name="5、其他重大关联交易" w:id="80"/>
      <w:bookmarkEnd w:id="80"/>
      <w:r>
        <w:rPr>
          <w:b w:val="0"/>
          <w:bCs w:val="0"/>
        </w:rPr>
      </w:r>
      <w:r>
        <w:rPr>
          <w:rFonts w:ascii="Times New Roman" w:hAnsi="Times New Roman" w:cs="Times New Roman" w:eastAsia="Times New Roman" w:hint="default"/>
        </w:rPr>
        <w:t>5</w:t>
      </w:r>
      <w:r>
        <w:rPr/>
        <w:t>、其他重大关联交易</w:t>
      </w:r>
      <w:r>
        <w:rPr>
          <w:b w:val="0"/>
          <w:bCs w:val="0"/>
        </w:rPr>
      </w:r>
    </w:p>
    <w:p>
      <w:pPr>
        <w:pStyle w:val="BodyText"/>
        <w:spacing w:line="451" w:lineRule="auto" w:before="121"/>
        <w:ind w:right="80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公司报告期无其他重大关联交易。</w:t>
      </w:r>
    </w:p>
    <w:p>
      <w:pPr>
        <w:spacing w:after="0" w:line="451" w:lineRule="auto"/>
        <w:jc w:val="left"/>
        <w:sectPr>
          <w:pgSz w:w="11910" w:h="16840"/>
          <w:pgMar w:header="877" w:footer="980" w:top="108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1116"/>
        <w:jc w:val="left"/>
        <w:rPr>
          <w:b w:val="0"/>
          <w:bCs w:val="0"/>
        </w:rPr>
      </w:pPr>
      <w:bookmarkStart w:name="十六、重大合同及其履行情况" w:id="81"/>
      <w:bookmarkEnd w:id="81"/>
      <w:r>
        <w:rPr>
          <w:b w:val="0"/>
          <w:bCs w:val="0"/>
        </w:rPr>
      </w:r>
      <w:r>
        <w:rPr/>
        <w:t>十六、重大合同及其履行情况</w:t>
      </w:r>
      <w:r>
        <w:rPr>
          <w:b w:val="0"/>
          <w:bCs w:val="0"/>
        </w:rPr>
      </w:r>
    </w:p>
    <w:p>
      <w:pPr>
        <w:pStyle w:val="Heading3"/>
        <w:spacing w:line="240" w:lineRule="auto" w:before="26"/>
        <w:ind w:right="1116"/>
        <w:jc w:val="left"/>
        <w:rPr>
          <w:b w:val="0"/>
          <w:bCs w:val="0"/>
        </w:rPr>
      </w:pPr>
      <w:bookmarkStart w:name="1、托管、承包、租赁事项情况" w:id="82"/>
      <w:bookmarkEnd w:id="82"/>
      <w:r>
        <w:rPr>
          <w:b w:val="0"/>
          <w:bCs w:val="0"/>
        </w:rPr>
      </w: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21"/>
        <w:ind w:right="1116"/>
        <w:jc w:val="left"/>
        <w:rPr>
          <w:b w:val="0"/>
          <w:bCs w:val="0"/>
        </w:rPr>
      </w:pPr>
      <w:bookmarkStart w:name="（1）托管情况" w:id="83"/>
      <w:bookmarkEnd w:id="83"/>
      <w:r>
        <w:rPr>
          <w:b w:val="0"/>
          <w:bCs w:val="0"/>
        </w:rPr>
      </w:r>
      <w:r>
        <w:rPr/>
        <w:t>（</w:t>
      </w:r>
      <w:r>
        <w:rPr>
          <w:rFonts w:ascii="Times New Roman" w:hAnsi="Times New Roman" w:cs="Times New Roman" w:eastAsia="Times New Roman" w:hint="default"/>
        </w:rPr>
        <w:t>1</w:t>
      </w:r>
      <w:r>
        <w:rPr/>
        <w:t>）托管情况</w:t>
      </w:r>
      <w:r>
        <w:rPr>
          <w:b w:val="0"/>
          <w:bCs w:val="0"/>
        </w:rPr>
      </w:r>
    </w:p>
    <w:p>
      <w:pPr>
        <w:pStyle w:val="BodyText"/>
        <w:spacing w:line="451" w:lineRule="auto" w:before="123"/>
        <w:ind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公司报告期不存在托管情况。</w:t>
      </w:r>
    </w:p>
    <w:p>
      <w:pPr>
        <w:pStyle w:val="Heading3"/>
        <w:spacing w:line="265" w:lineRule="exact"/>
        <w:ind w:right="1116"/>
        <w:jc w:val="left"/>
        <w:rPr>
          <w:b w:val="0"/>
          <w:bCs w:val="0"/>
        </w:rPr>
      </w:pPr>
      <w:bookmarkStart w:name="（2）承包情况" w:id="84"/>
      <w:bookmarkEnd w:id="84"/>
      <w:r>
        <w:rPr>
          <w:b w:val="0"/>
          <w:bCs w:val="0"/>
        </w:rPr>
      </w:r>
      <w:r>
        <w:rPr/>
        <w:t>（</w:t>
      </w:r>
      <w:r>
        <w:rPr>
          <w:rFonts w:ascii="Times New Roman" w:hAnsi="Times New Roman" w:cs="Times New Roman" w:eastAsia="Times New Roman" w:hint="default"/>
        </w:rPr>
        <w:t>2</w:t>
      </w:r>
      <w:r>
        <w:rPr/>
        <w:t>）承包情况</w:t>
      </w:r>
      <w:r>
        <w:rPr>
          <w:b w:val="0"/>
          <w:bCs w:val="0"/>
        </w:rPr>
      </w:r>
    </w:p>
    <w:p>
      <w:pPr>
        <w:pStyle w:val="BodyText"/>
        <w:spacing w:line="451" w:lineRule="auto" w:before="121"/>
        <w:ind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公司报告期不存在承包情况。</w:t>
      </w:r>
    </w:p>
    <w:p>
      <w:pPr>
        <w:pStyle w:val="Heading3"/>
        <w:spacing w:line="265" w:lineRule="exact"/>
        <w:ind w:right="1116"/>
        <w:jc w:val="left"/>
        <w:rPr>
          <w:b w:val="0"/>
          <w:bCs w:val="0"/>
        </w:rPr>
      </w:pPr>
      <w:bookmarkStart w:name="（3）租赁情况" w:id="85"/>
      <w:bookmarkEnd w:id="85"/>
      <w:r>
        <w:rPr>
          <w:b w:val="0"/>
          <w:bCs w:val="0"/>
        </w:rPr>
      </w:r>
      <w:r>
        <w:rPr/>
        <w:t>（</w:t>
      </w:r>
      <w:r>
        <w:rPr>
          <w:rFonts w:ascii="Times New Roman" w:hAnsi="Times New Roman" w:cs="Times New Roman" w:eastAsia="Times New Roman" w:hint="default"/>
        </w:rPr>
        <w:t>3</w:t>
      </w:r>
      <w:r>
        <w:rPr/>
        <w:t>）租赁情况</w:t>
      </w:r>
      <w:r>
        <w:rPr>
          <w:b w:val="0"/>
          <w:bCs w:val="0"/>
        </w:rPr>
      </w:r>
    </w:p>
    <w:p>
      <w:pPr>
        <w:pStyle w:val="BodyText"/>
        <w:spacing w:line="451" w:lineRule="auto" w:before="123"/>
        <w:ind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公司报告期不存在租赁情况。</w:t>
      </w:r>
    </w:p>
    <w:p>
      <w:pPr>
        <w:pStyle w:val="Heading3"/>
        <w:spacing w:line="265" w:lineRule="exact"/>
        <w:ind w:right="1116"/>
        <w:jc w:val="left"/>
        <w:rPr>
          <w:b w:val="0"/>
          <w:bCs w:val="0"/>
        </w:rPr>
      </w:pPr>
      <w:bookmarkStart w:name="2、重大担保" w:id="86"/>
      <w:bookmarkEnd w:id="86"/>
      <w:r>
        <w:rPr>
          <w:b w:val="0"/>
          <w:bCs w:val="0"/>
        </w:rPr>
      </w:r>
      <w:r>
        <w:rPr>
          <w:rFonts w:ascii="Times New Roman" w:hAnsi="Times New Roman" w:cs="Times New Roman" w:eastAsia="Times New Roman" w:hint="default"/>
        </w:rPr>
        <w:t>2</w:t>
      </w:r>
      <w:r>
        <w:rPr/>
        <w:t>、重大担保</w:t>
      </w:r>
      <w:r>
        <w:rPr>
          <w:b w:val="0"/>
          <w:bCs w:val="0"/>
        </w:rPr>
      </w:r>
    </w:p>
    <w:p>
      <w:pPr>
        <w:pStyle w:val="BodyText"/>
        <w:spacing w:line="451" w:lineRule="auto" w:before="121"/>
        <w:ind w:right="80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公司报告期不存在担保情况。</w:t>
      </w:r>
    </w:p>
    <w:p>
      <w:pPr>
        <w:pStyle w:val="Heading3"/>
        <w:spacing w:line="265" w:lineRule="exact"/>
        <w:ind w:right="1116"/>
        <w:jc w:val="left"/>
        <w:rPr>
          <w:b w:val="0"/>
          <w:bCs w:val="0"/>
        </w:rPr>
      </w:pPr>
      <w:bookmarkStart w:name="3、委托他人进行现金资产管理情况" w:id="87"/>
      <w:bookmarkEnd w:id="87"/>
      <w:r>
        <w:rPr>
          <w:b w:val="0"/>
          <w:bCs w:val="0"/>
        </w:rPr>
      </w:r>
      <w:r>
        <w:rPr>
          <w:rFonts w:ascii="Times New Roman" w:hAnsi="Times New Roman" w:cs="Times New Roman" w:eastAsia="Times New Roman" w:hint="default"/>
        </w:rPr>
        <w:t>3</w:t>
      </w:r>
      <w:r>
        <w:rPr/>
        <w:t>、委托他人进行现金资产管理情况</w:t>
      </w:r>
      <w:r>
        <w:rPr>
          <w:b w:val="0"/>
          <w:bCs w:val="0"/>
        </w:rPr>
      </w:r>
    </w:p>
    <w:p>
      <w:pPr>
        <w:pStyle w:val="Heading3"/>
        <w:spacing w:line="240" w:lineRule="auto" w:before="23"/>
        <w:ind w:right="1116"/>
        <w:jc w:val="left"/>
        <w:rPr>
          <w:b w:val="0"/>
          <w:bCs w:val="0"/>
        </w:rPr>
      </w:pPr>
      <w:bookmarkStart w:name="（1）委托理财情况" w:id="88"/>
      <w:bookmarkEnd w:id="88"/>
      <w:r>
        <w:rPr>
          <w:b w:val="0"/>
          <w:bCs w:val="0"/>
        </w:rPr>
      </w:r>
      <w:r>
        <w:rPr/>
        <w:t>（</w:t>
      </w:r>
      <w:r>
        <w:rPr>
          <w:rFonts w:ascii="Times New Roman" w:hAnsi="Times New Roman" w:cs="Times New Roman" w:eastAsia="Times New Roman" w:hint="default"/>
        </w:rPr>
        <w:t>1</w:t>
      </w:r>
      <w:r>
        <w:rPr/>
        <w:t>）委托理财情况</w:t>
      </w:r>
      <w:r>
        <w:rPr>
          <w:b w:val="0"/>
          <w:bCs w:val="0"/>
        </w:rPr>
      </w:r>
    </w:p>
    <w:p>
      <w:pPr>
        <w:pStyle w:val="BodyText"/>
        <w:spacing w:line="451" w:lineRule="auto" w:before="121"/>
        <w:ind w:right="8954"/>
        <w:jc w:val="left"/>
      </w:pPr>
      <w:r>
        <w:rPr>
          <w:rFonts w:ascii="Times New Roman" w:hAnsi="Times New Roman" w:cs="Times New Roman" w:eastAsia="Times New Roman" w:hint="default"/>
        </w:rPr>
        <w:t>√ </w:t>
      </w:r>
      <w:r>
        <w:rPr/>
        <w:t>适用 □</w:t>
      </w:r>
      <w:r>
        <w:rPr>
          <w:spacing w:val="3"/>
        </w:rPr>
        <w:t> </w:t>
      </w:r>
      <w:r>
        <w:rPr/>
        <w:t>不适用</w:t>
      </w:r>
      <w:r>
        <w:rPr/>
        <w:t> 报告期内委托理财概况</w:t>
      </w:r>
    </w:p>
    <w:p>
      <w:pPr>
        <w:pStyle w:val="BodyText"/>
        <w:spacing w:line="230" w:lineRule="exact"/>
        <w:ind w:left="0" w:right="1131"/>
        <w:jc w:val="right"/>
      </w:pPr>
      <w:r>
        <w:rPr/>
        <w:t>单位：万元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32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87"/>
        <w:ind w:right="1116"/>
        <w:jc w:val="left"/>
      </w:pPr>
      <w:r>
        <w:rPr/>
        <w:t>单项金额重大或安全性较低、流动性较差、不保本的高风险委托理财具体情况</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spacing w:after="0" w:line="240" w:lineRule="auto"/>
        <w:jc w:val="left"/>
        <w:sectPr>
          <w:pgSz w:w="11910" w:h="16840"/>
          <w:pgMar w:header="877" w:footer="980" w:top="1080" w:bottom="1160" w:left="980" w:right="0"/>
        </w:sectPr>
      </w:pPr>
    </w:p>
    <w:p>
      <w:pPr>
        <w:pStyle w:val="BodyText"/>
        <w:spacing w:line="240" w:lineRule="auto" w:before="47"/>
        <w:ind w:left="0" w:right="277"/>
        <w:jc w:val="right"/>
      </w:pPr>
      <w:r>
        <w:rPr/>
        <w:t>单位：万元</w:t>
      </w:r>
    </w:p>
    <w:p>
      <w:pPr>
        <w:spacing w:line="240" w:lineRule="auto" w:before="4"/>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843"/>
        <w:gridCol w:w="794"/>
        <w:gridCol w:w="970"/>
        <w:gridCol w:w="850"/>
        <w:gridCol w:w="826"/>
        <w:gridCol w:w="828"/>
        <w:gridCol w:w="828"/>
        <w:gridCol w:w="828"/>
        <w:gridCol w:w="828"/>
        <w:gridCol w:w="826"/>
        <w:gridCol w:w="828"/>
        <w:gridCol w:w="828"/>
        <w:gridCol w:w="828"/>
        <w:gridCol w:w="809"/>
        <w:gridCol w:w="806"/>
        <w:gridCol w:w="809"/>
        <w:gridCol w:w="792"/>
      </w:tblGrid>
      <w:tr>
        <w:trPr>
          <w:trHeight w:val="1883" w:hRule="exact"/>
        </w:trPr>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46" w:right="144"/>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6" w:lineRule="auto" w:before="19"/>
              <w:ind w:left="146" w:right="144"/>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2" w:right="120"/>
              <w:jc w:val="center"/>
              <w:rPr>
                <w:rFonts w:ascii="宋体" w:hAnsi="宋体" w:cs="宋体" w:eastAsia="宋体" w:hint="default"/>
                <w:sz w:val="18"/>
                <w:szCs w:val="18"/>
              </w:rPr>
            </w:pPr>
            <w:r>
              <w:rPr>
                <w:rFonts w:ascii="宋体" w:hAnsi="宋体" w:cs="宋体" w:eastAsia="宋体" w:hint="default"/>
                <w:sz w:val="18"/>
                <w:szCs w:val="18"/>
              </w:rPr>
              <w:t>受托机 构（或 受托 人）类 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19" w:right="1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资金投 向</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39" w:right="13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39" w:right="134"/>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39" w:right="137"/>
              <w:jc w:val="center"/>
              <w:rPr>
                <w:rFonts w:ascii="宋体" w:hAnsi="宋体" w:cs="宋体" w:eastAsia="宋体" w:hint="default"/>
                <w:sz w:val="18"/>
                <w:szCs w:val="18"/>
              </w:rPr>
            </w:pPr>
            <w:r>
              <w:rPr>
                <w:rFonts w:ascii="宋体" w:hAnsi="宋体" w:cs="宋体" w:eastAsia="宋体" w:hint="default"/>
                <w:sz w:val="18"/>
                <w:szCs w:val="18"/>
              </w:rPr>
              <w:t>预期收 益（如 有</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39" w:right="137"/>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39" w:right="137"/>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0" w:right="127"/>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316" w:lineRule="auto" w:before="19"/>
              <w:ind w:left="219" w:right="218"/>
              <w:jc w:val="both"/>
              <w:rPr>
                <w:rFonts w:ascii="宋体" w:hAnsi="宋体" w:cs="宋体" w:eastAsia="宋体" w:hint="default"/>
                <w:sz w:val="18"/>
                <w:szCs w:val="18"/>
              </w:rPr>
            </w:pPr>
            <w:r>
              <w:rPr>
                <w:rFonts w:ascii="宋体" w:hAnsi="宋体" w:cs="宋体" w:eastAsia="宋体" w:hint="default"/>
                <w:sz w:val="18"/>
                <w:szCs w:val="18"/>
              </w:rPr>
              <w:t>（如 有）</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27" w:right="12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27" w:right="131"/>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20" w:right="120"/>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p>
            <w:pPr>
              <w:pStyle w:val="TableParagraph"/>
              <w:spacing w:line="316" w:lineRule="auto" w:before="19"/>
              <w:ind w:left="208" w:right="211"/>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38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交通银 行深圳 罗湖支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57.99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57.99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51.78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51.78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45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7"/>
              <w:ind w:left="103" w:right="189"/>
              <w:jc w:val="both"/>
              <w:rPr>
                <w:rFonts w:ascii="宋体" w:hAnsi="宋体" w:cs="宋体" w:eastAsia="宋体" w:hint="default"/>
                <w:sz w:val="18"/>
                <w:szCs w:val="18"/>
              </w:rPr>
            </w:pPr>
            <w:r>
              <w:rPr>
                <w:rFonts w:ascii="宋体" w:hAnsi="宋体" w:cs="宋体" w:eastAsia="宋体" w:hint="default"/>
                <w:sz w:val="18"/>
                <w:szCs w:val="18"/>
              </w:rPr>
              <w:t>中国银 行深圳 文锦广 场支行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z w:val="18"/>
              </w:rPr>
              <w:t>3.40%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18.16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18.16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77" w:footer="980" w:top="1080" w:bottom="1160" w:left="1300" w:right="1160"/>
          <w:pgNumType w:start="39"/>
        </w:sectPr>
      </w:pPr>
    </w:p>
    <w:tbl>
      <w:tblPr>
        <w:tblW w:w="0" w:type="auto"/>
        <w:jc w:val="left"/>
        <w:tblInd w:w="135" w:type="dxa"/>
        <w:tblLayout w:type="fixed"/>
        <w:tblCellMar>
          <w:top w:w="0" w:type="dxa"/>
          <w:left w:w="0" w:type="dxa"/>
          <w:bottom w:w="0" w:type="dxa"/>
          <w:right w:w="0" w:type="dxa"/>
        </w:tblCellMar>
        <w:tblLook w:val="01E0"/>
      </w:tblPr>
      <w:tblGrid>
        <w:gridCol w:w="843"/>
        <w:gridCol w:w="794"/>
        <w:gridCol w:w="970"/>
        <w:gridCol w:w="850"/>
        <w:gridCol w:w="826"/>
        <w:gridCol w:w="828"/>
        <w:gridCol w:w="828"/>
        <w:gridCol w:w="828"/>
        <w:gridCol w:w="828"/>
        <w:gridCol w:w="826"/>
        <w:gridCol w:w="828"/>
        <w:gridCol w:w="828"/>
        <w:gridCol w:w="828"/>
        <w:gridCol w:w="809"/>
        <w:gridCol w:w="806"/>
        <w:gridCol w:w="809"/>
        <w:gridCol w:w="792"/>
      </w:tblGrid>
      <w:tr>
        <w:trPr>
          <w:trHeight w:val="1260"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9"/>
              <w:jc w:val="both"/>
              <w:rPr>
                <w:rFonts w:ascii="宋体" w:hAnsi="宋体" w:cs="宋体" w:eastAsia="宋体" w:hint="default"/>
                <w:sz w:val="18"/>
                <w:szCs w:val="18"/>
              </w:rPr>
            </w:pPr>
            <w:r>
              <w:rPr>
                <w:rFonts w:ascii="宋体" w:hAnsi="宋体" w:cs="宋体" w:eastAsia="宋体" w:hint="default"/>
                <w:sz w:val="18"/>
                <w:szCs w:val="18"/>
              </w:rPr>
              <w:t>工商银 行深圳 宝湖支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15"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3" w:right="189"/>
              <w:jc w:val="both"/>
              <w:rPr>
                <w:rFonts w:ascii="宋体" w:hAnsi="宋体" w:cs="宋体" w:eastAsia="宋体" w:hint="default"/>
                <w:sz w:val="18"/>
                <w:szCs w:val="18"/>
              </w:rPr>
            </w:pPr>
            <w:r>
              <w:rPr>
                <w:rFonts w:ascii="宋体" w:hAnsi="宋体" w:cs="宋体" w:eastAsia="宋体" w:hint="default"/>
                <w:sz w:val="18"/>
                <w:szCs w:val="18"/>
              </w:rPr>
              <w:t>中国银 行深圳 文锦广 场支行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5"/>
              <w:ind w:left="103" w:right="189"/>
              <w:jc w:val="both"/>
              <w:rPr>
                <w:rFonts w:ascii="宋体" w:hAnsi="宋体" w:cs="宋体" w:eastAsia="宋体" w:hint="default"/>
                <w:sz w:val="18"/>
                <w:szCs w:val="18"/>
              </w:rPr>
            </w:pPr>
            <w:r>
              <w:rPr>
                <w:rFonts w:ascii="宋体" w:hAnsi="宋体" w:cs="宋体" w:eastAsia="宋体" w:hint="default"/>
                <w:sz w:val="18"/>
                <w:szCs w:val="18"/>
              </w:rPr>
              <w:t>工行银 行深圳 宝湖支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工行银 行深圳 宝湖支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465"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1"/>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3.55%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z w:val="18"/>
              </w:rPr>
              <w:t>29.66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z w:val="18"/>
              </w:rPr>
              <w:t>29.66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9"/>
              <w:jc w:val="both"/>
              <w:rPr>
                <w:rFonts w:ascii="宋体" w:hAnsi="宋体" w:cs="宋体" w:eastAsia="宋体" w:hint="default"/>
                <w:sz w:val="18"/>
                <w:szCs w:val="18"/>
              </w:rPr>
            </w:pPr>
            <w:r>
              <w:rPr>
                <w:rFonts w:ascii="宋体" w:hAnsi="宋体" w:cs="宋体" w:eastAsia="宋体" w:hint="default"/>
                <w:sz w:val="18"/>
                <w:szCs w:val="18"/>
              </w:rPr>
              <w:t>交通银 行深圳 罗湖支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20" w:bottom="1160" w:left="1300" w:right="1160"/>
        </w:sectPr>
      </w:pPr>
    </w:p>
    <w:tbl>
      <w:tblPr>
        <w:tblW w:w="0" w:type="auto"/>
        <w:jc w:val="left"/>
        <w:tblInd w:w="135" w:type="dxa"/>
        <w:tblLayout w:type="fixed"/>
        <w:tblCellMar>
          <w:top w:w="0" w:type="dxa"/>
          <w:left w:w="0" w:type="dxa"/>
          <w:bottom w:w="0" w:type="dxa"/>
          <w:right w:w="0" w:type="dxa"/>
        </w:tblCellMar>
        <w:tblLook w:val="01E0"/>
      </w:tblPr>
      <w:tblGrid>
        <w:gridCol w:w="843"/>
        <w:gridCol w:w="794"/>
        <w:gridCol w:w="970"/>
        <w:gridCol w:w="850"/>
        <w:gridCol w:w="826"/>
        <w:gridCol w:w="828"/>
        <w:gridCol w:w="828"/>
        <w:gridCol w:w="828"/>
        <w:gridCol w:w="828"/>
        <w:gridCol w:w="826"/>
        <w:gridCol w:w="828"/>
        <w:gridCol w:w="828"/>
        <w:gridCol w:w="828"/>
        <w:gridCol w:w="809"/>
        <w:gridCol w:w="806"/>
        <w:gridCol w:w="809"/>
        <w:gridCol w:w="792"/>
      </w:tblGrid>
      <w:tr>
        <w:trPr>
          <w:trHeight w:val="1467"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4"/>
              <w:ind w:left="103" w:right="189"/>
              <w:jc w:val="both"/>
              <w:rPr>
                <w:rFonts w:ascii="宋体" w:hAnsi="宋体" w:cs="宋体" w:eastAsia="宋体" w:hint="default"/>
                <w:sz w:val="18"/>
                <w:szCs w:val="18"/>
              </w:rPr>
            </w:pPr>
            <w:r>
              <w:rPr>
                <w:rFonts w:ascii="宋体" w:hAnsi="宋体" w:cs="宋体" w:eastAsia="宋体" w:hint="default"/>
                <w:sz w:val="18"/>
                <w:szCs w:val="18"/>
              </w:rPr>
              <w:t>中国银 行深圳 文锦广 场支行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3,500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2.75%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招商银 行滨河 时代支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64"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103" w:right="189"/>
              <w:jc w:val="both"/>
              <w:rPr>
                <w:rFonts w:ascii="宋体" w:hAnsi="宋体" w:cs="宋体" w:eastAsia="宋体" w:hint="default"/>
                <w:sz w:val="18"/>
                <w:szCs w:val="18"/>
              </w:rPr>
            </w:pPr>
            <w:r>
              <w:rPr>
                <w:rFonts w:ascii="宋体" w:hAnsi="宋体" w:cs="宋体" w:eastAsia="宋体" w:hint="default"/>
                <w:sz w:val="18"/>
                <w:szCs w:val="18"/>
              </w:rPr>
              <w:t>中国工 商银行 深圳宝 湖支行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9"/>
              <w:jc w:val="both"/>
              <w:rPr>
                <w:rFonts w:ascii="宋体" w:hAnsi="宋体" w:cs="宋体" w:eastAsia="宋体" w:hint="default"/>
                <w:sz w:val="18"/>
                <w:szCs w:val="18"/>
              </w:rPr>
            </w:pPr>
            <w:r>
              <w:rPr>
                <w:rFonts w:ascii="宋体" w:hAnsi="宋体" w:cs="宋体" w:eastAsia="宋体" w:hint="default"/>
                <w:sz w:val="18"/>
                <w:szCs w:val="18"/>
              </w:rPr>
              <w:t>中国工 商银行 深圳龙 岗支行</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闲置自 有资金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保本型 理财</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到期赎 回</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66,300</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328.75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328.75</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7" w:footer="980" w:top="1120" w:bottom="1160" w:left="1300" w:right="116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t>委托理财出现预期无法收回本金或存在其他可能导致减值的情形</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1116"/>
        <w:jc w:val="left"/>
        <w:rPr>
          <w:b w:val="0"/>
          <w:bCs w:val="0"/>
        </w:rPr>
      </w:pPr>
      <w:bookmarkStart w:name="（2）委托贷款情况" w:id="89"/>
      <w:bookmarkEnd w:id="89"/>
      <w:r>
        <w:rPr>
          <w:b w:val="0"/>
          <w:bCs w:val="0"/>
        </w:rPr>
      </w:r>
      <w:r>
        <w:rPr/>
        <w:t>（</w:t>
      </w:r>
      <w:r>
        <w:rPr>
          <w:rFonts w:ascii="Times New Roman" w:hAnsi="Times New Roman" w:cs="Times New Roman" w:eastAsia="Times New Roman" w:hint="default"/>
        </w:rPr>
        <w:t>2</w:t>
      </w:r>
      <w:r>
        <w:rPr/>
        <w:t>）委托贷款情况</w:t>
      </w:r>
      <w:r>
        <w:rPr>
          <w:b w:val="0"/>
          <w:bCs w:val="0"/>
        </w:rPr>
      </w:r>
    </w:p>
    <w:p>
      <w:pPr>
        <w:pStyle w:val="BodyText"/>
        <w:spacing w:line="451" w:lineRule="auto" w:before="123"/>
        <w:ind w:right="841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公司报告期不存在委托贷款。</w:t>
      </w:r>
    </w:p>
    <w:p>
      <w:pPr>
        <w:pStyle w:val="Heading3"/>
        <w:spacing w:line="265" w:lineRule="exact"/>
        <w:ind w:right="1116"/>
        <w:jc w:val="left"/>
        <w:rPr>
          <w:b w:val="0"/>
          <w:bCs w:val="0"/>
        </w:rPr>
      </w:pPr>
      <w:bookmarkStart w:name="4、其他重大合同" w:id="90"/>
      <w:bookmarkEnd w:id="90"/>
      <w:r>
        <w:rPr>
          <w:b w:val="0"/>
          <w:bCs w:val="0"/>
        </w:rPr>
      </w:r>
      <w:r>
        <w:rPr>
          <w:rFonts w:ascii="Times New Roman" w:hAnsi="Times New Roman" w:cs="Times New Roman" w:eastAsia="Times New Roman" w:hint="default"/>
        </w:rPr>
        <w:t>4</w:t>
      </w:r>
      <w:r>
        <w:rPr/>
        <w:t>、其他重大合同</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533"/>
        <w:gridCol w:w="742"/>
        <w:gridCol w:w="638"/>
        <w:gridCol w:w="638"/>
        <w:gridCol w:w="639"/>
        <w:gridCol w:w="638"/>
        <w:gridCol w:w="636"/>
      </w:tblGrid>
      <w:tr>
        <w:trPr>
          <w:trHeight w:val="3130"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32" w:right="132"/>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36" w:right="132"/>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34" w:right="132"/>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7" w:right="131"/>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7"/>
              <w:ind w:left="180" w:right="86"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37" w:right="131"/>
              <w:jc w:val="both"/>
              <w:rPr>
                <w:rFonts w:ascii="宋体" w:hAnsi="宋体" w:cs="宋体" w:eastAsia="宋体" w:hint="default"/>
                <w:sz w:val="18"/>
                <w:szCs w:val="18"/>
              </w:rPr>
            </w:pPr>
            <w:r>
              <w:rPr>
                <w:rFonts w:ascii="宋体" w:hAnsi="宋体" w:cs="宋体" w:eastAsia="宋体" w:hint="default"/>
                <w:sz w:val="18"/>
                <w:szCs w:val="18"/>
              </w:rPr>
              <w:t>（如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6" w:right="132"/>
              <w:jc w:val="both"/>
              <w:rPr>
                <w:rFonts w:ascii="宋体" w:hAnsi="宋体" w:cs="宋体" w:eastAsia="宋体" w:hint="default"/>
                <w:sz w:val="18"/>
                <w:szCs w:val="18"/>
              </w:rPr>
            </w:pPr>
            <w:r>
              <w:rPr>
                <w:rFonts w:ascii="宋体" w:hAnsi="宋体" w:cs="宋体" w:eastAsia="宋体" w:hint="default"/>
                <w:sz w:val="18"/>
                <w:szCs w:val="18"/>
              </w:rPr>
              <w:t>合同 涉及 资产 的评 估价 值</w:t>
            </w:r>
          </w:p>
          <w:p>
            <w:pPr>
              <w:pStyle w:val="TableParagraph"/>
              <w:spacing w:line="316" w:lineRule="auto" w:before="17"/>
              <w:ind w:left="179" w:right="89"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36"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34" w:right="132"/>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6" w:lineRule="auto" w:before="17"/>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34" w:right="132"/>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6" w:lineRule="auto" w:before="17"/>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70" w:right="170"/>
              <w:jc w:val="both"/>
              <w:rPr>
                <w:rFonts w:ascii="宋体" w:hAnsi="宋体" w:cs="宋体" w:eastAsia="宋体" w:hint="default"/>
                <w:sz w:val="18"/>
                <w:szCs w:val="18"/>
              </w:rPr>
            </w:pPr>
            <w:r>
              <w:rPr>
                <w:rFonts w:ascii="宋体" w:hAnsi="宋体" w:cs="宋体" w:eastAsia="宋体" w:hint="default"/>
                <w:sz w:val="18"/>
                <w:szCs w:val="18"/>
              </w:rPr>
              <w:t>定 价 原 则</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87" w:right="18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87" w:right="182"/>
              <w:jc w:val="left"/>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36" w:right="131"/>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36" w:right="13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1"/>
              <w:ind w:left="137" w:right="131"/>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31"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中国 银行 股份 有限 公司 深圳 东门 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5" w:right="163"/>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6" w:right="0"/>
              <w:jc w:val="center"/>
              <w:rPr>
                <w:rFonts w:ascii="Times New Roman" w:hAnsi="Times New Roman" w:cs="Times New Roman" w:eastAsia="Times New Roman" w:hint="default"/>
                <w:sz w:val="18"/>
                <w:szCs w:val="18"/>
              </w:rPr>
            </w:pPr>
            <w:r>
              <w:rPr>
                <w:rFonts w:ascii="Times New Roman"/>
                <w:sz w:val="18"/>
              </w:rPr>
              <w:t>15,000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2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3"/>
              <w:jc w:val="both"/>
              <w:rPr>
                <w:rFonts w:ascii="宋体" w:hAnsi="宋体" w:cs="宋体" w:eastAsia="宋体" w:hint="default"/>
                <w:sz w:val="18"/>
                <w:szCs w:val="18"/>
              </w:rPr>
            </w:pPr>
            <w:r>
              <w:rPr>
                <w:rFonts w:ascii="宋体" w:hAnsi="宋体" w:cs="宋体" w:eastAsia="宋体" w:hint="default"/>
                <w:sz w:val="18"/>
                <w:szCs w:val="18"/>
              </w:rPr>
              <w:t>中国 工商 银行 股份 有限 公司 深圳 罗湖 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5" w:right="163"/>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 w:right="0"/>
              <w:jc w:val="center"/>
              <w:rPr>
                <w:rFonts w:ascii="Times New Roman" w:hAnsi="Times New Roman" w:cs="Times New Roman" w:eastAsia="Times New Roman" w:hint="default"/>
                <w:sz w:val="18"/>
                <w:szCs w:val="18"/>
              </w:rPr>
            </w:pPr>
            <w:r>
              <w:rPr>
                <w:rFonts w:ascii="Times New Roman"/>
                <w:sz w:val="18"/>
              </w:rPr>
              <w:t>30,000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1910" w:h="16840"/>
          <w:pgMar w:header="877" w:footer="980" w:top="1080" w:bottom="1160" w:left="980" w:right="0"/>
          <w:pgNumType w:start="42"/>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533"/>
        <w:gridCol w:w="742"/>
        <w:gridCol w:w="638"/>
        <w:gridCol w:w="638"/>
        <w:gridCol w:w="639"/>
        <w:gridCol w:w="638"/>
        <w:gridCol w:w="636"/>
      </w:tblGrid>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中国 银行 股份 有限 公司 深圳 东门 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5" w:right="163"/>
              <w:jc w:val="both"/>
              <w:rPr>
                <w:rFonts w:ascii="宋体" w:hAnsi="宋体" w:cs="宋体" w:eastAsia="宋体" w:hint="default"/>
                <w:sz w:val="18"/>
                <w:szCs w:val="18"/>
              </w:rPr>
            </w:pPr>
            <w:r>
              <w:rPr>
                <w:rFonts w:ascii="宋体" w:hAnsi="宋体" w:cs="宋体" w:eastAsia="宋体" w:hint="default"/>
                <w:sz w:val="18"/>
                <w:szCs w:val="18"/>
              </w:rPr>
              <w:t>流动 资金 借款 合同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5" w:right="0"/>
              <w:jc w:val="center"/>
              <w:rPr>
                <w:rFonts w:ascii="Times New Roman" w:hAnsi="Times New Roman" w:cs="Times New Roman" w:eastAsia="Times New Roman" w:hint="default"/>
                <w:sz w:val="18"/>
                <w:szCs w:val="18"/>
              </w:rPr>
            </w:pPr>
            <w:r>
              <w:rPr>
                <w:rFonts w:ascii="Times New Roman"/>
                <w:sz w:val="18"/>
              </w:rPr>
              <w:t>4,000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招商 银行 股份 有限 公司 深圳 新洲 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5" w:right="163"/>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6" w:right="0"/>
              <w:jc w:val="center"/>
              <w:rPr>
                <w:rFonts w:ascii="Times New Roman" w:hAnsi="Times New Roman" w:cs="Times New Roman" w:eastAsia="Times New Roman" w:hint="default"/>
                <w:sz w:val="18"/>
                <w:szCs w:val="18"/>
              </w:rPr>
            </w:pPr>
            <w:r>
              <w:rPr>
                <w:rFonts w:ascii="Times New Roman"/>
                <w:sz w:val="18"/>
              </w:rPr>
              <w:t>10,000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03" w:right="163"/>
              <w:jc w:val="both"/>
              <w:rPr>
                <w:rFonts w:ascii="宋体" w:hAnsi="宋体" w:cs="宋体" w:eastAsia="宋体" w:hint="default"/>
                <w:sz w:val="18"/>
                <w:szCs w:val="18"/>
              </w:rPr>
            </w:pPr>
            <w:r>
              <w:rPr>
                <w:rFonts w:ascii="宋体" w:hAnsi="宋体" w:cs="宋体" w:eastAsia="宋体" w:hint="default"/>
                <w:sz w:val="18"/>
                <w:szCs w:val="18"/>
              </w:rPr>
              <w:t>交通 银行 深圳 分行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5" w:right="163"/>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6" w:right="0"/>
              <w:jc w:val="center"/>
              <w:rPr>
                <w:rFonts w:ascii="Times New Roman" w:hAnsi="Times New Roman" w:cs="Times New Roman" w:eastAsia="Times New Roman" w:hint="default"/>
                <w:sz w:val="18"/>
                <w:szCs w:val="18"/>
              </w:rPr>
            </w:pPr>
            <w:r>
              <w:rPr>
                <w:rFonts w:ascii="Times New Roman"/>
                <w:sz w:val="18"/>
              </w:rPr>
              <w:t>10,000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2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jc w:val="both"/>
              <w:rPr>
                <w:rFonts w:ascii="宋体" w:hAnsi="宋体" w:cs="宋体" w:eastAsia="宋体" w:hint="default"/>
                <w:sz w:val="18"/>
                <w:szCs w:val="18"/>
              </w:rPr>
            </w:pPr>
            <w:r>
              <w:rPr>
                <w:rFonts w:ascii="宋体" w:hAnsi="宋体" w:cs="宋体" w:eastAsia="宋体" w:hint="default"/>
                <w:sz w:val="18"/>
                <w:szCs w:val="18"/>
              </w:rPr>
              <w:t>深圳 市今 天国 际物 流技 术股 份有 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63"/>
              <w:jc w:val="both"/>
              <w:rPr>
                <w:rFonts w:ascii="宋体" w:hAnsi="宋体" w:cs="宋体" w:eastAsia="宋体" w:hint="default"/>
                <w:sz w:val="18"/>
                <w:szCs w:val="18"/>
              </w:rPr>
            </w:pPr>
            <w:r>
              <w:rPr>
                <w:rFonts w:ascii="宋体" w:hAnsi="宋体" w:cs="宋体" w:eastAsia="宋体" w:hint="default"/>
                <w:sz w:val="18"/>
                <w:szCs w:val="18"/>
              </w:rPr>
              <w:t>中国 华西 企业 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5" w:right="163"/>
              <w:jc w:val="left"/>
              <w:rPr>
                <w:rFonts w:ascii="宋体" w:hAnsi="宋体" w:cs="宋体" w:eastAsia="宋体" w:hint="default"/>
                <w:sz w:val="18"/>
                <w:szCs w:val="18"/>
              </w:rPr>
            </w:pPr>
            <w:r>
              <w:rPr>
                <w:rFonts w:ascii="宋体" w:hAnsi="宋体" w:cs="宋体" w:eastAsia="宋体" w:hint="default"/>
                <w:sz w:val="18"/>
                <w:szCs w:val="18"/>
              </w:rPr>
              <w:t>工程 施工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5" w:right="0"/>
              <w:jc w:val="center"/>
              <w:rPr>
                <w:rFonts w:ascii="Times New Roman" w:hAnsi="Times New Roman" w:cs="Times New Roman" w:eastAsia="Times New Roman" w:hint="default"/>
                <w:sz w:val="18"/>
                <w:szCs w:val="18"/>
              </w:rPr>
            </w:pPr>
            <w:r>
              <w:rPr>
                <w:rFonts w:ascii="Times New Roman"/>
                <w:sz w:val="18"/>
              </w:rPr>
              <w:t>7,260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6" w:right="161"/>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76" w:lineRule="exact"/>
        <w:ind w:left="0" w:right="8450"/>
        <w:jc w:val="center"/>
        <w:rPr>
          <w:b w:val="0"/>
          <w:bCs w:val="0"/>
        </w:rPr>
      </w:pPr>
      <w:bookmarkStart w:name="十七、社会责任情况" w:id="91"/>
      <w:bookmarkEnd w:id="91"/>
      <w:r>
        <w:rPr>
          <w:b w:val="0"/>
          <w:bCs w:val="0"/>
        </w:rPr>
      </w:r>
      <w:r>
        <w:rPr/>
        <w:t>十七、社会责任情况</w:t>
      </w:r>
      <w:r>
        <w:rPr>
          <w:b w:val="0"/>
          <w:bCs w:val="0"/>
        </w:rPr>
      </w:r>
    </w:p>
    <w:p>
      <w:pPr>
        <w:pStyle w:val="Heading3"/>
        <w:spacing w:line="240" w:lineRule="auto" w:before="23"/>
        <w:ind w:right="1116"/>
        <w:jc w:val="left"/>
        <w:rPr>
          <w:b w:val="0"/>
          <w:bCs w:val="0"/>
        </w:rPr>
      </w:pPr>
      <w:bookmarkStart w:name="1、履行社会责任情况" w:id="92"/>
      <w:bookmarkEnd w:id="92"/>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477" w:lineRule="auto" w:before="123"/>
        <w:ind w:right="1134" w:firstLine="360"/>
        <w:jc w:val="both"/>
      </w:pPr>
      <w:r>
        <w:rPr>
          <w:spacing w:val="-2"/>
        </w:rPr>
        <w:t>报告期内，公司积极履行社会责任，在追求自身发展的同时，注重社会责任，坚持经济效益与社会效益、自身发展与社</w:t>
      </w:r>
      <w:r>
        <w:rPr/>
        <w:t> </w:t>
      </w:r>
      <w:r>
        <w:rPr>
          <w:spacing w:val="-2"/>
        </w:rPr>
        <w:t>会发展并重，努力建设成为一个员工热爱、客户信赖、社会尊重的优秀企业，实现企业、投资者、员工与社会共同成长、和</w:t>
      </w:r>
      <w:r>
        <w:rPr>
          <w:spacing w:val="-73"/>
        </w:rPr>
        <w:t> </w:t>
      </w:r>
      <w:r>
        <w:rPr>
          <w:spacing w:val="-73"/>
        </w:rPr>
      </w:r>
      <w:r>
        <w:rPr/>
        <w:t>谐发展。</w:t>
      </w:r>
    </w:p>
    <w:p>
      <w:pPr>
        <w:pStyle w:val="BodyText"/>
        <w:spacing w:line="240" w:lineRule="auto" w:before="54"/>
        <w:ind w:left="0" w:right="8366"/>
        <w:jc w:val="center"/>
      </w:pPr>
      <w:r>
        <w:rPr>
          <w:rFonts w:ascii="Times New Roman" w:hAnsi="Times New Roman" w:cs="Times New Roman" w:eastAsia="Times New Roman" w:hint="default"/>
        </w:rPr>
        <w:t>1</w:t>
      </w:r>
      <w:r>
        <w:rPr/>
        <w:t>、投资者权益保护</w:t>
      </w:r>
    </w:p>
    <w:p>
      <w:pPr>
        <w:spacing w:after="0" w:line="240" w:lineRule="auto"/>
        <w:jc w:val="center"/>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right="1119" w:firstLine="360"/>
        <w:jc w:val="left"/>
      </w:pPr>
      <w:r>
        <w:rPr>
          <w:spacing w:val="-5"/>
        </w:rPr>
        <w:t>公司严格遵照相关法律、法规，及时有效、真实准确地进行信息披露，确保所有股东与投资者以平等机会获取公司信息，</w:t>
      </w:r>
      <w:r>
        <w:rPr/>
        <w:t> 保障全体股东及投资者的合法权益。通过互动平台、电话、邮件等方式认真解答投资者疑问。</w:t>
      </w:r>
    </w:p>
    <w:p>
      <w:pPr>
        <w:pStyle w:val="BodyText"/>
        <w:spacing w:line="451" w:lineRule="auto" w:before="54"/>
        <w:ind w:left="513" w:right="1116"/>
        <w:jc w:val="left"/>
      </w:pPr>
      <w:r>
        <w:rPr>
          <w:rFonts w:ascii="Times New Roman" w:hAnsi="Times New Roman" w:cs="Times New Roman" w:eastAsia="Times New Roman" w:hint="default"/>
        </w:rPr>
        <w:t>2</w:t>
      </w:r>
      <w:r>
        <w:rPr/>
        <w:t>、构建和谐的劳动关系 </w:t>
      </w:r>
      <w:r>
        <w:rPr>
          <w:spacing w:val="-6"/>
        </w:rPr>
        <w:t>公司严格遵守国家《劳动法》、《劳动合同法》等法律法规，充分保障员工平等劳动、休息休假的合法权益，劳动合同签</w:t>
      </w:r>
    </w:p>
    <w:p>
      <w:pPr>
        <w:pStyle w:val="BodyText"/>
        <w:spacing w:line="240" w:lineRule="auto" w:before="74"/>
        <w:ind w:right="1116"/>
        <w:jc w:val="left"/>
      </w:pPr>
      <w:r>
        <w:rPr/>
        <w:t>订率</w:t>
      </w:r>
      <w:r>
        <w:rPr>
          <w:rFonts w:ascii="Times New Roman" w:hAnsi="Times New Roman" w:cs="Times New Roman" w:eastAsia="Times New Roman" w:hint="default"/>
        </w:rPr>
        <w:t>100%</w:t>
      </w:r>
      <w:r>
        <w:rPr/>
        <w:t>；开展多种形式和方式的员工沟通，完善员工建议和诉求的反馈渠道，及时帮助员工疏导工作压力。</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rFonts w:ascii="Times New Roman" w:hAnsi="Times New Roman" w:cs="Times New Roman" w:eastAsia="Times New Roman" w:hint="default"/>
        </w:rPr>
        <w:t>3</w:t>
      </w:r>
      <w:r>
        <w:rPr/>
        <w:t>、获得多项资质荣誉，塑造良好社会形象</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rFonts w:ascii="Times New Roman" w:hAnsi="Times New Roman" w:cs="Times New Roman" w:eastAsia="Times New Roman" w:hint="default"/>
        </w:rPr>
        <w:t>2019</w:t>
      </w:r>
      <w:r>
        <w:rPr/>
        <w:t>年度公司获得荣誉如下：</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CLFP</w:t>
      </w:r>
      <w:r>
        <w:rPr/>
        <w:t>物流技术推荐品牌</w:t>
      </w:r>
    </w:p>
    <w:p>
      <w:pPr>
        <w:spacing w:line="240" w:lineRule="auto" w:before="10"/>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2</w:t>
      </w:r>
      <w:r>
        <w:rPr/>
        <w:t>）深圳市重点物流企业</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3</w:t>
      </w:r>
      <w:r>
        <w:rPr/>
        <w:t>）守合同重信用企业</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4</w:t>
      </w:r>
      <w:r>
        <w:rPr/>
        <w:t>）锡柴项目优秀物流工程奖</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5</w:t>
      </w:r>
      <w:r>
        <w:rPr/>
        <w:t>）物流技术装备供应商</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6</w:t>
      </w:r>
      <w:r>
        <w:rPr/>
        <w:t>）烟丝库物流技术创新奖</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7</w:t>
      </w:r>
      <w:r>
        <w:rPr/>
        <w:t>）第十七届深圳企业创新纪录自主创新标杆企业</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年金牛奖</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9</w:t>
      </w:r>
      <w:r>
        <w:rPr/>
        <w:t>）物流装备产业实力品牌企业奖</w:t>
      </w:r>
    </w:p>
    <w:p>
      <w:pPr>
        <w:spacing w:line="240" w:lineRule="auto" w:before="10"/>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10</w:t>
      </w:r>
      <w:r>
        <w:rPr/>
        <w:t>）物流技术装备推荐品牌（二</w:t>
      </w:r>
      <w:r>
        <w:rPr>
          <w:rFonts w:ascii="Times New Roman" w:hAnsi="Times New Roman" w:cs="Times New Roman" w:eastAsia="Times New Roman" w:hint="default"/>
        </w:rPr>
        <w:t>0</w:t>
      </w:r>
      <w:r>
        <w:rPr/>
        <w:t>一九年度）</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11</w:t>
      </w:r>
      <w:r>
        <w:rPr/>
        <w:t>）株洲中车项目斩获</w:t>
      </w:r>
      <w:r>
        <w:rPr>
          <w:rFonts w:ascii="Times New Roman" w:hAnsi="Times New Roman" w:cs="Times New Roman" w:eastAsia="Times New Roman" w:hint="default"/>
        </w:rPr>
        <w:t>“</w:t>
      </w:r>
      <w:r>
        <w:rPr/>
        <w:t>物流装备技术应用标杆示范项目</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12</w:t>
      </w:r>
      <w:r>
        <w:rPr/>
        <w:t>）国家高新技术企业证书</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2019LT</w:t>
      </w:r>
      <w:r>
        <w:rPr/>
        <w:t>创新应用奖</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14</w:t>
      </w:r>
      <w:r>
        <w:rPr/>
        <w:t>）工业互联网产业联盟普通会员单位证书</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w:t>
      </w:r>
      <w:r>
        <w:rPr>
          <w:rFonts w:ascii="Times New Roman" w:hAnsi="Times New Roman" w:cs="Times New Roman" w:eastAsia="Times New Roman" w:hint="default"/>
        </w:rPr>
        <w:t>15</w:t>
      </w:r>
      <w:r>
        <w:rPr/>
        <w:t>）智慧物流装备与技术最佳人气奖</w:t>
      </w:r>
    </w:p>
    <w:p>
      <w:pPr>
        <w:pStyle w:val="Heading3"/>
        <w:spacing w:line="240" w:lineRule="auto" w:before="119"/>
        <w:ind w:right="1116"/>
        <w:jc w:val="left"/>
        <w:rPr>
          <w:b w:val="0"/>
          <w:bCs w:val="0"/>
        </w:rPr>
      </w:pPr>
      <w:bookmarkStart w:name="2、履行精准扶贫社会责任情况" w:id="93"/>
      <w:bookmarkEnd w:id="93"/>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240" w:lineRule="auto" w:before="42"/>
        <w:ind w:left="513" w:right="1116"/>
        <w:jc w:val="left"/>
      </w:pPr>
      <w:r>
        <w:rPr/>
        <w:t>公司报告年度暂未开展精准扶贫工作，未来将积极参与精准扶贫工作。</w:t>
      </w:r>
    </w:p>
    <w:p>
      <w:pPr>
        <w:spacing w:line="297" w:lineRule="auto" w:before="56"/>
        <w:ind w:left="513" w:right="5353" w:hanging="361"/>
        <w:jc w:val="left"/>
        <w:rPr>
          <w:rFonts w:ascii="宋体" w:hAnsi="宋体" w:cs="宋体" w:eastAsia="宋体" w:hint="default"/>
          <w:sz w:val="18"/>
          <w:szCs w:val="18"/>
        </w:rPr>
      </w:pPr>
      <w:bookmarkStart w:name="3、环境保护相关的情况" w:id="94"/>
      <w:bookmarkEnd w:id="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100"/>
          <w:sz w:val="21"/>
          <w:szCs w:val="21"/>
        </w:rPr>
        <w:t> </w:t>
      </w:r>
      <w:r>
        <w:rPr>
          <w:rFonts w:ascii="宋体" w:hAnsi="宋体" w:cs="宋体" w:eastAsia="宋体" w:hint="default"/>
          <w:sz w:val="18"/>
          <w:szCs w:val="18"/>
        </w:rPr>
        <w:t>上市公司及其子公司是否属于环境保护部门公布的重点排污单位 否</w:t>
      </w:r>
    </w:p>
    <w:p>
      <w:pPr>
        <w:pStyle w:val="BodyText"/>
        <w:spacing w:line="240" w:lineRule="auto" w:before="33"/>
        <w:ind w:left="513" w:right="1116"/>
        <w:jc w:val="left"/>
      </w:pPr>
      <w:r>
        <w:rPr/>
        <w:t>本公司及其子公司从事业务主要为软件和信息技术服务，不会造成环境污染。</w:t>
      </w:r>
    </w:p>
    <w:p>
      <w:pPr>
        <w:pStyle w:val="Heading2"/>
        <w:spacing w:line="240" w:lineRule="auto" w:before="30"/>
        <w:ind w:left="0" w:right="7728"/>
        <w:jc w:val="center"/>
        <w:rPr>
          <w:b w:val="0"/>
          <w:bCs w:val="0"/>
        </w:rPr>
      </w:pPr>
      <w:bookmarkStart w:name="十八、其他重大事项的说明" w:id="95"/>
      <w:bookmarkEnd w:id="95"/>
      <w:r>
        <w:rPr>
          <w:b w:val="0"/>
          <w:bCs w:val="0"/>
        </w:rPr>
      </w:r>
      <w:r>
        <w:rPr/>
        <w:t>十八、其他重大事项的说明</w:t>
      </w:r>
      <w:r>
        <w:rPr>
          <w:b w:val="0"/>
          <w:bCs w:val="0"/>
        </w:rPr>
      </w:r>
    </w:p>
    <w:p>
      <w:pPr>
        <w:pStyle w:val="BodyText"/>
        <w:spacing w:line="451" w:lineRule="auto" w:before="125"/>
        <w:ind w:right="715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公司报告期不存在需要说明的其他重大事项。</w:t>
      </w:r>
    </w:p>
    <w:p>
      <w:pPr>
        <w:spacing w:after="0" w:line="451" w:lineRule="auto"/>
        <w:jc w:val="left"/>
        <w:sectPr>
          <w:pgSz w:w="11910" w:h="16840"/>
          <w:pgMar w:header="877" w:footer="980" w:top="108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1116"/>
        <w:jc w:val="left"/>
        <w:rPr>
          <w:b w:val="0"/>
          <w:bCs w:val="0"/>
        </w:rPr>
      </w:pPr>
      <w:bookmarkStart w:name="十九、公司子公司重大事项" w:id="96"/>
      <w:bookmarkEnd w:id="96"/>
      <w:r>
        <w:rPr>
          <w:b w:val="0"/>
          <w:bCs w:val="0"/>
        </w:rPr>
      </w:r>
      <w:r>
        <w:rPr/>
        <w:t>十九、公司子公司重大事项</w:t>
      </w:r>
      <w:r>
        <w:rPr>
          <w:b w:val="0"/>
          <w:bCs w:val="0"/>
        </w:rPr>
      </w:r>
    </w:p>
    <w:p>
      <w:pPr>
        <w:pStyle w:val="BodyText"/>
        <w:spacing w:line="240" w:lineRule="auto" w:before="47"/>
        <w:ind w:right="1116"/>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125" w:right="1123"/>
        <w:jc w:val="left"/>
        <w:rPr>
          <w:b w:val="0"/>
          <w:bCs w:val="0"/>
        </w:rPr>
      </w:pPr>
      <w:bookmarkStart w:name="第六节股份变动及股东情况" w:id="97"/>
      <w:bookmarkEnd w:id="97"/>
      <w:r>
        <w:rPr>
          <w:b w:val="0"/>
          <w:bCs w:val="0"/>
        </w:rPr>
      </w:r>
      <w:bookmarkStart w:name="_bookmark4" w:id="98"/>
      <w:bookmarkEnd w:id="98"/>
      <w:r>
        <w:rPr>
          <w:b w:val="0"/>
          <w:bCs w:val="0"/>
        </w:rPr>
      </w:r>
      <w:r>
        <w:rPr/>
        <w:t>第六节股份变动及股东情况</w:t>
      </w:r>
      <w:r>
        <w:rPr>
          <w:b w:val="0"/>
          <w:bCs w:val="0"/>
        </w:rPr>
      </w:r>
    </w:p>
    <w:p>
      <w:pPr>
        <w:spacing w:line="240" w:lineRule="auto" w:before="9"/>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980" w:top="1080" w:bottom="1160" w:left="900" w:right="0"/>
        </w:sectPr>
      </w:pPr>
    </w:p>
    <w:p>
      <w:pPr>
        <w:pStyle w:val="Heading2"/>
        <w:spacing w:line="240" w:lineRule="auto" w:before="26"/>
        <w:ind w:left="232" w:right="0"/>
        <w:jc w:val="left"/>
        <w:rPr>
          <w:b w:val="0"/>
          <w:bCs w:val="0"/>
        </w:rPr>
      </w:pPr>
      <w:bookmarkStart w:name="一、股份变动情况" w:id="99"/>
      <w:bookmarkEnd w:id="99"/>
      <w:r>
        <w:rPr>
          <w:b w:val="0"/>
          <w:bCs w:val="0"/>
        </w:rPr>
      </w:r>
      <w:r>
        <w:rPr>
          <w:w w:val="95"/>
        </w:rPr>
        <w:t>一、股份变动情况</w:t>
      </w:r>
      <w:r>
        <w:rPr>
          <w:b w:val="0"/>
          <w:bCs w:val="0"/>
        </w:rPr>
      </w:r>
    </w:p>
    <w:p>
      <w:pPr>
        <w:pStyle w:val="Heading3"/>
        <w:spacing w:line="240" w:lineRule="auto" w:before="25"/>
        <w:ind w:left="232"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7"/>
          <w:szCs w:val="17"/>
        </w:rPr>
      </w:pPr>
    </w:p>
    <w:p>
      <w:pPr>
        <w:pStyle w:val="BodyText"/>
        <w:spacing w:line="240" w:lineRule="auto"/>
        <w:ind w:left="232" w:right="0"/>
        <w:jc w:val="left"/>
      </w:pPr>
      <w:r>
        <w:rPr/>
        <w:t>单位：股</w:t>
      </w:r>
    </w:p>
    <w:p>
      <w:pPr>
        <w:spacing w:after="0" w:line="240" w:lineRule="auto"/>
        <w:jc w:val="left"/>
        <w:sectPr>
          <w:type w:val="continuous"/>
          <w:pgSz w:w="11910" w:h="16840"/>
          <w:pgMar w:top="1060" w:bottom="1160" w:left="900" w:right="0"/>
          <w:cols w:num="2" w:equalWidth="0">
            <w:col w:w="2160" w:space="6761"/>
            <w:col w:w="2089"/>
          </w:cols>
        </w:sectPr>
      </w:pP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239"/>
        <w:gridCol w:w="1200"/>
        <w:gridCol w:w="989"/>
        <w:gridCol w:w="595"/>
        <w:gridCol w:w="600"/>
        <w:gridCol w:w="826"/>
        <w:gridCol w:w="1219"/>
        <w:gridCol w:w="1111"/>
        <w:gridCol w:w="1169"/>
        <w:gridCol w:w="931"/>
      </w:tblGrid>
      <w:tr>
        <w:trPr>
          <w:trHeight w:val="322" w:hRule="exact"/>
        </w:trPr>
        <w:tc>
          <w:tcPr>
            <w:tcW w:w="1239" w:type="dxa"/>
            <w:vMerge w:val="restart"/>
            <w:tcBorders>
              <w:top w:val="single" w:sz="4" w:space="0" w:color="000000"/>
              <w:left w:val="single" w:sz="4" w:space="0" w:color="000000"/>
              <w:right w:val="single" w:sz="4" w:space="0" w:color="000000"/>
            </w:tcBorders>
            <w:shd w:val="clear" w:color="auto" w:fill="D2D2D2"/>
          </w:tcPr>
          <w:p>
            <w:pP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239"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2" w:right="11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送股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7" w:right="13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36"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0"/>
                <w:sz w:val="18"/>
                <w:szCs w:val="18"/>
              </w:rPr>
              <w:t>一、有限售条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件股份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157,628,268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56.85%</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-46,372,935</w:t>
            </w:r>
            <w:r>
              <w:rPr>
                <w:rFonts w:ascii="Times New Roman"/>
                <w:sz w:val="18"/>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-46,372,935</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111,255,333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40.45%</w:t>
            </w: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 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 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157,058,028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56.65%</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-46,023,015</w:t>
            </w:r>
            <w:r>
              <w:rPr>
                <w:rFonts w:ascii="Times New Roman"/>
                <w:sz w:val="18"/>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-46,023,015</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111,035,013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40.37%</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0"/>
                <w:sz w:val="18"/>
                <w:szCs w:val="18"/>
              </w:rPr>
              <w:t>其中：境内法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8,562,672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-8,562,672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-8,562,672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23" w:firstLine="540"/>
              <w:jc w:val="left"/>
              <w:rPr>
                <w:rFonts w:ascii="宋体" w:hAnsi="宋体" w:cs="宋体" w:eastAsia="宋体" w:hint="default"/>
                <w:sz w:val="18"/>
                <w:szCs w:val="18"/>
              </w:rPr>
            </w:pPr>
            <w:r>
              <w:rPr>
                <w:rFonts w:ascii="宋体" w:hAnsi="宋体" w:cs="宋体" w:eastAsia="宋体" w:hint="default"/>
                <w:sz w:val="18"/>
                <w:szCs w:val="18"/>
              </w:rPr>
              <w:t>境内 自然人持股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148,495,356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53.56%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-37,460,343</w:t>
            </w:r>
            <w:r>
              <w:rPr>
                <w:rFonts w:ascii="Times New Roman"/>
                <w:sz w:val="18"/>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-37,460,343</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111,035,013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40.37%</w:t>
            </w:r>
          </w:p>
        </w:tc>
      </w:tr>
      <w:tr>
        <w:trPr>
          <w:trHeight w:val="32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570,240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0.21%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-349,920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-349,920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220,320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0.08%</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0"/>
                <w:sz w:val="18"/>
                <w:szCs w:val="18"/>
              </w:rPr>
              <w:t>其中：境外法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223" w:firstLine="540"/>
              <w:jc w:val="left"/>
              <w:rPr>
                <w:rFonts w:ascii="宋体" w:hAnsi="宋体" w:cs="宋体" w:eastAsia="宋体" w:hint="default"/>
                <w:sz w:val="18"/>
                <w:szCs w:val="18"/>
              </w:rPr>
            </w:pPr>
            <w:r>
              <w:rPr>
                <w:rFonts w:ascii="宋体" w:hAnsi="宋体" w:cs="宋体" w:eastAsia="宋体" w:hint="default"/>
                <w:sz w:val="18"/>
                <w:szCs w:val="18"/>
              </w:rPr>
              <w:t>境外 自然人持股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570,240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-349,920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-349,920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220,320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0.08%</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0"/>
                <w:sz w:val="18"/>
                <w:szCs w:val="18"/>
              </w:rPr>
              <w:t>二、无限售条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件股份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119,625,012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43.15%</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44,154,399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44,154,399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163,779,411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59.55%</w:t>
            </w: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119,625,012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43.15%</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44,154,399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44,154,399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163,779,411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59.55%</w:t>
            </w:r>
          </w:p>
        </w:tc>
      </w:tr>
      <w:tr>
        <w:trPr>
          <w:trHeight w:val="324"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0"/>
                <w:sz w:val="18"/>
                <w:szCs w:val="18"/>
              </w:rPr>
              <w:t>三、股份总数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277,253,280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-2,218,536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-2,218,536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275,034,744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7"/>
        <w:ind w:left="232" w:right="0"/>
        <w:jc w:val="both"/>
      </w:pPr>
      <w:r>
        <w:rPr/>
        <w:t>股份变动的原因</w:t>
      </w:r>
    </w:p>
    <w:p>
      <w:pPr>
        <w:spacing w:line="240" w:lineRule="auto" w:before="10"/>
        <w:rPr>
          <w:rFonts w:ascii="宋体" w:hAnsi="宋体" w:cs="宋体" w:eastAsia="宋体" w:hint="default"/>
          <w:sz w:val="17"/>
          <w:szCs w:val="17"/>
        </w:rPr>
      </w:pPr>
    </w:p>
    <w:p>
      <w:pPr>
        <w:pStyle w:val="BodyText"/>
        <w:spacing w:line="451" w:lineRule="auto"/>
        <w:ind w:left="593" w:right="1123" w:hanging="361"/>
        <w:jc w:val="left"/>
      </w:pPr>
      <w:r>
        <w:rPr>
          <w:rFonts w:ascii="Times New Roman" w:hAnsi="Times New Roman" w:cs="Times New Roman" w:eastAsia="Times New Roman" w:hint="default"/>
        </w:rPr>
        <w:t>√ </w:t>
      </w:r>
      <w:r>
        <w:rPr/>
        <w:t>适用 □</w:t>
      </w:r>
      <w:r>
        <w:rPr>
          <w:spacing w:val="3"/>
        </w:rPr>
        <w:t> </w:t>
      </w:r>
      <w:r>
        <w:rPr/>
        <w:t>不适用</w:t>
      </w:r>
      <w:r>
        <w:rPr/>
        <w:t>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日召开第三届董事会第十八次会议、第三届监事会第十五次会议，审议通过了《关于回购注销部分</w:t>
      </w:r>
    </w:p>
    <w:p>
      <w:pPr>
        <w:pStyle w:val="BodyText"/>
        <w:spacing w:line="451" w:lineRule="auto" w:before="43"/>
        <w:ind w:left="232" w:right="1131"/>
        <w:jc w:val="both"/>
      </w:pPr>
      <w:r>
        <w:rPr>
          <w:spacing w:val="-2"/>
        </w:rPr>
        <w:t>已授予未解锁限制性股票的议案》，因</w:t>
      </w:r>
      <w:r>
        <w:rPr>
          <w:rFonts w:ascii="Times New Roman" w:hAnsi="Times New Roman" w:cs="Times New Roman" w:eastAsia="Times New Roman" w:hint="default"/>
          <w:spacing w:val="-2"/>
        </w:rPr>
        <w:t>10</w:t>
      </w:r>
      <w:r>
        <w:rPr>
          <w:spacing w:val="-2"/>
        </w:rPr>
        <w:t>名激励对象离职不再具备激励资格，公司拟对其所持有的已获授但尚未解除限售的</w:t>
      </w:r>
      <w:r>
        <w:rPr>
          <w:spacing w:val="-69"/>
        </w:rPr>
        <w:t> </w:t>
      </w:r>
      <w:r>
        <w:rPr/>
        <w:t>限制性股票共计</w:t>
      </w:r>
      <w:r>
        <w:rPr>
          <w:rFonts w:ascii="Times New Roman" w:hAnsi="Times New Roman" w:cs="Times New Roman" w:eastAsia="Times New Roman" w:hint="default"/>
        </w:rPr>
        <w:t>35.9208</w:t>
      </w:r>
      <w:r>
        <w:rPr/>
        <w:t>万股进行回购注销。同时，鉴于</w:t>
      </w:r>
      <w:r>
        <w:rPr>
          <w:rFonts w:ascii="Times New Roman" w:hAnsi="Times New Roman" w:cs="Times New Roman" w:eastAsia="Times New Roman" w:hint="default"/>
        </w:rPr>
        <w:t>2017</w:t>
      </w:r>
      <w:r>
        <w:rPr/>
        <w:t>年限制性股票激励计划第二个解除限售期公司业绩考核要求未 </w:t>
      </w:r>
      <w:r>
        <w:rPr>
          <w:spacing w:val="-1"/>
        </w:rPr>
        <w:t>能达标，公司拟对</w:t>
      </w:r>
      <w:r>
        <w:rPr>
          <w:rFonts w:ascii="Times New Roman" w:hAnsi="Times New Roman" w:cs="Times New Roman" w:eastAsia="Times New Roman" w:hint="default"/>
          <w:spacing w:val="-1"/>
        </w:rPr>
        <w:t>78</w:t>
      </w:r>
      <w:r>
        <w:rPr>
          <w:spacing w:val="-1"/>
        </w:rPr>
        <w:t>名激励对象第二个解除限售期内所持有的全部已获授但尚未解除限售的限制性股票共计</w:t>
      </w:r>
      <w:r>
        <w:rPr>
          <w:rFonts w:ascii="Times New Roman" w:hAnsi="Times New Roman" w:cs="Times New Roman" w:eastAsia="Times New Roman" w:hint="default"/>
          <w:spacing w:val="-1"/>
        </w:rPr>
        <w:t>185.9328</w:t>
      </w:r>
      <w:r>
        <w:rPr>
          <w:spacing w:val="-1"/>
        </w:rPr>
        <w:t>万股一</w:t>
      </w:r>
      <w:r>
        <w:rPr>
          <w:spacing w:val="-72"/>
        </w:rPr>
        <w:t> </w:t>
      </w:r>
      <w:r>
        <w:rPr>
          <w:spacing w:val="-72"/>
        </w:rPr>
      </w:r>
      <w:r>
        <w:rPr/>
        <w:t>并进行回购注销。综上，公司拟对</w:t>
      </w:r>
      <w:r>
        <w:rPr>
          <w:rFonts w:ascii="Times New Roman" w:hAnsi="Times New Roman" w:cs="Times New Roman" w:eastAsia="Times New Roman" w:hint="default"/>
        </w:rPr>
        <w:t>2017</w:t>
      </w:r>
      <w:r>
        <w:rPr/>
        <w:t>年限制性股票激励计划合计</w:t>
      </w:r>
      <w:r>
        <w:rPr>
          <w:rFonts w:ascii="Times New Roman" w:hAnsi="Times New Roman" w:cs="Times New Roman" w:eastAsia="Times New Roman" w:hint="default"/>
        </w:rPr>
        <w:t>221.8536</w:t>
      </w:r>
      <w:r>
        <w:rPr/>
        <w:t>万股限制性股票进行回购注销，回购价格为</w:t>
      </w:r>
      <w:r>
        <w:rPr>
          <w:rFonts w:ascii="Times New Roman" w:hAnsi="Times New Roman" w:cs="Times New Roman" w:eastAsia="Times New Roman" w:hint="default"/>
        </w:rPr>
        <w:t>9.61 </w:t>
      </w:r>
      <w:r>
        <w:rPr/>
        <w:t>元</w:t>
      </w:r>
      <w:r>
        <w:rPr>
          <w:rFonts w:ascii="Times New Roman" w:hAnsi="Times New Roman" w:cs="Times New Roman" w:eastAsia="Times New Roman" w:hint="default"/>
        </w:rPr>
        <w:t>/</w:t>
      </w:r>
      <w:r>
        <w:rPr/>
        <w:t>股。上述议案已经公司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年年度股东大会审议通过。</w:t>
      </w:r>
    </w:p>
    <w:p>
      <w:pPr>
        <w:pStyle w:val="BodyText"/>
        <w:spacing w:line="451" w:lineRule="auto" w:before="43"/>
        <w:ind w:left="232" w:right="1123"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25</w:t>
      </w:r>
      <w:r>
        <w:rPr>
          <w:spacing w:val="-4"/>
        </w:rPr>
        <w:t>日，公司披露《关于部分已授予未解锁限制性股票回购注销完成的公告》，上述限制性股票已在中国证券登</w:t>
      </w:r>
      <w:r>
        <w:rPr/>
        <w:t> 记结算有限责任公司深圳分公司完成回购注销手续，公司股份总数减少</w:t>
      </w:r>
      <w:r>
        <w:rPr>
          <w:rFonts w:ascii="Times New Roman" w:hAnsi="Times New Roman" w:cs="Times New Roman" w:eastAsia="Times New Roman" w:hint="default"/>
        </w:rPr>
        <w:t>221.8536</w:t>
      </w:r>
      <w:r>
        <w:rPr/>
        <w:t>万股，公司总股本由</w:t>
      </w:r>
      <w:r>
        <w:rPr>
          <w:rFonts w:ascii="Times New Roman" w:hAnsi="Times New Roman" w:cs="Times New Roman" w:eastAsia="Times New Roman" w:hint="default"/>
        </w:rPr>
        <w:t>277,253,280</w:t>
      </w:r>
      <w:r>
        <w:rPr/>
        <w:t>股减少至</w:t>
      </w:r>
    </w:p>
    <w:p>
      <w:pPr>
        <w:spacing w:after="0" w:line="451" w:lineRule="auto"/>
        <w:jc w:val="left"/>
        <w:sectPr>
          <w:type w:val="continuous"/>
          <w:pgSz w:w="11910" w:h="16840"/>
          <w:pgMar w:top="1060" w:bottom="1160" w:left="90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rFonts w:ascii="Times New Roman" w:hAnsi="Times New Roman" w:cs="Times New Roman" w:eastAsia="Times New Roman" w:hint="default"/>
        </w:rPr>
        <w:t>275,034,744</w:t>
      </w:r>
      <w:r>
        <w:rPr/>
        <w:t>股。</w:t>
      </w:r>
    </w:p>
    <w:p>
      <w:pPr>
        <w:spacing w:line="240" w:lineRule="auto" w:before="10"/>
        <w:rPr>
          <w:rFonts w:ascii="宋体" w:hAnsi="宋体" w:cs="宋体" w:eastAsia="宋体" w:hint="default"/>
          <w:sz w:val="16"/>
          <w:szCs w:val="16"/>
        </w:rPr>
      </w:pPr>
    </w:p>
    <w:p>
      <w:pPr>
        <w:pStyle w:val="BodyText"/>
        <w:spacing w:line="240" w:lineRule="auto"/>
        <w:ind w:right="1116"/>
        <w:jc w:val="left"/>
      </w:pPr>
      <w:r>
        <w:rPr/>
        <w:t>股份变动的批准情况</w:t>
      </w:r>
    </w:p>
    <w:p>
      <w:pPr>
        <w:spacing w:line="240" w:lineRule="auto" w:before="10"/>
        <w:rPr>
          <w:rFonts w:ascii="宋体" w:hAnsi="宋体" w:cs="宋体" w:eastAsia="宋体" w:hint="default"/>
          <w:sz w:val="17"/>
          <w:szCs w:val="17"/>
        </w:rPr>
      </w:pPr>
    </w:p>
    <w:p>
      <w:pPr>
        <w:pStyle w:val="BodyText"/>
        <w:spacing w:line="451" w:lineRule="auto"/>
        <w:ind w:left="513" w:right="1116" w:hanging="361"/>
        <w:jc w:val="left"/>
      </w:pPr>
      <w:r>
        <w:rPr>
          <w:rFonts w:ascii="Times New Roman" w:hAnsi="Times New Roman" w:cs="Times New Roman" w:eastAsia="Times New Roman" w:hint="default"/>
        </w:rPr>
        <w:t>√ </w:t>
      </w:r>
      <w:r>
        <w:rPr/>
        <w:t>适用 □</w:t>
      </w:r>
      <w:r>
        <w:rPr>
          <w:spacing w:val="3"/>
        </w:rPr>
        <w:t> </w:t>
      </w:r>
      <w:r>
        <w:rPr/>
        <w:t>不适用</w:t>
      </w:r>
      <w:r>
        <w:rPr/>
        <w:t> </w:t>
      </w:r>
      <w:r>
        <w:rPr>
          <w:spacing w:val="-7"/>
        </w:rPr>
        <w:t>公司于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5</w:t>
      </w:r>
      <w:r>
        <w:rPr>
          <w:spacing w:val="-7"/>
        </w:rPr>
        <w:t>月</w:t>
      </w:r>
      <w:r>
        <w:rPr>
          <w:rFonts w:ascii="Times New Roman" w:hAnsi="Times New Roman" w:cs="Times New Roman" w:eastAsia="Times New Roman" w:hint="default"/>
          <w:spacing w:val="-7"/>
        </w:rPr>
        <w:t>15</w:t>
      </w:r>
      <w:r>
        <w:rPr>
          <w:spacing w:val="-7"/>
        </w:rPr>
        <w:t>日召开</w:t>
      </w:r>
      <w:r>
        <w:rPr>
          <w:rFonts w:ascii="Times New Roman" w:hAnsi="Times New Roman" w:cs="Times New Roman" w:eastAsia="Times New Roman" w:hint="default"/>
          <w:spacing w:val="-7"/>
        </w:rPr>
        <w:t>2018</w:t>
      </w:r>
      <w:r>
        <w:rPr>
          <w:spacing w:val="-7"/>
        </w:rPr>
        <w:t>年年度股东大会，审议通过了《关于回购注销部分已授予未解锁限制性股票的议案》、《关</w:t>
      </w:r>
    </w:p>
    <w:p>
      <w:pPr>
        <w:pStyle w:val="BodyText"/>
        <w:spacing w:line="240" w:lineRule="auto" w:before="43"/>
        <w:ind w:right="1116"/>
        <w:jc w:val="left"/>
      </w:pPr>
      <w:r>
        <w:rPr/>
        <w:t>于减少公司注册资本的议案</w:t>
      </w:r>
      <w:r>
        <w:rPr>
          <w:spacing w:val="-92"/>
        </w:rPr>
        <w:t>》</w:t>
      </w:r>
      <w:r>
        <w:rPr>
          <w:spacing w:val="2"/>
        </w:rPr>
        <w:t>，</w:t>
      </w:r>
      <w:r>
        <w:rPr/>
        <w:t>具体内容详见巨潮资讯网</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年年度股东大会决议公告</w:t>
      </w:r>
      <w:r>
        <w:rPr>
          <w:spacing w:val="-92"/>
        </w:rPr>
        <w:t>》</w:t>
      </w:r>
      <w:r>
        <w:rPr/>
        <w:t>（公告编号</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26</w:t>
      </w:r>
      <w:r>
        <w:rPr>
          <w:spacing w:val="-92"/>
        </w:rPr>
        <w:t>）。</w:t>
      </w:r>
      <w:r>
        <w:rPr/>
      </w:r>
    </w:p>
    <w:p>
      <w:pPr>
        <w:spacing w:line="240" w:lineRule="auto" w:before="9"/>
        <w:rPr>
          <w:rFonts w:ascii="宋体" w:hAnsi="宋体" w:cs="宋体" w:eastAsia="宋体" w:hint="default"/>
          <w:sz w:val="16"/>
          <w:szCs w:val="16"/>
        </w:rPr>
      </w:pPr>
    </w:p>
    <w:p>
      <w:pPr>
        <w:pStyle w:val="BodyText"/>
        <w:spacing w:line="451" w:lineRule="auto"/>
        <w:ind w:right="1116"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25</w:t>
      </w:r>
      <w:r>
        <w:rPr>
          <w:spacing w:val="-4"/>
        </w:rPr>
        <w:t>日，公司披露《关于部分已授予未解锁限制性股票回购注销完成的公告》，上述限制性股票已在中国证券登</w:t>
      </w:r>
      <w:r>
        <w:rPr/>
        <w:t> 记结算有限责任公司深圳分公司完成回购注销手续，公司股份总数减少</w:t>
      </w:r>
      <w:r>
        <w:rPr>
          <w:rFonts w:ascii="Times New Roman" w:hAnsi="Times New Roman" w:cs="Times New Roman" w:eastAsia="Times New Roman" w:hint="default"/>
        </w:rPr>
        <w:t>221.8536</w:t>
      </w:r>
      <w:r>
        <w:rPr/>
        <w:t>万股，公司总股本由</w:t>
      </w:r>
      <w:r>
        <w:rPr>
          <w:rFonts w:ascii="Times New Roman" w:hAnsi="Times New Roman" w:cs="Times New Roman" w:eastAsia="Times New Roman" w:hint="default"/>
        </w:rPr>
        <w:t>277,253,280</w:t>
      </w:r>
      <w:r>
        <w:rPr/>
        <w:t>股减少至 </w:t>
      </w:r>
      <w:r>
        <w:rPr>
          <w:rFonts w:ascii="Times New Roman" w:hAnsi="Times New Roman" w:cs="Times New Roman" w:eastAsia="Times New Roman" w:hint="default"/>
        </w:rPr>
        <w:t>275,034,744</w:t>
      </w:r>
      <w:r>
        <w:rPr/>
        <w:t>股。</w:t>
      </w:r>
    </w:p>
    <w:p>
      <w:pPr>
        <w:pStyle w:val="BodyText"/>
        <w:spacing w:line="451" w:lineRule="auto" w:before="44"/>
        <w:ind w:right="1122" w:firstLine="36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spacing w:val="-1"/>
        </w:rPr>
        <w:t>年</w:t>
      </w:r>
      <w:r>
        <w:rPr>
          <w:rFonts w:ascii="Times New Roman" w:hAnsi="Times New Roman" w:cs="Times New Roman" w:eastAsia="Times New Roman" w:hint="default"/>
          <w:spacing w:val="1"/>
        </w:rPr>
        <w:t>8</w:t>
      </w:r>
      <w:r>
        <w:rPr>
          <w:spacing w:val="-3"/>
        </w:rPr>
        <w:t>月</w:t>
      </w:r>
      <w:r>
        <w:rPr>
          <w:rFonts w:ascii="Times New Roman" w:hAnsi="Times New Roman" w:cs="Times New Roman" w:eastAsia="Times New Roman" w:hint="default"/>
          <w:spacing w:val="1"/>
        </w:rPr>
        <w:t>27</w:t>
      </w:r>
      <w:r>
        <w:rPr>
          <w:spacing w:val="-3"/>
        </w:rPr>
        <w:t>日</w:t>
      </w:r>
      <w:r>
        <w:rPr>
          <w:spacing w:val="-27"/>
        </w:rPr>
        <w:t>，</w:t>
      </w:r>
      <w:r>
        <w:rPr/>
        <w:t>公司披</w:t>
      </w:r>
      <w:r>
        <w:rPr>
          <w:spacing w:val="-27"/>
        </w:rPr>
        <w:t>露</w:t>
      </w:r>
      <w:r>
        <w:rPr/>
        <w:t>《</w:t>
      </w:r>
      <w:r>
        <w:rPr>
          <w:spacing w:val="-3"/>
        </w:rPr>
        <w:t>关</w:t>
      </w:r>
      <w:r>
        <w:rPr/>
        <w:t>于完成工商变更登记的公告</w:t>
      </w:r>
      <w:r>
        <w:rPr>
          <w:spacing w:val="-91"/>
        </w:rPr>
        <w:t>》</w:t>
      </w:r>
      <w:r>
        <w:rPr>
          <w:spacing w:val="-27"/>
        </w:rPr>
        <w:t>，</w:t>
      </w:r>
      <w:r>
        <w:rPr/>
        <w:t>公司已就注册资本减少等事项完成了相应的工商变更登记</w:t>
      </w:r>
      <w:r>
        <w:rPr/>
        <w:t> 及备案手续，并取得深圳市市场监督管理局的《变更（备案）通知书</w:t>
      </w:r>
      <w:r>
        <w:rPr>
          <w:spacing w:val="-92"/>
        </w:rPr>
        <w:t>》</w:t>
      </w:r>
      <w:r>
        <w:rPr/>
        <w:t>。</w:t>
      </w:r>
    </w:p>
    <w:p>
      <w:pPr>
        <w:pStyle w:val="BodyText"/>
        <w:spacing w:line="240" w:lineRule="auto" w:before="74"/>
        <w:ind w:right="1116"/>
        <w:jc w:val="left"/>
      </w:pPr>
      <w:r>
        <w:rPr/>
        <w:t>股份变动的过户情况</w:t>
      </w:r>
    </w:p>
    <w:p>
      <w:pPr>
        <w:spacing w:line="240" w:lineRule="auto" w:before="10"/>
        <w:rPr>
          <w:rFonts w:ascii="宋体" w:hAnsi="宋体" w:cs="宋体" w:eastAsia="宋体" w:hint="default"/>
          <w:sz w:val="17"/>
          <w:szCs w:val="17"/>
        </w:rPr>
      </w:pPr>
    </w:p>
    <w:p>
      <w:pPr>
        <w:pStyle w:val="BodyText"/>
        <w:spacing w:line="451" w:lineRule="auto"/>
        <w:ind w:right="8774"/>
        <w:jc w:val="left"/>
      </w:pPr>
      <w:r>
        <w:rPr>
          <w:rFonts w:ascii="Times New Roman" w:hAnsi="Times New Roman" w:cs="Times New Roman" w:eastAsia="Times New Roman" w:hint="default"/>
        </w:rPr>
        <w:t>□ </w:t>
      </w:r>
      <w:r>
        <w:rPr/>
        <w:t>适用 √</w:t>
      </w:r>
      <w:r>
        <w:rPr>
          <w:spacing w:val="2"/>
        </w:rPr>
        <w:t> </w:t>
      </w:r>
      <w:r>
        <w:rPr/>
        <w:t>不适用</w:t>
      </w:r>
      <w:r>
        <w:rPr>
          <w:w w:val="99"/>
        </w:rPr>
        <w:t> </w:t>
      </w:r>
      <w:r>
        <w:rPr/>
        <w:t>股份回购的实施进展情况</w:t>
      </w:r>
    </w:p>
    <w:p>
      <w:pPr>
        <w:pStyle w:val="BodyText"/>
        <w:spacing w:line="451" w:lineRule="auto" w:before="74"/>
        <w:ind w:right="6974"/>
        <w:jc w:val="left"/>
      </w:pPr>
      <w:r>
        <w:rPr>
          <w:rFonts w:ascii="Times New Roman" w:hAnsi="Times New Roman" w:cs="Times New Roman" w:eastAsia="Times New Roman" w:hint="default"/>
        </w:rPr>
        <w:t>□ </w:t>
      </w:r>
      <w:r>
        <w:rPr/>
        <w:t>适用 √</w:t>
      </w:r>
      <w:r>
        <w:rPr>
          <w:spacing w:val="2"/>
        </w:rPr>
        <w:t> </w:t>
      </w:r>
      <w:r>
        <w:rPr/>
        <w:t>不适用</w:t>
      </w:r>
      <w:r>
        <w:rPr>
          <w:w w:val="99"/>
        </w:rPr>
        <w:t> </w:t>
      </w:r>
      <w:r>
        <w:rPr/>
        <w:t>采用集中竞价方式减持回购股份的实施进展情况</w:t>
      </w:r>
    </w:p>
    <w:p>
      <w:pPr>
        <w:pStyle w:val="BodyText"/>
        <w:spacing w:line="451" w:lineRule="auto" w:before="74"/>
        <w:ind w:right="1394"/>
        <w:jc w:val="left"/>
      </w:pPr>
      <w:r>
        <w:rPr>
          <w:rFonts w:ascii="Times New Roman" w:hAnsi="Times New Roman" w:cs="Times New Roman" w:eastAsia="Times New Roman" w:hint="default"/>
        </w:rPr>
        <w:t>□ </w:t>
      </w:r>
      <w:r>
        <w:rPr/>
        <w:t>适用 √</w:t>
      </w:r>
      <w:r>
        <w:rPr>
          <w:spacing w:val="2"/>
        </w:rPr>
        <w:t> </w:t>
      </w:r>
      <w:r>
        <w:rPr/>
        <w:t>不适用</w:t>
      </w:r>
      <w:r>
        <w:rPr>
          <w:w w:val="99"/>
        </w:rPr>
        <w:t> </w:t>
      </w:r>
      <w:r>
        <w:rPr/>
        <w:t>股份变动对最近一年和最近一期基本每股收益和稀释每股收益、归属于公司普通股股东的每股净资产等财务指标的影响</w:t>
      </w:r>
    </w:p>
    <w:p>
      <w:pPr>
        <w:pStyle w:val="BodyText"/>
        <w:spacing w:line="451" w:lineRule="auto" w:before="74"/>
        <w:ind w:right="1154"/>
        <w:jc w:val="left"/>
      </w:pPr>
      <w:r>
        <w:rPr>
          <w:rFonts w:ascii="Times New Roman" w:hAnsi="Times New Roman" w:cs="Times New Roman" w:eastAsia="Times New Roman" w:hint="default"/>
        </w:rPr>
        <w:t>√ </w:t>
      </w:r>
      <w:r>
        <w:rPr/>
        <w:t>适用 □</w:t>
      </w:r>
      <w:r>
        <w:rPr>
          <w:spacing w:val="3"/>
        </w:rPr>
        <w:t> </w:t>
      </w:r>
      <w:r>
        <w:rPr/>
        <w:t>不适用</w:t>
      </w:r>
      <w:r>
        <w:rPr/>
        <w:t> 报告期对未能解禁的限制性股票进行回购，减少股本</w:t>
      </w:r>
      <w:r>
        <w:rPr>
          <w:rFonts w:ascii="Times New Roman" w:hAnsi="Times New Roman" w:cs="Times New Roman" w:eastAsia="Times New Roman" w:hint="default"/>
        </w:rPr>
        <w:t>2,218,536.00</w:t>
      </w:r>
      <w:r>
        <w:rPr/>
        <w:t>股，占总股数比例为</w:t>
      </w:r>
      <w:r>
        <w:rPr>
          <w:rFonts w:ascii="Times New Roman" w:hAnsi="Times New Roman" w:cs="Times New Roman" w:eastAsia="Times New Roman" w:hint="default"/>
        </w:rPr>
        <w:t>0.8%</w:t>
      </w:r>
      <w:r>
        <w:rPr/>
        <w:t>，对每股收益、每股净资产几乎 没有影响。</w:t>
      </w:r>
    </w:p>
    <w:p>
      <w:pPr>
        <w:pStyle w:val="BodyText"/>
        <w:spacing w:line="240" w:lineRule="auto" w:before="74"/>
        <w:ind w:right="1116"/>
        <w:jc w:val="left"/>
      </w:pPr>
      <w:r>
        <w:rPr/>
        <w:t>公司认为必要或证券监管机构要求披露的其他内容</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0" w:top="1080" w:bottom="1160" w:left="980" w:right="0"/>
        </w:sectPr>
      </w:pPr>
    </w:p>
    <w:p>
      <w:pPr>
        <w:pStyle w:val="BodyText"/>
        <w:spacing w:line="240" w:lineRule="auto" w:before="44"/>
        <w:ind w:right="-8"/>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8"/>
        <w:jc w:val="left"/>
        <w:rPr>
          <w:b w:val="0"/>
          <w:bCs w:val="0"/>
        </w:rPr>
      </w:pPr>
      <w:bookmarkStart w:name="2、限售股份变动情况" w:id="101"/>
      <w:bookmarkEnd w:id="101"/>
      <w:r>
        <w:rPr>
          <w:b w:val="0"/>
          <w:bCs w:val="0"/>
        </w:rPr>
      </w:r>
      <w:r>
        <w:rPr>
          <w:rFonts w:ascii="Times New Roman" w:hAnsi="Times New Roman" w:cs="Times New Roman" w:eastAsia="Times New Roman" w:hint="default"/>
          <w:spacing w:val="-1"/>
        </w:rPr>
        <w:t>2</w:t>
      </w:r>
      <w:r>
        <w:rPr>
          <w:spacing w:val="-1"/>
        </w:rPr>
        <w:t>、限售股份变动情况</w:t>
      </w:r>
      <w:r>
        <w:rPr>
          <w:b w:val="0"/>
          <w:bCs w:val="0"/>
          <w:spacing w:val="-1"/>
        </w:rPr>
      </w:r>
    </w:p>
    <w:p>
      <w:pPr>
        <w:pStyle w:val="BodyText"/>
        <w:spacing w:line="240" w:lineRule="auto" w:before="42"/>
        <w:ind w:right="-8"/>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2157" w:space="6763"/>
            <w:col w:w="201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72"/>
        <w:gridCol w:w="1207"/>
        <w:gridCol w:w="1109"/>
        <w:gridCol w:w="1411"/>
        <w:gridCol w:w="1140"/>
        <w:gridCol w:w="1870"/>
        <w:gridCol w:w="1658"/>
      </w:tblGrid>
      <w:tr>
        <w:trPr>
          <w:trHeight w:val="635"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511" w:right="144"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89" w:right="188"/>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520" w:right="15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475" w:right="113" w:hanging="361"/>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127,862,388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127,862,388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96,519,264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5"/>
              <w:jc w:val="left"/>
              <w:rPr>
                <w:rFonts w:ascii="宋体" w:hAnsi="宋体" w:cs="宋体" w:eastAsia="宋体" w:hint="default"/>
                <w:sz w:val="18"/>
                <w:szCs w:val="18"/>
              </w:rPr>
            </w:pPr>
            <w:r>
              <w:rPr>
                <w:rFonts w:ascii="宋体" w:hAnsi="宋体" w:cs="宋体" w:eastAsia="宋体" w:hint="default"/>
                <w:sz w:val="18"/>
                <w:szCs w:val="18"/>
              </w:rPr>
              <w:t>首发限售承诺、高管 锁定股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17,125,344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17,125,344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12,844,008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5"/>
              <w:jc w:val="left"/>
              <w:rPr>
                <w:rFonts w:ascii="宋体" w:hAnsi="宋体" w:cs="宋体" w:eastAsia="宋体" w:hint="default"/>
                <w:sz w:val="18"/>
                <w:szCs w:val="18"/>
              </w:rPr>
            </w:pPr>
            <w:r>
              <w:rPr>
                <w:rFonts w:ascii="宋体" w:hAnsi="宋体" w:cs="宋体" w:eastAsia="宋体" w:hint="default"/>
                <w:sz w:val="18"/>
                <w:szCs w:val="18"/>
              </w:rPr>
              <w:t>首发限售承诺、高管 锁定股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172"/>
        <w:gridCol w:w="1207"/>
        <w:gridCol w:w="1109"/>
        <w:gridCol w:w="1411"/>
        <w:gridCol w:w="1140"/>
        <w:gridCol w:w="1870"/>
        <w:gridCol w:w="1658"/>
      </w:tblGrid>
      <w:tr>
        <w:trPr>
          <w:trHeight w:val="125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56"/>
              <w:jc w:val="both"/>
              <w:rPr>
                <w:rFonts w:ascii="宋体" w:hAnsi="宋体" w:cs="宋体" w:eastAsia="宋体" w:hint="default"/>
                <w:sz w:val="18"/>
                <w:szCs w:val="18"/>
              </w:rPr>
            </w:pPr>
            <w:r>
              <w:rPr>
                <w:rFonts w:ascii="宋体" w:hAnsi="宋体" w:cs="宋体" w:eastAsia="宋体" w:hint="default"/>
                <w:sz w:val="18"/>
                <w:szCs w:val="18"/>
              </w:rPr>
              <w:t>深圳市华锐 丰投资合伙 企业（有限 合伙）</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8,562,672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8,562,672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张小麒</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440,640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220,320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2"/>
                <w:sz w:val="18"/>
              </w:rPr>
              <w:t>311,040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155,520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2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刘成凯</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
                <w:sz w:val="18"/>
              </w:rPr>
              <w:t>311,040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155,520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梁建平</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129,600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64,800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5"/>
              <w:jc w:val="left"/>
              <w:rPr>
                <w:rFonts w:ascii="宋体" w:hAnsi="宋体" w:cs="宋体" w:eastAsia="宋体" w:hint="default"/>
                <w:sz w:val="18"/>
                <w:szCs w:val="18"/>
              </w:rPr>
            </w:pPr>
            <w:r>
              <w:rPr>
                <w:rFonts w:ascii="宋体" w:hAnsi="宋体" w:cs="宋体" w:eastAsia="宋体" w:hint="default"/>
                <w:sz w:val="18"/>
                <w:szCs w:val="18"/>
              </w:rPr>
              <w:t>股权激励限售、高管 离职锁定</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63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2,755,944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1,198,701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5"/>
              <w:jc w:val="left"/>
              <w:rPr>
                <w:rFonts w:ascii="宋体" w:hAnsi="宋体" w:cs="宋体" w:eastAsia="宋体" w:hint="default"/>
                <w:sz w:val="18"/>
                <w:szCs w:val="18"/>
              </w:rPr>
            </w:pPr>
            <w:r>
              <w:rPr>
                <w:rFonts w:ascii="宋体" w:hAnsi="宋体" w:cs="宋体" w:eastAsia="宋体" w:hint="default"/>
                <w:sz w:val="18"/>
                <w:szCs w:val="18"/>
              </w:rPr>
              <w:t>股权激励限售、高管 锁定</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22"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157,628,268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32,733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153,550,404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111,255,333</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2"/>
        <w:spacing w:line="276" w:lineRule="exact"/>
        <w:ind w:right="1116"/>
        <w:jc w:val="left"/>
        <w:rPr>
          <w:b w:val="0"/>
          <w:bCs w:val="0"/>
        </w:rPr>
      </w:pPr>
      <w:bookmarkStart w:name="二、证券发行与上市情况" w:id="102"/>
      <w:bookmarkEnd w:id="102"/>
      <w:r>
        <w:rPr>
          <w:b w:val="0"/>
          <w:bCs w:val="0"/>
        </w:rPr>
      </w:r>
      <w:r>
        <w:rPr/>
        <w:t>二、证券发行与上市情况</w:t>
      </w:r>
      <w:r>
        <w:rPr>
          <w:b w:val="0"/>
          <w:bCs w:val="0"/>
        </w:rPr>
      </w:r>
    </w:p>
    <w:p>
      <w:pPr>
        <w:pStyle w:val="Heading3"/>
        <w:spacing w:line="240" w:lineRule="auto" w:before="25"/>
        <w:ind w:right="1116"/>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451" w:lineRule="auto" w:before="121"/>
        <w:ind w:left="513" w:right="1116" w:hanging="361"/>
        <w:jc w:val="left"/>
      </w:pPr>
      <w:r>
        <w:rPr>
          <w:rFonts w:ascii="Times New Roman" w:hAnsi="Times New Roman" w:cs="Times New Roman" w:eastAsia="Times New Roman" w:hint="default"/>
        </w:rPr>
        <w:t>√ </w:t>
      </w:r>
      <w:r>
        <w:rPr/>
        <w:t>适用 □</w:t>
      </w:r>
      <w:r>
        <w:rPr>
          <w:spacing w:val="3"/>
        </w:rPr>
        <w:t> </w:t>
      </w:r>
      <w:r>
        <w:rPr/>
        <w:t>不适用</w:t>
      </w:r>
      <w:r>
        <w:rPr/>
        <w:t> </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日召开</w:t>
      </w:r>
      <w:r>
        <w:rPr>
          <w:rFonts w:ascii="Times New Roman" w:hAnsi="Times New Roman" w:cs="Times New Roman" w:eastAsia="Times New Roman" w:hint="default"/>
          <w:spacing w:val="-4"/>
        </w:rPr>
        <w:t>2018</w:t>
      </w:r>
      <w:r>
        <w:rPr>
          <w:spacing w:val="-4"/>
        </w:rPr>
        <w:t>年年度股东大会，审议通过《关于回购注销部分已授予未解锁限制性股票的议案》、《关</w:t>
      </w:r>
    </w:p>
    <w:p>
      <w:pPr>
        <w:pStyle w:val="BodyText"/>
        <w:spacing w:line="451" w:lineRule="auto" w:before="43"/>
        <w:ind w:right="1116"/>
        <w:jc w:val="left"/>
      </w:pPr>
      <w:r>
        <w:rPr>
          <w:spacing w:val="-2"/>
        </w:rPr>
        <w:t>于减少注册资本的议案》，因</w:t>
      </w:r>
      <w:r>
        <w:rPr>
          <w:rFonts w:ascii="Times New Roman" w:hAnsi="Times New Roman" w:cs="Times New Roman" w:eastAsia="Times New Roman" w:hint="default"/>
          <w:spacing w:val="-2"/>
        </w:rPr>
        <w:t>10</w:t>
      </w:r>
      <w:r>
        <w:rPr>
          <w:spacing w:val="-2"/>
        </w:rPr>
        <w:t>名激励对象离职不再具备激励资格，公司对其所持有的已获授但尚未解除限售的限制性股票</w:t>
      </w:r>
      <w:r>
        <w:rPr>
          <w:spacing w:val="-70"/>
        </w:rPr>
        <w:t> </w:t>
      </w:r>
      <w:r>
        <w:rPr/>
        <w:t>共计</w:t>
      </w:r>
      <w:r>
        <w:rPr>
          <w:rFonts w:ascii="Times New Roman" w:hAnsi="Times New Roman" w:cs="Times New Roman" w:eastAsia="Times New Roman" w:hint="default"/>
        </w:rPr>
        <w:t>35.9208</w:t>
      </w:r>
      <w:r>
        <w:rPr/>
        <w:t>万股进行回购注销。同时，鉴于</w:t>
      </w:r>
      <w:r>
        <w:rPr>
          <w:rFonts w:ascii="Times New Roman" w:hAnsi="Times New Roman" w:cs="Times New Roman" w:eastAsia="Times New Roman" w:hint="default"/>
        </w:rPr>
        <w:t>2017</w:t>
      </w:r>
      <w:r>
        <w:rPr/>
        <w:t>年限制性股票激励计划第二个解除限售期公司业绩考核要求未能达标，公 司对</w:t>
      </w:r>
      <w:r>
        <w:rPr>
          <w:rFonts w:ascii="Times New Roman" w:hAnsi="Times New Roman" w:cs="Times New Roman" w:eastAsia="Times New Roman" w:hint="default"/>
        </w:rPr>
        <w:t>78</w:t>
      </w:r>
      <w:r>
        <w:rPr/>
        <w:t>名激励对象第二个解除限售期内所持有的全部已获授但尚未解除限售的限制性股票共计</w:t>
      </w:r>
      <w:r>
        <w:rPr>
          <w:rFonts w:ascii="Times New Roman" w:hAnsi="Times New Roman" w:cs="Times New Roman" w:eastAsia="Times New Roman" w:hint="default"/>
        </w:rPr>
        <w:t>185.9328</w:t>
      </w:r>
      <w:r>
        <w:rPr/>
        <w:t>万股一并进行回购 </w:t>
      </w:r>
      <w:r>
        <w:rPr>
          <w:spacing w:val="-1"/>
        </w:rPr>
        <w:t>注销。综上，公司对</w:t>
      </w:r>
      <w:r>
        <w:rPr>
          <w:rFonts w:ascii="Times New Roman" w:hAnsi="Times New Roman" w:cs="Times New Roman" w:eastAsia="Times New Roman" w:hint="default"/>
          <w:spacing w:val="-1"/>
        </w:rPr>
        <w:t>2017</w:t>
      </w:r>
      <w:r>
        <w:rPr>
          <w:spacing w:val="-1"/>
        </w:rPr>
        <w:t>年限制性股票激励计划合计</w:t>
      </w:r>
      <w:r>
        <w:rPr>
          <w:rFonts w:ascii="Times New Roman" w:hAnsi="Times New Roman" w:cs="Times New Roman" w:eastAsia="Times New Roman" w:hint="default"/>
          <w:spacing w:val="-1"/>
        </w:rPr>
        <w:t>221.8536</w:t>
      </w:r>
      <w:r>
        <w:rPr>
          <w:spacing w:val="-1"/>
        </w:rPr>
        <w:t>万股限制性股票进行回购注销，回购价格为</w:t>
      </w:r>
      <w:r>
        <w:rPr>
          <w:rFonts w:ascii="Times New Roman" w:hAnsi="Times New Roman" w:cs="Times New Roman" w:eastAsia="Times New Roman" w:hint="default"/>
          <w:spacing w:val="-1"/>
        </w:rPr>
        <w:t>9.61</w:t>
      </w:r>
      <w:r>
        <w:rPr>
          <w:spacing w:val="-1"/>
        </w:rPr>
        <w:t>元</w:t>
      </w:r>
      <w:r>
        <w:rPr>
          <w:rFonts w:ascii="Times New Roman" w:hAnsi="Times New Roman" w:cs="Times New Roman" w:eastAsia="Times New Roman" w:hint="default"/>
          <w:spacing w:val="-1"/>
        </w:rPr>
        <w:t>/</w:t>
      </w:r>
      <w:r>
        <w:rPr>
          <w:spacing w:val="-1"/>
        </w:rPr>
        <w:t>股。上述股</w:t>
      </w:r>
      <w:r>
        <w:rPr>
          <w:spacing w:val="-79"/>
        </w:rPr>
        <w:t> </w:t>
      </w:r>
      <w:r>
        <w:rPr>
          <w:spacing w:val="-79"/>
        </w:rPr>
      </w:r>
      <w:r>
        <w:rPr/>
        <w:t>份回购注销手续公司已于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日在中国证券登记结算有限公司深圳分公司完成，公司股份总数减少</w:t>
      </w:r>
      <w:r>
        <w:rPr>
          <w:rFonts w:ascii="Times New Roman" w:hAnsi="Times New Roman" w:cs="Times New Roman" w:eastAsia="Times New Roman" w:hint="default"/>
        </w:rPr>
        <w:t>221.8536</w:t>
      </w:r>
      <w:r>
        <w:rPr/>
        <w:t>万股， 公司总股本由</w:t>
      </w:r>
      <w:r>
        <w:rPr>
          <w:rFonts w:ascii="Times New Roman" w:hAnsi="Times New Roman" w:cs="Times New Roman" w:eastAsia="Times New Roman" w:hint="default"/>
        </w:rPr>
        <w:t>277,253,280</w:t>
      </w:r>
      <w:r>
        <w:rPr/>
        <w:t>股减少至</w:t>
      </w:r>
      <w:r>
        <w:rPr>
          <w:rFonts w:ascii="Times New Roman" w:hAnsi="Times New Roman" w:cs="Times New Roman" w:eastAsia="Times New Roman" w:hint="default"/>
        </w:rPr>
        <w:t>275,034,744</w:t>
      </w:r>
      <w:r>
        <w:rPr/>
        <w:t>股。公司注册资本股东结构发生变动。</w:t>
      </w:r>
    </w:p>
    <w:p>
      <w:pPr>
        <w:pStyle w:val="Heading3"/>
        <w:spacing w:line="234" w:lineRule="exact"/>
        <w:ind w:right="1116"/>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072"/>
        <w:gridCol w:w="4307"/>
        <w:gridCol w:w="3193"/>
      </w:tblGrid>
      <w:tr>
        <w:trPr>
          <w:trHeight w:val="322" w:hRule="exact"/>
        </w:trPr>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0"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4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6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5,093,280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070"/>
        <w:gridCol w:w="7499"/>
      </w:tblGrid>
      <w:tr>
        <w:trPr>
          <w:trHeight w:val="10451" w:hRule="exact"/>
        </w:trPr>
        <w:tc>
          <w:tcPr>
            <w:tcW w:w="2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156"/>
              <w:jc w:val="left"/>
              <w:rPr>
                <w:rFonts w:ascii="宋体" w:hAnsi="宋体" w:cs="宋体" w:eastAsia="宋体" w:hint="default"/>
                <w:sz w:val="18"/>
                <w:szCs w:val="18"/>
              </w:rPr>
            </w:pPr>
            <w:r>
              <w:rPr>
                <w:rFonts w:ascii="宋体" w:hAnsi="宋体" w:cs="宋体" w:eastAsia="宋体" w:hint="default"/>
                <w:sz w:val="18"/>
                <w:szCs w:val="18"/>
              </w:rPr>
              <w:t>现存的内部职工股情况 的说明</w:t>
            </w:r>
          </w:p>
        </w:tc>
        <w:tc>
          <w:tcPr>
            <w:tcW w:w="74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7"/>
              <w:ind w:left="105" w:right="10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日实施了权益分派，根据《上市公司股权激励管理办法》、公司《</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年限制性股票激励计划（草案）》等相关规定，在权益分派方案实施后，对限制性股票权益数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量和首次授予价格进行相应调整，调整后发行的限制性股票数量为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5,093,280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股，首次授予价</w:t>
            </w:r>
          </w:p>
          <w:p>
            <w:pPr>
              <w:pStyle w:val="TableParagraph"/>
              <w:spacing w:line="240" w:lineRule="auto" w:before="13"/>
              <w:ind w:left="105" w:right="0"/>
              <w:jc w:val="both"/>
              <w:rPr>
                <w:rFonts w:ascii="宋体" w:hAnsi="宋体" w:cs="宋体" w:eastAsia="宋体" w:hint="default"/>
                <w:sz w:val="18"/>
                <w:szCs w:val="18"/>
              </w:rPr>
            </w:pPr>
            <w:r>
              <w:rPr>
                <w:rFonts w:ascii="宋体" w:hAnsi="宋体" w:cs="宋体" w:eastAsia="宋体" w:hint="default"/>
                <w:sz w:val="18"/>
                <w:szCs w:val="18"/>
              </w:rPr>
              <w:t>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240" w:lineRule="auto" w:before="111"/>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日召开的第三届董事会第十三次会议审议通过了《关于调整公司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57" w:lineRule="auto" w:before="111"/>
              <w:ind w:left="105" w:right="10"/>
              <w:jc w:val="both"/>
              <w:rPr>
                <w:rFonts w:ascii="宋体" w:hAnsi="宋体" w:cs="宋体" w:eastAsia="宋体" w:hint="default"/>
                <w:sz w:val="18"/>
                <w:szCs w:val="18"/>
              </w:rPr>
            </w:pPr>
            <w:r>
              <w:rPr>
                <w:rFonts w:ascii="宋体" w:hAnsi="宋体" w:cs="宋体" w:eastAsia="宋体" w:hint="default"/>
                <w:sz w:val="18"/>
                <w:szCs w:val="18"/>
              </w:rPr>
              <w:t>年限制性股票激励计划相关事项的议案</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《关于公司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限制性股票激励计划首次授予第</w:t>
            </w:r>
            <w:r>
              <w:rPr>
                <w:rFonts w:ascii="宋体" w:hAnsi="宋体" w:cs="宋体" w:eastAsia="宋体" w:hint="default"/>
                <w:sz w:val="18"/>
                <w:szCs w:val="18"/>
              </w:rPr>
              <w:t> 一个限售期可解除限售的议案</w:t>
            </w:r>
            <w:r>
              <w:rPr>
                <w:rFonts w:ascii="宋体" w:hAnsi="宋体" w:cs="宋体" w:eastAsia="宋体" w:hint="default"/>
                <w:spacing w:val="-89"/>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详见巨潮资讯</w:t>
            </w:r>
            <w:r>
              <w:rPr>
                <w:rFonts w:ascii="宋体" w:hAnsi="宋体" w:cs="宋体" w:eastAsia="宋体" w:hint="default"/>
                <w:spacing w:val="-34"/>
                <w:sz w:val="18"/>
                <w:szCs w:val="18"/>
              </w:rPr>
              <w:t>网</w:t>
            </w:r>
            <w:r>
              <w:rPr>
                <w:rFonts w:ascii="宋体" w:hAnsi="宋体" w:cs="宋体" w:eastAsia="宋体" w:hint="default"/>
                <w:sz w:val="18"/>
                <w:szCs w:val="18"/>
              </w:rPr>
              <w:t>《第</w:t>
            </w:r>
            <w:r>
              <w:rPr>
                <w:rFonts w:ascii="宋体" w:hAnsi="宋体" w:cs="宋体" w:eastAsia="宋体" w:hint="default"/>
                <w:spacing w:val="1"/>
                <w:sz w:val="18"/>
                <w:szCs w:val="18"/>
              </w:rPr>
              <w:t>三</w:t>
            </w:r>
            <w:r>
              <w:rPr>
                <w:rFonts w:ascii="宋体" w:hAnsi="宋体" w:cs="宋体" w:eastAsia="宋体" w:hint="default"/>
                <w:sz w:val="18"/>
                <w:szCs w:val="18"/>
              </w:rPr>
              <w:t>届董事会第十三次会议决议公告</w:t>
            </w:r>
            <w:r>
              <w:rPr>
                <w:rFonts w:ascii="宋体" w:hAnsi="宋体" w:cs="宋体" w:eastAsia="宋体" w:hint="default"/>
                <w:spacing w:val="-125"/>
                <w:sz w:val="18"/>
                <w:szCs w:val="18"/>
              </w:rPr>
              <w:t>》</w:t>
            </w:r>
            <w:r>
              <w:rPr>
                <w:rFonts w:ascii="宋体" w:hAnsi="宋体" w:cs="宋体" w:eastAsia="宋体" w:hint="default"/>
                <w:sz w:val="18"/>
                <w:szCs w:val="18"/>
              </w:rPr>
              <w:t>（公</w:t>
            </w:r>
            <w:r>
              <w:rPr>
                <w:rFonts w:ascii="宋体" w:hAnsi="宋体" w:cs="宋体" w:eastAsia="宋体" w:hint="default"/>
                <w:sz w:val="18"/>
                <w:szCs w:val="18"/>
              </w:rPr>
              <w:t> 告编号</w:t>
            </w:r>
            <w:r>
              <w:rPr>
                <w:rFonts w:ascii="宋体" w:hAnsi="宋体" w:cs="宋体" w:eastAsia="宋体" w:hint="default"/>
                <w:spacing w:val="-5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《关于调整公司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年限制性股票激励</w:t>
            </w:r>
            <w:r>
              <w:rPr>
                <w:rFonts w:ascii="宋体" w:hAnsi="宋体" w:cs="宋体" w:eastAsia="宋体" w:hint="default"/>
                <w:spacing w:val="-3"/>
                <w:sz w:val="18"/>
                <w:szCs w:val="18"/>
              </w:rPr>
              <w:t>计</w:t>
            </w:r>
            <w:r>
              <w:rPr>
                <w:rFonts w:ascii="宋体" w:hAnsi="宋体" w:cs="宋体" w:eastAsia="宋体" w:hint="default"/>
                <w:sz w:val="18"/>
                <w:szCs w:val="18"/>
              </w:rPr>
              <w:t>划相关事项的公告</w:t>
            </w:r>
            <w:r>
              <w:rPr>
                <w:rFonts w:ascii="宋体" w:hAnsi="宋体" w:cs="宋体" w:eastAsia="宋体" w:hint="default"/>
                <w:spacing w:val="-144"/>
                <w:sz w:val="18"/>
                <w:szCs w:val="18"/>
              </w:rPr>
              <w:t>》</w:t>
            </w:r>
            <w:r>
              <w:rPr>
                <w:rFonts w:ascii="宋体" w:hAnsi="宋体" w:cs="宋体" w:eastAsia="宋体" w:hint="default"/>
                <w:sz w:val="18"/>
                <w:szCs w:val="18"/>
              </w:rPr>
              <w:t>（公告编号：</w:t>
            </w:r>
          </w:p>
          <w:p>
            <w:pPr>
              <w:pStyle w:val="TableParagraph"/>
              <w:spacing w:line="240" w:lineRule="auto" w:before="13"/>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pacing w:val="-161"/>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限制性股票激励计划首次授予第一个限售期可解除限售的公告》</w:t>
            </w:r>
          </w:p>
          <w:p>
            <w:pPr>
              <w:pStyle w:val="TableParagraph"/>
              <w:spacing w:line="348" w:lineRule="auto" w:before="111"/>
              <w:ind w:left="105" w:right="101"/>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2018-036</w:t>
            </w:r>
            <w:r>
              <w:rPr>
                <w:rFonts w:ascii="宋体" w:hAnsi="宋体" w:cs="宋体" w:eastAsia="宋体" w:hint="default"/>
                <w:spacing w:val="-8"/>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年限制性股票激励计划首次授予第一个限售期解除限售股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份上市流通日为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日，解除限售的股数为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股，占股权激励计划授予限 制性股票总数的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，占公司目前总股本的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0.3662%</w:t>
            </w:r>
            <w:r>
              <w:rPr>
                <w:rFonts w:ascii="宋体" w:hAnsi="宋体" w:cs="宋体" w:eastAsia="宋体" w:hint="default"/>
                <w:sz w:val="18"/>
                <w:szCs w:val="18"/>
              </w:rPr>
              <w:t>，申请解除限售的激励对象为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名首次 授予激励对象。详见巨潮资讯网《关于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年限制性股票激励计划第一期解锁股份上市流通 </w:t>
            </w:r>
            <w:r>
              <w:rPr>
                <w:rFonts w:ascii="宋体" w:hAnsi="宋体" w:cs="宋体" w:eastAsia="宋体" w:hint="default"/>
                <w:spacing w:val="-12"/>
                <w:sz w:val="18"/>
                <w:szCs w:val="18"/>
              </w:rPr>
              <w:t>的提示性公告》（公告编号：</w:t>
            </w:r>
            <w:r>
              <w:rPr>
                <w:rFonts w:ascii="Times New Roman" w:hAnsi="Times New Roman" w:cs="Times New Roman" w:eastAsia="Times New Roman" w:hint="default"/>
                <w:spacing w:val="-12"/>
                <w:sz w:val="18"/>
                <w:szCs w:val="18"/>
              </w:rPr>
              <w:t>2018-041</w:t>
            </w:r>
            <w:r>
              <w:rPr>
                <w:rFonts w:ascii="宋体" w:hAnsi="宋体" w:cs="宋体" w:eastAsia="宋体" w:hint="default"/>
                <w:spacing w:val="-12"/>
                <w:sz w:val="18"/>
                <w:szCs w:val="18"/>
              </w:rPr>
              <w:t>）。</w:t>
            </w:r>
            <w:r>
              <w:rPr>
                <w:rFonts w:ascii="宋体" w:hAnsi="宋体" w:cs="宋体" w:eastAsia="宋体" w:hint="default"/>
                <w:sz w:val="18"/>
                <w:szCs w:val="18"/>
              </w:rPr>
            </w:r>
          </w:p>
          <w:p>
            <w:pPr>
              <w:pStyle w:val="TableParagraph"/>
              <w:spacing w:line="240" w:lineRule="auto" w:before="21"/>
              <w:ind w:left="105"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日召开第三届董事会第十八次会议，审议通过了《关于回购注销部分</w:t>
            </w:r>
          </w:p>
          <w:p>
            <w:pPr>
              <w:pStyle w:val="TableParagraph"/>
              <w:spacing w:line="240" w:lineRule="auto" w:before="111"/>
              <w:ind w:left="105" w:right="0"/>
              <w:jc w:val="both"/>
              <w:rPr>
                <w:rFonts w:ascii="宋体" w:hAnsi="宋体" w:cs="宋体" w:eastAsia="宋体" w:hint="default"/>
                <w:sz w:val="18"/>
                <w:szCs w:val="18"/>
              </w:rPr>
            </w:pPr>
            <w:r>
              <w:rPr>
                <w:rFonts w:ascii="宋体" w:hAnsi="宋体" w:cs="宋体" w:eastAsia="宋体" w:hint="default"/>
                <w:sz w:val="18"/>
                <w:szCs w:val="18"/>
              </w:rPr>
              <w:t>已授予未解锁限制性股票的议案</w:t>
            </w:r>
            <w:r>
              <w:rPr>
                <w:rFonts w:ascii="宋体" w:hAnsi="宋体" w:cs="宋体" w:eastAsia="宋体" w:hint="default"/>
                <w:spacing w:val="-92"/>
                <w:sz w:val="18"/>
                <w:szCs w:val="18"/>
              </w:rPr>
              <w:t>》</w:t>
            </w:r>
            <w:r>
              <w:rPr>
                <w:rFonts w:ascii="宋体" w:hAnsi="宋体" w:cs="宋体" w:eastAsia="宋体" w:hint="default"/>
                <w:sz w:val="18"/>
                <w:szCs w:val="18"/>
              </w:rPr>
              <w:t>，同意公司对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w:t>
            </w:r>
            <w:r>
              <w:rPr>
                <w:rFonts w:ascii="宋体" w:hAnsi="宋体" w:cs="宋体" w:eastAsia="宋体" w:hint="default"/>
                <w:spacing w:val="-3"/>
                <w:sz w:val="18"/>
                <w:szCs w:val="18"/>
              </w:rPr>
              <w:t>制</w:t>
            </w:r>
            <w:r>
              <w:rPr>
                <w:rFonts w:ascii="宋体" w:hAnsi="宋体" w:cs="宋体" w:eastAsia="宋体" w:hint="default"/>
                <w:sz w:val="18"/>
                <w:szCs w:val="18"/>
              </w:rPr>
              <w:t>性股票激励计划合计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 </w:t>
            </w:r>
            <w:r>
              <w:rPr>
                <w:rFonts w:ascii="宋体" w:hAnsi="宋体" w:cs="宋体" w:eastAsia="宋体" w:hint="default"/>
                <w:sz w:val="18"/>
                <w:szCs w:val="18"/>
              </w:rPr>
              <w:t>万</w:t>
            </w:r>
          </w:p>
          <w:p>
            <w:pPr>
              <w:pStyle w:val="TableParagraph"/>
              <w:spacing w:line="348" w:lineRule="auto" w:before="111"/>
              <w:ind w:left="105" w:right="99"/>
              <w:jc w:val="both"/>
              <w:rPr>
                <w:rFonts w:ascii="宋体" w:hAnsi="宋体" w:cs="宋体" w:eastAsia="宋体" w:hint="default"/>
                <w:sz w:val="18"/>
                <w:szCs w:val="18"/>
              </w:rPr>
            </w:pPr>
            <w:r>
              <w:rPr>
                <w:rFonts w:ascii="宋体" w:hAnsi="宋体" w:cs="宋体" w:eastAsia="宋体" w:hint="default"/>
                <w:sz w:val="18"/>
                <w:szCs w:val="18"/>
              </w:rPr>
              <w:t>股限制性股票进行回购注销，回购价格为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9.61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股，具体内容详见巨潮资讯网《第三届董事 </w:t>
            </w:r>
            <w:r>
              <w:rPr>
                <w:rFonts w:ascii="宋体" w:hAnsi="宋体" w:cs="宋体" w:eastAsia="宋体" w:hint="default"/>
                <w:spacing w:val="-6"/>
                <w:sz w:val="18"/>
                <w:szCs w:val="18"/>
              </w:rPr>
              <w:t>会第十八次会议决议公告》（公告编号：</w:t>
            </w:r>
            <w:r>
              <w:rPr>
                <w:rFonts w:ascii="Times New Roman" w:hAnsi="Times New Roman" w:cs="Times New Roman" w:eastAsia="Times New Roman" w:hint="default"/>
                <w:spacing w:val="-6"/>
                <w:sz w:val="18"/>
                <w:szCs w:val="18"/>
              </w:rPr>
              <w:t>2019-014</w:t>
            </w:r>
            <w:r>
              <w:rPr>
                <w:rFonts w:ascii="宋体" w:hAnsi="宋体" w:cs="宋体" w:eastAsia="宋体" w:hint="default"/>
                <w:spacing w:val="-6"/>
                <w:sz w:val="18"/>
                <w:szCs w:val="18"/>
              </w:rPr>
              <w:t>）、《关于回购注销部分已授予未解锁限制性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股票的公告》（公告编号：</w:t>
            </w:r>
            <w:r>
              <w:rPr>
                <w:rFonts w:ascii="Times New Roman" w:hAnsi="Times New Roman" w:cs="Times New Roman" w:eastAsia="Times New Roman" w:hint="default"/>
                <w:spacing w:val="-6"/>
                <w:sz w:val="18"/>
                <w:szCs w:val="18"/>
              </w:rPr>
              <w:t>2019-020</w:t>
            </w:r>
            <w:r>
              <w:rPr>
                <w:rFonts w:ascii="宋体" w:hAnsi="宋体" w:cs="宋体" w:eastAsia="宋体" w:hint="default"/>
                <w:spacing w:val="-6"/>
                <w:sz w:val="18"/>
                <w:szCs w:val="18"/>
              </w:rPr>
              <w:t>）、《关于回购注销部分限制性股票减资暨通知债权人的公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告》（公告编号：</w:t>
            </w:r>
            <w:r>
              <w:rPr>
                <w:rFonts w:ascii="Times New Roman" w:hAnsi="Times New Roman" w:cs="Times New Roman" w:eastAsia="Times New Roman" w:hint="default"/>
                <w:spacing w:val="-7"/>
                <w:sz w:val="18"/>
                <w:szCs w:val="18"/>
              </w:rPr>
              <w:t>2019-021</w:t>
            </w:r>
            <w:r>
              <w:rPr>
                <w:rFonts w:ascii="宋体" w:hAnsi="宋体" w:cs="宋体" w:eastAsia="宋体" w:hint="default"/>
                <w:spacing w:val="-7"/>
                <w:sz w:val="18"/>
                <w:szCs w:val="18"/>
              </w:rPr>
              <w:t>）。上述议案已经公司于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年年度股东</w:t>
            </w:r>
            <w:r>
              <w:rPr>
                <w:rFonts w:ascii="宋体" w:hAnsi="宋体" w:cs="宋体" w:eastAsia="宋体" w:hint="default"/>
                <w:sz w:val="18"/>
                <w:szCs w:val="18"/>
              </w:rPr>
              <w:t> 大会审议通过。</w:t>
            </w:r>
          </w:p>
          <w:p>
            <w:pPr>
              <w:pStyle w:val="TableParagraph"/>
              <w:spacing w:line="240" w:lineRule="auto" w:before="43"/>
              <w:ind w:left="105"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日，上述限制性股票已在中国证券登记结算有限责任公司深圳分公司完</w:t>
            </w:r>
          </w:p>
          <w:p>
            <w:pPr>
              <w:pStyle w:val="TableParagraph"/>
              <w:spacing w:line="240" w:lineRule="auto" w:before="111"/>
              <w:ind w:left="105" w:right="0"/>
              <w:jc w:val="both"/>
              <w:rPr>
                <w:rFonts w:ascii="宋体" w:hAnsi="宋体" w:cs="宋体" w:eastAsia="宋体" w:hint="default"/>
                <w:sz w:val="18"/>
                <w:szCs w:val="18"/>
              </w:rPr>
            </w:pPr>
            <w:r>
              <w:rPr>
                <w:rFonts w:ascii="宋体" w:hAnsi="宋体" w:cs="宋体" w:eastAsia="宋体" w:hint="default"/>
                <w:sz w:val="18"/>
                <w:szCs w:val="18"/>
              </w:rPr>
              <w:t>成回购注销手续，公司股份总数减少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221.8536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万股，公司总股本由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277,253,280 </w:t>
            </w:r>
            <w:r>
              <w:rPr>
                <w:rFonts w:ascii="宋体" w:hAnsi="宋体" w:cs="宋体" w:eastAsia="宋体" w:hint="default"/>
                <w:sz w:val="18"/>
                <w:szCs w:val="18"/>
              </w:rPr>
              <w:t>股减少至</w:t>
            </w:r>
          </w:p>
          <w:p>
            <w:pPr>
              <w:pStyle w:val="TableParagraph"/>
              <w:spacing w:line="345" w:lineRule="auto" w:before="111"/>
              <w:ind w:left="105" w:right="135"/>
              <w:jc w:val="both"/>
              <w:rPr>
                <w:rFonts w:ascii="宋体" w:hAnsi="宋体" w:cs="宋体" w:eastAsia="宋体" w:hint="default"/>
                <w:sz w:val="18"/>
                <w:szCs w:val="18"/>
              </w:rPr>
            </w:pPr>
            <w:r>
              <w:rPr>
                <w:rFonts w:ascii="Times New Roman" w:hAnsi="Times New Roman" w:cs="Times New Roman" w:eastAsia="Times New Roman" w:hint="default"/>
                <w:sz w:val="18"/>
                <w:szCs w:val="18"/>
              </w:rPr>
              <w:t>275,034,744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股，具体内容详见巨潮资讯网《关于部分已授予未解锁限制性股票回购注销完成 </w:t>
            </w:r>
            <w:r>
              <w:rPr>
                <w:rFonts w:ascii="宋体" w:hAnsi="宋体" w:cs="宋体" w:eastAsia="宋体" w:hint="default"/>
                <w:spacing w:val="-14"/>
                <w:sz w:val="18"/>
                <w:szCs w:val="18"/>
              </w:rPr>
              <w:t>的公告》（公告编号：</w:t>
            </w:r>
            <w:r>
              <w:rPr>
                <w:rFonts w:ascii="Times New Roman" w:hAnsi="Times New Roman" w:cs="Times New Roman" w:eastAsia="Times New Roman" w:hint="default"/>
                <w:spacing w:val="-14"/>
                <w:sz w:val="18"/>
                <w:szCs w:val="18"/>
              </w:rPr>
              <w:t>2019-028</w:t>
            </w:r>
            <w:r>
              <w:rPr>
                <w:rFonts w:ascii="宋体" w:hAnsi="宋体" w:cs="宋体" w:eastAsia="宋体" w:hint="default"/>
                <w:spacing w:val="-14"/>
                <w:sz w:val="18"/>
                <w:szCs w:val="18"/>
              </w:rPr>
              <w:t>）。</w:t>
            </w:r>
            <w:r>
              <w:rPr>
                <w:rFonts w:ascii="宋体" w:hAnsi="宋体" w:cs="宋体" w:eastAsia="宋体" w:hint="default"/>
                <w:sz w:val="18"/>
                <w:szCs w:val="18"/>
              </w:rPr>
            </w:r>
          </w:p>
          <w:p>
            <w:pPr>
              <w:pStyle w:val="TableParagraph"/>
              <w:spacing w:line="345" w:lineRule="auto" w:before="23"/>
              <w:ind w:left="105" w:right="10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日召开第四届董事会第三次会议，审议通过《关于调整公司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年限 </w:t>
            </w:r>
            <w:r>
              <w:rPr>
                <w:rFonts w:ascii="宋体" w:hAnsi="宋体" w:cs="宋体" w:eastAsia="宋体" w:hint="default"/>
                <w:spacing w:val="-6"/>
                <w:sz w:val="18"/>
                <w:szCs w:val="18"/>
              </w:rPr>
              <w:t>制性股票激励计划相关事项的公告》（公告编号：</w:t>
            </w:r>
            <w:r>
              <w:rPr>
                <w:rFonts w:ascii="Times New Roman" w:hAnsi="Times New Roman" w:cs="Times New Roman" w:eastAsia="Times New Roman" w:hint="default"/>
                <w:spacing w:val="-6"/>
                <w:sz w:val="18"/>
                <w:szCs w:val="18"/>
              </w:rPr>
              <w:t>2020-017</w:t>
            </w:r>
            <w:r>
              <w:rPr>
                <w:rFonts w:ascii="宋体" w:hAnsi="宋体" w:cs="宋体" w:eastAsia="宋体" w:hint="default"/>
                <w:spacing w:val="-6"/>
                <w:sz w:val="18"/>
                <w:szCs w:val="18"/>
              </w:rPr>
              <w:t>），因实施权益分派需对限制性股票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激励授予价格进行相应调整，调整后授予价格为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截至本报告期末，剩余未解除限售的限制性股票数量为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1,859,328 </w:t>
            </w:r>
            <w:r>
              <w:rPr>
                <w:rFonts w:ascii="宋体" w:hAnsi="宋体" w:cs="宋体" w:eastAsia="宋体" w:hint="default"/>
                <w:sz w:val="18"/>
                <w:szCs w:val="18"/>
              </w:rPr>
              <w:t>股。</w:t>
            </w:r>
          </w:p>
        </w:tc>
      </w:tr>
    </w:tbl>
    <w:p>
      <w:pPr>
        <w:spacing w:after="0" w:line="240" w:lineRule="auto"/>
        <w:jc w:val="both"/>
        <w:rPr>
          <w:rFonts w:ascii="宋体" w:hAnsi="宋体" w:cs="宋体" w:eastAsia="宋体" w:hint="default"/>
          <w:sz w:val="18"/>
          <w:szCs w:val="18"/>
        </w:rPr>
        <w:sectPr>
          <w:pgSz w:w="11910" w:h="16840"/>
          <w:pgMar w:header="877" w:footer="980" w:top="1080" w:bottom="1160" w:left="980" w:right="0"/>
        </w:sectPr>
      </w:pPr>
    </w:p>
    <w:p>
      <w:pPr>
        <w:pStyle w:val="Heading2"/>
        <w:spacing w:line="276" w:lineRule="exact"/>
        <w:ind w:right="-20"/>
        <w:jc w:val="left"/>
        <w:rPr>
          <w:b w:val="0"/>
          <w:bCs w:val="0"/>
        </w:rPr>
      </w:pPr>
      <w:bookmarkStart w:name="三、股东和实际控制人情况" w:id="106"/>
      <w:bookmarkEnd w:id="106"/>
      <w:r>
        <w:rPr>
          <w:b w:val="0"/>
          <w:bCs w:val="0"/>
        </w:rPr>
      </w:r>
      <w:r>
        <w:rPr/>
        <w:t>三、股东和实际控制人情况</w:t>
      </w:r>
      <w:r>
        <w:rPr>
          <w:b w:val="0"/>
          <w:bCs w:val="0"/>
        </w:rPr>
      </w:r>
    </w:p>
    <w:p>
      <w:pPr>
        <w:pStyle w:val="Heading3"/>
        <w:spacing w:line="240" w:lineRule="auto" w:before="25"/>
        <w:ind w:right="-20"/>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3044" w:space="5876"/>
            <w:col w:w="201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929"/>
        <w:gridCol w:w="1168"/>
        <w:gridCol w:w="959"/>
        <w:gridCol w:w="1064"/>
        <w:gridCol w:w="1994"/>
        <w:gridCol w:w="1058"/>
      </w:tblGrid>
      <w:tr>
        <w:trPr>
          <w:trHeight w:val="2201"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2" w:right="185"/>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22,282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274"/>
              <w:jc w:val="both"/>
              <w:rPr>
                <w:rFonts w:ascii="宋体" w:hAnsi="宋体" w:cs="宋体" w:eastAsia="宋体" w:hint="default"/>
                <w:sz w:val="18"/>
                <w:szCs w:val="18"/>
              </w:rPr>
            </w:pPr>
            <w:r>
              <w:rPr>
                <w:rFonts w:ascii="宋体" w:hAnsi="宋体" w:cs="宋体" w:eastAsia="宋体" w:hint="default"/>
                <w:sz w:val="18"/>
                <w:szCs w:val="18"/>
              </w:rPr>
              <w:t>年度报 告披露 日前上 一月末 普通股 股东总 数</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19,950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4" w:right="10"/>
              <w:jc w:val="both"/>
              <w:rPr>
                <w:rFonts w:ascii="宋体" w:hAnsi="宋体" w:cs="宋体" w:eastAsia="宋体" w:hint="default"/>
                <w:sz w:val="18"/>
                <w:szCs w:val="18"/>
              </w:rPr>
            </w:pPr>
            <w:r>
              <w:rPr>
                <w:rFonts w:ascii="宋体" w:hAnsi="宋体" w:cs="宋体" w:eastAsia="宋体" w:hint="default"/>
                <w:sz w:val="18"/>
                <w:szCs w:val="18"/>
              </w:rPr>
              <w:t>报告期末 表决权恢 复的优先 股股东总 </w:t>
            </w:r>
            <w:r>
              <w:rPr>
                <w:rFonts w:ascii="宋体" w:hAnsi="宋体" w:cs="宋体" w:eastAsia="宋体" w:hint="default"/>
                <w:spacing w:val="-14"/>
                <w:sz w:val="18"/>
                <w:szCs w:val="18"/>
              </w:rPr>
              <w:t>数（如有）</w:t>
            </w:r>
          </w:p>
          <w:p>
            <w:pPr>
              <w:pStyle w:val="TableParagraph"/>
              <w:spacing w:line="240" w:lineRule="auto" w:before="19"/>
              <w:ind w:left="104" w:right="0"/>
              <w:jc w:val="both"/>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6"/>
              <w:ind w:left="10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1" w:right="26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166"/>
        <w:gridCol w:w="995"/>
        <w:gridCol w:w="1028"/>
        <w:gridCol w:w="895"/>
        <w:gridCol w:w="277"/>
        <w:gridCol w:w="823"/>
        <w:gridCol w:w="1058"/>
      </w:tblGrid>
      <w:tr>
        <w:trPr>
          <w:trHeight w:val="322"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370" w:right="18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309" w:right="12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7" w:right="14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33" w:right="16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29" w:right="13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809"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172" w:type="dxa"/>
            <w:gridSpan w:val="2"/>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319" w:right="132"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46.79%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128,692,352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+829964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96,519,264</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Times New Roman"/>
                <w:sz w:val="18"/>
              </w:rPr>
              <w:t>32,173,088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47,400,000</w:t>
            </w: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6.23%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17,125,344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12,844,008</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8" w:right="0"/>
              <w:jc w:val="left"/>
              <w:rPr>
                <w:rFonts w:ascii="Times New Roman" w:hAnsi="Times New Roman" w:cs="Times New Roman" w:eastAsia="Times New Roman" w:hint="default"/>
                <w:sz w:val="18"/>
                <w:szCs w:val="18"/>
              </w:rPr>
            </w:pPr>
            <w:r>
              <w:rPr>
                <w:rFonts w:ascii="Times New Roman"/>
                <w:sz w:val="18"/>
              </w:rPr>
              <w:t>4,281,336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8,800,000</w:t>
            </w:r>
          </w:p>
        </w:tc>
      </w:tr>
      <w:tr>
        <w:trPr>
          <w:trHeight w:val="125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both"/>
              <w:rPr>
                <w:rFonts w:ascii="宋体" w:hAnsi="宋体" w:cs="宋体" w:eastAsia="宋体" w:hint="default"/>
                <w:sz w:val="18"/>
                <w:szCs w:val="18"/>
              </w:rPr>
            </w:pPr>
            <w:r>
              <w:rPr>
                <w:rFonts w:ascii="宋体" w:hAnsi="宋体" w:cs="宋体" w:eastAsia="宋体" w:hint="default"/>
                <w:sz w:val="18"/>
                <w:szCs w:val="18"/>
              </w:rPr>
              <w:t>深圳市华锐 丰投资合伙 企业（有限 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5"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3.11%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8,562,672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38" w:right="0"/>
              <w:jc w:val="left"/>
              <w:rPr>
                <w:rFonts w:ascii="Times New Roman" w:hAnsi="Times New Roman" w:cs="Times New Roman" w:eastAsia="Times New Roman" w:hint="default"/>
                <w:sz w:val="18"/>
                <w:szCs w:val="18"/>
              </w:rPr>
            </w:pPr>
            <w:r>
              <w:rPr>
                <w:rFonts w:ascii="Times New Roman"/>
                <w:sz w:val="18"/>
              </w:rPr>
              <w:t>8,562,672</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詹文杰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4,856,405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+4,856,40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4,856,405</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85"/>
              <w:jc w:val="both"/>
              <w:rPr>
                <w:rFonts w:ascii="宋体" w:hAnsi="宋体" w:cs="宋体" w:eastAsia="宋体" w:hint="default"/>
                <w:sz w:val="18"/>
                <w:szCs w:val="18"/>
              </w:rPr>
            </w:pPr>
            <w:r>
              <w:rPr>
                <w:rFonts w:ascii="宋体" w:hAnsi="宋体" w:cs="宋体" w:eastAsia="宋体" w:hint="default"/>
                <w:sz w:val="18"/>
                <w:szCs w:val="18"/>
              </w:rPr>
              <w:t>巨丰企业管 理咨询（深 圳）有限公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5"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0.93%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2,570,000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-855004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2,570,000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810,000</w:t>
            </w:r>
          </w:p>
        </w:tc>
      </w:tr>
      <w:tr>
        <w:trPr>
          <w:trHeight w:val="125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both"/>
              <w:rPr>
                <w:rFonts w:ascii="宋体" w:hAnsi="宋体" w:cs="宋体" w:eastAsia="宋体" w:hint="default"/>
                <w:sz w:val="18"/>
                <w:szCs w:val="18"/>
              </w:rPr>
            </w:pPr>
            <w:r>
              <w:rPr>
                <w:rFonts w:ascii="宋体" w:hAnsi="宋体" w:cs="宋体" w:eastAsia="宋体" w:hint="default"/>
                <w:sz w:val="18"/>
                <w:szCs w:val="18"/>
              </w:rPr>
              <w:t>曲水新智丰 企业管理合 伙企业（有 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5"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2,080,831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-693500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38" w:right="0"/>
              <w:jc w:val="left"/>
              <w:rPr>
                <w:rFonts w:ascii="Times New Roman" w:hAnsi="Times New Roman" w:cs="Times New Roman" w:eastAsia="Times New Roman" w:hint="default"/>
                <w:sz w:val="18"/>
                <w:szCs w:val="18"/>
              </w:rPr>
            </w:pPr>
            <w:r>
              <w:rPr>
                <w:rFonts w:ascii="Times New Roman"/>
                <w:sz w:val="18"/>
              </w:rPr>
              <w:t>2,080,831</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林民生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0.30%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826,760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+666700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sz w:val="18"/>
              </w:rPr>
              <w:t>826,760</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黄茸碧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0.17%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467,600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+467600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Times New Roman" w:hAnsi="Times New Roman" w:cs="Times New Roman" w:eastAsia="Times New Roman" w:hint="default"/>
                <w:sz w:val="18"/>
                <w:szCs w:val="18"/>
              </w:rPr>
            </w:pPr>
            <w:r>
              <w:rPr>
                <w:rFonts w:ascii="Times New Roman"/>
                <w:sz w:val="18"/>
              </w:rPr>
              <w:t>467,600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苟贤芬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+365800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sz w:val="18"/>
              </w:rPr>
              <w:t>460,000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朱立国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+450000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sz w:val="18"/>
              </w:rPr>
              <w:t>450,000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3" w:right="123"/>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10"/>
                <w:sz w:val="18"/>
                <w:szCs w:val="18"/>
              </w:rPr>
              <w:t>情况（如有）（参见注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pacing w:val="-2"/>
                <w:sz w:val="18"/>
                <w:szCs w:val="18"/>
              </w:rPr>
              <w:t>邵健伟与邵健锋为兄弟关系；深圳市华锐丰投资合伙企业（有限合伙）为邵健伟控制之企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业。除此之外，公司未知前十名股东之间是否存在其他关联关系，也未知其是否属于一致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行动人。</w:t>
            </w:r>
          </w:p>
        </w:tc>
      </w:tr>
      <w:tr>
        <w:trPr>
          <w:trHeight w:val="323"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23" w:hRule="exact"/>
        </w:trPr>
        <w:tc>
          <w:tcPr>
            <w:tcW w:w="23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2398" w:type="dxa"/>
            <w:gridSpan w:val="2"/>
            <w:vMerge/>
            <w:tcBorders>
              <w:left w:val="single" w:sz="4" w:space="0" w:color="000000"/>
              <w:bottom w:val="single" w:sz="4" w:space="0" w:color="000000"/>
              <w:right w:val="single" w:sz="4" w:space="0" w:color="000000"/>
            </w:tcBorders>
            <w:shd w:val="clear" w:color="auto" w:fill="D2D2D2"/>
          </w:tcPr>
          <w:p>
            <w:pPr/>
          </w:p>
        </w:tc>
        <w:tc>
          <w:tcPr>
            <w:tcW w:w="3091" w:type="dxa"/>
            <w:gridSpan w:val="3"/>
            <w:vMerge/>
            <w:tcBorders>
              <w:left w:val="single" w:sz="4" w:space="0" w:color="000000"/>
              <w:bottom w:val="single" w:sz="4" w:space="0" w:color="000000"/>
              <w:right w:val="single" w:sz="4" w:space="0" w:color="000000"/>
            </w:tcBorders>
            <w:shd w:val="clear" w:color="auto" w:fill="D2D2D2"/>
          </w:tcPr>
          <w:p>
            <w:pP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21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right"/>
              <w:rPr>
                <w:rFonts w:ascii="Times New Roman" w:hAnsi="Times New Roman" w:cs="Times New Roman" w:eastAsia="Times New Roman" w:hint="default"/>
                <w:sz w:val="18"/>
                <w:szCs w:val="18"/>
              </w:rPr>
            </w:pPr>
            <w:r>
              <w:rPr>
                <w:rFonts w:ascii="Times New Roman"/>
                <w:spacing w:val="-1"/>
                <w:sz w:val="18"/>
              </w:rPr>
              <w:t>32,173,088</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6" w:right="0"/>
              <w:jc w:val="left"/>
              <w:rPr>
                <w:rFonts w:ascii="Times New Roman" w:hAnsi="Times New Roman" w:cs="Times New Roman" w:eastAsia="Times New Roman" w:hint="default"/>
                <w:sz w:val="18"/>
                <w:szCs w:val="18"/>
              </w:rPr>
            </w:pPr>
            <w:r>
              <w:rPr>
                <w:rFonts w:ascii="Times New Roman"/>
                <w:sz w:val="18"/>
              </w:rPr>
              <w:t>32,173,088</w:t>
            </w:r>
          </w:p>
        </w:tc>
      </w:tr>
      <w:tr>
        <w:trPr>
          <w:trHeight w:val="634"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深圳市华锐丰投资合伙企业</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8,562,672</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27" w:right="0"/>
              <w:jc w:val="left"/>
              <w:rPr>
                <w:rFonts w:ascii="Times New Roman" w:hAnsi="Times New Roman" w:cs="Times New Roman" w:eastAsia="Times New Roman" w:hint="default"/>
                <w:sz w:val="18"/>
                <w:szCs w:val="18"/>
              </w:rPr>
            </w:pPr>
            <w:r>
              <w:rPr>
                <w:rFonts w:ascii="Times New Roman"/>
                <w:sz w:val="18"/>
              </w:rPr>
              <w:t>8,562,672</w:t>
            </w: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詹文杰</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right"/>
              <w:rPr>
                <w:rFonts w:ascii="Times New Roman" w:hAnsi="Times New Roman" w:cs="Times New Roman" w:eastAsia="Times New Roman" w:hint="default"/>
                <w:sz w:val="18"/>
                <w:szCs w:val="18"/>
              </w:rPr>
            </w:pPr>
            <w:r>
              <w:rPr>
                <w:rFonts w:ascii="Times New Roman"/>
                <w:spacing w:val="-1"/>
                <w:sz w:val="18"/>
              </w:rPr>
              <w:t>4,856,405</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27" w:right="0"/>
              <w:jc w:val="left"/>
              <w:rPr>
                <w:rFonts w:ascii="Times New Roman" w:hAnsi="Times New Roman" w:cs="Times New Roman" w:eastAsia="Times New Roman" w:hint="default"/>
                <w:sz w:val="18"/>
                <w:szCs w:val="18"/>
              </w:rPr>
            </w:pPr>
            <w:r>
              <w:rPr>
                <w:rFonts w:ascii="Times New Roman"/>
                <w:sz w:val="18"/>
              </w:rPr>
              <w:t>4,856,405</w:t>
            </w: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right"/>
              <w:rPr>
                <w:rFonts w:ascii="Times New Roman" w:hAnsi="Times New Roman" w:cs="Times New Roman" w:eastAsia="Times New Roman" w:hint="default"/>
                <w:sz w:val="18"/>
                <w:szCs w:val="18"/>
              </w:rPr>
            </w:pPr>
            <w:r>
              <w:rPr>
                <w:rFonts w:ascii="Times New Roman"/>
                <w:spacing w:val="-1"/>
                <w:sz w:val="18"/>
              </w:rPr>
              <w:t>4,281,336</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27" w:right="0"/>
              <w:jc w:val="left"/>
              <w:rPr>
                <w:rFonts w:ascii="Times New Roman" w:hAnsi="Times New Roman" w:cs="Times New Roman" w:eastAsia="Times New Roman" w:hint="default"/>
                <w:sz w:val="18"/>
                <w:szCs w:val="18"/>
              </w:rPr>
            </w:pPr>
            <w:r>
              <w:rPr>
                <w:rFonts w:ascii="Times New Roman"/>
                <w:sz w:val="18"/>
              </w:rPr>
              <w:t>4,281,336</w:t>
            </w:r>
          </w:p>
        </w:tc>
      </w:tr>
      <w:tr>
        <w:trPr>
          <w:trHeight w:val="63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3"/>
              <w:jc w:val="left"/>
              <w:rPr>
                <w:rFonts w:ascii="宋体" w:hAnsi="宋体" w:cs="宋体" w:eastAsia="宋体" w:hint="default"/>
                <w:sz w:val="18"/>
                <w:szCs w:val="18"/>
              </w:rPr>
            </w:pPr>
            <w:r>
              <w:rPr>
                <w:rFonts w:ascii="宋体" w:hAnsi="宋体" w:cs="宋体" w:eastAsia="宋体" w:hint="default"/>
                <w:sz w:val="18"/>
                <w:szCs w:val="18"/>
              </w:rPr>
              <w:t>巨丰企业管理咨询（深圳） 有限公司</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2,570,000</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27" w:right="0"/>
              <w:jc w:val="left"/>
              <w:rPr>
                <w:rFonts w:ascii="Times New Roman" w:hAnsi="Times New Roman" w:cs="Times New Roman" w:eastAsia="Times New Roman" w:hint="default"/>
                <w:sz w:val="18"/>
                <w:szCs w:val="18"/>
              </w:rPr>
            </w:pPr>
            <w:r>
              <w:rPr>
                <w:rFonts w:ascii="Times New Roman"/>
                <w:sz w:val="18"/>
              </w:rPr>
              <w:t>2,570,000</w:t>
            </w:r>
          </w:p>
        </w:tc>
      </w:tr>
      <w:tr>
        <w:trPr>
          <w:trHeight w:val="634"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3"/>
              <w:jc w:val="left"/>
              <w:rPr>
                <w:rFonts w:ascii="宋体" w:hAnsi="宋体" w:cs="宋体" w:eastAsia="宋体" w:hint="default"/>
                <w:sz w:val="18"/>
                <w:szCs w:val="18"/>
              </w:rPr>
            </w:pPr>
            <w:r>
              <w:rPr>
                <w:rFonts w:ascii="宋体" w:hAnsi="宋体" w:cs="宋体" w:eastAsia="宋体" w:hint="default"/>
                <w:sz w:val="18"/>
                <w:szCs w:val="18"/>
              </w:rPr>
              <w:t>曲水新智丰企业管理合伙企 业（有限合伙）</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2,080,831</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27" w:right="0"/>
              <w:jc w:val="left"/>
              <w:rPr>
                <w:rFonts w:ascii="Times New Roman" w:hAnsi="Times New Roman" w:cs="Times New Roman" w:eastAsia="Times New Roman" w:hint="default"/>
                <w:sz w:val="18"/>
                <w:szCs w:val="18"/>
              </w:rPr>
            </w:pPr>
            <w:r>
              <w:rPr>
                <w:rFonts w:ascii="Times New Roman"/>
                <w:sz w:val="18"/>
              </w:rPr>
              <w:t>2,080,831</w:t>
            </w: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林民生</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right"/>
              <w:rPr>
                <w:rFonts w:ascii="Times New Roman" w:hAnsi="Times New Roman" w:cs="Times New Roman" w:eastAsia="Times New Roman" w:hint="default"/>
                <w:sz w:val="18"/>
                <w:szCs w:val="18"/>
              </w:rPr>
            </w:pPr>
            <w:r>
              <w:rPr>
                <w:rFonts w:ascii="Times New Roman"/>
                <w:spacing w:val="-1"/>
                <w:sz w:val="18"/>
              </w:rPr>
              <w:t>826,760</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826,760</w:t>
            </w:r>
          </w:p>
        </w:tc>
      </w:tr>
      <w:tr>
        <w:trPr>
          <w:trHeight w:val="322"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黄茸碧</w:t>
            </w:r>
          </w:p>
        </w:tc>
        <w:tc>
          <w:tcPr>
            <w:tcW w:w="30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6"/>
              <w:jc w:val="right"/>
              <w:rPr>
                <w:rFonts w:ascii="Times New Roman" w:hAnsi="Times New Roman" w:cs="Times New Roman" w:eastAsia="Times New Roman" w:hint="default"/>
                <w:sz w:val="18"/>
                <w:szCs w:val="18"/>
              </w:rPr>
            </w:pPr>
            <w:r>
              <w:rPr>
                <w:rFonts w:ascii="Times New Roman"/>
                <w:spacing w:val="-1"/>
                <w:sz w:val="18"/>
              </w:rPr>
              <w:t>467,600</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467,600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397"/>
        <w:gridCol w:w="3126"/>
        <w:gridCol w:w="1889"/>
        <w:gridCol w:w="2158"/>
      </w:tblGrid>
      <w:tr>
        <w:trPr>
          <w:trHeight w:val="32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苟贤芬</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460,000</w:t>
            </w:r>
          </w:p>
        </w:tc>
      </w:tr>
      <w:tr>
        <w:trPr>
          <w:trHeight w:val="32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朱立国</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1570"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pacing w:val="-12"/>
                <w:sz w:val="18"/>
                <w:szCs w:val="18"/>
              </w:rPr>
              <w:t>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名无限售流</w:t>
            </w:r>
          </w:p>
          <w:p>
            <w:pPr>
              <w:pStyle w:val="TableParagraph"/>
              <w:spacing w:line="309" w:lineRule="auto" w:before="63"/>
              <w:ind w:left="102" w:right="12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公司未知前十名无限售流通股股东之间，以及前十名无限售流通股股东与前十名股东之间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是否存在关联关系或一致行动。</w:t>
            </w:r>
          </w:p>
        </w:tc>
      </w:tr>
      <w:tr>
        <w:trPr>
          <w:trHeight w:val="636"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2" w:right="123"/>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10"/>
                <w:sz w:val="18"/>
                <w:szCs w:val="18"/>
              </w:rPr>
              <w:t>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7"/>
        <w:ind w:right="111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9"/>
        <w:rPr>
          <w:rFonts w:ascii="宋体" w:hAnsi="宋体" w:cs="宋体" w:eastAsia="宋体" w:hint="default"/>
          <w:sz w:val="16"/>
          <w:szCs w:val="16"/>
        </w:rPr>
      </w:pPr>
    </w:p>
    <w:p>
      <w:pPr>
        <w:pStyle w:val="BodyText"/>
        <w:spacing w:line="240" w:lineRule="auto"/>
        <w:ind w:right="1116"/>
        <w:jc w:val="left"/>
      </w:pPr>
      <w:r>
        <w:rPr>
          <w:rFonts w:ascii="Times New Roman" w:hAnsi="Times New Roman" w:cs="Times New Roman" w:eastAsia="Times New Roman" w:hint="default"/>
        </w:rPr>
        <w:t>□  </w:t>
      </w:r>
      <w:r>
        <w:rPr/>
        <w:t>是 √</w:t>
      </w:r>
      <w:r>
        <w:rPr>
          <w:spacing w:val="2"/>
        </w:rPr>
        <w:t> </w:t>
      </w:r>
      <w:r>
        <w:rPr/>
        <w:t>否</w:t>
      </w:r>
    </w:p>
    <w:p>
      <w:pPr>
        <w:spacing w:line="240" w:lineRule="auto" w:before="10"/>
        <w:rPr>
          <w:rFonts w:ascii="宋体" w:hAnsi="宋体" w:cs="宋体" w:eastAsia="宋体" w:hint="default"/>
          <w:sz w:val="16"/>
          <w:szCs w:val="16"/>
        </w:rPr>
      </w:pPr>
    </w:p>
    <w:p>
      <w:pPr>
        <w:pStyle w:val="BodyText"/>
        <w:spacing w:line="240" w:lineRule="auto"/>
        <w:ind w:right="111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pStyle w:val="Heading3"/>
        <w:spacing w:line="240" w:lineRule="auto" w:before="119"/>
        <w:ind w:right="1116"/>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pStyle w:val="BodyText"/>
        <w:spacing w:line="477" w:lineRule="auto" w:before="121"/>
        <w:ind w:right="8594"/>
        <w:jc w:val="left"/>
      </w:pPr>
      <w:r>
        <w:rPr/>
        <w:pict>
          <v:shape style="position:absolute;margin-left:56.400002pt;margin-top:48.541729pt;width:479.15pt;height:84.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9"/>
                    <w:gridCol w:w="2787"/>
                    <w:gridCol w:w="3363"/>
                  </w:tblGrid>
                  <w:tr>
                    <w:trPr>
                      <w:trHeight w:val="407"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pacing w:val="-3"/>
                            <w:sz w:val="18"/>
                            <w:szCs w:val="18"/>
                          </w:rPr>
                          <w:t>中国（拥有中国香港居民身份证）</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63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1116"/>
        <w:jc w:val="left"/>
      </w:pPr>
      <w:r>
        <w:rPr/>
        <w:t>控股股东报告期内变更</w:t>
      </w:r>
    </w:p>
    <w:p>
      <w:pPr>
        <w:spacing w:line="240" w:lineRule="auto" w:before="10"/>
        <w:rPr>
          <w:rFonts w:ascii="宋体" w:hAnsi="宋体" w:cs="宋体" w:eastAsia="宋体" w:hint="default"/>
          <w:sz w:val="17"/>
          <w:szCs w:val="17"/>
        </w:rPr>
      </w:pPr>
    </w:p>
    <w:p>
      <w:pPr>
        <w:pStyle w:val="BodyText"/>
        <w:spacing w:line="374" w:lineRule="auto"/>
        <w:ind w:right="679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公司报告期控股股东未发生变更。</w:t>
      </w:r>
    </w:p>
    <w:p>
      <w:pPr>
        <w:pStyle w:val="Heading3"/>
        <w:spacing w:line="246" w:lineRule="exact"/>
        <w:ind w:right="1116"/>
        <w:jc w:val="left"/>
        <w:rPr>
          <w:b w:val="0"/>
          <w:bCs w:val="0"/>
        </w:rPr>
      </w:pPr>
      <w:bookmarkStart w:name="3、公司实际控制人及其一致行动人" w:id="109"/>
      <w:bookmarkEnd w:id="109"/>
      <w:r>
        <w:rPr>
          <w:b w:val="0"/>
          <w:bCs w:val="0"/>
        </w:rPr>
      </w:r>
      <w:r>
        <w:rPr>
          <w:rFonts w:ascii="Times New Roman" w:hAnsi="Times New Roman" w:cs="Times New Roman" w:eastAsia="Times New Roman" w:hint="default"/>
        </w:rPr>
        <w:t>3</w:t>
      </w:r>
      <w:r>
        <w:rPr/>
        <w:t>、公司实际控制人及其一致行动人</w:t>
      </w:r>
      <w:r>
        <w:rPr>
          <w:b w:val="0"/>
          <w:bCs w:val="0"/>
        </w:rPr>
      </w:r>
    </w:p>
    <w:p>
      <w:pPr>
        <w:pStyle w:val="BodyText"/>
        <w:spacing w:line="477" w:lineRule="auto" w:before="121"/>
        <w:ind w:right="8414"/>
        <w:jc w:val="left"/>
      </w:pPr>
      <w:r>
        <w:rPr/>
        <w:pict>
          <v:shape style="position:absolute;margin-left:56.400002pt;margin-top:48.481724pt;width:479.3pt;height:127.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784"/>
                    <w:gridCol w:w="2002"/>
                  </w:tblGrid>
                  <w:tr>
                    <w:trPr>
                      <w:trHeight w:val="63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47" w:right="182" w:hanging="360"/>
                          <w:jc w:val="left"/>
                          <w:rPr>
                            <w:rFonts w:ascii="宋体" w:hAnsi="宋体" w:cs="宋体" w:eastAsia="宋体" w:hint="default"/>
                            <w:sz w:val="18"/>
                            <w:szCs w:val="18"/>
                          </w:rPr>
                        </w:pPr>
                        <w:r>
                          <w:rPr>
                            <w:rFonts w:ascii="宋体" w:hAnsi="宋体" w:cs="宋体" w:eastAsia="宋体" w:hint="default"/>
                            <w:sz w:val="18"/>
                            <w:szCs w:val="18"/>
                          </w:rPr>
                          <w:t>是否取得其他国家或 地区居留权</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5" w:right="0"/>
                          <w:jc w:val="center"/>
                          <w:rPr>
                            <w:rFonts w:ascii="宋体" w:hAnsi="宋体" w:cs="宋体" w:eastAsia="宋体" w:hint="default"/>
                            <w:sz w:val="18"/>
                            <w:szCs w:val="18"/>
                          </w:rPr>
                        </w:pPr>
                        <w:r>
                          <w:rPr>
                            <w:rFonts w:ascii="宋体" w:hAnsi="宋体" w:cs="宋体" w:eastAsia="宋体" w:hint="default"/>
                            <w:spacing w:val="-3"/>
                            <w:sz w:val="18"/>
                            <w:szCs w:val="18"/>
                          </w:rPr>
                          <w:t>中国（拥有中国香港居民身份证）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邵健锋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6"/>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pacing w:val="-3"/>
                            <w:sz w:val="18"/>
                            <w:szCs w:val="18"/>
                          </w:rPr>
                          <w:t>中国（拥有中国澳门居民身份证）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邵健伟为本公司董事长，邵健锋为本公司常务副总裁。</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2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right="1116"/>
        <w:jc w:val="left"/>
      </w:pPr>
      <w:r>
        <w:rPr/>
        <w:t>实际控制人报告期内变更</w:t>
      </w:r>
    </w:p>
    <w:p>
      <w:pPr>
        <w:spacing w:line="240" w:lineRule="auto" w:before="10"/>
        <w:rPr>
          <w:rFonts w:ascii="宋体" w:hAnsi="宋体" w:cs="宋体" w:eastAsia="宋体" w:hint="default"/>
          <w:sz w:val="17"/>
          <w:szCs w:val="17"/>
        </w:rPr>
      </w:pPr>
    </w:p>
    <w:p>
      <w:pPr>
        <w:pStyle w:val="BodyText"/>
        <w:spacing w:line="451" w:lineRule="auto"/>
        <w:ind w:right="7874"/>
        <w:jc w:val="left"/>
      </w:pPr>
      <w:r>
        <w:rPr>
          <w:rFonts w:ascii="Times New Roman" w:hAnsi="Times New Roman" w:cs="Times New Roman" w:eastAsia="Times New Roman" w:hint="default"/>
        </w:rPr>
        <w:t>□ </w:t>
      </w:r>
      <w:r>
        <w:rPr/>
        <w:t>适用 √</w:t>
      </w:r>
      <w:r>
        <w:rPr>
          <w:spacing w:val="2"/>
        </w:rPr>
        <w:t> </w:t>
      </w:r>
      <w:r>
        <w:rPr/>
        <w:t>不适用</w:t>
      </w:r>
      <w:r>
        <w:rPr>
          <w:w w:val="99"/>
        </w:rPr>
        <w:t> </w:t>
      </w:r>
      <w:r>
        <w:rPr/>
        <w:t>公司报告期实际控制人未发生变更。</w:t>
      </w:r>
    </w:p>
    <w:p>
      <w:pPr>
        <w:spacing w:after="0" w:line="451"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t>公司与实际控制人之间的产权及控制关系的方框图</w:t>
      </w:r>
    </w:p>
    <w:p>
      <w:pPr>
        <w:spacing w:line="240" w:lineRule="auto" w:before="2"/>
        <w:rPr>
          <w:rFonts w:ascii="宋体" w:hAnsi="宋体" w:cs="宋体" w:eastAsia="宋体" w:hint="default"/>
          <w:sz w:val="13"/>
          <w:szCs w:val="13"/>
        </w:rPr>
      </w:pPr>
    </w:p>
    <w:p>
      <w:pPr>
        <w:spacing w:line="3690" w:lineRule="exact"/>
        <w:ind w:left="1358"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1050" cy="23431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7" cstate="print"/>
                    <a:stretch>
                      <a:fillRect/>
                    </a:stretch>
                  </pic:blipFill>
                  <pic:spPr>
                    <a:xfrm>
                      <a:off x="0" y="0"/>
                      <a:ext cx="4591050" cy="2343150"/>
                    </a:xfrm>
                    <a:prstGeom prst="rect">
                      <a:avLst/>
                    </a:prstGeom>
                  </pic:spPr>
                </pic:pic>
              </a:graphicData>
            </a:graphic>
          </wp:inline>
        </w:drawing>
      </w:r>
      <w:r>
        <w:rPr>
          <w:rFonts w:ascii="宋体" w:hAnsi="宋体" w:cs="宋体" w:eastAsia="宋体" w:hint="default"/>
          <w:position w:val="-73"/>
          <w:sz w:val="20"/>
          <w:szCs w:val="20"/>
        </w:rPr>
      </w:r>
    </w:p>
    <w:p>
      <w:pPr>
        <w:pStyle w:val="BodyText"/>
        <w:spacing w:line="240" w:lineRule="auto" w:before="115"/>
        <w:ind w:right="1116"/>
        <w:jc w:val="left"/>
      </w:pPr>
      <w:r>
        <w:rPr/>
        <w:t>实际控制人通过信托或其他资产管理方式控制公司</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119"/>
        <w:ind w:right="1116"/>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pStyle w:val="BodyText"/>
        <w:spacing w:line="240" w:lineRule="auto" w:before="42"/>
        <w:ind w:right="1116"/>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365" w:right="1116"/>
        <w:jc w:val="left"/>
        <w:rPr>
          <w:b w:val="0"/>
          <w:bCs w:val="0"/>
        </w:rPr>
      </w:pPr>
      <w:bookmarkStart w:name="第七节优先股相关情况" w:id="112"/>
      <w:bookmarkEnd w:id="112"/>
      <w:r>
        <w:rPr>
          <w:b w:val="0"/>
          <w:bCs w:val="0"/>
        </w:rPr>
      </w:r>
      <w:bookmarkStart w:name="_bookmark5" w:id="113"/>
      <w:bookmarkEnd w:id="113"/>
      <w:r>
        <w:rPr>
          <w:b w:val="0"/>
          <w:bCs w:val="0"/>
        </w:rPr>
      </w:r>
      <w:r>
        <w:rPr/>
        <w:t>第七节优先股相关情况</w:t>
      </w:r>
      <w:r>
        <w:rPr>
          <w:b w:val="0"/>
          <w:bCs w:val="0"/>
        </w:rPr>
      </w:r>
    </w:p>
    <w:p>
      <w:pPr>
        <w:spacing w:line="240" w:lineRule="auto" w:before="10"/>
        <w:rPr>
          <w:rFonts w:ascii="宋体" w:hAnsi="宋体" w:cs="宋体" w:eastAsia="宋体" w:hint="default"/>
          <w:b/>
          <w:bCs/>
          <w:sz w:val="13"/>
          <w:szCs w:val="13"/>
        </w:rPr>
      </w:pPr>
    </w:p>
    <w:p>
      <w:pPr>
        <w:pStyle w:val="BodyText"/>
        <w:spacing w:line="300" w:lineRule="auto" w:before="44"/>
        <w:ind w:right="8594"/>
        <w:jc w:val="left"/>
      </w:pPr>
      <w:r>
        <w:rPr>
          <w:rFonts w:ascii="Times New Roman" w:hAnsi="Times New Roman" w:cs="Times New Roman" w:eastAsia="Times New Roman" w:hint="default"/>
        </w:rPr>
        <w:t>□ </w:t>
      </w:r>
      <w:r>
        <w:rPr/>
        <w:t>适用 √</w:t>
      </w:r>
      <w:r>
        <w:rPr>
          <w:spacing w:val="2"/>
        </w:rPr>
        <w:t> </w:t>
      </w:r>
      <w:r>
        <w:rPr/>
        <w:t>不适用</w:t>
      </w:r>
      <w:r>
        <w:rPr>
          <w:w w:val="99"/>
        </w:rPr>
        <w:t> </w:t>
      </w:r>
      <w:r>
        <w:rPr/>
        <w:t>报告期公司不存在优先股。</w:t>
      </w:r>
    </w:p>
    <w:p>
      <w:pPr>
        <w:spacing w:after="0" w:line="30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723" w:right="1116"/>
        <w:jc w:val="left"/>
        <w:rPr>
          <w:b w:val="0"/>
          <w:bCs w:val="0"/>
        </w:rPr>
      </w:pPr>
      <w:bookmarkStart w:name="第八节可转换公司债券相关情况" w:id="114"/>
      <w:bookmarkEnd w:id="114"/>
      <w:r>
        <w:rPr>
          <w:b w:val="0"/>
          <w:bCs w:val="0"/>
        </w:rPr>
      </w:r>
      <w:bookmarkStart w:name="_bookmark6" w:id="115"/>
      <w:bookmarkEnd w:id="115"/>
      <w:r>
        <w:rPr>
          <w:b w:val="0"/>
          <w:bCs w:val="0"/>
        </w:rPr>
      </w:r>
      <w:r>
        <w:rPr/>
        <w:t>第八节可转换公司债券相关情况</w:t>
      </w:r>
      <w:r>
        <w:rPr>
          <w:b w:val="0"/>
          <w:bCs w:val="0"/>
        </w:rPr>
      </w:r>
    </w:p>
    <w:p>
      <w:pPr>
        <w:pStyle w:val="BodyText"/>
        <w:spacing w:line="300" w:lineRule="auto" w:before="224"/>
        <w:ind w:right="7874"/>
        <w:jc w:val="left"/>
      </w:pPr>
      <w:r>
        <w:rPr>
          <w:rFonts w:ascii="Times New Roman" w:hAnsi="Times New Roman" w:cs="Times New Roman" w:eastAsia="Times New Roman" w:hint="default"/>
        </w:rPr>
        <w:t>□ </w:t>
      </w:r>
      <w:r>
        <w:rPr/>
        <w:t>适用 √</w:t>
      </w:r>
      <w:r>
        <w:rPr>
          <w:spacing w:val="2"/>
        </w:rPr>
        <w:t> </w:t>
      </w:r>
      <w:r>
        <w:rPr/>
        <w:t>不适用</w:t>
      </w:r>
      <w:r>
        <w:rPr>
          <w:w w:val="99"/>
        </w:rPr>
        <w:t> </w:t>
      </w:r>
      <w:r>
        <w:rPr/>
        <w:t>报告期公司不存在可转换公司债券。</w:t>
      </w:r>
    </w:p>
    <w:p>
      <w:pPr>
        <w:spacing w:after="0" w:line="30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758" w:right="1116"/>
        <w:jc w:val="left"/>
        <w:rPr>
          <w:b w:val="0"/>
          <w:bCs w:val="0"/>
        </w:rPr>
      </w:pPr>
      <w:bookmarkStart w:name="第九节董事、监事、高级管理人员和员工情况" w:id="116"/>
      <w:bookmarkEnd w:id="116"/>
      <w:r>
        <w:rPr>
          <w:b w:val="0"/>
          <w:bCs w:val="0"/>
        </w:rPr>
      </w:r>
      <w:bookmarkStart w:name="_bookmark7" w:id="117"/>
      <w:bookmarkEnd w:id="117"/>
      <w:r>
        <w:rPr>
          <w:b w:val="0"/>
          <w:bCs w:val="0"/>
        </w:rPr>
      </w:r>
      <w:r>
        <w:rPr/>
        <w:t>第九节董事、监事、高级管理人员和员工情况</w:t>
      </w:r>
      <w:r>
        <w:rPr>
          <w:b w:val="0"/>
          <w:bCs w:val="0"/>
        </w:rPr>
      </w:r>
    </w:p>
    <w:p>
      <w:pPr>
        <w:pStyle w:val="Heading2"/>
        <w:spacing w:line="240" w:lineRule="auto" w:before="178"/>
        <w:ind w:right="1116"/>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655"/>
        <w:gridCol w:w="632"/>
        <w:gridCol w:w="614"/>
        <w:gridCol w:w="766"/>
        <w:gridCol w:w="840"/>
        <w:gridCol w:w="1200"/>
        <w:gridCol w:w="886"/>
        <w:gridCol w:w="601"/>
        <w:gridCol w:w="883"/>
        <w:gridCol w:w="1140"/>
      </w:tblGrid>
      <w:tr>
        <w:trPr>
          <w:trHeight w:val="1882"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144" w:right="13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110" w:right="10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143" w:right="14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68" w:right="16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6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5" w:right="113"/>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115"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67" w:right="16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127,862,388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829,964</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128,692,352</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张小麒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143"/>
              <w:jc w:val="both"/>
              <w:rPr>
                <w:rFonts w:ascii="宋体" w:hAnsi="宋体" w:cs="宋体" w:eastAsia="宋体" w:hint="default"/>
                <w:sz w:val="18"/>
                <w:szCs w:val="18"/>
              </w:rPr>
            </w:pPr>
            <w:r>
              <w:rPr>
                <w:rFonts w:ascii="宋体" w:hAnsi="宋体" w:cs="宋体" w:eastAsia="宋体" w:hint="default"/>
                <w:sz w:val="18"/>
                <w:szCs w:val="18"/>
              </w:rPr>
              <w:t>副董事 长、总 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-220,320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330,480</w:t>
            </w:r>
          </w:p>
        </w:tc>
      </w:tr>
      <w:tr>
        <w:trPr>
          <w:trHeight w:val="188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3"/>
              <w:jc w:val="left"/>
              <w:rPr>
                <w:rFonts w:ascii="宋体" w:hAnsi="宋体" w:cs="宋体" w:eastAsia="宋体" w:hint="default"/>
                <w:sz w:val="18"/>
                <w:szCs w:val="18"/>
              </w:rPr>
            </w:pPr>
            <w:r>
              <w:rPr>
                <w:rFonts w:ascii="宋体" w:hAnsi="宋体" w:cs="宋体" w:eastAsia="宋体" w:hint="default"/>
                <w:sz w:val="18"/>
                <w:szCs w:val="18"/>
              </w:rPr>
              <w:t>董事、 副总 裁、董 事会秘 书、财 务总监</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47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388,800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-155,520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233,280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曾巍巍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6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房殿军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刘成凯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-155,520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233,280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655"/>
        <w:gridCol w:w="632"/>
        <w:gridCol w:w="614"/>
        <w:gridCol w:w="766"/>
        <w:gridCol w:w="840"/>
        <w:gridCol w:w="1200"/>
        <w:gridCol w:w="886"/>
        <w:gridCol w:w="601"/>
        <w:gridCol w:w="883"/>
        <w:gridCol w:w="1140"/>
      </w:tblGrid>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常务副 总裁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17,125,344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17,125,344</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梁建平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-64800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97,200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-64800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97,200</w:t>
            </w:r>
          </w:p>
        </w:tc>
      </w:tr>
      <w:tr>
        <w:trPr>
          <w:trHeight w:val="12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20,736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14,268</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夏必武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20,736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10,368</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25,920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12,960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袁蒙蒙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盛强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146,707,524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833,864</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-694,656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146,846,732</w:t>
            </w:r>
          </w:p>
        </w:tc>
      </w:tr>
    </w:tbl>
    <w:p>
      <w:pPr>
        <w:pStyle w:val="BodyText"/>
        <w:spacing w:line="451" w:lineRule="auto" w:before="87"/>
        <w:ind w:right="1125" w:firstLine="360"/>
        <w:jc w:val="left"/>
      </w:pPr>
      <w:r>
        <w:rPr/>
        <w:t>注：上述董监高持股减少主要系公司</w:t>
      </w:r>
      <w:r>
        <w:rPr>
          <w:spacing w:val="-46"/>
        </w:rPr>
        <w:t> </w:t>
      </w:r>
      <w:r>
        <w:rPr>
          <w:rFonts w:ascii="Times New Roman" w:hAnsi="Times New Roman" w:cs="Times New Roman" w:eastAsia="Times New Roman" w:hint="default"/>
        </w:rPr>
        <w:t>2017 </w:t>
      </w:r>
      <w:r>
        <w:rPr/>
        <w:t>年限制性股票激励计划第二个解除限售期公司业绩考核要求未能达标，公司 对激励对象第二个解除限售期内所持有的全部已获授但尚未解除限售的限制性股票进行回购注销。</w:t>
      </w:r>
    </w:p>
    <w:p>
      <w:pPr>
        <w:pStyle w:val="Heading2"/>
        <w:spacing w:line="263" w:lineRule="exact"/>
        <w:ind w:right="1116"/>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98"/>
        <w:gridCol w:w="1248"/>
        <w:gridCol w:w="1443"/>
        <w:gridCol w:w="1637"/>
        <w:gridCol w:w="4256"/>
      </w:tblGrid>
      <w:tr>
        <w:trPr>
          <w:trHeight w:val="425"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7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999"/>
        <w:gridCol w:w="1248"/>
        <w:gridCol w:w="1443"/>
        <w:gridCol w:w="1637"/>
        <w:gridCol w:w="4256"/>
      </w:tblGrid>
      <w:tr>
        <w:trPr>
          <w:trHeight w:val="423"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刘成凯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任期届满离任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第三届董事会换届离任</w:t>
            </w:r>
          </w:p>
        </w:tc>
      </w:tr>
      <w:tr>
        <w:trPr>
          <w:trHeight w:val="74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曾巍巍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3"/>
              <w:ind w:left="105" w:right="99"/>
              <w:jc w:val="left"/>
              <w:rPr>
                <w:rFonts w:ascii="宋体" w:hAnsi="宋体" w:cs="宋体" w:eastAsia="宋体" w:hint="default"/>
                <w:sz w:val="18"/>
                <w:szCs w:val="18"/>
              </w:rPr>
            </w:pPr>
            <w:r>
              <w:rPr>
                <w:rFonts w:ascii="宋体" w:hAnsi="宋体" w:cs="宋体" w:eastAsia="宋体" w:hint="default"/>
                <w:sz w:val="18"/>
                <w:szCs w:val="18"/>
              </w:rPr>
              <w:t>第三届董事会换届，经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 审议通过</w:t>
            </w:r>
          </w:p>
        </w:tc>
      </w:tr>
      <w:tr>
        <w:trPr>
          <w:trHeight w:val="422"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任期届满离任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第三届董事会换届离任</w:t>
            </w:r>
          </w:p>
        </w:tc>
      </w:tr>
      <w:tr>
        <w:trPr>
          <w:trHeight w:val="425"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袁蒙蒙</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任期届满离任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第三届董事会换届离任</w:t>
            </w:r>
          </w:p>
        </w:tc>
      </w:tr>
      <w:tr>
        <w:trPr>
          <w:trHeight w:val="422"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盛强</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任期届满离任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第三届董事会换届离任</w:t>
            </w:r>
          </w:p>
        </w:tc>
      </w:tr>
      <w:tr>
        <w:trPr>
          <w:trHeight w:val="74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程飞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261" w:right="50" w:hanging="156"/>
              <w:jc w:val="left"/>
              <w:rPr>
                <w:rFonts w:ascii="宋体" w:hAnsi="宋体" w:cs="宋体" w:eastAsia="宋体" w:hint="default"/>
                <w:sz w:val="18"/>
                <w:szCs w:val="18"/>
              </w:rPr>
            </w:pPr>
            <w:r>
              <w:rPr>
                <w:rFonts w:ascii="宋体" w:hAnsi="宋体" w:cs="宋体" w:eastAsia="宋体" w:hint="default"/>
                <w:sz w:val="18"/>
                <w:szCs w:val="18"/>
              </w:rPr>
              <w:t>监事会主席、 职工监事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第三届监事会换届，经职工代表大会审议通过</w:t>
            </w:r>
          </w:p>
        </w:tc>
      </w:tr>
      <w:tr>
        <w:trPr>
          <w:trHeight w:val="745"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夏必武</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3"/>
              <w:ind w:left="105" w:right="99"/>
              <w:jc w:val="left"/>
              <w:rPr>
                <w:rFonts w:ascii="宋体" w:hAnsi="宋体" w:cs="宋体" w:eastAsia="宋体" w:hint="default"/>
                <w:sz w:val="18"/>
                <w:szCs w:val="18"/>
              </w:rPr>
            </w:pPr>
            <w:r>
              <w:rPr>
                <w:rFonts w:ascii="宋体" w:hAnsi="宋体" w:cs="宋体" w:eastAsia="宋体" w:hint="default"/>
                <w:sz w:val="18"/>
                <w:szCs w:val="18"/>
              </w:rPr>
              <w:t>第三届监事会换届，经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 审议通过</w:t>
            </w:r>
          </w:p>
        </w:tc>
      </w:tr>
      <w:tr>
        <w:trPr>
          <w:trHeight w:val="74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3"/>
              <w:ind w:left="105" w:right="99"/>
              <w:jc w:val="left"/>
              <w:rPr>
                <w:rFonts w:ascii="宋体" w:hAnsi="宋体" w:cs="宋体" w:eastAsia="宋体" w:hint="default"/>
                <w:sz w:val="18"/>
                <w:szCs w:val="18"/>
              </w:rPr>
            </w:pPr>
            <w:r>
              <w:rPr>
                <w:rFonts w:ascii="宋体" w:hAnsi="宋体" w:cs="宋体" w:eastAsia="宋体" w:hint="default"/>
                <w:sz w:val="18"/>
                <w:szCs w:val="18"/>
              </w:rPr>
              <w:t>第三届监事会换届，经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 审议通过</w:t>
            </w:r>
          </w:p>
        </w:tc>
      </w:tr>
      <w:tr>
        <w:trPr>
          <w:trHeight w:val="43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徐峰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任期届满离任</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高管任期届满离任</w:t>
            </w:r>
          </w:p>
        </w:tc>
      </w:tr>
    </w:tbl>
    <w:p>
      <w:pPr>
        <w:pStyle w:val="Heading2"/>
        <w:spacing w:line="276" w:lineRule="exact"/>
        <w:ind w:right="0"/>
        <w:jc w:val="both"/>
        <w:rPr>
          <w:b w:val="0"/>
          <w:bCs w:val="0"/>
        </w:rPr>
      </w:pPr>
      <w:bookmarkStart w:name="三、任职情况" w:id="120"/>
      <w:bookmarkEnd w:id="120"/>
      <w:r>
        <w:rPr>
          <w:b w:val="0"/>
          <w:bCs w:val="0"/>
        </w:rPr>
      </w:r>
      <w:r>
        <w:rPr/>
        <w:t>三、任职情况</w:t>
      </w:r>
      <w:r>
        <w:rPr>
          <w:b w:val="0"/>
          <w:bCs w:val="0"/>
        </w:rPr>
      </w:r>
    </w:p>
    <w:p>
      <w:pPr>
        <w:pStyle w:val="BodyText"/>
        <w:spacing w:line="240" w:lineRule="auto" w:before="123"/>
        <w:ind w:left="513" w:right="1116"/>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pStyle w:val="BodyText"/>
        <w:spacing w:line="477" w:lineRule="auto"/>
        <w:ind w:left="513" w:right="1116"/>
        <w:jc w:val="left"/>
      </w:pPr>
      <w:r>
        <w:rPr>
          <w:rFonts w:ascii="宋体" w:hAnsi="宋体" w:cs="宋体" w:eastAsia="宋体" w:hint="default"/>
          <w:b/>
          <w:bCs/>
        </w:rPr>
        <w:t>（一）董事</w:t>
      </w:r>
      <w:r>
        <w:rPr>
          <w:rFonts w:ascii="宋体" w:hAnsi="宋体" w:cs="宋体" w:eastAsia="宋体" w:hint="default"/>
          <w:b/>
          <w:bCs/>
          <w:w w:val="99"/>
        </w:rPr>
        <w:t> </w:t>
      </w:r>
      <w:r>
        <w:rPr>
          <w:rFonts w:ascii="宋体" w:hAnsi="宋体" w:cs="宋体" w:eastAsia="宋体" w:hint="default"/>
          <w:b/>
          <w:bCs/>
          <w:spacing w:val="-2"/>
        </w:rPr>
        <w:t>邵健伟</w:t>
      </w:r>
      <w:r>
        <w:rPr>
          <w:spacing w:val="-2"/>
        </w:rPr>
        <w:t>，中国国籍，拥有香港居民身份证，</w:t>
      </w:r>
      <w:r>
        <w:rPr>
          <w:rFonts w:ascii="Times New Roman" w:hAnsi="Times New Roman" w:cs="Times New Roman" w:eastAsia="Times New Roman" w:hint="default"/>
          <w:spacing w:val="-2"/>
        </w:rPr>
        <w:t>1971</w:t>
      </w:r>
      <w:r>
        <w:rPr>
          <w:spacing w:val="-2"/>
        </w:rPr>
        <w:t>年生，</w:t>
      </w:r>
      <w:r>
        <w:rPr>
          <w:rFonts w:ascii="Times New Roman" w:hAnsi="Times New Roman" w:cs="Times New Roman" w:eastAsia="Times New Roman" w:hint="default"/>
          <w:spacing w:val="-2"/>
        </w:rPr>
        <w:t>EMBA</w:t>
      </w:r>
      <w:r>
        <w:rPr>
          <w:spacing w:val="-2"/>
        </w:rPr>
        <w:t>；中华全国青年联合会委员，智善公益基金会监事长，中</w:t>
      </w:r>
    </w:p>
    <w:p>
      <w:pPr>
        <w:pStyle w:val="BodyText"/>
        <w:spacing w:line="463" w:lineRule="auto" w:before="21"/>
        <w:ind w:right="1130"/>
        <w:jc w:val="both"/>
      </w:pPr>
      <w:r>
        <w:rPr>
          <w:spacing w:val="-2"/>
        </w:rPr>
        <w:t>国青年企业家协会常务理事，深圳市青年企业家联合会会长，第四届深圳市十大杰出青年企业家。曾任职于深圳市华宝工贸</w:t>
      </w:r>
      <w:r>
        <w:rPr>
          <w:spacing w:val="-63"/>
        </w:rPr>
        <w:t> </w:t>
      </w:r>
      <w:r>
        <w:rPr>
          <w:spacing w:val="-63"/>
        </w:rPr>
      </w:r>
      <w:r>
        <w:rPr>
          <w:spacing w:val="-2"/>
        </w:rPr>
        <w:t>发展公司；</w:t>
      </w:r>
      <w:r>
        <w:rPr>
          <w:rFonts w:ascii="Times New Roman" w:hAnsi="Times New Roman" w:cs="Times New Roman" w:eastAsia="Times New Roman" w:hint="default"/>
          <w:spacing w:val="-2"/>
        </w:rPr>
        <w:t>2000</w:t>
      </w:r>
      <w:r>
        <w:rPr>
          <w:spacing w:val="-2"/>
        </w:rPr>
        <w:t>年筹建今天有限，任董事长、总经理；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月起任本公司第一届董事会董事长、总经理；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月起任</w:t>
      </w:r>
      <w:r>
        <w:rPr>
          <w:spacing w:val="-56"/>
        </w:rPr>
        <w:t> </w:t>
      </w:r>
      <w:r>
        <w:rPr>
          <w:spacing w:val="-56"/>
        </w:rPr>
      </w:r>
      <w:r>
        <w:rPr/>
        <w:t>本公司第二届董事会董事长；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月起任本公司第四届董事会董事长。</w:t>
      </w:r>
    </w:p>
    <w:p>
      <w:pPr>
        <w:pStyle w:val="BodyText"/>
        <w:spacing w:line="451" w:lineRule="auto" w:before="33"/>
        <w:ind w:right="1128" w:firstLine="360"/>
        <w:jc w:val="both"/>
      </w:pPr>
      <w:r>
        <w:rPr>
          <w:rFonts w:ascii="宋体" w:hAnsi="宋体" w:cs="宋体" w:eastAsia="宋体" w:hint="default"/>
          <w:b/>
          <w:bCs/>
          <w:spacing w:val="-2"/>
        </w:rPr>
        <w:t>张小麒</w:t>
      </w:r>
      <w:r>
        <w:rPr>
          <w:spacing w:val="-2"/>
        </w:rPr>
        <w:t>，中国国籍，香港居民，</w:t>
      </w:r>
      <w:r>
        <w:rPr>
          <w:rFonts w:ascii="Times New Roman" w:hAnsi="Times New Roman" w:cs="Times New Roman" w:eastAsia="Times New Roman" w:hint="default"/>
          <w:spacing w:val="-2"/>
        </w:rPr>
        <w:t>1964</w:t>
      </w:r>
      <w:r>
        <w:rPr>
          <w:spacing w:val="-2"/>
        </w:rPr>
        <w:t>年生，</w:t>
      </w:r>
      <w:r>
        <w:rPr>
          <w:rFonts w:ascii="Times New Roman" w:hAnsi="Times New Roman" w:cs="Times New Roman" w:eastAsia="Times New Roman" w:hint="default"/>
          <w:spacing w:val="-2"/>
        </w:rPr>
        <w:t>EMBA</w:t>
      </w:r>
      <w:r>
        <w:rPr>
          <w:spacing w:val="-2"/>
        </w:rPr>
        <w:t>；曾任职于华娱电视广播有限公司中国部，太阳集团（香港）有限公</w:t>
      </w:r>
      <w:r>
        <w:rPr/>
        <w:t> </w:t>
      </w:r>
      <w:r>
        <w:rPr>
          <w:spacing w:val="-2"/>
        </w:rPr>
        <w:t>司；</w:t>
      </w:r>
      <w:r>
        <w:rPr>
          <w:rFonts w:ascii="Times New Roman" w:hAnsi="Times New Roman" w:cs="Times New Roman" w:eastAsia="Times New Roman" w:hint="default"/>
          <w:spacing w:val="-2"/>
        </w:rPr>
        <w:t>2000</w:t>
      </w:r>
      <w:r>
        <w:rPr>
          <w:spacing w:val="-2"/>
        </w:rPr>
        <w:t>年参与筹建今天有限，任副总经理；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月起任本公司第一届董事会董事、副总经理；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月起任本公司董</w:t>
      </w:r>
      <w:r>
        <w:rPr>
          <w:spacing w:val="-54"/>
        </w:rPr>
        <w:t> </w:t>
      </w:r>
      <w:r>
        <w:rPr/>
        <w:t>事、总经理；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月起任本公司第三届董事会董事、总裁；</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11</w:t>
      </w:r>
      <w:r>
        <w:rPr/>
        <w:t>月起任本公司第四届董事会副董事长、总裁。</w:t>
      </w:r>
    </w:p>
    <w:p>
      <w:pPr>
        <w:pStyle w:val="BodyText"/>
        <w:spacing w:line="451" w:lineRule="auto" w:before="43"/>
        <w:ind w:right="1132" w:firstLine="360"/>
        <w:jc w:val="both"/>
      </w:pPr>
      <w:r>
        <w:rPr>
          <w:rFonts w:ascii="宋体" w:hAnsi="宋体" w:cs="宋体" w:eastAsia="宋体" w:hint="default"/>
          <w:b/>
          <w:bCs/>
          <w:spacing w:val="-2"/>
        </w:rPr>
        <w:t>张永清</w:t>
      </w:r>
      <w:r>
        <w:rPr>
          <w:spacing w:val="-2"/>
        </w:rPr>
        <w:t>，中国国籍，无境外居留权，</w:t>
      </w:r>
      <w:r>
        <w:rPr>
          <w:rFonts w:ascii="Times New Roman" w:hAnsi="Times New Roman" w:cs="Times New Roman" w:eastAsia="Times New Roman" w:hint="default"/>
          <w:spacing w:val="-2"/>
        </w:rPr>
        <w:t>1973</w:t>
      </w:r>
      <w:r>
        <w:rPr>
          <w:spacing w:val="-2"/>
        </w:rPr>
        <w:t>年生，本科学历；会计师，深圳市第六届人大代表。曾任职于香江集团有限公</w:t>
      </w:r>
      <w:r>
        <w:rPr/>
        <w:t> </w:t>
      </w:r>
      <w:r>
        <w:rPr>
          <w:spacing w:val="-2"/>
        </w:rPr>
        <w:t>司、深圳香江控股股份有限公司、大连亿达投资公司；</w:t>
      </w:r>
      <w:r>
        <w:rPr>
          <w:rFonts w:ascii="Times New Roman" w:hAnsi="Times New Roman" w:cs="Times New Roman" w:eastAsia="Times New Roman" w:hint="default"/>
          <w:spacing w:val="-2"/>
        </w:rPr>
        <w:t>2010</w:t>
      </w:r>
      <w:r>
        <w:rPr>
          <w:spacing w:val="-2"/>
        </w:rPr>
        <w:t>年加入今天有限；现任本公司董事、副总裁、董事会秘书、财务</w:t>
      </w:r>
      <w:r>
        <w:rPr>
          <w:spacing w:val="-68"/>
        </w:rPr>
        <w:t> </w:t>
      </w:r>
      <w:r>
        <w:rPr>
          <w:spacing w:val="-68"/>
        </w:rPr>
      </w:r>
      <w:r>
        <w:rPr/>
        <w:t>总监。</w:t>
      </w:r>
    </w:p>
    <w:p>
      <w:pPr>
        <w:pStyle w:val="BodyText"/>
        <w:spacing w:line="451" w:lineRule="auto" w:before="74"/>
        <w:ind w:right="1129" w:firstLine="360"/>
        <w:jc w:val="both"/>
      </w:pPr>
      <w:r>
        <w:rPr>
          <w:rFonts w:ascii="宋体" w:hAnsi="宋体" w:cs="宋体" w:eastAsia="宋体" w:hint="default"/>
          <w:b/>
          <w:bCs/>
          <w:spacing w:val="-2"/>
        </w:rPr>
        <w:t>曾巍巍</w:t>
      </w:r>
      <w:r>
        <w:rPr>
          <w:spacing w:val="-2"/>
        </w:rPr>
        <w:t>，中国国籍，无境外居留权，</w:t>
      </w:r>
      <w:r>
        <w:rPr>
          <w:rFonts w:ascii="Times New Roman" w:hAnsi="Times New Roman" w:cs="Times New Roman" w:eastAsia="Times New Roman" w:hint="default"/>
          <w:spacing w:val="-2"/>
        </w:rPr>
        <w:t>1982</w:t>
      </w:r>
      <w:r>
        <w:rPr>
          <w:spacing w:val="-2"/>
        </w:rPr>
        <w:t>年生，本科学历。曾任职于广州机械研究院；</w:t>
      </w:r>
      <w:r>
        <w:rPr>
          <w:rFonts w:ascii="Times New Roman" w:hAnsi="Times New Roman" w:cs="Times New Roman" w:eastAsia="Times New Roman" w:hint="default"/>
          <w:spacing w:val="-2"/>
        </w:rPr>
        <w:t>2004</w:t>
      </w:r>
      <w:r>
        <w:rPr>
          <w:spacing w:val="-2"/>
        </w:rPr>
        <w:t>年加入本公司；现任本公司</w:t>
      </w:r>
      <w:r>
        <w:rPr/>
        <w:t> 董事、副总裁、工程中心和技术中心总经理。</w:t>
      </w:r>
    </w:p>
    <w:p>
      <w:pPr>
        <w:pStyle w:val="BodyText"/>
        <w:spacing w:line="463" w:lineRule="auto" w:before="74"/>
        <w:ind w:right="1131" w:firstLine="360"/>
        <w:jc w:val="both"/>
      </w:pPr>
      <w:r>
        <w:rPr>
          <w:rFonts w:ascii="宋体" w:hAnsi="宋体" w:cs="宋体" w:eastAsia="宋体" w:hint="default"/>
          <w:b/>
          <w:bCs/>
          <w:spacing w:val="-2"/>
        </w:rPr>
        <w:t>房殿军</w:t>
      </w:r>
      <w:r>
        <w:rPr>
          <w:spacing w:val="-2"/>
        </w:rPr>
        <w:t>，中国国籍，无境外居留权，</w:t>
      </w:r>
      <w:r>
        <w:rPr>
          <w:rFonts w:ascii="Times New Roman" w:hAnsi="Times New Roman" w:cs="Times New Roman" w:eastAsia="Times New Roman" w:hint="default"/>
          <w:spacing w:val="-2"/>
        </w:rPr>
        <w:t>1961</w:t>
      </w:r>
      <w:r>
        <w:rPr>
          <w:spacing w:val="-2"/>
        </w:rPr>
        <w:t>年生，博士研究生学历。同济大学中德学院教授、博士生导师；德国弗劳恩霍</w:t>
      </w:r>
      <w:r>
        <w:rPr/>
        <w:t> </w:t>
      </w:r>
      <w:r>
        <w:rPr>
          <w:spacing w:val="-2"/>
        </w:rPr>
        <w:t>夫物流研究院中国首席科学家，首席代表；中德智能技术博士研究院。曾荣获国家千人特聘专家、德国弗劳恩霍夫勋章、华</w:t>
      </w:r>
      <w:r>
        <w:rPr>
          <w:spacing w:val="-67"/>
        </w:rPr>
        <w:t> </w:t>
      </w:r>
      <w:r>
        <w:rPr>
          <w:spacing w:val="-67"/>
        </w:rPr>
      </w:r>
      <w:r>
        <w:rPr>
          <w:spacing w:val="-2"/>
        </w:rPr>
        <w:t>为《蓝血十杰》勋章、海尔《人单合一》勋章。</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月起任本公司第三届董事会独立董事；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月起任本公司第四</w:t>
      </w:r>
    </w:p>
    <w:p>
      <w:pPr>
        <w:spacing w:after="0" w:line="463" w:lineRule="auto"/>
        <w:jc w:val="both"/>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left="513" w:right="1116" w:hanging="361"/>
        <w:jc w:val="left"/>
      </w:pPr>
      <w:r>
        <w:rPr/>
        <w:t>届董事会独立董事。 </w:t>
      </w:r>
      <w:r>
        <w:rPr>
          <w:rFonts w:ascii="宋体" w:hAnsi="宋体" w:cs="宋体" w:eastAsia="宋体" w:hint="default"/>
          <w:b/>
          <w:bCs/>
          <w:spacing w:val="-2"/>
        </w:rPr>
        <w:t>梅月欣</w:t>
      </w:r>
      <w:r>
        <w:rPr>
          <w:spacing w:val="-2"/>
        </w:rPr>
        <w:t>，中国国籍，无境外居留权，</w:t>
      </w:r>
      <w:r>
        <w:rPr>
          <w:rFonts w:ascii="Times New Roman" w:hAnsi="Times New Roman" w:cs="Times New Roman" w:eastAsia="Times New Roman" w:hint="default"/>
          <w:spacing w:val="-2"/>
        </w:rPr>
        <w:t>1964</w:t>
      </w:r>
      <w:r>
        <w:rPr>
          <w:spacing w:val="-2"/>
        </w:rPr>
        <w:t>年生，本科学历。中共党员；高级会计师、注册会计师，瑞华会计师事务所合</w:t>
      </w:r>
    </w:p>
    <w:p>
      <w:pPr>
        <w:pStyle w:val="BodyText"/>
        <w:spacing w:line="470" w:lineRule="auto" w:before="21"/>
        <w:ind w:right="1130"/>
        <w:jc w:val="both"/>
      </w:pPr>
      <w:r>
        <w:rPr>
          <w:spacing w:val="-2"/>
        </w:rPr>
        <w:t>伙人。曾任杭州电子工业学院讲师、银行间交易商协会非金融企业债务融资工具市场自律处分专家、深圳市振业（集团）股</w:t>
      </w:r>
      <w:r>
        <w:rPr>
          <w:spacing w:val="-67"/>
        </w:rPr>
        <w:t> </w:t>
      </w:r>
      <w:r>
        <w:rPr>
          <w:spacing w:val="-67"/>
        </w:rPr>
      </w:r>
      <w:r>
        <w:rPr>
          <w:spacing w:val="-2"/>
        </w:rPr>
        <w:t>份有限公司独立董事、深圳信隆实业股份有限公司独立董事、深圳市维业装饰集团股份有限公司独立董事、深圳市通产丽星</w:t>
      </w:r>
      <w:r>
        <w:rPr>
          <w:spacing w:val="-63"/>
        </w:rPr>
        <w:t> </w:t>
      </w:r>
      <w:r>
        <w:rPr>
          <w:spacing w:val="-63"/>
        </w:rPr>
      </w:r>
      <w:r>
        <w:rPr>
          <w:spacing w:val="-2"/>
        </w:rPr>
        <w:t>股份有限公司独立董事，现任深圳市农产品股份有限公司独立董事、深圳中青宝互动网络股份有限公司独立董事、深圳市芭</w:t>
      </w:r>
      <w:r>
        <w:rPr>
          <w:spacing w:val="-63"/>
        </w:rPr>
        <w:t> </w:t>
      </w:r>
      <w:r>
        <w:rPr>
          <w:spacing w:val="-63"/>
        </w:rPr>
      </w:r>
      <w:r>
        <w:rPr>
          <w:spacing w:val="-2"/>
        </w:rPr>
        <w:t>田生态工程股份有限公司独立董事。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月起任本公司第三届董事会独立董事；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月起任本公司第四届董事会独</w:t>
      </w:r>
      <w:r>
        <w:rPr>
          <w:spacing w:val="-59"/>
        </w:rPr>
        <w:t> </w:t>
      </w:r>
      <w:r>
        <w:rPr>
          <w:spacing w:val="-59"/>
        </w:rPr>
      </w:r>
      <w:r>
        <w:rPr/>
        <w:t>立董事。</w:t>
      </w:r>
    </w:p>
    <w:p>
      <w:pPr>
        <w:pStyle w:val="BodyText"/>
        <w:spacing w:line="460" w:lineRule="auto" w:before="59"/>
        <w:ind w:right="1128" w:firstLine="360"/>
        <w:jc w:val="both"/>
      </w:pPr>
      <w:r>
        <w:rPr>
          <w:rFonts w:ascii="宋体" w:hAnsi="宋体" w:cs="宋体" w:eastAsia="宋体" w:hint="default"/>
          <w:b/>
          <w:bCs/>
          <w:spacing w:val="-2"/>
        </w:rPr>
        <w:t>郑飞</w:t>
      </w:r>
      <w:r>
        <w:rPr>
          <w:spacing w:val="-2"/>
        </w:rPr>
        <w:t>，中国国籍，无境外居留权，</w:t>
      </w:r>
      <w:r>
        <w:rPr>
          <w:rFonts w:ascii="Times New Roman" w:hAnsi="Times New Roman" w:cs="Times New Roman" w:eastAsia="Times New Roman" w:hint="default"/>
          <w:spacing w:val="-2"/>
        </w:rPr>
        <w:t>1975</w:t>
      </w:r>
      <w:r>
        <w:rPr>
          <w:spacing w:val="-2"/>
        </w:rPr>
        <w:t>年生，硕士研究生学历，深圳市软件行业协会现任秘书长兼副会长，中国软件行</w:t>
      </w:r>
      <w:r>
        <w:rPr/>
        <w:t> </w:t>
      </w:r>
      <w:r>
        <w:rPr>
          <w:spacing w:val="-2"/>
        </w:rPr>
        <w:t>业协会副秘书长。曾任职于深圳市黎明网络技术有限公司、深圳市远望城多媒体电脑有限公司，现兼任深圳中琛源科技股份</w:t>
      </w:r>
      <w:r>
        <w:rPr>
          <w:spacing w:val="-63"/>
        </w:rPr>
        <w:t> </w:t>
      </w:r>
      <w:r>
        <w:rPr>
          <w:spacing w:val="-63"/>
        </w:rPr>
      </w:r>
      <w:r>
        <w:rPr>
          <w:spacing w:val="-2"/>
        </w:rPr>
        <w:t>有限公司、深圳市天维尔信息科技股份有限公司独立董事。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月起任本公司第三届董事会独立董事；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月起任</w:t>
      </w:r>
      <w:r>
        <w:rPr>
          <w:spacing w:val="-54"/>
        </w:rPr>
        <w:t> </w:t>
      </w:r>
      <w:r>
        <w:rPr>
          <w:spacing w:val="-54"/>
        </w:rPr>
      </w:r>
      <w:r>
        <w:rPr/>
        <w:t>本公司第四届董事会独立董事。</w:t>
      </w:r>
    </w:p>
    <w:p>
      <w:pPr>
        <w:pStyle w:val="BodyText"/>
        <w:spacing w:line="477" w:lineRule="auto" w:before="67"/>
        <w:ind w:left="513" w:right="1116"/>
        <w:jc w:val="left"/>
      </w:pPr>
      <w:r>
        <w:rPr>
          <w:rFonts w:ascii="宋体" w:hAnsi="宋体" w:cs="宋体" w:eastAsia="宋体" w:hint="default"/>
          <w:b/>
          <w:bCs/>
        </w:rPr>
        <w:t>（二）监事</w:t>
      </w:r>
      <w:r>
        <w:rPr>
          <w:rFonts w:ascii="宋体" w:hAnsi="宋体" w:cs="宋体" w:eastAsia="宋体" w:hint="default"/>
          <w:b/>
          <w:bCs/>
          <w:w w:val="99"/>
        </w:rPr>
        <w:t> </w:t>
      </w:r>
      <w:r>
        <w:rPr>
          <w:rFonts w:ascii="宋体" w:hAnsi="宋体" w:cs="宋体" w:eastAsia="宋体" w:hint="default"/>
          <w:b/>
          <w:bCs/>
          <w:spacing w:val="-2"/>
        </w:rPr>
        <w:t>程飞，</w:t>
      </w:r>
      <w:r>
        <w:rPr>
          <w:spacing w:val="-2"/>
        </w:rPr>
        <w:t>中国国籍，无境外居留权，</w:t>
      </w:r>
      <w:r>
        <w:rPr>
          <w:rFonts w:ascii="Times New Roman" w:hAnsi="Times New Roman" w:cs="Times New Roman" w:eastAsia="Times New Roman" w:hint="default"/>
          <w:spacing w:val="-2"/>
        </w:rPr>
        <w:t>1980</w:t>
      </w:r>
      <w:r>
        <w:rPr>
          <w:spacing w:val="-2"/>
        </w:rPr>
        <w:t>年生，本科学历，中共党员。</w:t>
      </w:r>
      <w:r>
        <w:rPr>
          <w:rFonts w:ascii="Times New Roman" w:hAnsi="Times New Roman" w:cs="Times New Roman" w:eastAsia="Times New Roman" w:hint="default"/>
          <w:spacing w:val="-2"/>
        </w:rPr>
        <w:t>2011</w:t>
      </w:r>
      <w:r>
        <w:rPr>
          <w:spacing w:val="-2"/>
        </w:rPr>
        <w:t>年加入本公司，现任本公司工程中心项目副总</w:t>
      </w:r>
    </w:p>
    <w:p>
      <w:pPr>
        <w:pStyle w:val="BodyText"/>
        <w:spacing w:line="451" w:lineRule="auto" w:before="21"/>
        <w:ind w:left="513" w:right="1116" w:hanging="361"/>
        <w:jc w:val="left"/>
      </w:pPr>
      <w:r>
        <w:rPr/>
        <w:t>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月起任本公司第四届监事会主席、职工代表监事。 </w:t>
      </w:r>
      <w:r>
        <w:rPr>
          <w:rFonts w:ascii="宋体" w:hAnsi="宋体" w:cs="宋体" w:eastAsia="宋体" w:hint="default"/>
          <w:b/>
          <w:bCs/>
          <w:spacing w:val="-2"/>
        </w:rPr>
        <w:t>夏必武</w:t>
      </w:r>
      <w:r>
        <w:rPr>
          <w:spacing w:val="-2"/>
        </w:rPr>
        <w:t>，中国国籍，无境外居留权，</w:t>
      </w:r>
      <w:r>
        <w:rPr>
          <w:rFonts w:ascii="Times New Roman" w:hAnsi="Times New Roman" w:cs="Times New Roman" w:eastAsia="Times New Roman" w:hint="default"/>
          <w:spacing w:val="-2"/>
        </w:rPr>
        <w:t>1988</w:t>
      </w:r>
      <w:r>
        <w:rPr>
          <w:spacing w:val="-2"/>
        </w:rPr>
        <w:t>年生，本科学历，中共党员。</w:t>
      </w:r>
      <w:r>
        <w:rPr>
          <w:rFonts w:ascii="Times New Roman" w:hAnsi="Times New Roman" w:cs="Times New Roman" w:eastAsia="Times New Roman" w:hint="default"/>
          <w:spacing w:val="-2"/>
        </w:rPr>
        <w:t>2012</w:t>
      </w:r>
      <w:r>
        <w:rPr>
          <w:spacing w:val="-2"/>
        </w:rPr>
        <w:t>年加入本公司，现任今天软件项目定制部部</w:t>
      </w:r>
    </w:p>
    <w:p>
      <w:pPr>
        <w:pStyle w:val="BodyText"/>
        <w:spacing w:line="451" w:lineRule="auto" w:before="43"/>
        <w:ind w:left="513" w:right="1116" w:hanging="361"/>
        <w:jc w:val="left"/>
      </w:pPr>
      <w:r>
        <w:rPr/>
        <w:t>门经理。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月起任本公司第四届监事会监事。 </w:t>
      </w:r>
      <w:r>
        <w:rPr>
          <w:rFonts w:ascii="宋体" w:hAnsi="宋体" w:cs="宋体" w:eastAsia="宋体" w:hint="default"/>
          <w:b/>
          <w:bCs/>
          <w:spacing w:val="-2"/>
        </w:rPr>
        <w:t>周平</w:t>
      </w:r>
      <w:r>
        <w:rPr>
          <w:spacing w:val="-2"/>
        </w:rPr>
        <w:t>，中国国籍，无境外居留权，</w:t>
      </w:r>
      <w:r>
        <w:rPr>
          <w:rFonts w:ascii="Times New Roman" w:hAnsi="Times New Roman" w:cs="Times New Roman" w:eastAsia="Times New Roman" w:hint="default"/>
          <w:spacing w:val="-2"/>
        </w:rPr>
        <w:t>1988</w:t>
      </w:r>
      <w:r>
        <w:rPr>
          <w:spacing w:val="-2"/>
        </w:rPr>
        <w:t>年生，本科学历。</w:t>
      </w:r>
      <w:r>
        <w:rPr>
          <w:rFonts w:ascii="Times New Roman" w:hAnsi="Times New Roman" w:cs="Times New Roman" w:eastAsia="Times New Roman" w:hint="default"/>
          <w:spacing w:val="-2"/>
        </w:rPr>
        <w:t>2011</w:t>
      </w:r>
      <w:r>
        <w:rPr>
          <w:spacing w:val="-2"/>
        </w:rPr>
        <w:t>年加入本公司，现任今天国际智能机器人公司项目实施部</w:t>
      </w:r>
    </w:p>
    <w:p>
      <w:pPr>
        <w:pStyle w:val="BodyText"/>
        <w:spacing w:line="240" w:lineRule="auto" w:before="43"/>
        <w:ind w:right="1116"/>
        <w:jc w:val="left"/>
      </w:pPr>
      <w:r>
        <w:rPr/>
        <w:t>技术经理。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月起任本公司第四届监事会监事。</w:t>
      </w:r>
    </w:p>
    <w:p>
      <w:pPr>
        <w:spacing w:line="240" w:lineRule="auto" w:before="9"/>
        <w:rPr>
          <w:rFonts w:ascii="宋体" w:hAnsi="宋体" w:cs="宋体" w:eastAsia="宋体" w:hint="default"/>
          <w:sz w:val="16"/>
          <w:szCs w:val="16"/>
        </w:rPr>
      </w:pPr>
    </w:p>
    <w:p>
      <w:pPr>
        <w:spacing w:line="477" w:lineRule="auto" w:before="0"/>
        <w:ind w:left="513" w:right="1116" w:firstLine="0"/>
        <w:jc w:val="left"/>
        <w:rPr>
          <w:rFonts w:ascii="宋体" w:hAnsi="宋体" w:cs="宋体" w:eastAsia="宋体" w:hint="default"/>
          <w:sz w:val="18"/>
          <w:szCs w:val="18"/>
        </w:rPr>
      </w:pPr>
      <w:r>
        <w:rPr>
          <w:rFonts w:ascii="宋体" w:hAnsi="宋体" w:cs="宋体" w:eastAsia="宋体" w:hint="default"/>
          <w:b/>
          <w:bCs/>
          <w:sz w:val="18"/>
          <w:szCs w:val="18"/>
        </w:rPr>
        <w:t>（三）其他高级管理人员</w:t>
      </w:r>
      <w:r>
        <w:rPr>
          <w:rFonts w:ascii="宋体" w:hAnsi="宋体" w:cs="宋体" w:eastAsia="宋体" w:hint="default"/>
          <w:b/>
          <w:bCs/>
          <w:w w:val="99"/>
          <w:sz w:val="18"/>
          <w:szCs w:val="18"/>
        </w:rPr>
        <w:t> </w:t>
      </w:r>
      <w:r>
        <w:rPr>
          <w:rFonts w:ascii="宋体" w:hAnsi="宋体" w:cs="宋体" w:eastAsia="宋体" w:hint="default"/>
          <w:b/>
          <w:bCs/>
          <w:spacing w:val="-2"/>
          <w:sz w:val="18"/>
          <w:szCs w:val="18"/>
        </w:rPr>
        <w:t>邵健锋</w:t>
      </w:r>
      <w:r>
        <w:rPr>
          <w:rFonts w:ascii="宋体" w:hAnsi="宋体" w:cs="宋体" w:eastAsia="宋体" w:hint="default"/>
          <w:spacing w:val="-2"/>
          <w:sz w:val="18"/>
          <w:szCs w:val="18"/>
        </w:rPr>
        <w:t>，中国国籍，拥有澳门居民身份证，</w:t>
      </w:r>
      <w:r>
        <w:rPr>
          <w:rFonts w:ascii="Times New Roman" w:hAnsi="Times New Roman" w:cs="Times New Roman" w:eastAsia="Times New Roman" w:hint="default"/>
          <w:spacing w:val="-2"/>
          <w:sz w:val="18"/>
          <w:szCs w:val="18"/>
        </w:rPr>
        <w:t>1978</w:t>
      </w:r>
      <w:r>
        <w:rPr>
          <w:rFonts w:ascii="宋体" w:hAnsi="宋体" w:cs="宋体" w:eastAsia="宋体" w:hint="default"/>
          <w:spacing w:val="-2"/>
          <w:sz w:val="18"/>
          <w:szCs w:val="18"/>
        </w:rPr>
        <w:t>年出生，中国人民大学</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。茂名市九届政协委员，深圳市青年联合</w:t>
      </w:r>
    </w:p>
    <w:p>
      <w:pPr>
        <w:pStyle w:val="BodyText"/>
        <w:spacing w:line="451" w:lineRule="auto" w:before="21"/>
        <w:ind w:right="1116"/>
        <w:jc w:val="left"/>
      </w:pPr>
      <w:r>
        <w:rPr>
          <w:spacing w:val="-2"/>
        </w:rPr>
        <w:t>会委员，深圳市青年科技人才协会理事。曾任职于广东华源实业发展有限公司；</w:t>
      </w:r>
      <w:r>
        <w:rPr>
          <w:rFonts w:ascii="Times New Roman" w:hAnsi="Times New Roman" w:cs="Times New Roman" w:eastAsia="Times New Roman" w:hint="default"/>
          <w:spacing w:val="-2"/>
        </w:rPr>
        <w:t>2000</w:t>
      </w:r>
      <w:r>
        <w:rPr>
          <w:spacing w:val="-2"/>
        </w:rPr>
        <w:t>年参与筹建今天有限；现任本公司常务</w:t>
      </w:r>
      <w:r>
        <w:rPr>
          <w:spacing w:val="-61"/>
        </w:rPr>
        <w:t> </w:t>
      </w:r>
      <w:r>
        <w:rPr>
          <w:spacing w:val="-61"/>
        </w:rPr>
      </w:r>
      <w:r>
        <w:rPr/>
        <w:t>副总裁。</w:t>
      </w:r>
    </w:p>
    <w:p>
      <w:pPr>
        <w:pStyle w:val="BodyText"/>
        <w:spacing w:line="451" w:lineRule="auto" w:before="74"/>
        <w:ind w:right="1047" w:firstLine="360"/>
        <w:jc w:val="both"/>
      </w:pPr>
      <w:r>
        <w:rPr>
          <w:rFonts w:ascii="宋体" w:hAnsi="宋体" w:cs="宋体" w:eastAsia="宋体" w:hint="default"/>
          <w:b/>
          <w:bCs/>
          <w:spacing w:val="-3"/>
          <w:w w:val="99"/>
        </w:rPr>
        <w:t>梁建平</w:t>
      </w:r>
      <w:r>
        <w:rPr>
          <w:spacing w:val="-3"/>
          <w:w w:val="99"/>
        </w:rPr>
        <w:t>，中国国籍，无境外居留权，</w:t>
      </w:r>
      <w:r>
        <w:rPr>
          <w:rFonts w:ascii="Times New Roman" w:hAnsi="Times New Roman" w:cs="Times New Roman" w:eastAsia="Times New Roman" w:hint="default"/>
          <w:spacing w:val="-3"/>
          <w:w w:val="99"/>
        </w:rPr>
        <w:t>1972</w:t>
      </w:r>
      <w:r>
        <w:rPr>
          <w:spacing w:val="-3"/>
          <w:w w:val="99"/>
        </w:rPr>
        <w:t>年生，</w:t>
      </w:r>
      <w:r>
        <w:rPr>
          <w:rFonts w:ascii="Times New Roman" w:hAnsi="Times New Roman" w:cs="Times New Roman" w:eastAsia="Times New Roman" w:hint="default"/>
          <w:spacing w:val="-3"/>
          <w:w w:val="99"/>
        </w:rPr>
        <w:t>EMBA</w:t>
      </w:r>
      <w:r>
        <w:rPr>
          <w:spacing w:val="-3"/>
          <w:w w:val="99"/>
        </w:rPr>
        <w:t>；中国注册会计师（非执业），中国注册资产评估师（非执业）。</w:t>
      </w:r>
      <w:r>
        <w:rPr/>
        <w:t> 曾任职于广东省茂名市财政局，广东省茂名市名正会计师事务所；</w:t>
      </w:r>
      <w:r>
        <w:rPr>
          <w:rFonts w:ascii="Times New Roman" w:hAnsi="Times New Roman" w:cs="Times New Roman" w:eastAsia="Times New Roman" w:hint="default"/>
        </w:rPr>
        <w:t>2002</w:t>
      </w:r>
      <w:r>
        <w:rPr/>
        <w:t>年加入今天有限；现任本公司副总裁。</w:t>
      </w:r>
    </w:p>
    <w:p>
      <w:pPr>
        <w:pStyle w:val="BodyText"/>
        <w:spacing w:line="451" w:lineRule="auto" w:before="43"/>
        <w:ind w:right="1134" w:firstLine="360"/>
        <w:jc w:val="both"/>
      </w:pPr>
      <w:r>
        <w:rPr>
          <w:rFonts w:ascii="宋体" w:hAnsi="宋体" w:cs="宋体" w:eastAsia="宋体" w:hint="default"/>
          <w:b/>
          <w:bCs/>
          <w:spacing w:val="-2"/>
        </w:rPr>
        <w:t>刘成凯</w:t>
      </w:r>
      <w:r>
        <w:rPr>
          <w:spacing w:val="-2"/>
        </w:rPr>
        <w:t>，中国国籍，无境外居留权，</w:t>
      </w:r>
      <w:r>
        <w:rPr>
          <w:rFonts w:ascii="Times New Roman" w:hAnsi="Times New Roman" w:cs="Times New Roman" w:eastAsia="Times New Roman" w:hint="default"/>
          <w:spacing w:val="-2"/>
        </w:rPr>
        <w:t>1970</w:t>
      </w:r>
      <w:r>
        <w:rPr>
          <w:spacing w:val="-2"/>
        </w:rPr>
        <w:t>年生，软件工程硕士。曾任职于国营华北光学仪器厂，深圳中科智担保投资有</w:t>
      </w:r>
      <w:r>
        <w:rPr/>
        <w:t> </w:t>
      </w:r>
      <w:r>
        <w:rPr>
          <w:spacing w:val="-1"/>
        </w:rPr>
        <w:t>限公司，深圳市许继富通达车库有限公司，意大利</w:t>
      </w:r>
      <w:r>
        <w:rPr>
          <w:rFonts w:ascii="Times New Roman" w:hAnsi="Times New Roman" w:cs="Times New Roman" w:eastAsia="Times New Roman" w:hint="default"/>
          <w:spacing w:val="-1"/>
        </w:rPr>
        <w:t>INTERPARK</w:t>
      </w:r>
      <w:r>
        <w:rPr>
          <w:spacing w:val="-1"/>
        </w:rPr>
        <w:t>公司；</w:t>
      </w:r>
      <w:r>
        <w:rPr>
          <w:rFonts w:ascii="Times New Roman" w:hAnsi="Times New Roman" w:cs="Times New Roman" w:eastAsia="Times New Roman" w:hint="default"/>
          <w:spacing w:val="-1"/>
        </w:rPr>
        <w:t>2006</w:t>
      </w:r>
      <w:r>
        <w:rPr>
          <w:spacing w:val="-1"/>
        </w:rPr>
        <w:t>年加入今天有限；现任公司副总裁、今天软件总</w:t>
      </w:r>
      <w:r>
        <w:rPr>
          <w:spacing w:val="-51"/>
        </w:rPr>
        <w:t> </w:t>
      </w:r>
      <w:r>
        <w:rPr>
          <w:spacing w:val="-51"/>
        </w:rPr>
      </w:r>
      <w:r>
        <w:rPr/>
        <w:t>经理。</w:t>
      </w:r>
    </w:p>
    <w:p>
      <w:pPr>
        <w:pStyle w:val="BodyText"/>
        <w:spacing w:line="240" w:lineRule="auto" w:before="74"/>
        <w:ind w:right="1116"/>
        <w:jc w:val="left"/>
      </w:pPr>
      <w:r>
        <w:rPr/>
        <w:t>在股东单位任职情况</w:t>
      </w:r>
    </w:p>
    <w:p>
      <w:pPr>
        <w:spacing w:line="240" w:lineRule="auto" w:before="10"/>
        <w:rPr>
          <w:rFonts w:ascii="宋体" w:hAnsi="宋体" w:cs="宋体" w:eastAsia="宋体" w:hint="default"/>
          <w:sz w:val="17"/>
          <w:szCs w:val="17"/>
        </w:rPr>
      </w:pPr>
    </w:p>
    <w:p>
      <w:pPr>
        <w:pStyle w:val="BodyText"/>
        <w:spacing w:line="451" w:lineRule="auto"/>
        <w:ind w:right="9134"/>
        <w:jc w:val="left"/>
      </w:pPr>
      <w:r>
        <w:rPr>
          <w:rFonts w:ascii="Times New Roman" w:hAnsi="Times New Roman" w:cs="Times New Roman" w:eastAsia="Times New Roman" w:hint="default"/>
        </w:rPr>
        <w:t>□ </w:t>
      </w:r>
      <w:r>
        <w:rPr/>
        <w:t>适用 √</w:t>
      </w:r>
      <w:r>
        <w:rPr>
          <w:spacing w:val="2"/>
        </w:rPr>
        <w:t> </w:t>
      </w:r>
      <w:r>
        <w:rPr/>
        <w:t>不适用</w:t>
      </w:r>
      <w:r>
        <w:rPr>
          <w:w w:val="99"/>
        </w:rPr>
        <w:t> </w:t>
      </w:r>
      <w:r>
        <w:rPr/>
        <w:t>在其他单位任职情况</w:t>
      </w:r>
    </w:p>
    <w:p>
      <w:pPr>
        <w:spacing w:after="0" w:line="451"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1"/>
        <w:rPr>
          <w:rFonts w:ascii="宋体" w:hAnsi="宋体" w:cs="宋体" w:eastAsia="宋体" w:hint="default"/>
          <w:sz w:val="10"/>
          <w:szCs w:val="10"/>
        </w:rPr>
      </w:pPr>
    </w:p>
    <w:tbl>
      <w:tblPr>
        <w:tblW w:w="0" w:type="auto"/>
        <w:jc w:val="left"/>
        <w:tblInd w:w="157" w:type="dxa"/>
        <w:tblLayout w:type="fixed"/>
        <w:tblCellMar>
          <w:top w:w="0" w:type="dxa"/>
          <w:left w:w="0" w:type="dxa"/>
          <w:bottom w:w="0" w:type="dxa"/>
          <w:right w:w="0" w:type="dxa"/>
        </w:tblCellMar>
        <w:tblLook w:val="01E0"/>
      </w:tblPr>
      <w:tblGrid>
        <w:gridCol w:w="1640"/>
        <w:gridCol w:w="3625"/>
        <w:gridCol w:w="2624"/>
        <w:gridCol w:w="1733"/>
      </w:tblGrid>
      <w:tr>
        <w:trPr>
          <w:trHeight w:val="991" w:hRule="exact"/>
        </w:trPr>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412" w:right="137" w:hanging="269"/>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北京智善投资管理有限公司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深圳市健阳新材料有限责任公司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深圳市华锐丰投资合伙企业（有限合伙）</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执行事务合伙人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张小麒</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巨丰企业管理咨询（深圳）有限公司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梁建平</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曲水新智丰企业管理合伙企业（有限合伙）</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执行事务合伙人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刘成凯</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曲水鹏粤企业管理合伙企业（有限合伙）</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执行事务合伙人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同济大学中德学院</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9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德国弗劳恩霍夫物流研究院</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中国首席科学家、首席代表</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中德智能技术博士研究院（青岛）有限公司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北京昊鼎物流科技有限公司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哈尔滨海庭酒店管理有限公司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深圳市芭田生态工程股份有限公司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秘书长兼副会长</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广西深贺产业合作服务有限公司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深圳市国测软评有限公司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深圳市恒顺达知识产权代理有限公司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深圳市深软鸿皓知识产权代理有限公司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深圳中琛源科技股份有限公司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6"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深圳市天维尔信息科技股份有限公司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03" w:hRule="exact"/>
        </w:trPr>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365" w:right="182" w:hanging="180"/>
              <w:jc w:val="left"/>
              <w:rPr>
                <w:rFonts w:ascii="宋体" w:hAnsi="宋体" w:cs="宋体" w:eastAsia="宋体" w:hint="default"/>
                <w:sz w:val="18"/>
                <w:szCs w:val="18"/>
              </w:rPr>
            </w:pPr>
            <w:r>
              <w:rPr>
                <w:rFonts w:ascii="宋体" w:hAnsi="宋体" w:cs="宋体" w:eastAsia="宋体" w:hint="default"/>
                <w:sz w:val="18"/>
                <w:szCs w:val="18"/>
              </w:rPr>
              <w:t>在其他单位任职 情况的说明</w:t>
            </w:r>
          </w:p>
        </w:tc>
        <w:tc>
          <w:tcPr>
            <w:tcW w:w="7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7"/>
        <w:ind w:right="1116"/>
        <w:jc w:val="left"/>
      </w:pPr>
      <w:r>
        <w:rPr/>
        <w:t>公司现任及报告期内离任董事、监事和高级管理人员近三年证券监管机构处罚的情况</w:t>
      </w:r>
    </w:p>
    <w:p>
      <w:pPr>
        <w:spacing w:after="0" w:line="240"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94"/>
        <w:ind w:right="1116"/>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pStyle w:val="BodyText"/>
        <w:spacing w:line="477" w:lineRule="auto" w:before="125"/>
        <w:ind w:left="513" w:right="1116" w:hanging="361"/>
        <w:jc w:val="left"/>
      </w:pPr>
      <w:r>
        <w:rPr/>
        <w:t>董事、监事、高级管理人员报酬的决策程序、确定依据、实际支付情况 </w:t>
      </w:r>
      <w:r>
        <w:rPr>
          <w:spacing w:val="-2"/>
        </w:rPr>
        <w:t>报酬决策程序：公司提名与薪酬委员会对公司董事、监事及高级管理人员的薪酬方案进行研究并提出建议，董事、监事</w:t>
      </w:r>
    </w:p>
    <w:p>
      <w:pPr>
        <w:pStyle w:val="BodyText"/>
        <w:spacing w:line="477" w:lineRule="auto" w:before="54"/>
        <w:ind w:left="513" w:right="1118" w:hanging="361"/>
        <w:jc w:val="left"/>
      </w:pPr>
      <w:r>
        <w:rPr/>
        <w:t>的报酬由股东大会审议通过，高级管理人员的报酬由董事会审议通过。 </w:t>
      </w:r>
      <w:r>
        <w:rPr>
          <w:spacing w:val="-5"/>
        </w:rPr>
        <w:t>报酬确定依据：公司针对董事、监事、高级管理人员的薪酬和绩效考核方案严格依据公司薪酬体系和绩效考核体系实施。</w:t>
      </w:r>
      <w:r>
        <w:rPr/>
        <w:t> 报酬实际支付情况：报告期内，公司已向董事、监事及高级管理人员全额支付薪酬。</w:t>
      </w:r>
    </w:p>
    <w:p>
      <w:pPr>
        <w:pStyle w:val="BodyText"/>
        <w:spacing w:line="240" w:lineRule="auto" w:before="54"/>
        <w:ind w:right="1116"/>
        <w:jc w:val="left"/>
      </w:pPr>
      <w:r>
        <w:rPr/>
        <w:t>公司报告期内董事、监事和高级管理人员报酬情况</w:t>
      </w:r>
    </w:p>
    <w:p>
      <w:pPr>
        <w:pStyle w:val="BodyText"/>
        <w:spacing w:line="240" w:lineRule="auto" w:before="153"/>
        <w:ind w:left="0" w:right="1131"/>
        <w:jc w:val="right"/>
      </w:pPr>
      <w:r>
        <w:rPr/>
        <w:t>单位：万元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19"/>
        <w:gridCol w:w="1875"/>
        <w:gridCol w:w="914"/>
        <w:gridCol w:w="1246"/>
        <w:gridCol w:w="1215"/>
        <w:gridCol w:w="1561"/>
        <w:gridCol w:w="1644"/>
      </w:tblGrid>
      <w:tr>
        <w:trPr>
          <w:trHeight w:val="634" w:hRule="exact"/>
        </w:trPr>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26" w:right="142"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69" w:right="182"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邵健伟</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z w:val="18"/>
              </w:rPr>
              <w:t>54.1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张小麒</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副董事长、总裁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95.42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张永清</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1" w:right="122" w:hanging="89"/>
              <w:jc w:val="left"/>
              <w:rPr>
                <w:rFonts w:ascii="宋体" w:hAnsi="宋体" w:cs="宋体" w:eastAsia="宋体" w:hint="default"/>
                <w:sz w:val="18"/>
                <w:szCs w:val="18"/>
              </w:rPr>
            </w:pPr>
            <w:r>
              <w:rPr>
                <w:rFonts w:ascii="宋体" w:hAnsi="宋体" w:cs="宋体" w:eastAsia="宋体" w:hint="default"/>
                <w:sz w:val="18"/>
                <w:szCs w:val="18"/>
              </w:rPr>
              <w:t>董事、副总裁、董事 会秘书、财务总监</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68"/>
              <w:jc w:val="right"/>
              <w:rPr>
                <w:rFonts w:ascii="Times New Roman" w:hAnsi="Times New Roman" w:cs="Times New Roman" w:eastAsia="Times New Roman" w:hint="default"/>
                <w:sz w:val="18"/>
                <w:szCs w:val="18"/>
              </w:rPr>
            </w:pPr>
            <w:r>
              <w:rPr>
                <w:rFonts w:ascii="Times New Roman"/>
                <w:sz w:val="18"/>
              </w:rPr>
              <w:t>70.63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曾巍巍</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72.73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房殿军</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59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程飞</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1.96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夏必武</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8.13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周平</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2.06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邵健锋</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42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8"/>
              <w:jc w:val="right"/>
              <w:rPr>
                <w:rFonts w:ascii="Times New Roman" w:hAnsi="Times New Roman" w:cs="Times New Roman" w:eastAsia="Times New Roman" w:hint="default"/>
                <w:sz w:val="18"/>
                <w:szCs w:val="18"/>
              </w:rPr>
            </w:pPr>
            <w:r>
              <w:rPr>
                <w:rFonts w:ascii="Times New Roman"/>
                <w:sz w:val="18"/>
              </w:rPr>
              <w:t>64.55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梁建平</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84.04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刘成凯</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70.05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徐峰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67.54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袁蒙蒙</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8"/>
              <w:jc w:val="right"/>
              <w:rPr>
                <w:rFonts w:ascii="Times New Roman" w:hAnsi="Times New Roman" w:cs="Times New Roman" w:eastAsia="Times New Roman" w:hint="default"/>
                <w:sz w:val="18"/>
                <w:szCs w:val="18"/>
              </w:rPr>
            </w:pPr>
            <w:r>
              <w:rPr>
                <w:rFonts w:ascii="Times New Roman"/>
                <w:sz w:val="18"/>
              </w:rPr>
              <w:t>35.34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盛强</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z w:val="18"/>
              </w:rPr>
              <w:t>25.5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3"/>
              <w:jc w:val="right"/>
              <w:rPr>
                <w:rFonts w:ascii="Times New Roman" w:hAnsi="Times New Roman" w:cs="Times New Roman" w:eastAsia="Times New Roman" w:hint="default"/>
                <w:sz w:val="18"/>
                <w:szCs w:val="18"/>
              </w:rPr>
            </w:pPr>
            <w:r>
              <w:rPr>
                <w:rFonts w:ascii="Times New Roman"/>
                <w:spacing w:val="-1"/>
                <w:sz w:val="18"/>
              </w:rPr>
              <w:t>670.05</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8"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7"/>
        <w:ind w:right="1116"/>
        <w:jc w:val="left"/>
      </w:pPr>
      <w:r>
        <w:rPr/>
        <w:t>公司董事、高级管理人员报告期内被授予的股权激励情况</w:t>
      </w:r>
    </w:p>
    <w:p>
      <w:pPr>
        <w:spacing w:line="240" w:lineRule="auto" w:before="11"/>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适用 □</w:t>
      </w:r>
      <w:r>
        <w:rPr>
          <w:spacing w:val="3"/>
        </w:rPr>
        <w:t> </w:t>
      </w:r>
      <w:r>
        <w:rPr/>
        <w:t>不适用</w:t>
      </w:r>
    </w:p>
    <w:p>
      <w:pPr>
        <w:pStyle w:val="BodyText"/>
        <w:spacing w:line="240" w:lineRule="auto" w:before="139"/>
        <w:ind w:left="0" w:right="1131"/>
        <w:jc w:val="right"/>
      </w:pPr>
      <w:r>
        <w:rPr/>
        <w:t>单位：股</w:t>
      </w:r>
    </w:p>
    <w:p>
      <w:pPr>
        <w:spacing w:after="0" w:line="240" w:lineRule="auto"/>
        <w:jc w:val="right"/>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867"/>
        <w:gridCol w:w="1034"/>
        <w:gridCol w:w="708"/>
        <w:gridCol w:w="872"/>
        <w:gridCol w:w="871"/>
        <w:gridCol w:w="872"/>
        <w:gridCol w:w="871"/>
        <w:gridCol w:w="871"/>
        <w:gridCol w:w="872"/>
        <w:gridCol w:w="677"/>
        <w:gridCol w:w="1068"/>
      </w:tblGrid>
      <w:tr>
        <w:trPr>
          <w:trHeight w:val="236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70" w:right="167"/>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61" w:right="15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4" w:lineRule="auto"/>
              <w:ind w:left="134" w:right="135" w:firstLine="26"/>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60" w:right="159"/>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49" w:right="224"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63" w:right="158"/>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2"/>
              <w:ind w:left="155" w:right="149"/>
              <w:jc w:val="both"/>
              <w:rPr>
                <w:rFonts w:ascii="宋体" w:hAnsi="宋体" w:cs="宋体" w:eastAsia="宋体" w:hint="default"/>
                <w:sz w:val="18"/>
                <w:szCs w:val="18"/>
              </w:rPr>
            </w:pPr>
            <w:r>
              <w:rPr>
                <w:rFonts w:ascii="宋体" w:hAnsi="宋体" w:cs="宋体" w:eastAsia="宋体" w:hint="default"/>
                <w:sz w:val="18"/>
                <w:szCs w:val="18"/>
              </w:rPr>
              <w:t>限制 性股 票的 授予 价格</w:t>
            </w:r>
          </w:p>
          <w:p>
            <w:pPr>
              <w:pStyle w:val="TableParagraph"/>
              <w:spacing w:line="300" w:lineRule="auto" w:before="17"/>
              <w:ind w:left="155" w:right="125" w:hanging="27"/>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70" w:right="16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4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张小麒</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105" w:right="17"/>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440,640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220,320</w:t>
            </w:r>
          </w:p>
        </w:tc>
      </w:tr>
      <w:tr>
        <w:trPr>
          <w:trHeight w:val="139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5"/>
              <w:ind w:left="105" w:right="98"/>
              <w:jc w:val="both"/>
              <w:rPr>
                <w:rFonts w:ascii="宋体" w:hAnsi="宋体" w:cs="宋体" w:eastAsia="宋体" w:hint="default"/>
                <w:sz w:val="18"/>
                <w:szCs w:val="18"/>
              </w:rPr>
            </w:pPr>
            <w:r>
              <w:rPr>
                <w:rFonts w:ascii="宋体" w:hAnsi="宋体" w:cs="宋体" w:eastAsia="宋体" w:hint="default"/>
                <w:spacing w:val="-17"/>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裁、董事会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秘书、财务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311,040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155,520</w:t>
            </w:r>
          </w:p>
        </w:tc>
      </w:tr>
      <w:tr>
        <w:trPr>
          <w:trHeight w:val="4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刘成凯</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7"/>
              <w:jc w:val="righ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2"/>
                <w:sz w:val="18"/>
              </w:rPr>
              <w:t>311,040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155,520</w:t>
            </w:r>
          </w:p>
        </w:tc>
      </w:tr>
      <w:tr>
        <w:trPr>
          <w:trHeight w:val="4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梁建平</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7"/>
              <w:jc w:val="righ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129,600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64,800</w:t>
            </w:r>
          </w:p>
        </w:tc>
      </w:tr>
      <w:tr>
        <w:trPr>
          <w:trHeight w:val="74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105" w:right="98"/>
              <w:jc w:val="left"/>
              <w:rPr>
                <w:rFonts w:ascii="宋体" w:hAnsi="宋体" w:cs="宋体" w:eastAsia="宋体" w:hint="default"/>
                <w:sz w:val="18"/>
                <w:szCs w:val="18"/>
              </w:rPr>
            </w:pPr>
            <w:r>
              <w:rPr>
                <w:rFonts w:ascii="宋体" w:hAnsi="宋体" w:cs="宋体" w:eastAsia="宋体" w:hint="default"/>
                <w:spacing w:val="-17"/>
                <w:sz w:val="18"/>
                <w:szCs w:val="18"/>
              </w:rPr>
              <w:t>副总裁（现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64,800</w:t>
            </w:r>
          </w:p>
        </w:tc>
      </w:tr>
      <w:tr>
        <w:trPr>
          <w:trHeight w:val="74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5"/>
                <w:sz w:val="18"/>
              </w:rPr>
              <w:t>1,321,92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660,960</w:t>
            </w:r>
          </w:p>
        </w:tc>
      </w:tr>
      <w:tr>
        <w:trPr>
          <w:trHeight w:val="32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103" w:right="101"/>
              <w:jc w:val="left"/>
              <w:rPr>
                <w:rFonts w:ascii="宋体" w:hAnsi="宋体" w:cs="宋体" w:eastAsia="宋体" w:hint="default"/>
                <w:sz w:val="18"/>
                <w:szCs w:val="18"/>
              </w:rPr>
            </w:pPr>
            <w:r>
              <w:rPr>
                <w:rFonts w:ascii="宋体" w:hAnsi="宋体" w:cs="宋体" w:eastAsia="宋体" w:hint="default"/>
                <w:spacing w:val="-18"/>
                <w:sz w:val="18"/>
                <w:szCs w:val="18"/>
              </w:rPr>
              <w:t>备注（如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87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日召开第三届董事会第十八次会议、第三届监事会第十五次会议，审议通过了《关于</w:t>
            </w: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回购注销部分已授予未解锁限制性股票的议案</w:t>
            </w:r>
            <w:r>
              <w:rPr>
                <w:rFonts w:ascii="宋体" w:hAnsi="宋体" w:cs="宋体" w:eastAsia="宋体" w:hint="default"/>
                <w:spacing w:val="-92"/>
                <w:sz w:val="18"/>
                <w:szCs w:val="18"/>
              </w:rPr>
              <w:t>》</w:t>
            </w:r>
            <w:r>
              <w:rPr>
                <w:rFonts w:ascii="宋体" w:hAnsi="宋体" w:cs="宋体" w:eastAsia="宋体" w:hint="default"/>
                <w:sz w:val="18"/>
                <w:szCs w:val="18"/>
              </w:rPr>
              <w:t>，因</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w:t>
            </w:r>
            <w:r>
              <w:rPr>
                <w:rFonts w:ascii="宋体" w:hAnsi="宋体" w:cs="宋体" w:eastAsia="宋体" w:hint="default"/>
                <w:spacing w:val="-3"/>
                <w:sz w:val="18"/>
                <w:szCs w:val="18"/>
              </w:rPr>
              <w:t>激</w:t>
            </w:r>
            <w:r>
              <w:rPr>
                <w:rFonts w:ascii="宋体" w:hAnsi="宋体" w:cs="宋体" w:eastAsia="宋体" w:hint="default"/>
                <w:sz w:val="18"/>
                <w:szCs w:val="18"/>
              </w:rPr>
              <w:t>励对象离职不再具备激励资格，公司拟对其所持</w:t>
            </w: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有的已获授但尚未解除限售的限制性股票共计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35.9208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万股进行回购注销。同时，鉴于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年限制性股票激</w:t>
            </w: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励计划第二个解除限售期公司业绩考核要求未能达标，公司拟对</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名激励对象第二个解除限售期内所持有的</w:t>
            </w: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全部已获授但尚未解除限售的限制性股票共计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185.9328 </w:t>
            </w:r>
            <w:r>
              <w:rPr>
                <w:rFonts w:ascii="宋体" w:hAnsi="宋体" w:cs="宋体" w:eastAsia="宋体" w:hint="default"/>
                <w:sz w:val="18"/>
                <w:szCs w:val="18"/>
              </w:rPr>
              <w:t>万股一并进行回购注销。综上，公司对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w:t>
            </w:r>
          </w:p>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性股票激励计划合计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 </w:t>
            </w:r>
            <w:r>
              <w:rPr>
                <w:rFonts w:ascii="宋体" w:hAnsi="宋体" w:cs="宋体" w:eastAsia="宋体" w:hint="default"/>
                <w:sz w:val="18"/>
                <w:szCs w:val="18"/>
              </w:rPr>
              <w:t>万股限制性股票进行回购注销</w:t>
            </w:r>
            <w:r>
              <w:rPr>
                <w:rFonts w:ascii="宋体" w:hAnsi="宋体" w:cs="宋体" w:eastAsia="宋体" w:hint="default"/>
                <w:spacing w:val="-75"/>
                <w:sz w:val="18"/>
                <w:szCs w:val="18"/>
              </w:rPr>
              <w:t>，</w:t>
            </w:r>
            <w:r>
              <w:rPr>
                <w:rFonts w:ascii="宋体" w:hAnsi="宋体" w:cs="宋体" w:eastAsia="宋体" w:hint="default"/>
                <w:sz w:val="18"/>
                <w:szCs w:val="18"/>
              </w:rPr>
              <w:t>回购价格为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上述</w:t>
            </w:r>
            <w:r>
              <w:rPr>
                <w:rFonts w:ascii="宋体" w:hAnsi="宋体" w:cs="宋体" w:eastAsia="宋体" w:hint="default"/>
                <w:spacing w:val="-3"/>
                <w:sz w:val="18"/>
                <w:szCs w:val="18"/>
              </w:rPr>
              <w:t>议</w:t>
            </w:r>
            <w:r>
              <w:rPr>
                <w:rFonts w:ascii="宋体" w:hAnsi="宋体" w:cs="宋体" w:eastAsia="宋体" w:hint="default"/>
                <w:sz w:val="18"/>
                <w:szCs w:val="18"/>
              </w:rPr>
              <w:t>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357" w:lineRule="auto" w:before="111"/>
              <w:ind w:left="105" w:right="10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年年度股东大会审议通过。</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日，公司披露《关于部分已授予未解锁 </w:t>
            </w:r>
            <w:r>
              <w:rPr>
                <w:rFonts w:ascii="宋体" w:hAnsi="宋体" w:cs="宋体" w:eastAsia="宋体" w:hint="default"/>
                <w:spacing w:val="-4"/>
                <w:sz w:val="18"/>
                <w:szCs w:val="18"/>
              </w:rPr>
              <w:t>限制性股票回购注销完成的公告》，上述限制性股票已在中国证券登记结算有限责任公司深圳分公司完成回购</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注销手续。</w:t>
            </w:r>
          </w:p>
        </w:tc>
      </w:tr>
    </w:tbl>
    <w:p>
      <w:pPr>
        <w:pStyle w:val="Heading2"/>
        <w:spacing w:line="276" w:lineRule="exact"/>
        <w:ind w:right="1116"/>
        <w:jc w:val="left"/>
        <w:rPr>
          <w:b w:val="0"/>
          <w:bCs w:val="0"/>
        </w:rPr>
      </w:pPr>
      <w:bookmarkStart w:name="五、公司员工情况" w:id="122"/>
      <w:bookmarkEnd w:id="122"/>
      <w:r>
        <w:rPr>
          <w:b w:val="0"/>
          <w:bCs w:val="0"/>
        </w:rPr>
      </w:r>
      <w:r>
        <w:rPr/>
        <w:t>五、公司员工情况</w:t>
      </w:r>
      <w:r>
        <w:rPr>
          <w:b w:val="0"/>
          <w:bCs w:val="0"/>
        </w:rPr>
      </w:r>
    </w:p>
    <w:p>
      <w:pPr>
        <w:pStyle w:val="Heading3"/>
        <w:spacing w:line="240" w:lineRule="auto" w:before="25"/>
        <w:ind w:right="1116"/>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296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202</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498</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498</w:t>
            </w:r>
          </w:p>
        </w:tc>
      </w:tr>
      <w:tr>
        <w:trPr>
          <w:trHeight w:val="3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37</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342</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41</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18</w:t>
            </w:r>
          </w:p>
        </w:tc>
      </w:tr>
      <w:tr>
        <w:trPr>
          <w:trHeight w:val="3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498</w:t>
            </w:r>
          </w:p>
        </w:tc>
      </w:tr>
      <w:tr>
        <w:trPr>
          <w:trHeight w:val="31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316</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108</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34</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498</w:t>
            </w:r>
          </w:p>
        </w:tc>
      </w:tr>
    </w:tbl>
    <w:p>
      <w:pPr>
        <w:pStyle w:val="Heading3"/>
        <w:spacing w:line="279" w:lineRule="exact"/>
        <w:ind w:right="1116"/>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pStyle w:val="BodyText"/>
        <w:spacing w:line="470" w:lineRule="auto" w:before="123"/>
        <w:ind w:right="1130" w:firstLine="360"/>
        <w:jc w:val="both"/>
      </w:pPr>
      <w:r>
        <w:rPr>
          <w:spacing w:val="-2"/>
        </w:rPr>
        <w:t>为了建立适合公司成长与发展的工资报酬体系和工资报酬政策，规范工资报酬管理，构筑有公司特色的价值分配机制和</w:t>
      </w:r>
      <w:r>
        <w:rPr/>
        <w:t> </w:t>
      </w:r>
      <w:r>
        <w:rPr>
          <w:spacing w:val="-2"/>
        </w:rPr>
        <w:t>内在激励机制，实现公司的可持续成长与发展，公司的薪酬体系坚持</w:t>
      </w:r>
      <w:r>
        <w:rPr>
          <w:rFonts w:ascii="Times New Roman" w:hAnsi="Times New Roman" w:cs="Times New Roman" w:eastAsia="Times New Roman" w:hint="default"/>
          <w:spacing w:val="-2"/>
        </w:rPr>
        <w:t>“</w:t>
      </w:r>
      <w:r>
        <w:rPr>
          <w:spacing w:val="-2"/>
        </w:rPr>
        <w:t>对外具有竞争力，对内具有公平性</w:t>
      </w:r>
      <w:r>
        <w:rPr>
          <w:rFonts w:ascii="Times New Roman" w:hAnsi="Times New Roman" w:cs="Times New Roman" w:eastAsia="Times New Roman" w:hint="default"/>
          <w:spacing w:val="-2"/>
        </w:rPr>
        <w:t>”</w:t>
      </w:r>
      <w:r>
        <w:rPr>
          <w:spacing w:val="-2"/>
        </w:rPr>
        <w:t>和符合公司中长期</w:t>
      </w:r>
      <w:r>
        <w:rPr>
          <w:spacing w:val="-45"/>
        </w:rPr>
        <w:t> </w:t>
      </w:r>
      <w:r>
        <w:rPr>
          <w:spacing w:val="-2"/>
        </w:rPr>
        <w:t>发展需求和有效激励原则，按照岗位类别，划分不同的职位族，对于公司的高管团队，以年度目标责任考评与年度绩效激励</w:t>
      </w:r>
      <w:r>
        <w:rPr>
          <w:spacing w:val="-64"/>
        </w:rPr>
        <w:t> </w:t>
      </w:r>
      <w:r>
        <w:rPr>
          <w:spacing w:val="-64"/>
        </w:rPr>
      </w:r>
      <w:r>
        <w:rPr>
          <w:spacing w:val="-2"/>
        </w:rPr>
        <w:t>为主；对于执行层的中高层管理人员以年度目标考核、月度目标考评为主，个人的薪酬及激励直接与团队目标和个人工作业</w:t>
      </w:r>
      <w:r>
        <w:rPr>
          <w:spacing w:val="-63"/>
        </w:rPr>
        <w:t> </w:t>
      </w:r>
      <w:r>
        <w:rPr>
          <w:spacing w:val="-63"/>
        </w:rPr>
      </w:r>
      <w:r>
        <w:rPr>
          <w:spacing w:val="-2"/>
        </w:rPr>
        <w:t>绩挂钩；对于基层员工以岗位绩效考评为主。此外，对于销售、项目实施及与项目运营相关的岗位，在建立日常考评制度的</w:t>
      </w:r>
      <w:r>
        <w:rPr>
          <w:spacing w:val="-66"/>
        </w:rPr>
        <w:t> </w:t>
      </w:r>
      <w:r>
        <w:rPr>
          <w:spacing w:val="-66"/>
        </w:rPr>
      </w:r>
      <w:r>
        <w:rPr/>
        <w:t>基础上，进一步完善项目考核与项目奖励作为主要的激励政策，充分调动员工的积极性。对外，公司每年进行</w:t>
      </w:r>
      <w:r>
        <w:rPr>
          <w:rFonts w:ascii="Times New Roman" w:hAnsi="Times New Roman" w:cs="Times New Roman" w:eastAsia="Times New Roman" w:hint="default"/>
        </w:rPr>
        <w:t>1-2</w:t>
      </w:r>
      <w:r>
        <w:rPr/>
        <w:t>次市场薪</w:t>
      </w:r>
      <w:r>
        <w:rPr>
          <w:spacing w:val="-54"/>
        </w:rPr>
        <w:t> </w:t>
      </w:r>
      <w:r>
        <w:rPr>
          <w:spacing w:val="-54"/>
        </w:rPr>
      </w:r>
      <w:r>
        <w:rPr>
          <w:spacing w:val="-5"/>
        </w:rPr>
        <w:t>酬调查，确定相关岗位的市场待遇水平，以保持公司薪酬的竞争力。对内，公司每年根据员工的表现和贡献对待遇进行评估，</w:t>
      </w:r>
      <w:r>
        <w:rPr>
          <w:spacing w:val="-78"/>
        </w:rPr>
        <w:t> </w:t>
      </w:r>
      <w:r>
        <w:rPr>
          <w:spacing w:val="-78"/>
        </w:rPr>
      </w:r>
      <w:r>
        <w:rPr/>
        <w:t>需要调整的给予适时调整。</w:t>
      </w:r>
    </w:p>
    <w:p>
      <w:pPr>
        <w:pStyle w:val="BodyText"/>
        <w:spacing w:line="451" w:lineRule="auto" w:before="59"/>
        <w:ind w:left="513" w:right="115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报告期内，公司职工薪酬总额（计入成本部分）为</w:t>
      </w:r>
      <w:r>
        <w:rPr>
          <w:rFonts w:ascii="Times New Roman" w:hAnsi="Times New Roman" w:cs="Times New Roman" w:eastAsia="Times New Roman" w:hint="default"/>
        </w:rPr>
        <w:t>14,939,155.29</w:t>
      </w:r>
      <w:r>
        <w:rPr/>
        <w:t>元，占总营业成本的比重为</w:t>
      </w:r>
      <w:r>
        <w:rPr>
          <w:rFonts w:ascii="Times New Roman" w:hAnsi="Times New Roman" w:cs="Times New Roman" w:eastAsia="Times New Roman" w:hint="default"/>
        </w:rPr>
        <w:t>2.91%</w:t>
      </w:r>
      <w:r>
        <w:rPr/>
        <w:t>。截至报告期末，按</w:t>
      </w:r>
    </w:p>
    <w:p>
      <w:pPr>
        <w:pStyle w:val="BodyText"/>
        <w:spacing w:line="240" w:lineRule="auto" w:before="43"/>
        <w:ind w:right="1116"/>
        <w:jc w:val="left"/>
      </w:pPr>
      <w:r>
        <w:rPr/>
        <w:t>照公司“</w:t>
      </w:r>
      <w:r>
        <w:rPr>
          <w:rFonts w:ascii="Times New Roman" w:hAnsi="Times New Roman" w:cs="Times New Roman" w:eastAsia="Times New Roman" w:hint="default"/>
        </w:rPr>
        <w:t>271</w:t>
      </w:r>
      <w:r>
        <w:rPr/>
        <w:t>”人力资源管理体系，公司核心技术人员数量占比为</w:t>
      </w:r>
      <w:r>
        <w:rPr>
          <w:rFonts w:ascii="Times New Roman" w:hAnsi="Times New Roman" w:cs="Times New Roman" w:eastAsia="Times New Roman" w:hint="default"/>
        </w:rPr>
        <w:t>12%</w:t>
      </w:r>
      <w:r>
        <w:rPr/>
        <w:t>，核心技术人员薪酬占比为</w:t>
      </w:r>
      <w:r>
        <w:rPr>
          <w:rFonts w:ascii="Times New Roman" w:hAnsi="Times New Roman" w:cs="Times New Roman" w:eastAsia="Times New Roman" w:hint="default"/>
        </w:rPr>
        <w:t>21.35%</w:t>
      </w:r>
      <w:r>
        <w:rPr/>
        <w:t>。</w:t>
      </w:r>
    </w:p>
    <w:p>
      <w:pPr>
        <w:pStyle w:val="Heading3"/>
        <w:spacing w:line="240" w:lineRule="auto" w:before="119"/>
        <w:ind w:right="1116"/>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pStyle w:val="BodyText"/>
        <w:spacing w:line="477" w:lineRule="auto" w:before="121"/>
        <w:ind w:right="1133" w:firstLine="360"/>
        <w:jc w:val="both"/>
      </w:pPr>
      <w:r>
        <w:rPr>
          <w:spacing w:val="-2"/>
        </w:rPr>
        <w:t>公司不断完善公司的培训制度，构建多层次的培训体系，推进中高层管理培训、部门交叉培训、岗前培训与新员工拓展</w:t>
      </w:r>
      <w:r>
        <w:rPr/>
        <w:t> 培训等专项培训。</w:t>
      </w:r>
    </w:p>
    <w:p>
      <w:pPr>
        <w:pStyle w:val="BodyText"/>
        <w:spacing w:line="240" w:lineRule="auto" w:before="54"/>
        <w:ind w:left="513" w:right="1116"/>
        <w:jc w:val="left"/>
      </w:pPr>
      <w:r>
        <w:rPr/>
        <w:t>（一）中高层管理培训主要包括管理技能培训、中高层管理知识培训；</w:t>
      </w:r>
    </w:p>
    <w:p>
      <w:pPr>
        <w:spacing w:line="240" w:lineRule="auto" w:before="11"/>
        <w:rPr>
          <w:rFonts w:ascii="宋体" w:hAnsi="宋体" w:cs="宋体" w:eastAsia="宋体" w:hint="default"/>
          <w:sz w:val="17"/>
          <w:szCs w:val="17"/>
        </w:rPr>
      </w:pPr>
    </w:p>
    <w:p>
      <w:pPr>
        <w:pStyle w:val="BodyText"/>
        <w:spacing w:line="451" w:lineRule="auto"/>
        <w:ind w:right="1129" w:firstLine="360"/>
        <w:jc w:val="both"/>
      </w:pPr>
      <w:r>
        <w:rPr/>
        <w:t>（二）部门交叉培训，根据各部门工作内容开展部门交叉培训，</w:t>
      </w:r>
      <w:r>
        <w:rPr>
          <w:rFonts w:ascii="Times New Roman" w:hAnsi="Times New Roman" w:cs="Times New Roman" w:eastAsia="Times New Roman" w:hint="default"/>
        </w:rPr>
        <w:t>2019</w:t>
      </w:r>
      <w:r>
        <w:rPr/>
        <w:t>年主要包括</w:t>
      </w:r>
      <w:r>
        <w:rPr>
          <w:rFonts w:ascii="Times New Roman" w:hAnsi="Times New Roman" w:cs="Times New Roman" w:eastAsia="Times New Roman" w:hint="default"/>
        </w:rPr>
        <w:t>AGV</w:t>
      </w:r>
      <w:r>
        <w:rPr/>
        <w:t>规划方法培训、财务费用制度及 税务知识讲解、系统设计培训、电控设计培训、商务投标培训、信息安全、商业秘密相关制度及知识培训</w:t>
      </w:r>
      <w:r>
        <w:rPr>
          <w:spacing w:val="-16"/>
        </w:rPr>
        <w:t> </w:t>
      </w:r>
      <w:r>
        <w:rPr/>
        <w:t>；</w:t>
      </w:r>
    </w:p>
    <w:p>
      <w:pPr>
        <w:pStyle w:val="BodyText"/>
        <w:spacing w:line="240" w:lineRule="auto" w:before="74"/>
        <w:ind w:left="513" w:right="1116"/>
        <w:jc w:val="left"/>
      </w:pPr>
      <w:r>
        <w:rPr/>
        <w:t>（三）针对全体员工开展职场培训，包括职场礼仪培训</w:t>
      </w:r>
      <w:r>
        <w:rPr>
          <w:rFonts w:ascii="Times New Roman" w:hAnsi="Times New Roman" w:cs="Times New Roman" w:eastAsia="Times New Roman" w:hint="default"/>
        </w:rPr>
        <w:t>1</w:t>
      </w:r>
      <w:r>
        <w:rPr/>
        <w:t>次，办公技能培训</w:t>
      </w:r>
      <w:r>
        <w:rPr>
          <w:rFonts w:ascii="Times New Roman" w:hAnsi="Times New Roman" w:cs="Times New Roman" w:eastAsia="Times New Roman" w:hint="default"/>
        </w:rPr>
        <w:t>1</w:t>
      </w:r>
      <w:r>
        <w:rPr/>
        <w:t>次与思维模式、职业心态培训</w:t>
      </w:r>
      <w:r>
        <w:rPr>
          <w:rFonts w:ascii="Times New Roman" w:hAnsi="Times New Roman" w:cs="Times New Roman" w:eastAsia="Times New Roman" w:hint="default"/>
        </w:rPr>
        <w:t>2</w:t>
      </w:r>
      <w:r>
        <w:rPr/>
        <w:t>次；</w:t>
      </w:r>
    </w:p>
    <w:p>
      <w:pPr>
        <w:spacing w:line="240" w:lineRule="auto" w:before="9"/>
        <w:rPr>
          <w:rFonts w:ascii="宋体" w:hAnsi="宋体" w:cs="宋体" w:eastAsia="宋体" w:hint="default"/>
          <w:sz w:val="16"/>
          <w:szCs w:val="16"/>
        </w:rPr>
      </w:pPr>
    </w:p>
    <w:p>
      <w:pPr>
        <w:pStyle w:val="BodyText"/>
        <w:spacing w:line="240" w:lineRule="auto"/>
        <w:ind w:left="513" w:right="1116"/>
        <w:jc w:val="left"/>
      </w:pPr>
      <w:r>
        <w:rPr/>
        <w:t>（四）新员工拓展培训，对新入职员工开展岗前培训与新员工拓展培训。</w:t>
      </w:r>
    </w:p>
    <w:p>
      <w:pPr>
        <w:pStyle w:val="Heading3"/>
        <w:spacing w:line="240" w:lineRule="auto" w:before="132"/>
        <w:ind w:right="1116"/>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978"/>
        <w:jc w:val="center"/>
        <w:rPr>
          <w:b w:val="0"/>
          <w:bCs w:val="0"/>
        </w:rPr>
      </w:pPr>
      <w:bookmarkStart w:name="第十节公司治理" w:id="127"/>
      <w:bookmarkEnd w:id="127"/>
      <w:r>
        <w:rPr>
          <w:b w:val="0"/>
          <w:bCs w:val="0"/>
        </w:rPr>
      </w:r>
      <w:bookmarkStart w:name="_bookmark8" w:id="128"/>
      <w:bookmarkEnd w:id="128"/>
      <w:r>
        <w:rPr>
          <w:b w:val="0"/>
          <w:bCs w:val="0"/>
        </w:rPr>
      </w:r>
      <w:r>
        <w:rPr/>
        <w:t>第十节公司治理</w:t>
      </w:r>
      <w:r>
        <w:rPr>
          <w:b w:val="0"/>
          <w:bCs w:val="0"/>
        </w:rPr>
      </w:r>
    </w:p>
    <w:p>
      <w:pPr>
        <w:spacing w:line="240" w:lineRule="auto" w:before="9"/>
        <w:rPr>
          <w:rFonts w:ascii="宋体" w:hAnsi="宋体" w:cs="宋体" w:eastAsia="宋体" w:hint="default"/>
          <w:b/>
          <w:bCs/>
          <w:sz w:val="11"/>
          <w:szCs w:val="11"/>
        </w:rPr>
      </w:pPr>
    </w:p>
    <w:p>
      <w:pPr>
        <w:pStyle w:val="Heading2"/>
        <w:spacing w:line="240" w:lineRule="auto" w:before="26"/>
        <w:ind w:right="1116"/>
        <w:jc w:val="left"/>
        <w:rPr>
          <w:b w:val="0"/>
          <w:bCs w:val="0"/>
        </w:rPr>
      </w:pPr>
      <w:bookmarkStart w:name="一、公司治理的基本状况" w:id="129"/>
      <w:bookmarkEnd w:id="129"/>
      <w:r>
        <w:rPr>
          <w:b w:val="0"/>
          <w:bCs w:val="0"/>
        </w:rPr>
      </w:r>
      <w:r>
        <w:rPr/>
        <w:t>一、公司治理的基本状况</w:t>
      </w:r>
      <w:r>
        <w:rPr>
          <w:b w:val="0"/>
          <w:bCs w:val="0"/>
        </w:rPr>
      </w:r>
    </w:p>
    <w:p>
      <w:pPr>
        <w:pStyle w:val="BodyText"/>
        <w:spacing w:line="477" w:lineRule="auto" w:before="125"/>
        <w:ind w:right="1133" w:firstLine="360"/>
        <w:jc w:val="both"/>
      </w:pPr>
      <w:r>
        <w:rPr>
          <w:spacing w:val="-15"/>
        </w:rPr>
        <w:t>报告期内，公司严格按照《公司法》、《证券法》、《上市公司治理准则》、《深圳证券交易所创业板股票上市规则》、《深圳</w:t>
      </w:r>
      <w:r>
        <w:rPr/>
        <w:t> </w:t>
      </w:r>
      <w:r>
        <w:rPr>
          <w:spacing w:val="-2"/>
        </w:rPr>
        <w:t>证券交易所创业板上市公司规范运作指引》等法律、法规和中国证监会有关法律法规等的要求，不断完善公司的法人治理结</w:t>
      </w:r>
      <w:r>
        <w:rPr>
          <w:spacing w:val="-66"/>
        </w:rPr>
        <w:t> </w:t>
      </w:r>
      <w:r>
        <w:rPr>
          <w:spacing w:val="-66"/>
        </w:rPr>
      </w:r>
      <w:r>
        <w:rPr/>
        <w:t>构，建立健全公司内部管理和控制制度，持续深入开展公司治理活动，促进了公司规范运作，提高了公司治理水平。</w:t>
      </w:r>
    </w:p>
    <w:p>
      <w:pPr>
        <w:pStyle w:val="BodyText"/>
        <w:spacing w:line="477" w:lineRule="auto" w:before="54"/>
        <w:ind w:right="1129" w:firstLine="360"/>
        <w:jc w:val="both"/>
      </w:pPr>
      <w:r>
        <w:rPr>
          <w:spacing w:val="-2"/>
        </w:rPr>
        <w:t>根据监管部门的最新要求和公司实际情况的变化，报告期内，公司对原有内控制度进一步进行细化，通过快速搭建公司</w:t>
      </w:r>
      <w:r>
        <w:rPr/>
        <w:t> </w:t>
      </w:r>
      <w:r>
        <w:rPr>
          <w:spacing w:val="-2"/>
        </w:rPr>
        <w:t>法人治理结构的制度平台，为公司的规范运作提供了更加完善的制度保障。截至报告期末，公司治理的实际状况符合《上市</w:t>
      </w:r>
      <w:r>
        <w:rPr>
          <w:spacing w:val="-63"/>
        </w:rPr>
        <w:t> </w:t>
      </w:r>
      <w:r>
        <w:rPr>
          <w:spacing w:val="-63"/>
        </w:rPr>
      </w:r>
      <w:r>
        <w:rPr/>
        <w:t>公司治理准则》和《深圳证券交易所创业板上市公司规范运作指引》等相关要求。</w:t>
      </w:r>
    </w:p>
    <w:p>
      <w:pPr>
        <w:pStyle w:val="BodyText"/>
        <w:spacing w:line="451" w:lineRule="auto" w:before="55"/>
        <w:ind w:left="513" w:right="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7"/>
        </w:rPr>
        <w:t>公司按照《上市公司股东大会规则》、《公司章程》、《股东大会议事规则》等规定和要求，规范地召集、召开股东大会，</w:t>
      </w:r>
    </w:p>
    <w:p>
      <w:pPr>
        <w:pStyle w:val="BodyText"/>
        <w:spacing w:line="477" w:lineRule="auto" w:before="74"/>
        <w:ind w:left="513" w:right="1116" w:hanging="361"/>
        <w:jc w:val="left"/>
      </w:pPr>
      <w:r>
        <w:rPr/>
        <w:t>确保全体股东，特别是中小股东，享有平等地位、充分行使股东权利。 </w:t>
      </w:r>
      <w:r>
        <w:rPr>
          <w:spacing w:val="-2"/>
        </w:rPr>
        <w:t>报告期内，公司共召开</w:t>
      </w:r>
      <w:r>
        <w:rPr>
          <w:rFonts w:ascii="Times New Roman" w:hAnsi="Times New Roman" w:cs="Times New Roman" w:eastAsia="Times New Roman" w:hint="default"/>
          <w:spacing w:val="-2"/>
        </w:rPr>
        <w:t>1</w:t>
      </w:r>
      <w:r>
        <w:rPr>
          <w:spacing w:val="-2"/>
        </w:rPr>
        <w:t>次年度股东大会和</w:t>
      </w:r>
      <w:r>
        <w:rPr>
          <w:rFonts w:ascii="Times New Roman" w:hAnsi="Times New Roman" w:cs="Times New Roman" w:eastAsia="Times New Roman" w:hint="default"/>
          <w:spacing w:val="-2"/>
        </w:rPr>
        <w:t>2</w:t>
      </w:r>
      <w:r>
        <w:rPr>
          <w:spacing w:val="-2"/>
        </w:rPr>
        <w:t>次临时股东大会，均由董事会负责召集，董事、监事、高级管理人员列席会</w:t>
      </w:r>
    </w:p>
    <w:p>
      <w:pPr>
        <w:pStyle w:val="BodyText"/>
        <w:spacing w:line="463" w:lineRule="auto" w:before="21"/>
        <w:ind w:left="513" w:right="1034" w:hanging="361"/>
        <w:jc w:val="left"/>
      </w:pPr>
      <w:r>
        <w:rPr/>
        <w:t>议。公司股东大会的相关议程均符合法规规定，现场有见证律师出具法律意见书，确保公司股东大会决策科学、程序规范。</w:t>
      </w:r>
      <w:r>
        <w:rPr>
          <w:spacing w:val="-86"/>
        </w:rPr>
        <w:t> </w:t>
      </w:r>
      <w:r>
        <w:rPr>
          <w:spacing w:val="-86"/>
        </w:rPr>
      </w:r>
      <w:r>
        <w:rPr>
          <w:rFonts w:ascii="Times New Roman" w:hAnsi="Times New Roman" w:cs="Times New Roman" w:eastAsia="Times New Roman" w:hint="default"/>
          <w:b/>
          <w:bCs/>
        </w:rPr>
        <w:t>2</w:t>
      </w:r>
      <w:r>
        <w:rPr>
          <w:rFonts w:ascii="宋体" w:hAnsi="宋体" w:cs="宋体" w:eastAsia="宋体" w:hint="default"/>
          <w:b/>
          <w:bCs/>
        </w:rPr>
        <w:t>、关于董事和董事会</w:t>
      </w:r>
      <w:r>
        <w:rPr>
          <w:rFonts w:ascii="宋体" w:hAnsi="宋体" w:cs="宋体" w:eastAsia="宋体" w:hint="default"/>
          <w:b/>
          <w:bCs/>
          <w:w w:val="99"/>
        </w:rPr>
        <w:t> </w:t>
      </w:r>
      <w:r>
        <w:rPr>
          <w:spacing w:val="-6"/>
        </w:rPr>
        <w:t>公司已制定《董事会议事规则》、《独立董事工作细则》等制度，确保董事会规范、高效运作和审慎、科学决策。公司董</w:t>
      </w:r>
    </w:p>
    <w:p>
      <w:pPr>
        <w:pStyle w:val="BodyText"/>
        <w:spacing w:line="468" w:lineRule="auto" w:before="65"/>
        <w:ind w:right="1130"/>
        <w:jc w:val="both"/>
      </w:pPr>
      <w:r>
        <w:rPr>
          <w:spacing w:val="-2"/>
        </w:rPr>
        <w:t>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名，董事会的人数及人员构成符合法律、法规和《公司章程》的要求。各位董事能够依照相</w:t>
      </w:r>
      <w:r>
        <w:rPr>
          <w:spacing w:val="-65"/>
        </w:rPr>
        <w:t> </w:t>
      </w:r>
      <w:r>
        <w:rPr>
          <w:spacing w:val="-65"/>
        </w:rPr>
      </w:r>
      <w:r>
        <w:rPr>
          <w:spacing w:val="-2"/>
        </w:rPr>
        <w:t>关规则的规定开展工作，勤勉尽责地履行职责和义务，同时积极参加相关培训，学习相关法律法规，不断提高履职水平。独</w:t>
      </w:r>
      <w:r>
        <w:rPr>
          <w:spacing w:val="-67"/>
        </w:rPr>
        <w:t> </w:t>
      </w:r>
      <w:r>
        <w:rPr>
          <w:spacing w:val="-67"/>
        </w:rPr>
      </w:r>
      <w:r>
        <w:rPr>
          <w:spacing w:val="-2"/>
        </w:rPr>
        <w:t>立董事能够不受公司控股股东、实际控制人以及其它与公司存在利害关系的单位或个人的影响，独立履行职责，对公司的重</w:t>
      </w:r>
      <w:r>
        <w:rPr>
          <w:spacing w:val="-66"/>
        </w:rPr>
        <w:t> </w:t>
      </w:r>
      <w:r>
        <w:rPr>
          <w:spacing w:val="-66"/>
        </w:rPr>
      </w:r>
      <w:r>
        <w:rPr/>
        <w:t>大事项均能发表独立意见。</w:t>
      </w:r>
    </w:p>
    <w:p>
      <w:pPr>
        <w:pStyle w:val="BodyText"/>
        <w:spacing w:line="451" w:lineRule="auto" w:before="61"/>
        <w:ind w:left="513" w:right="1116"/>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rFonts w:ascii="宋体" w:hAnsi="宋体" w:cs="宋体" w:eastAsia="宋体" w:hint="default"/>
          <w:b/>
          <w:bCs/>
        </w:rPr>
        <w:t>、关于监事和监事会</w:t>
      </w:r>
      <w:r>
        <w:rPr>
          <w:rFonts w:ascii="宋体" w:hAnsi="宋体" w:cs="宋体" w:eastAsia="宋体" w:hint="default"/>
          <w:b/>
          <w:bCs/>
          <w:w w:val="99"/>
        </w:rPr>
        <w:t> </w:t>
      </w:r>
      <w:r>
        <w:rPr/>
        <w:t>公司已制定《监事会议事规则》等制度确保监事会向全体股东负责。公司监事会由</w:t>
      </w:r>
      <w:r>
        <w:rPr>
          <w:rFonts w:ascii="Times New Roman" w:hAnsi="Times New Roman" w:cs="Times New Roman" w:eastAsia="Times New Roman" w:hint="default"/>
        </w:rPr>
        <w:t>3</w:t>
      </w:r>
      <w:r>
        <w:rPr/>
        <w:t>名成员组成，其中职工代表监事</w:t>
      </w:r>
      <w:r>
        <w:rPr>
          <w:rFonts w:ascii="Times New Roman" w:hAnsi="Times New Roman" w:cs="Times New Roman" w:eastAsia="Times New Roman" w:hint="default"/>
        </w:rPr>
        <w:t>1</w:t>
      </w:r>
    </w:p>
    <w:p>
      <w:pPr>
        <w:pStyle w:val="BodyText"/>
        <w:spacing w:line="477" w:lineRule="auto" w:before="43"/>
        <w:ind w:right="1135"/>
        <w:jc w:val="both"/>
      </w:pPr>
      <w:r>
        <w:rPr>
          <w:spacing w:val="-2"/>
        </w:rPr>
        <w:t>名，由职工代表大会选举产生。监事会的人数和构成符合法律、法规和《公司章程》的规定与要求。公司监事会依照相关规</w:t>
      </w:r>
      <w:r>
        <w:rPr>
          <w:spacing w:val="-70"/>
        </w:rPr>
        <w:t> </w:t>
      </w:r>
      <w:r>
        <w:rPr>
          <w:spacing w:val="-70"/>
        </w:rPr>
      </w:r>
      <w:r>
        <w:rPr/>
        <w:t>则的规定，认真履行自己的职责，对公司重大事项、财务状况以及董事、高管人员履行职责的合法合规性进行监督。</w:t>
      </w:r>
    </w:p>
    <w:p>
      <w:pPr>
        <w:spacing w:line="451" w:lineRule="auto" w:before="55"/>
        <w:ind w:left="513"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5"/>
          <w:sz w:val="18"/>
          <w:szCs w:val="18"/>
        </w:rPr>
        <w:t>公司建立了较为完善的绩效考评体系，员工的收入能较好地与工作绩效挂钩；高级管理人员的聘任能够做到公开、透明，</w:t>
      </w:r>
    </w:p>
    <w:p>
      <w:pPr>
        <w:pStyle w:val="BodyText"/>
        <w:spacing w:line="477" w:lineRule="auto" w:before="74"/>
        <w:ind w:right="1134"/>
        <w:jc w:val="both"/>
      </w:pPr>
      <w:r>
        <w:rPr>
          <w:spacing w:val="-2"/>
        </w:rPr>
        <w:t>符合法律、法规和制度的规定。公司董事会设立了提名与薪酬委员会，负责对公司的董事、监事、高级管理人员进行绩效考</w:t>
      </w:r>
      <w:r>
        <w:rPr>
          <w:spacing w:val="-66"/>
        </w:rPr>
        <w:t> </w:t>
      </w:r>
      <w:r>
        <w:rPr>
          <w:spacing w:val="-66"/>
        </w:rPr>
      </w:r>
      <w:r>
        <w:rPr/>
        <w:t>核。公司将根据企业发展情况不断地完善和调整该机制。</w:t>
      </w:r>
    </w:p>
    <w:p>
      <w:pPr>
        <w:spacing w:line="451" w:lineRule="auto" w:before="54"/>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、内部审计制度的建立和执行情况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董事会下设审计委员会，主要负责公司内部、外部审计的沟通、监督、会议组织和核查工作。审计委员会下设内审部为</w:t>
      </w:r>
    </w:p>
    <w:p>
      <w:pPr>
        <w:spacing w:after="0" w:line="451" w:lineRule="auto"/>
        <w:jc w:val="left"/>
        <w:rPr>
          <w:rFonts w:ascii="宋体" w:hAnsi="宋体" w:cs="宋体" w:eastAsia="宋体" w:hint="default"/>
          <w:sz w:val="18"/>
          <w:szCs w:val="18"/>
        </w:rPr>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right="1116"/>
        <w:jc w:val="left"/>
      </w:pPr>
      <w:r>
        <w:rPr>
          <w:spacing w:val="-2"/>
        </w:rPr>
        <w:t>日常办事机构，公司上市后，审计部积极运作，按照上市公司的要求完善了部门职能和人员安排，内审部对公司内部控制制</w:t>
      </w:r>
      <w:r>
        <w:rPr>
          <w:spacing w:val="-64"/>
        </w:rPr>
        <w:t> </w:t>
      </w:r>
      <w:r>
        <w:rPr>
          <w:spacing w:val="-64"/>
        </w:rPr>
      </w:r>
      <w:r>
        <w:rPr/>
        <w:t>度的建立和实施、公司财务信息的真实性和完整性等情况进行检查监督。</w:t>
      </w:r>
    </w:p>
    <w:p>
      <w:pPr>
        <w:pStyle w:val="BodyText"/>
        <w:spacing w:line="451" w:lineRule="auto" w:before="54"/>
        <w:ind w:left="513" w:right="1118"/>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5"/>
        </w:rPr>
        <w:t>依照《深圳证券交易所创业板股票上市规则》、《上市公司信息披露管理办法》等相关法律法规及公司《信息披露事务管</w:t>
      </w:r>
    </w:p>
    <w:p>
      <w:pPr>
        <w:pStyle w:val="BodyText"/>
        <w:spacing w:line="463" w:lineRule="auto" w:before="74"/>
        <w:ind w:right="1034"/>
        <w:jc w:val="left"/>
      </w:pPr>
      <w:r>
        <w:rPr/>
        <w:t>理制度》等规定的要求，公司能真实、准确、及时、公平、完整地披露相关信息，履行信息披露义务，同时关注媒体报导，</w:t>
      </w:r>
      <w:r>
        <w:rPr>
          <w:spacing w:val="-83"/>
        </w:rPr>
        <w:t> </w:t>
      </w:r>
      <w:r>
        <w:rPr>
          <w:spacing w:val="-83"/>
        </w:rPr>
      </w:r>
      <w:r>
        <w:rPr>
          <w:spacing w:val="-5"/>
        </w:rPr>
        <w:t>接待股东来访咨询，在已披露信息范围内认真负责地与投资者充分沟通。并指定《证券时报》和巨潮网（</w:t>
      </w:r>
      <w:hyperlink r:id="rId14">
        <w:r>
          <w:rPr>
            <w:rFonts w:ascii="Times New Roman" w:hAnsi="Times New Roman" w:cs="Times New Roman" w:eastAsia="Times New Roman" w:hint="default"/>
            <w:spacing w:val="-5"/>
          </w:rPr>
          <w:t>www.cninfo.com.cn</w:t>
        </w:r>
      </w:hyperlink>
      <w:r>
        <w:rPr>
          <w:spacing w:val="-5"/>
        </w:rPr>
        <w:t>）</w:t>
      </w:r>
      <w:r>
        <w:rPr>
          <w:spacing w:val="-65"/>
        </w:rPr>
        <w:t> </w:t>
      </w:r>
      <w:r>
        <w:rPr/>
        <w:t>为公司信息披露的指定报纸和网站，确保公司所有股东能够以平等的机会获得信息。</w:t>
      </w:r>
    </w:p>
    <w:p>
      <w:pPr>
        <w:pStyle w:val="BodyText"/>
        <w:spacing w:line="451" w:lineRule="auto" w:before="65"/>
        <w:ind w:left="513" w:right="1033"/>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t>公司充分尊重和维护相关利益者的合法权益，积极促进与相关利益者合作，加强与各方的沟通交流，实现股东、员工、</w:t>
      </w:r>
    </w:p>
    <w:p>
      <w:pPr>
        <w:pStyle w:val="BodyText"/>
        <w:spacing w:line="477" w:lineRule="auto" w:before="74"/>
        <w:ind w:right="3554"/>
        <w:jc w:val="left"/>
      </w:pPr>
      <w:r>
        <w:rPr/>
        <w:t>社会等各方利益的协调平衡，共同推动公司持续、稳定、健康的发展。 公司治理的实际状况与中国证监会发布的有关上市公司治理的规范性文件是否存在重大差异</w:t>
      </w:r>
    </w:p>
    <w:p>
      <w:pPr>
        <w:pStyle w:val="BodyText"/>
        <w:spacing w:line="451" w:lineRule="auto" w:before="54"/>
        <w:ind w:right="3554"/>
        <w:jc w:val="left"/>
      </w:pPr>
      <w:r>
        <w:rPr>
          <w:rFonts w:ascii="Times New Roman" w:hAnsi="Times New Roman" w:cs="Times New Roman" w:eastAsia="Times New Roman" w:hint="default"/>
        </w:rPr>
        <w:t>□ </w:t>
      </w:r>
      <w:r>
        <w:rPr/>
        <w:t>是 √</w:t>
      </w:r>
      <w:r>
        <w:rPr>
          <w:spacing w:val="2"/>
        </w:rPr>
        <w:t> </w:t>
      </w:r>
      <w:r>
        <w:rPr/>
        <w:t>否</w:t>
      </w:r>
      <w:r>
        <w:rPr>
          <w:w w:val="99"/>
        </w:rPr>
        <w:t> </w:t>
      </w:r>
      <w:r>
        <w:rPr/>
        <w:t>公司治理的实际状况与中国证监会发布的有关上市公司治理的规范性文件不存在重大差异。</w:t>
      </w:r>
    </w:p>
    <w:p>
      <w:pPr>
        <w:pStyle w:val="Heading2"/>
        <w:spacing w:line="263" w:lineRule="exact"/>
        <w:ind w:right="1116"/>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pStyle w:val="BodyText"/>
        <w:spacing w:line="451" w:lineRule="auto" w:before="125"/>
        <w:ind w:left="513" w:right="1116"/>
        <w:jc w:val="left"/>
      </w:pPr>
      <w:r>
        <w:rPr>
          <w:rFonts w:ascii="Times New Roman" w:hAnsi="Times New Roman" w:cs="Times New Roman" w:eastAsia="Times New Roman" w:hint="default"/>
          <w:b/>
          <w:bCs/>
        </w:rPr>
        <w:t>1</w:t>
      </w:r>
      <w:r>
        <w:rPr>
          <w:rFonts w:ascii="宋体" w:hAnsi="宋体" w:cs="宋体" w:eastAsia="宋体" w:hint="default"/>
          <w:b/>
          <w:bCs/>
        </w:rPr>
        <w:t>、资产完整</w:t>
      </w:r>
      <w:r>
        <w:rPr>
          <w:rFonts w:ascii="宋体" w:hAnsi="宋体" w:cs="宋体" w:eastAsia="宋体" w:hint="default"/>
          <w:b/>
          <w:bCs/>
          <w:w w:val="99"/>
        </w:rPr>
        <w:t> </w:t>
      </w:r>
      <w:r>
        <w:rPr>
          <w:spacing w:val="-2"/>
        </w:rPr>
        <w:t>本公司拥有独立的经营场所，拥有独立完整的研发、生产和销售配套设施及固定资产。本公司未以自身资产、权益或信</w:t>
      </w:r>
    </w:p>
    <w:p>
      <w:pPr>
        <w:pStyle w:val="BodyText"/>
        <w:spacing w:line="463" w:lineRule="auto" w:before="72"/>
        <w:ind w:left="513" w:right="1116" w:hanging="361"/>
        <w:jc w:val="left"/>
      </w:pPr>
      <w:r>
        <w:rPr/>
        <w:t>誉为股东提供担保，公司对所有资产有完全的控制支配权，不存在资产、资金被控股股东占用而损害公司利益的情况。 </w:t>
      </w: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spacing w:val="-2"/>
        </w:rPr>
        <w:t>本公司设有人力资源管理部门，公司的人事及工资管理与股东完全独立和分开。本公司董事、监事及高级管理人员严格</w:t>
      </w:r>
    </w:p>
    <w:p>
      <w:pPr>
        <w:pStyle w:val="BodyText"/>
        <w:spacing w:line="477" w:lineRule="auto" w:before="65"/>
        <w:ind w:right="0"/>
        <w:jc w:val="left"/>
      </w:pPr>
      <w:r>
        <w:rPr>
          <w:spacing w:val="-4"/>
        </w:rPr>
        <w:t>按照《公司法》、《公司章程》的有关规定产生，不存在有关法律、法规禁止的兼职情况。本公司总裁、副总裁、财务总监、</w:t>
      </w:r>
      <w:r>
        <w:rPr>
          <w:spacing w:val="-42"/>
        </w:rPr>
        <w:t> </w:t>
      </w:r>
      <w:r>
        <w:rPr>
          <w:spacing w:val="-42"/>
        </w:rPr>
      </w:r>
      <w:r>
        <w:rPr>
          <w:spacing w:val="-2"/>
        </w:rPr>
        <w:t>董事会秘书等高级管理人员均专职在本公司工作并领取报酬，未在股东控制的其他关联企业担任职务，不存在交叉任职的情</w:t>
      </w:r>
      <w:r>
        <w:rPr>
          <w:spacing w:val="-64"/>
        </w:rPr>
        <w:t> </w:t>
      </w:r>
      <w:r>
        <w:rPr>
          <w:spacing w:val="-64"/>
        </w:rPr>
      </w:r>
      <w:r>
        <w:rPr/>
        <w:t>况；本公司的财务人员亦未在实际控制人控制的其他企业中兼职。</w:t>
      </w:r>
    </w:p>
    <w:p>
      <w:pPr>
        <w:pStyle w:val="BodyText"/>
        <w:spacing w:line="451" w:lineRule="auto" w:before="54"/>
        <w:ind w:left="513" w:right="1116"/>
        <w:jc w:val="left"/>
      </w:pPr>
      <w:r>
        <w:rPr>
          <w:rFonts w:ascii="Times New Roman" w:hAnsi="Times New Roman" w:cs="Times New Roman" w:eastAsia="Times New Roman" w:hint="default"/>
          <w:b/>
          <w:bCs/>
        </w:rPr>
        <w:t>3</w:t>
      </w:r>
      <w:r>
        <w:rPr>
          <w:rFonts w:ascii="宋体" w:hAnsi="宋体" w:cs="宋体" w:eastAsia="宋体" w:hint="default"/>
          <w:b/>
          <w:bCs/>
        </w:rPr>
        <w:t>、机构独立</w:t>
      </w:r>
      <w:r>
        <w:rPr>
          <w:rFonts w:ascii="宋体" w:hAnsi="宋体" w:cs="宋体" w:eastAsia="宋体" w:hint="default"/>
          <w:b/>
          <w:bCs/>
          <w:w w:val="99"/>
        </w:rPr>
        <w:t> </w:t>
      </w:r>
      <w:r>
        <w:rPr>
          <w:spacing w:val="-6"/>
        </w:rPr>
        <w:t>本公司根据《公司法》、《上市公司章程指引》等有关法律、法规和规范性文件的相关规定，按照法定程序制订了《公司</w:t>
      </w:r>
    </w:p>
    <w:p>
      <w:pPr>
        <w:pStyle w:val="BodyText"/>
        <w:spacing w:line="477" w:lineRule="auto" w:before="74"/>
        <w:ind w:right="1131"/>
        <w:jc w:val="both"/>
      </w:pPr>
      <w:r>
        <w:rPr>
          <w:spacing w:val="-5"/>
        </w:rPr>
        <w:t>章程》，建立了股东大会、董事会、监事会的法人治理结构，并设置了相应的组织机构。</w:t>
      </w:r>
      <w:r>
        <w:rPr>
          <w:spacing w:val="17"/>
        </w:rPr>
        <w:t> </w:t>
      </w:r>
      <w:r>
        <w:rPr/>
        <w:t>本公司具有独立的生产经营和办公</w:t>
      </w:r>
      <w:r>
        <w:rPr>
          <w:spacing w:val="-86"/>
        </w:rPr>
        <w:t> </w:t>
      </w:r>
      <w:r>
        <w:rPr>
          <w:spacing w:val="-86"/>
        </w:rPr>
      </w:r>
      <w:r>
        <w:rPr>
          <w:spacing w:val="-2"/>
        </w:rPr>
        <w:t>机构，完全独立于控股股东及实际控制人，不存在混合经营、合署办公的情况，控股股东及其他任何单位或个人均未干预本</w:t>
      </w:r>
      <w:r>
        <w:rPr>
          <w:spacing w:val="-64"/>
        </w:rPr>
        <w:t> </w:t>
      </w:r>
      <w:r>
        <w:rPr>
          <w:spacing w:val="-64"/>
        </w:rPr>
      </w:r>
      <w:r>
        <w:rPr/>
        <w:t>公司的机构设置和生产经营活动。</w:t>
      </w:r>
    </w:p>
    <w:p>
      <w:pPr>
        <w:pStyle w:val="BodyText"/>
        <w:spacing w:line="451" w:lineRule="auto" w:before="54"/>
        <w:ind w:left="513" w:right="1116"/>
        <w:jc w:val="left"/>
      </w:pPr>
      <w:r>
        <w:rPr>
          <w:rFonts w:ascii="Times New Roman" w:hAnsi="Times New Roman" w:cs="Times New Roman" w:eastAsia="Times New Roman" w:hint="default"/>
          <w:b/>
          <w:bCs/>
        </w:rPr>
        <w:t>4</w:t>
      </w:r>
      <w:r>
        <w:rPr>
          <w:rFonts w:ascii="宋体" w:hAnsi="宋体" w:cs="宋体" w:eastAsia="宋体" w:hint="default"/>
          <w:b/>
          <w:bCs/>
        </w:rPr>
        <w:t>、财务独立</w:t>
      </w:r>
      <w:r>
        <w:rPr>
          <w:rFonts w:ascii="宋体" w:hAnsi="宋体" w:cs="宋体" w:eastAsia="宋体" w:hint="default"/>
          <w:b/>
          <w:bCs/>
          <w:w w:val="99"/>
        </w:rPr>
        <w:t> </w:t>
      </w:r>
      <w:r>
        <w:rPr>
          <w:spacing w:val="-2"/>
        </w:rPr>
        <w:t>本公司设立独立的财务部门负责本公司的会计核算和财务管理工作。本公司财务总监及财务人员均专职在本公司工作并</w:t>
      </w:r>
    </w:p>
    <w:p>
      <w:pPr>
        <w:pStyle w:val="BodyText"/>
        <w:spacing w:line="240" w:lineRule="auto" w:before="74"/>
        <w:ind w:right="0"/>
        <w:jc w:val="left"/>
      </w:pPr>
      <w:r>
        <w:rPr/>
        <w:t>领取薪酬</w:t>
      </w:r>
      <w:r>
        <w:rPr>
          <w:spacing w:val="-15"/>
        </w:rPr>
        <w:t>，</w:t>
      </w:r>
      <w:r>
        <w:rPr/>
        <w:t>未在与本公司业务相同或相似</w:t>
      </w:r>
      <w:r>
        <w:rPr>
          <w:spacing w:val="-14"/>
        </w:rPr>
        <w:t>、</w:t>
      </w:r>
      <w:r>
        <w:rPr/>
        <w:t>或存在其他利益冲突的企业任职</w:t>
      </w:r>
      <w:r>
        <w:rPr>
          <w:spacing w:val="-15"/>
        </w:rPr>
        <w:t>。</w:t>
      </w:r>
      <w:r>
        <w:rPr/>
        <w:t>本公司按</w:t>
      </w:r>
      <w:r>
        <w:rPr>
          <w:spacing w:val="-15"/>
        </w:rPr>
        <w:t>照</w:t>
      </w:r>
      <w:r>
        <w:rPr/>
        <w:t>《会计法</w:t>
      </w:r>
      <w:r>
        <w:rPr>
          <w:spacing w:val="-92"/>
        </w:rPr>
        <w:t>》</w:t>
      </w:r>
      <w:r>
        <w:rPr>
          <w:spacing w:val="-104"/>
        </w:rPr>
        <w:t>、</w:t>
      </w:r>
      <w:r>
        <w:rPr/>
        <w:t>《企业会计准则</w:t>
      </w:r>
      <w:r>
        <w:rPr>
          <w:spacing w:val="-13"/>
        </w:rPr>
        <w:t>》</w:t>
      </w:r>
      <w:r>
        <w:rPr/>
        <w:t>等法</w:t>
      </w:r>
    </w:p>
    <w:p>
      <w:pPr>
        <w:spacing w:after="0" w:line="240" w:lineRule="auto"/>
        <w:jc w:val="left"/>
        <w:sectPr>
          <w:pgSz w:w="11910" w:h="16840"/>
          <w:pgMar w:header="877" w:footer="980" w:top="1080" w:bottom="1160" w:left="980" w:right="0"/>
        </w:sectPr>
      </w:pPr>
    </w:p>
    <w:p>
      <w:pPr>
        <w:spacing w:line="240" w:lineRule="auto" w:before="9"/>
        <w:rPr>
          <w:rFonts w:ascii="宋体" w:hAnsi="宋体" w:cs="宋体" w:eastAsia="宋体" w:hint="default"/>
          <w:sz w:val="29"/>
          <w:szCs w:val="29"/>
        </w:rPr>
      </w:pPr>
    </w:p>
    <w:p>
      <w:pPr>
        <w:pStyle w:val="BodyText"/>
        <w:spacing w:line="477" w:lineRule="auto" w:before="44"/>
        <w:ind w:right="1130"/>
        <w:jc w:val="both"/>
      </w:pPr>
      <w:r>
        <w:rPr>
          <w:spacing w:val="-2"/>
        </w:rPr>
        <w:t>律法规的要求，建立了符合自身特点的独立的会计核算体系和财务管理制度。本公司开设独立的银行账户，且作为独立纳税</w:t>
      </w:r>
      <w:r>
        <w:rPr>
          <w:spacing w:val="-63"/>
        </w:rPr>
        <w:t> </w:t>
      </w:r>
      <w:r>
        <w:rPr>
          <w:spacing w:val="-63"/>
        </w:rPr>
      </w:r>
      <w:r>
        <w:rPr>
          <w:spacing w:val="-2"/>
        </w:rPr>
        <w:t>人依法纳税。本公司能够依据《公司章程》和相关财务制度独立做出财务决策，不存在本公司股东或其他关联方干预本公司</w:t>
      </w:r>
      <w:r>
        <w:rPr>
          <w:spacing w:val="-64"/>
        </w:rPr>
        <w:t> </w:t>
      </w:r>
      <w:r>
        <w:rPr>
          <w:spacing w:val="-64"/>
        </w:rPr>
      </w:r>
      <w:r>
        <w:rPr/>
        <w:t>资金使用的情况；本公司独立对外签订各项合同。</w:t>
      </w:r>
    </w:p>
    <w:p>
      <w:pPr>
        <w:pStyle w:val="BodyText"/>
        <w:spacing w:line="451" w:lineRule="auto" w:before="54"/>
        <w:ind w:left="513" w:right="1116"/>
        <w:jc w:val="left"/>
      </w:pPr>
      <w:r>
        <w:rPr>
          <w:rFonts w:ascii="Times New Roman" w:hAnsi="Times New Roman" w:cs="Times New Roman" w:eastAsia="Times New Roman" w:hint="default"/>
          <w:b/>
          <w:bCs/>
        </w:rPr>
        <w:t>5</w:t>
      </w:r>
      <w:r>
        <w:rPr>
          <w:rFonts w:ascii="宋体" w:hAnsi="宋体" w:cs="宋体" w:eastAsia="宋体" w:hint="default"/>
          <w:b/>
          <w:bCs/>
        </w:rPr>
        <w:t>、业务独立</w:t>
      </w:r>
      <w:r>
        <w:rPr>
          <w:rFonts w:ascii="宋体" w:hAnsi="宋体" w:cs="宋体" w:eastAsia="宋体" w:hint="default"/>
          <w:b/>
          <w:bCs/>
          <w:w w:val="99"/>
        </w:rPr>
        <w:t> </w:t>
      </w:r>
      <w:r>
        <w:rPr>
          <w:spacing w:val="-2"/>
        </w:rPr>
        <w:t>本公司拥有独立完整的研发、采购、生产和销售业务体系，具有直接面向市场独立经营的能力，不存在其他需要依赖控</w:t>
      </w:r>
    </w:p>
    <w:p>
      <w:pPr>
        <w:pStyle w:val="BodyText"/>
        <w:spacing w:line="477" w:lineRule="auto" w:before="74"/>
        <w:ind w:right="1116"/>
        <w:jc w:val="left"/>
      </w:pPr>
      <w:r>
        <w:rPr>
          <w:spacing w:val="-2"/>
        </w:rPr>
        <w:t>股股东、实际控制人及其控制的其他企业进行经营活动的情况。目前本公司从事提供智慧物流和智能制造系统服务业务，而</w:t>
      </w:r>
      <w:r>
        <w:rPr>
          <w:spacing w:val="-62"/>
        </w:rPr>
        <w:t> </w:t>
      </w:r>
      <w:r>
        <w:rPr>
          <w:spacing w:val="-62"/>
        </w:rPr>
      </w:r>
      <w:r>
        <w:rPr/>
        <w:t>主要股东、实际控制人及其控制的其他企业均不从事同类业务。本公司与控股股东、实际控制人不存在同业竞争。</w:t>
      </w:r>
    </w:p>
    <w:p>
      <w:pPr>
        <w:pStyle w:val="Heading2"/>
        <w:spacing w:line="243" w:lineRule="exact"/>
        <w:ind w:right="0"/>
        <w:jc w:val="both"/>
        <w:rPr>
          <w:b w:val="0"/>
          <w:bCs w:val="0"/>
        </w:rPr>
      </w:pPr>
      <w:bookmarkStart w:name="三、同业竞争情况" w:id="131"/>
      <w:bookmarkEnd w:id="131"/>
      <w:r>
        <w:rPr>
          <w:b w:val="0"/>
          <w:bCs w:val="0"/>
        </w:rPr>
      </w:r>
      <w:r>
        <w:rPr/>
        <w:t>三、同业竞争情况</w:t>
      </w:r>
      <w:r>
        <w:rPr>
          <w:b w:val="0"/>
          <w:bCs w:val="0"/>
        </w:rPr>
      </w:r>
    </w:p>
    <w:p>
      <w:pPr>
        <w:pStyle w:val="BodyText"/>
        <w:spacing w:line="240" w:lineRule="auto" w:before="46"/>
        <w:ind w:right="0"/>
        <w:jc w:val="both"/>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7"/>
        <w:ind w:right="0"/>
        <w:jc w:val="both"/>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pStyle w:val="Heading3"/>
        <w:spacing w:line="240" w:lineRule="auto" w:before="23"/>
        <w:ind w:right="0"/>
        <w:jc w:val="both"/>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253"/>
        <w:gridCol w:w="1380"/>
        <w:gridCol w:w="1486"/>
        <w:gridCol w:w="1455"/>
        <w:gridCol w:w="1150"/>
        <w:gridCol w:w="2845"/>
      </w:tblGrid>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0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00" w:lineRule="auto"/>
              <w:ind w:left="103"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50.27%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参见公司指定信息披露网站巨潮 </w:t>
            </w:r>
            <w:r>
              <w:rPr>
                <w:rFonts w:ascii="宋体" w:hAnsi="宋体" w:cs="宋体" w:eastAsia="宋体" w:hint="default"/>
                <w:spacing w:val="-3"/>
                <w:sz w:val="18"/>
                <w:szCs w:val="18"/>
              </w:rPr>
              <w:t>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 </w:t>
            </w:r>
            <w:r>
              <w:rPr>
                <w:rFonts w:ascii="宋体" w:hAnsi="宋体" w:cs="宋体" w:eastAsia="宋体" w:hint="default"/>
                <w:spacing w:val="-7"/>
                <w:sz w:val="18"/>
                <w:szCs w:val="18"/>
              </w:rPr>
              <w:t>决议公告》（公告编号：</w:t>
            </w:r>
            <w:r>
              <w:rPr>
                <w:rFonts w:ascii="Times New Roman" w:hAnsi="Times New Roman" w:cs="Times New Roman" w:eastAsia="Times New Roman" w:hint="default"/>
                <w:spacing w:val="-7"/>
                <w:sz w:val="18"/>
                <w:szCs w:val="18"/>
              </w:rPr>
              <w:t>2019-026</w:t>
            </w:r>
            <w:r>
              <w:rPr>
                <w:rFonts w:ascii="宋体" w:hAnsi="宋体" w:cs="宋体" w:eastAsia="宋体" w:hint="default"/>
                <w:spacing w:val="-7"/>
                <w:sz w:val="18"/>
                <w:szCs w:val="18"/>
              </w:rPr>
              <w:t>）</w:t>
            </w:r>
          </w:p>
        </w:tc>
      </w:tr>
      <w:tr>
        <w:trPr>
          <w:trHeight w:val="157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09" w:lineRule="auto"/>
              <w:ind w:left="103" w:right="18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 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7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50.81%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参见公司指定信息披露网站巨潮 </w:t>
            </w:r>
            <w:r>
              <w:rPr>
                <w:rFonts w:ascii="宋体" w:hAnsi="宋体" w:cs="宋体" w:eastAsia="宋体" w:hint="default"/>
                <w:spacing w:val="-3"/>
                <w:sz w:val="18"/>
                <w:szCs w:val="18"/>
              </w:rPr>
              <w:t>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7"/>
                <w:sz w:val="18"/>
                <w:szCs w:val="18"/>
              </w:rPr>
              <w:t>东大会决议公告》（公告编号：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2019-060</w:t>
            </w:r>
            <w:r>
              <w:rPr>
                <w:rFonts w:ascii="宋体" w:hAnsi="宋体" w:cs="宋体" w:eastAsia="宋体" w:hint="default"/>
                <w:sz w:val="18"/>
                <w:szCs w:val="18"/>
              </w:rPr>
              <w:t>）</w:t>
            </w:r>
          </w:p>
        </w:tc>
      </w:tr>
      <w:tr>
        <w:trPr>
          <w:trHeight w:val="157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09" w:lineRule="auto"/>
              <w:ind w:left="103" w:right="18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次临时股东 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7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52.13%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参见公司指定信息披露网站巨潮 </w:t>
            </w:r>
            <w:r>
              <w:rPr>
                <w:rFonts w:ascii="宋体" w:hAnsi="宋体" w:cs="宋体" w:eastAsia="宋体" w:hint="default"/>
                <w:spacing w:val="-3"/>
                <w:sz w:val="18"/>
                <w:szCs w:val="18"/>
              </w:rPr>
              <w:t>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 </w:t>
            </w:r>
            <w:r>
              <w:rPr>
                <w:rFonts w:ascii="宋体" w:hAnsi="宋体" w:cs="宋体" w:eastAsia="宋体" w:hint="default"/>
                <w:spacing w:val="-7"/>
                <w:sz w:val="18"/>
                <w:szCs w:val="18"/>
              </w:rPr>
              <w:t>东大会决议公告》（公告编号：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2019-082</w:t>
            </w:r>
            <w:r>
              <w:rPr>
                <w:rFonts w:ascii="宋体" w:hAnsi="宋体" w:cs="宋体" w:eastAsia="宋体" w:hint="default"/>
                <w:sz w:val="18"/>
                <w:szCs w:val="18"/>
              </w:rPr>
              <w:t>）</w:t>
            </w:r>
          </w:p>
        </w:tc>
      </w:tr>
    </w:tbl>
    <w:p>
      <w:pPr>
        <w:pStyle w:val="Heading3"/>
        <w:spacing w:line="278" w:lineRule="exact"/>
        <w:ind w:right="1116"/>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2"/>
        <w:spacing w:line="240" w:lineRule="auto" w:before="16"/>
        <w:ind w:right="1116"/>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pStyle w:val="Heading3"/>
        <w:spacing w:line="240" w:lineRule="auto" w:before="23"/>
        <w:ind w:right="1116"/>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32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25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216"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127" w:right="122"/>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395" w:right="122"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9" w:right="123"/>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1"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3"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1"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3"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1"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3"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477" w:lineRule="auto" w:before="87"/>
        <w:ind w:right="8054"/>
        <w:jc w:val="left"/>
      </w:pPr>
      <w:r>
        <w:rPr/>
        <w:t>连续两次未亲自出席董事会的说明 不适用。</w:t>
      </w:r>
    </w:p>
    <w:p>
      <w:pPr>
        <w:spacing w:after="0" w:line="477" w:lineRule="auto"/>
        <w:jc w:val="left"/>
        <w:sectPr>
          <w:pgSz w:w="11910" w:h="16840"/>
          <w:pgMar w:header="877" w:footer="980" w:top="1080" w:bottom="1160" w:left="980" w:right="0"/>
        </w:sectPr>
      </w:pPr>
    </w:p>
    <w:p>
      <w:pPr>
        <w:spacing w:line="240" w:lineRule="auto" w:before="9"/>
        <w:rPr>
          <w:rFonts w:ascii="宋体" w:hAnsi="宋体" w:cs="宋体" w:eastAsia="宋体" w:hint="default"/>
          <w:sz w:val="22"/>
          <w:szCs w:val="22"/>
        </w:rPr>
      </w:pPr>
    </w:p>
    <w:p>
      <w:pPr>
        <w:pStyle w:val="Heading3"/>
        <w:spacing w:line="240" w:lineRule="auto" w:before="36"/>
        <w:ind w:right="1116"/>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pStyle w:val="BodyText"/>
        <w:spacing w:line="240" w:lineRule="auto" w:before="124"/>
        <w:ind w:right="1116"/>
        <w:jc w:val="left"/>
      </w:pPr>
      <w:r>
        <w:rPr/>
        <w:t>独立董事对公司有关事项是否提出异议</w:t>
      </w:r>
    </w:p>
    <w:p>
      <w:pPr>
        <w:spacing w:line="240" w:lineRule="auto" w:before="10"/>
        <w:rPr>
          <w:rFonts w:ascii="宋体" w:hAnsi="宋体" w:cs="宋体" w:eastAsia="宋体" w:hint="default"/>
          <w:sz w:val="17"/>
          <w:szCs w:val="17"/>
        </w:rPr>
      </w:pPr>
    </w:p>
    <w:p>
      <w:pPr>
        <w:pStyle w:val="BodyText"/>
        <w:spacing w:line="451" w:lineRule="auto"/>
        <w:ind w:right="6974"/>
        <w:jc w:val="left"/>
      </w:pPr>
      <w:r>
        <w:rPr>
          <w:rFonts w:ascii="Times New Roman" w:hAnsi="Times New Roman" w:cs="Times New Roman" w:eastAsia="Times New Roman" w:hint="default"/>
        </w:rPr>
        <w:t>□ </w:t>
      </w:r>
      <w:r>
        <w:rPr/>
        <w:t>是 √</w:t>
      </w:r>
      <w:r>
        <w:rPr>
          <w:spacing w:val="2"/>
        </w:rPr>
        <w:t> </w:t>
      </w:r>
      <w:r>
        <w:rPr/>
        <w:t>否</w:t>
      </w:r>
      <w:r>
        <w:rPr>
          <w:w w:val="99"/>
        </w:rPr>
        <w:t> </w:t>
      </w:r>
      <w:r>
        <w:rPr/>
        <w:t>报告期内独立董事对公司有关事项未提出异议。</w:t>
      </w:r>
    </w:p>
    <w:p>
      <w:pPr>
        <w:pStyle w:val="Heading3"/>
        <w:spacing w:line="265" w:lineRule="exact"/>
        <w:ind w:right="1116"/>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pStyle w:val="BodyText"/>
        <w:spacing w:line="240" w:lineRule="auto" w:before="121"/>
        <w:ind w:right="1116"/>
        <w:jc w:val="left"/>
      </w:pPr>
      <w:r>
        <w:rPr/>
        <w:t>独立董事对公司有关建议是否被采纳</w:t>
      </w:r>
    </w:p>
    <w:p>
      <w:pPr>
        <w:spacing w:line="240" w:lineRule="auto" w:before="10"/>
        <w:rPr>
          <w:rFonts w:ascii="宋体" w:hAnsi="宋体" w:cs="宋体" w:eastAsia="宋体" w:hint="default"/>
          <w:sz w:val="17"/>
          <w:szCs w:val="17"/>
        </w:rPr>
      </w:pPr>
    </w:p>
    <w:p>
      <w:pPr>
        <w:pStyle w:val="BodyText"/>
        <w:spacing w:line="451" w:lineRule="auto"/>
        <w:ind w:right="6794"/>
        <w:jc w:val="left"/>
      </w:pPr>
      <w:r>
        <w:rPr>
          <w:rFonts w:ascii="Times New Roman" w:hAnsi="Times New Roman" w:cs="Times New Roman" w:eastAsia="Times New Roman" w:hint="default"/>
        </w:rPr>
        <w:t>√ </w:t>
      </w:r>
      <w:r>
        <w:rPr/>
        <w:t>是 □</w:t>
      </w:r>
      <w:r>
        <w:rPr>
          <w:spacing w:val="3"/>
        </w:rPr>
        <w:t> </w:t>
      </w:r>
      <w:r>
        <w:rPr/>
        <w:t>否</w:t>
      </w:r>
      <w:r>
        <w:rPr/>
        <w:t> 独立董事对公司有关建议被采纳或未被采纳的说明</w:t>
      </w:r>
    </w:p>
    <w:p>
      <w:pPr>
        <w:pStyle w:val="BodyText"/>
        <w:spacing w:line="477" w:lineRule="auto" w:before="74"/>
        <w:ind w:right="1043" w:firstLine="360"/>
        <w:jc w:val="both"/>
      </w:pPr>
      <w:r>
        <w:rPr/>
        <w:t>报告期内</w:t>
      </w:r>
      <w:r>
        <w:rPr>
          <w:spacing w:val="-17"/>
        </w:rPr>
        <w:t>，</w:t>
      </w:r>
      <w:r>
        <w:rPr/>
        <w:t>公司独立董事严格按</w:t>
      </w:r>
      <w:r>
        <w:rPr>
          <w:spacing w:val="-17"/>
        </w:rPr>
        <w:t>照</w:t>
      </w:r>
      <w:r>
        <w:rPr/>
        <w:t>《公司法</w:t>
      </w:r>
      <w:r>
        <w:rPr>
          <w:spacing w:val="-92"/>
        </w:rPr>
        <w:t>》</w:t>
      </w:r>
      <w:r>
        <w:rPr>
          <w:spacing w:val="-108"/>
        </w:rPr>
        <w:t>、</w:t>
      </w:r>
      <w:r>
        <w:rPr/>
        <w:t>《证券</w:t>
      </w:r>
      <w:r>
        <w:rPr>
          <w:spacing w:val="2"/>
        </w:rPr>
        <w:t>法</w:t>
      </w:r>
      <w:r>
        <w:rPr>
          <w:spacing w:val="-92"/>
        </w:rPr>
        <w:t>》</w:t>
      </w:r>
      <w:r>
        <w:rPr>
          <w:spacing w:val="-106"/>
        </w:rPr>
        <w:t>、</w:t>
      </w:r>
      <w:r>
        <w:rPr>
          <w:spacing w:val="2"/>
        </w:rPr>
        <w:t>《</w:t>
      </w:r>
      <w:r>
        <w:rPr/>
        <w:t>深圳证券交易所创业板股票上市规则</w:t>
      </w:r>
      <w:r>
        <w:rPr>
          <w:spacing w:val="-92"/>
        </w:rPr>
        <w:t>》</w:t>
      </w:r>
      <w:r>
        <w:rPr>
          <w:spacing w:val="-108"/>
        </w:rPr>
        <w:t>、</w:t>
      </w:r>
      <w:r>
        <w:rPr/>
        <w:t>《深圳证券交易所创</w:t>
      </w:r>
      <w:r>
        <w:rPr/>
        <w:t> 业板上市公司规范运作指引</w:t>
      </w:r>
      <w:r>
        <w:rPr>
          <w:spacing w:val="-92"/>
        </w:rPr>
        <w:t>》</w:t>
      </w:r>
      <w:r>
        <w:rPr>
          <w:spacing w:val="-106"/>
        </w:rPr>
        <w:t>、</w:t>
      </w:r>
      <w:r>
        <w:rPr/>
        <w:t>《公司章程</w:t>
      </w:r>
      <w:r>
        <w:rPr>
          <w:spacing w:val="-17"/>
        </w:rPr>
        <w:t>》及</w:t>
      </w:r>
      <w:r>
        <w:rPr/>
        <w:t>《独立董事</w:t>
      </w:r>
      <w:r>
        <w:rPr>
          <w:spacing w:val="2"/>
        </w:rPr>
        <w:t>工</w:t>
      </w:r>
      <w:r>
        <w:rPr/>
        <w:t>作制度</w:t>
      </w:r>
      <w:r>
        <w:rPr>
          <w:spacing w:val="-17"/>
        </w:rPr>
        <w:t>》</w:t>
      </w:r>
      <w:r>
        <w:rPr/>
        <w:t>等法律法规及规章制度的相关规定</w:t>
      </w:r>
      <w:r>
        <w:rPr>
          <w:spacing w:val="-17"/>
        </w:rPr>
        <w:t>，</w:t>
      </w:r>
      <w:r>
        <w:rPr/>
        <w:t>忠实勤勉地履行独</w:t>
      </w:r>
      <w:r>
        <w:rPr/>
        <w:t> 立董事职责</w:t>
      </w:r>
      <w:r>
        <w:rPr>
          <w:spacing w:val="-65"/>
        </w:rPr>
        <w:t>，</w:t>
      </w:r>
      <w:r>
        <w:rPr/>
        <w:t>积极出席报告期内公司召开的相关会议</w:t>
      </w:r>
      <w:r>
        <w:rPr>
          <w:spacing w:val="-65"/>
        </w:rPr>
        <w:t>，</w:t>
      </w:r>
      <w:r>
        <w:rPr/>
        <w:t>认真审议董事会各项议案</w:t>
      </w:r>
      <w:r>
        <w:rPr>
          <w:spacing w:val="-65"/>
        </w:rPr>
        <w:t>，</w:t>
      </w:r>
      <w:r>
        <w:rPr/>
        <w:t>对公</w:t>
      </w:r>
      <w:r>
        <w:rPr>
          <w:spacing w:val="-65"/>
        </w:rPr>
        <w:t>司</w:t>
      </w:r>
      <w:r>
        <w:rPr>
          <w:spacing w:val="1"/>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年度内部控制自我评价报告</w:t>
      </w:r>
      <w:r>
        <w:rPr>
          <w:spacing w:val="-92"/>
        </w:rPr>
        <w:t>》</w:t>
      </w:r>
      <w:r>
        <w:rPr/>
        <w:t>、</w:t>
      </w:r>
    </w:p>
    <w:p>
      <w:pPr>
        <w:pStyle w:val="BodyText"/>
        <w:spacing w:line="458" w:lineRule="auto" w:before="21"/>
        <w:ind w:right="1034"/>
        <w:jc w:val="left"/>
      </w:pPr>
      <w:r>
        <w:rPr>
          <w:spacing w:val="-2"/>
        </w:rPr>
        <w:t>《</w:t>
      </w:r>
      <w:r>
        <w:rPr>
          <w:rFonts w:ascii="Times New Roman" w:hAnsi="Times New Roman" w:cs="Times New Roman" w:eastAsia="Times New Roman" w:hint="default"/>
          <w:spacing w:val="-2"/>
        </w:rPr>
        <w:t>2018</w:t>
      </w:r>
      <w:r>
        <w:rPr>
          <w:spacing w:val="-2"/>
        </w:rPr>
        <w:t>年度利润分配预案》、募集资金存放与使用情况、控股股东及其他关联人占用公司资金的情况、预计</w:t>
      </w:r>
      <w:r>
        <w:rPr>
          <w:rFonts w:ascii="Times New Roman" w:hAnsi="Times New Roman" w:cs="Times New Roman" w:eastAsia="Times New Roman" w:hint="default"/>
          <w:spacing w:val="-2"/>
        </w:rPr>
        <w:t>2019</w:t>
      </w:r>
      <w:r>
        <w:rPr>
          <w:spacing w:val="-2"/>
        </w:rPr>
        <w:t>年度公司日</w:t>
      </w:r>
      <w:r>
        <w:rPr>
          <w:spacing w:val="-66"/>
        </w:rPr>
        <w:t> </w:t>
      </w:r>
      <w:r>
        <w:rPr>
          <w:spacing w:val="-66"/>
        </w:rPr>
      </w:r>
      <w:r>
        <w:rPr>
          <w:spacing w:val="-5"/>
        </w:rPr>
        <w:t>常关联交易、会计政策变更、续聘</w:t>
      </w:r>
      <w:r>
        <w:rPr>
          <w:rFonts w:ascii="Times New Roman" w:hAnsi="Times New Roman" w:cs="Times New Roman" w:eastAsia="Times New Roman" w:hint="default"/>
          <w:spacing w:val="-5"/>
        </w:rPr>
        <w:t>2019</w:t>
      </w:r>
      <w:r>
        <w:rPr>
          <w:spacing w:val="-5"/>
        </w:rPr>
        <w:t>年度会计师事务所、《</w:t>
      </w:r>
      <w:r>
        <w:rPr>
          <w:rFonts w:ascii="Times New Roman" w:hAnsi="Times New Roman" w:cs="Times New Roman" w:eastAsia="Times New Roman" w:hint="default"/>
          <w:spacing w:val="-5"/>
        </w:rPr>
        <w:t>2019</w:t>
      </w:r>
      <w:r>
        <w:rPr>
          <w:spacing w:val="-5"/>
        </w:rPr>
        <w:t>年半年度利润分配方案》、第三届董事会换届、使用自有资</w:t>
      </w:r>
      <w:r>
        <w:rPr>
          <w:spacing w:val="-61"/>
        </w:rPr>
        <w:t> </w:t>
      </w:r>
      <w:r>
        <w:rPr>
          <w:spacing w:val="-61"/>
        </w:rPr>
      </w:r>
      <w:r>
        <w:rPr/>
        <w:t>金购买理财产品等相关事项出具了独立、公正的独立意见，也在公司的制度完善和日常经营决策等方面提出了专业性建议，</w:t>
      </w:r>
      <w:r>
        <w:rPr>
          <w:spacing w:val="-86"/>
        </w:rPr>
        <w:t> </w:t>
      </w:r>
      <w:r>
        <w:rPr>
          <w:spacing w:val="-86"/>
        </w:rPr>
      </w:r>
      <w:r>
        <w:rPr/>
        <w:t>并被公司予以采纳，较好的发挥了独立董事的作用，切实维护了公司和股东尤其是中小股东利益。</w:t>
      </w:r>
    </w:p>
    <w:p>
      <w:pPr>
        <w:pStyle w:val="Heading2"/>
        <w:spacing w:line="257" w:lineRule="exact"/>
        <w:ind w:right="1116"/>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pStyle w:val="BodyText"/>
        <w:spacing w:line="477" w:lineRule="auto" w:before="125"/>
        <w:ind w:right="1134" w:firstLine="360"/>
        <w:jc w:val="both"/>
      </w:pPr>
      <w:r>
        <w:rPr>
          <w:spacing w:val="-2"/>
        </w:rPr>
        <w:t>董事会下设战略委员会、提名与薪酬委员会、审计委员会。报告期内，各专业委员会在公司章程及工作条例范围内，切</w:t>
      </w:r>
      <w:r>
        <w:rPr/>
        <w:t> 实履行职责，为董事会决策提供专业支持。</w:t>
      </w:r>
    </w:p>
    <w:p>
      <w:pPr>
        <w:pStyle w:val="BodyText"/>
        <w:spacing w:line="477" w:lineRule="auto" w:before="54"/>
        <w:ind w:right="1131" w:firstLine="360"/>
        <w:jc w:val="both"/>
      </w:pPr>
      <w:r>
        <w:rPr>
          <w:spacing w:val="-2"/>
        </w:rPr>
        <w:t>战略委员会根据企业发展需要，对公司发展规划和战略进行科学决策，研究、制订、规划公司长期发展战略，有效指导</w:t>
      </w:r>
      <w:r>
        <w:rPr/>
        <w:t> 经营层开展相关经营活动，进一步增强了公司的可持续发展能力。</w:t>
      </w:r>
    </w:p>
    <w:p>
      <w:pPr>
        <w:pStyle w:val="BodyText"/>
        <w:spacing w:line="477" w:lineRule="auto" w:before="54"/>
        <w:ind w:right="1131" w:firstLine="360"/>
        <w:jc w:val="both"/>
      </w:pPr>
      <w:r>
        <w:rPr>
          <w:spacing w:val="-2"/>
        </w:rPr>
        <w:t>提名与薪酬委员行使提名权、建议权，不断完善公司法人治理结构，增强董事、高级管理人员选举程序的科学性、民主</w:t>
      </w:r>
      <w:r>
        <w:rPr/>
        <w:t> </w:t>
      </w:r>
      <w:r>
        <w:rPr>
          <w:spacing w:val="-2"/>
        </w:rPr>
        <w:t>性，优化董事会、高管层的组成人员结构。报告期内审议通过了回购注销部分限制性股票事宜、第四届董事会候选人资格审</w:t>
      </w:r>
      <w:r>
        <w:rPr>
          <w:spacing w:val="-64"/>
        </w:rPr>
        <w:t> </w:t>
      </w:r>
      <w:r>
        <w:rPr>
          <w:spacing w:val="-64"/>
        </w:rPr>
      </w:r>
      <w:r>
        <w:rPr>
          <w:spacing w:val="-2"/>
        </w:rPr>
        <w:t>查及其薪酬等事项。同时通过建立、完善高级管理人员的业绩考核与评价体系，制订科学、有效的薪酬管理制度，实施公司</w:t>
      </w:r>
      <w:r>
        <w:rPr>
          <w:spacing w:val="-67"/>
        </w:rPr>
        <w:t> </w:t>
      </w:r>
      <w:r>
        <w:rPr>
          <w:spacing w:val="-67"/>
        </w:rPr>
      </w:r>
      <w:r>
        <w:rPr/>
        <w:t>的人才开发与利用战略，对公司薪酬管理执行过程中的相关情况提出建议性意见等，切实履行了勤勉尽责义务。</w:t>
      </w:r>
    </w:p>
    <w:p>
      <w:pPr>
        <w:pStyle w:val="BodyText"/>
        <w:spacing w:line="463" w:lineRule="auto" w:before="55"/>
        <w:ind w:right="1126" w:firstLine="360"/>
        <w:jc w:val="both"/>
      </w:pPr>
      <w:r>
        <w:rPr>
          <w:spacing w:val="-2"/>
        </w:rPr>
        <w:t>审计委员会积极履行职责，审议通过了公司定期报告、内部控制评价报告、募集资金存放与使用情况、续聘</w:t>
      </w:r>
      <w:r>
        <w:rPr>
          <w:rFonts w:ascii="Times New Roman" w:hAnsi="Times New Roman" w:cs="Times New Roman" w:eastAsia="Times New Roman" w:hint="default"/>
          <w:spacing w:val="-2"/>
        </w:rPr>
        <w:t>2019</w:t>
      </w:r>
      <w:r>
        <w:rPr>
          <w:spacing w:val="-2"/>
        </w:rPr>
        <w:t>年度财</w:t>
      </w:r>
      <w:r>
        <w:rPr/>
        <w:t> </w:t>
      </w:r>
      <w:r>
        <w:rPr>
          <w:spacing w:val="-2"/>
        </w:rPr>
        <w:t>务审计机构等事项。同时不断提高公司内部控制能力，健全内部控制制度，完善内部控制程序，切实有效地监督了公司的外</w:t>
      </w:r>
      <w:r>
        <w:rPr>
          <w:spacing w:val="-65"/>
        </w:rPr>
        <w:t> </w:t>
      </w:r>
      <w:r>
        <w:rPr>
          <w:spacing w:val="-65"/>
        </w:rPr>
      </w:r>
      <w:r>
        <w:rPr/>
        <w:t>部审计，高质高效的完成审计工作。</w:t>
      </w:r>
    </w:p>
    <w:p>
      <w:pPr>
        <w:pStyle w:val="Heading2"/>
        <w:spacing w:line="254" w:lineRule="exact"/>
        <w:ind w:right="1116"/>
        <w:jc w:val="left"/>
        <w:rPr>
          <w:b w:val="0"/>
          <w:bCs w:val="0"/>
        </w:rPr>
      </w:pPr>
      <w:bookmarkStart w:name="七、监事会工作情况" w:id="140"/>
      <w:bookmarkEnd w:id="140"/>
      <w:r>
        <w:rPr>
          <w:b w:val="0"/>
          <w:bCs w:val="0"/>
        </w:rPr>
      </w:r>
      <w:r>
        <w:rPr/>
        <w:t>七、监事会工作情况</w:t>
      </w:r>
      <w:r>
        <w:rPr>
          <w:b w:val="0"/>
          <w:bCs w:val="0"/>
        </w:rPr>
      </w:r>
    </w:p>
    <w:p>
      <w:pPr>
        <w:pStyle w:val="BodyText"/>
        <w:spacing w:line="240" w:lineRule="auto" w:before="123"/>
        <w:ind w:right="1116"/>
        <w:jc w:val="left"/>
      </w:pPr>
      <w:r>
        <w:rPr/>
        <w:t>监事会在报告期内的监督活动中发现公司是否存在风险</w:t>
      </w:r>
    </w:p>
    <w:p>
      <w:pPr>
        <w:spacing w:line="240" w:lineRule="auto" w:before="10"/>
        <w:rPr>
          <w:rFonts w:ascii="宋体" w:hAnsi="宋体" w:cs="宋体" w:eastAsia="宋体" w:hint="default"/>
          <w:sz w:val="17"/>
          <w:szCs w:val="17"/>
        </w:rPr>
      </w:pPr>
    </w:p>
    <w:p>
      <w:pPr>
        <w:pStyle w:val="BodyText"/>
        <w:spacing w:line="451" w:lineRule="auto"/>
        <w:ind w:right="7334"/>
        <w:jc w:val="left"/>
      </w:pPr>
      <w:r>
        <w:rPr>
          <w:rFonts w:ascii="Times New Roman" w:hAnsi="Times New Roman" w:cs="Times New Roman" w:eastAsia="Times New Roman" w:hint="default"/>
        </w:rPr>
        <w:t>□ </w:t>
      </w:r>
      <w:r>
        <w:rPr/>
        <w:t>是 √</w:t>
      </w:r>
      <w:r>
        <w:rPr>
          <w:spacing w:val="2"/>
        </w:rPr>
        <w:t> </w:t>
      </w:r>
      <w:r>
        <w:rPr/>
        <w:t>否</w:t>
      </w:r>
      <w:r>
        <w:rPr>
          <w:w w:val="99"/>
        </w:rPr>
        <w:t> </w:t>
      </w:r>
      <w:r>
        <w:rPr/>
        <w:t>公司监事会对报告期内的监督事项无异议。</w:t>
      </w:r>
    </w:p>
    <w:p>
      <w:pPr>
        <w:spacing w:after="0" w:line="451" w:lineRule="auto"/>
        <w:jc w:val="left"/>
        <w:sectPr>
          <w:pgSz w:w="11910" w:h="16840"/>
          <w:pgMar w:header="877" w:footer="980" w:top="1080" w:bottom="1160" w:left="980" w:right="0"/>
        </w:sectPr>
      </w:pPr>
    </w:p>
    <w:p>
      <w:pPr>
        <w:spacing w:line="240" w:lineRule="auto" w:before="7"/>
        <w:rPr>
          <w:rFonts w:ascii="宋体" w:hAnsi="宋体" w:cs="宋体" w:eastAsia="宋体" w:hint="default"/>
          <w:sz w:val="21"/>
          <w:szCs w:val="21"/>
        </w:rPr>
      </w:pPr>
    </w:p>
    <w:p>
      <w:pPr>
        <w:pStyle w:val="Heading2"/>
        <w:spacing w:line="240" w:lineRule="auto" w:before="26"/>
        <w:ind w:right="1116"/>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pStyle w:val="BodyText"/>
        <w:spacing w:line="477" w:lineRule="auto" w:before="126"/>
        <w:ind w:right="1131" w:firstLine="360"/>
        <w:jc w:val="both"/>
      </w:pPr>
      <w:r>
        <w:rPr>
          <w:spacing w:val="-2"/>
        </w:rPr>
        <w:t>公司高级管理人员的薪酬构成包括基本和绩效奖惩两部分，基本薪酬根据职位类别确定，激励薪酬与公司业绩及其工作</w:t>
      </w:r>
      <w:r>
        <w:rPr/>
        <w:t> </w:t>
      </w:r>
      <w:r>
        <w:rPr>
          <w:spacing w:val="-2"/>
        </w:rPr>
        <w:t>考核情况挂钩。每年初公司根据生产经营目标及公司领导所分管的部门（工作）职能来与高级管理人员签署目标责任书，确</w:t>
      </w:r>
      <w:r>
        <w:rPr>
          <w:spacing w:val="-66"/>
        </w:rPr>
        <w:t> </w:t>
      </w:r>
      <w:r>
        <w:rPr>
          <w:spacing w:val="-66"/>
        </w:rPr>
      </w:r>
      <w:r>
        <w:rPr>
          <w:spacing w:val="-2"/>
        </w:rPr>
        <w:t>定其考核指标，年末根据业绩指标完成情况来考核高级管理人员，结合其经营绩效、工作能力、岗位职级等考核确定并发放</w:t>
      </w:r>
      <w:r>
        <w:rPr>
          <w:spacing w:val="-64"/>
        </w:rPr>
        <w:t> </w:t>
      </w:r>
      <w:r>
        <w:rPr>
          <w:spacing w:val="-64"/>
        </w:rPr>
      </w:r>
      <w:r>
        <w:rPr/>
        <w:t>薪酬等。</w:t>
      </w:r>
    </w:p>
    <w:p>
      <w:pPr>
        <w:pStyle w:val="Heading2"/>
        <w:spacing w:line="243" w:lineRule="exact"/>
        <w:ind w:right="1116"/>
        <w:jc w:val="left"/>
        <w:rPr>
          <w:b w:val="0"/>
          <w:bCs w:val="0"/>
        </w:rPr>
      </w:pPr>
      <w:bookmarkStart w:name="九、内部控制评价报告" w:id="142"/>
      <w:bookmarkEnd w:id="142"/>
      <w:r>
        <w:rPr>
          <w:b w:val="0"/>
          <w:bCs w:val="0"/>
        </w:rPr>
      </w:r>
      <w:r>
        <w:rPr/>
        <w:t>九、内部控制评价报告</w:t>
      </w:r>
      <w:r>
        <w:rPr>
          <w:b w:val="0"/>
          <w:bCs w:val="0"/>
        </w:rPr>
      </w:r>
    </w:p>
    <w:p>
      <w:pPr>
        <w:pStyle w:val="Heading3"/>
        <w:spacing w:line="240" w:lineRule="auto" w:before="23"/>
        <w:ind w:right="1116"/>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44"/>
        <w:ind w:right="1116"/>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1116"/>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628"/>
        <w:gridCol w:w="567"/>
        <w:gridCol w:w="3903"/>
        <w:gridCol w:w="2473"/>
      </w:tblGrid>
      <w:tr>
        <w:trPr>
          <w:trHeight w:val="322"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634"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26"/>
              <w:jc w:val="left"/>
              <w:rPr>
                <w:rFonts w:ascii="宋体" w:hAnsi="宋体" w:cs="宋体" w:eastAsia="宋体" w:hint="default"/>
                <w:sz w:val="18"/>
                <w:szCs w:val="18"/>
              </w:rPr>
            </w:pPr>
            <w:r>
              <w:rPr>
                <w:rFonts w:ascii="宋体" w:hAnsi="宋体" w:cs="宋体" w:eastAsia="宋体" w:hint="default"/>
                <w:spacing w:val="-1"/>
                <w:sz w:val="18"/>
                <w:szCs w:val="18"/>
              </w:rPr>
              <w:t>参见公司指定信息披露网站巨潮资讯网（</w:t>
            </w:r>
            <w:hyperlink r:id="rId14">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）上披露的《</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z w:val="18"/>
                <w:szCs w:val="18"/>
              </w:rPr>
              <w:t>年度内部控制自我评价报告》</w:t>
            </w:r>
          </w:p>
        </w:tc>
      </w:tr>
      <w:tr>
        <w:trPr>
          <w:trHeight w:val="636"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34"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4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3"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66"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w:t>
            </w:r>
            <w:r>
              <w:rPr>
                <w:rFonts w:ascii="宋体" w:hAnsi="宋体" w:cs="宋体" w:eastAsia="宋体" w:hint="default"/>
                <w:spacing w:val="2"/>
                <w:sz w:val="18"/>
                <w:szCs w:val="18"/>
              </w:rPr>
              <w:t> </w:t>
            </w:r>
            <w:r>
              <w:rPr>
                <w:rFonts w:ascii="宋体" w:hAnsi="宋体" w:cs="宋体" w:eastAsia="宋体" w:hint="default"/>
                <w:sz w:val="18"/>
                <w:szCs w:val="18"/>
              </w:rPr>
              <w:t>公司董事、</w:t>
            </w:r>
            <w:r>
              <w:rPr>
                <w:rFonts w:ascii="宋体" w:hAnsi="宋体" w:cs="宋体" w:eastAsia="宋体" w:hint="default"/>
                <w:sz w:val="18"/>
                <w:szCs w:val="18"/>
              </w:rPr>
              <w:t> 监事和高级管理人员的舞弊行为；</w:t>
            </w:r>
            <w:r>
              <w:rPr>
                <w:rFonts w:ascii="宋体" w:hAnsi="宋体" w:cs="宋体" w:eastAsia="宋体" w:hint="default"/>
                <w:spacing w:val="1"/>
                <w:sz w:val="18"/>
                <w:szCs w:val="18"/>
              </w:rPr>
              <w:t> </w:t>
            </w:r>
            <w:r>
              <w:rPr>
                <w:rFonts w:ascii="宋体" w:hAnsi="宋体" w:cs="宋体" w:eastAsia="宋体" w:hint="default"/>
                <w:sz w:val="18"/>
                <w:szCs w:val="18"/>
              </w:rPr>
              <w:t>②公司更正已公布</w:t>
            </w:r>
            <w:r>
              <w:rPr>
                <w:rFonts w:ascii="宋体" w:hAnsi="宋体" w:cs="宋体" w:eastAsia="宋体" w:hint="default"/>
                <w:sz w:val="18"/>
                <w:szCs w:val="18"/>
              </w:rPr>
              <w:t> </w:t>
            </w:r>
            <w:r>
              <w:rPr>
                <w:rFonts w:ascii="宋体" w:hAnsi="宋体" w:cs="宋体" w:eastAsia="宋体" w:hint="default"/>
                <w:spacing w:val="-3"/>
                <w:sz w:val="18"/>
                <w:szCs w:val="18"/>
              </w:rPr>
              <w:t>的财务报告、注册会计师发现的却未被公司内部控制识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别的当期财务报告中的重大错报；③</w:t>
            </w:r>
            <w:r>
              <w:rPr>
                <w:rFonts w:ascii="宋体" w:hAnsi="宋体" w:cs="宋体" w:eastAsia="宋体" w:hint="default"/>
                <w:spacing w:val="1"/>
                <w:sz w:val="18"/>
                <w:szCs w:val="18"/>
              </w:rPr>
              <w:t> </w:t>
            </w:r>
            <w:r>
              <w:rPr>
                <w:rFonts w:ascii="宋体" w:hAnsi="宋体" w:cs="宋体" w:eastAsia="宋体" w:hint="default"/>
                <w:sz w:val="18"/>
                <w:szCs w:val="18"/>
              </w:rPr>
              <w:t>内部控制审计机</w:t>
            </w:r>
            <w:r>
              <w:rPr>
                <w:rFonts w:ascii="宋体" w:hAnsi="宋体" w:cs="宋体" w:eastAsia="宋体" w:hint="default"/>
                <w:sz w:val="18"/>
                <w:szCs w:val="18"/>
              </w:rPr>
              <w:t> 构对公司的对外财务报告和财务报告内部控制监督无 </w:t>
            </w:r>
            <w:r>
              <w:rPr>
                <w:rFonts w:ascii="宋体" w:hAnsi="宋体" w:cs="宋体" w:eastAsia="宋体" w:hint="default"/>
                <w:spacing w:val="-8"/>
                <w:sz w:val="18"/>
                <w:szCs w:val="18"/>
              </w:rPr>
              <w:t>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）财务报告重要缺陷的迹象包括：</w:t>
            </w:r>
            <w:r>
              <w:rPr>
                <w:rFonts w:ascii="宋体" w:hAnsi="宋体" w:cs="宋体" w:eastAsia="宋体" w:hint="default"/>
                <w:spacing w:val="-15"/>
                <w:sz w:val="18"/>
                <w:szCs w:val="18"/>
              </w:rPr>
              <w:t> </w:t>
            </w:r>
            <w:r>
              <w:rPr>
                <w:rFonts w:ascii="宋体" w:hAnsi="宋体" w:cs="宋体" w:eastAsia="宋体" w:hint="default"/>
                <w:sz w:val="18"/>
                <w:szCs w:val="18"/>
              </w:rPr>
              <w:t>①</w:t>
            </w:r>
            <w:r>
              <w:rPr>
                <w:rFonts w:ascii="宋体" w:hAnsi="宋体" w:cs="宋体" w:eastAsia="宋体" w:hint="default"/>
                <w:spacing w:val="7"/>
                <w:sz w:val="18"/>
                <w:szCs w:val="18"/>
              </w:rPr>
              <w:t> </w:t>
            </w:r>
            <w:r>
              <w:rPr>
                <w:rFonts w:ascii="宋体" w:hAnsi="宋体" w:cs="宋体" w:eastAsia="宋体" w:hint="default"/>
                <w:sz w:val="18"/>
                <w:szCs w:val="18"/>
              </w:rPr>
              <w:t>未依照公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认会计准则选择和应用会计政策；</w:t>
            </w:r>
            <w:r>
              <w:rPr>
                <w:rFonts w:ascii="宋体" w:hAnsi="宋体" w:cs="宋体" w:eastAsia="宋体" w:hint="default"/>
                <w:spacing w:val="-66"/>
                <w:sz w:val="18"/>
                <w:szCs w:val="18"/>
              </w:rPr>
              <w:t> </w:t>
            </w: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未建立反舞弊程</w:t>
            </w:r>
            <w:r>
              <w:rPr>
                <w:rFonts w:ascii="宋体" w:hAnsi="宋体" w:cs="宋体" w:eastAsia="宋体" w:hint="default"/>
                <w:sz w:val="18"/>
                <w:szCs w:val="18"/>
              </w:rPr>
              <w:t> 序和控制措施；</w:t>
            </w:r>
            <w:r>
              <w:rPr>
                <w:rFonts w:ascii="宋体" w:hAnsi="宋体" w:cs="宋体" w:eastAsia="宋体" w:hint="default"/>
                <w:spacing w:val="-66"/>
                <w:sz w:val="18"/>
                <w:szCs w:val="18"/>
              </w:rPr>
              <w:t> </w:t>
            </w: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对于非常规或特殊交易的账务处理</w:t>
            </w:r>
            <w:r>
              <w:rPr>
                <w:rFonts w:ascii="宋体" w:hAnsi="宋体" w:cs="宋体" w:eastAsia="宋体" w:hint="default"/>
                <w:sz w:val="18"/>
                <w:szCs w:val="18"/>
              </w:rPr>
              <w:t> 没有建立相应的控制机制或没有实施且没有相应的补 偿性控制；④</w:t>
            </w:r>
            <w:r>
              <w:rPr>
                <w:rFonts w:ascii="宋体" w:hAnsi="宋体" w:cs="宋体" w:eastAsia="宋体" w:hint="default"/>
                <w:spacing w:val="1"/>
                <w:sz w:val="18"/>
                <w:szCs w:val="18"/>
              </w:rPr>
              <w:t> </w:t>
            </w:r>
            <w:r>
              <w:rPr>
                <w:rFonts w:ascii="宋体" w:hAnsi="宋体" w:cs="宋体" w:eastAsia="宋体" w:hint="default"/>
                <w:sz w:val="18"/>
                <w:szCs w:val="18"/>
              </w:rPr>
              <w:t>对于期末财务报告过程的控制存在一项</w:t>
            </w:r>
            <w:r>
              <w:rPr>
                <w:rFonts w:ascii="宋体" w:hAnsi="宋体" w:cs="宋体" w:eastAsia="宋体" w:hint="default"/>
                <w:sz w:val="18"/>
                <w:szCs w:val="18"/>
              </w:rPr>
              <w:t> 或多项缺陷且不能合理保证编制的财务报表达到真实、 </w:t>
            </w:r>
            <w:r>
              <w:rPr>
                <w:rFonts w:ascii="宋体" w:hAnsi="宋体" w:cs="宋体" w:eastAsia="宋体" w:hint="default"/>
                <w:spacing w:val="-7"/>
                <w:sz w:val="18"/>
                <w:szCs w:val="18"/>
              </w:rPr>
              <w:t>准确的目标。（</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）一般缺陷是指除上述重大缺陷、重要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缺陷之外的其他控制缺陷。</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9" w:lineRule="auto"/>
              <w:ind w:left="105" w:right="9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 存在的迹象包括：①</w:t>
            </w:r>
            <w:r>
              <w:rPr>
                <w:rFonts w:ascii="宋体" w:hAnsi="宋体" w:cs="宋体" w:eastAsia="宋体" w:hint="default"/>
                <w:spacing w:val="7"/>
                <w:sz w:val="18"/>
                <w:szCs w:val="18"/>
              </w:rPr>
              <w:t> </w:t>
            </w:r>
            <w:r>
              <w:rPr>
                <w:rFonts w:ascii="宋体" w:hAnsi="宋体" w:cs="宋体" w:eastAsia="宋体" w:hint="default"/>
                <w:sz w:val="18"/>
                <w:szCs w:val="18"/>
              </w:rPr>
              <w:t>违反国</w:t>
            </w:r>
            <w:r>
              <w:rPr>
                <w:rFonts w:ascii="宋体" w:hAnsi="宋体" w:cs="宋体" w:eastAsia="宋体" w:hint="default"/>
                <w:sz w:val="18"/>
                <w:szCs w:val="18"/>
              </w:rPr>
              <w:t> 家法律法规或规范性文件；</w:t>
            </w:r>
          </w:p>
          <w:p>
            <w:pPr>
              <w:pStyle w:val="TableParagraph"/>
              <w:spacing w:line="316" w:lineRule="auto" w:before="24"/>
              <w:ind w:left="105" w:right="96"/>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7"/>
                <w:sz w:val="18"/>
                <w:szCs w:val="18"/>
              </w:rPr>
              <w:t> </w:t>
            </w:r>
            <w:r>
              <w:rPr>
                <w:rFonts w:ascii="宋体" w:hAnsi="宋体" w:cs="宋体" w:eastAsia="宋体" w:hint="default"/>
                <w:sz w:val="18"/>
                <w:szCs w:val="18"/>
              </w:rPr>
              <w:t>重大决策程序不科学；③</w:t>
            </w:r>
            <w:r>
              <w:rPr>
                <w:rFonts w:ascii="宋体" w:hAnsi="宋体" w:cs="宋体" w:eastAsia="宋体" w:hint="default"/>
                <w:sz w:val="18"/>
                <w:szCs w:val="18"/>
              </w:rPr>
              <w:t> 制度缺失可能导致系统性失 </w:t>
            </w:r>
            <w:r>
              <w:rPr>
                <w:rFonts w:ascii="宋体" w:hAnsi="宋体" w:cs="宋体" w:eastAsia="宋体" w:hint="default"/>
                <w:spacing w:val="-7"/>
                <w:sz w:val="18"/>
                <w:szCs w:val="18"/>
              </w:rPr>
              <w:t>效、重大或重要缺陷不能得到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整改；④</w:t>
            </w:r>
            <w:r>
              <w:rPr>
                <w:rFonts w:ascii="宋体" w:hAnsi="宋体" w:cs="宋体" w:eastAsia="宋体" w:hint="default"/>
                <w:spacing w:val="7"/>
                <w:sz w:val="18"/>
                <w:szCs w:val="18"/>
              </w:rPr>
              <w:t> </w:t>
            </w:r>
            <w:r>
              <w:rPr>
                <w:rFonts w:ascii="宋体" w:hAnsi="宋体" w:cs="宋体" w:eastAsia="宋体" w:hint="default"/>
                <w:sz w:val="18"/>
                <w:szCs w:val="18"/>
              </w:rPr>
              <w:t>内部控制审计机构</w:t>
            </w:r>
            <w:r>
              <w:rPr>
                <w:rFonts w:ascii="宋体" w:hAnsi="宋体" w:cs="宋体" w:eastAsia="宋体" w:hint="default"/>
                <w:sz w:val="18"/>
                <w:szCs w:val="18"/>
              </w:rPr>
              <w:t> 未能有效发挥监督职能；</w:t>
            </w:r>
            <w:r>
              <w:rPr>
                <w:rFonts w:ascii="宋体" w:hAnsi="宋体" w:cs="宋体" w:eastAsia="宋体" w:hint="default"/>
                <w:spacing w:val="1"/>
                <w:sz w:val="18"/>
                <w:szCs w:val="18"/>
              </w:rPr>
              <w:t> </w:t>
            </w:r>
            <w:r>
              <w:rPr>
                <w:rFonts w:ascii="宋体" w:hAnsi="宋体" w:cs="宋体" w:eastAsia="宋体" w:hint="default"/>
                <w:sz w:val="18"/>
                <w:szCs w:val="18"/>
              </w:rPr>
              <w:t>⑤</w:t>
            </w:r>
            <w:r>
              <w:rPr>
                <w:rFonts w:ascii="宋体" w:hAnsi="宋体" w:cs="宋体" w:eastAsia="宋体" w:hint="default"/>
                <w:sz w:val="18"/>
                <w:szCs w:val="18"/>
              </w:rPr>
              <w:t> 其他对公司负面影响重大的 情形。</w:t>
            </w:r>
            <w:r>
              <w:rPr>
                <w:rFonts w:ascii="宋体" w:hAnsi="宋体" w:cs="宋体" w:eastAsia="宋体" w:hint="default"/>
                <w:spacing w:val="-5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）其他情形按影响</w:t>
            </w:r>
            <w:r>
              <w:rPr>
                <w:rFonts w:ascii="宋体" w:hAnsi="宋体" w:cs="宋体" w:eastAsia="宋体" w:hint="default"/>
                <w:sz w:val="18"/>
                <w:szCs w:val="18"/>
              </w:rPr>
              <w:t> 程度分别确定为重要缺陷或 一般缺陷。</w:t>
            </w:r>
          </w:p>
        </w:tc>
      </w:tr>
      <w:tr>
        <w:trPr>
          <w:trHeight w:val="2818"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并财务报表税前净利润的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日合并财务报表税前净利润</w:t>
            </w:r>
          </w:p>
          <w:p>
            <w:pPr>
              <w:pStyle w:val="TableParagraph"/>
              <w:spacing w:line="300" w:lineRule="auto" w:before="63"/>
              <w:ind w:left="103" w:right="96"/>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日合 并财务报表税前净利润的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101"/>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 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w:t>
            </w:r>
          </w:p>
          <w:p>
            <w:pPr>
              <w:pStyle w:val="TableParagraph"/>
              <w:spacing w:line="300" w:lineRule="auto" w:before="13"/>
              <w:ind w:left="105" w:right="7"/>
              <w:jc w:val="left"/>
              <w:rPr>
                <w:rFonts w:ascii="宋体" w:hAnsi="宋体" w:cs="宋体" w:eastAsia="宋体" w:hint="default"/>
                <w:sz w:val="18"/>
                <w:szCs w:val="18"/>
              </w:rPr>
            </w:pPr>
            <w:r>
              <w:rPr>
                <w:rFonts w:ascii="宋体" w:hAnsi="宋体" w:cs="宋体" w:eastAsia="宋体" w:hint="default"/>
                <w:sz w:val="18"/>
                <w:szCs w:val="18"/>
              </w:rPr>
              <w:t>财务报表税前净利润的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 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 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w:t>
            </w:r>
          </w:p>
          <w:p>
            <w:pPr>
              <w:pStyle w:val="TableParagraph"/>
              <w:spacing w:line="300" w:lineRule="auto" w:before="13"/>
              <w:ind w:left="105" w:right="7"/>
              <w:jc w:val="left"/>
              <w:rPr>
                <w:rFonts w:ascii="宋体" w:hAnsi="宋体" w:cs="宋体" w:eastAsia="宋体" w:hint="default"/>
                <w:sz w:val="18"/>
                <w:szCs w:val="18"/>
              </w:rPr>
            </w:pPr>
            <w:r>
              <w:rPr>
                <w:rFonts w:ascii="宋体" w:hAnsi="宋体" w:cs="宋体" w:eastAsia="宋体" w:hint="default"/>
                <w:sz w:val="18"/>
                <w:szCs w:val="18"/>
              </w:rPr>
              <w:t>财务报表税前净利润的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 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缺陷影响小于</w:t>
            </w:r>
          </w:p>
          <w:p>
            <w:pPr>
              <w:pStyle w:val="TableParagraph"/>
              <w:spacing w:line="300" w:lineRule="auto" w:before="13"/>
              <w:ind w:left="105"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日合并财务 报表税前净利润的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2"/>
                <w:sz w:val="18"/>
                <w:szCs w:val="18"/>
              </w:rPr>
              <w:t>非财务报告重大缺陷数量（个）</w:t>
            </w:r>
          </w:p>
        </w:tc>
        <w:tc>
          <w:tcPr>
            <w:tcW w:w="6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27"/>
        <w:gridCol w:w="6942"/>
      </w:tblGrid>
      <w:tr>
        <w:trPr>
          <w:trHeight w:val="322"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pacing w:val="-2"/>
                <w:sz w:val="18"/>
                <w:szCs w:val="18"/>
              </w:rPr>
              <w:t>非财务报告重要缺陷数量（个）</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3"/>
        <w:rPr>
          <w:rFonts w:ascii="宋体" w:hAnsi="宋体" w:cs="宋体" w:eastAsia="宋体" w:hint="default"/>
          <w:b/>
          <w:bCs/>
          <w:sz w:val="18"/>
          <w:szCs w:val="18"/>
        </w:rPr>
      </w:pPr>
    </w:p>
    <w:p>
      <w:pPr>
        <w:pStyle w:val="Heading2"/>
        <w:spacing w:line="240" w:lineRule="auto" w:before="26"/>
        <w:ind w:right="1116"/>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pStyle w:val="BodyText"/>
        <w:spacing w:line="240" w:lineRule="auto" w:before="46"/>
        <w:ind w:right="1116"/>
        <w:jc w:val="left"/>
      </w:pPr>
      <w:r>
        <w:rPr/>
        <w:t>内部控制鉴证报告</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3"/>
        <w:gridCol w:w="5898"/>
      </w:tblGrid>
      <w:tr>
        <w:trPr>
          <w:trHeight w:val="451" w:hRule="exact"/>
        </w:trPr>
        <w:tc>
          <w:tcPr>
            <w:tcW w:w="9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2353" w:hRule="exact"/>
        </w:trPr>
        <w:tc>
          <w:tcPr>
            <w:tcW w:w="9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468" w:lineRule="auto" w:before="89"/>
              <w:ind w:left="103" w:right="101"/>
              <w:jc w:val="left"/>
              <w:rPr>
                <w:rFonts w:ascii="宋体" w:hAnsi="宋体" w:cs="宋体" w:eastAsia="宋体" w:hint="default"/>
                <w:sz w:val="18"/>
                <w:szCs w:val="18"/>
              </w:rPr>
            </w:pPr>
            <w:r>
              <w:rPr>
                <w:rFonts w:ascii="宋体" w:hAnsi="宋体" w:cs="宋体" w:eastAsia="宋体" w:hint="default"/>
                <w:spacing w:val="-7"/>
                <w:sz w:val="18"/>
                <w:szCs w:val="18"/>
              </w:rPr>
              <w:t>公司已经根据《基本规范》、《评价指引》及其他相关法律法规的要求，对公司截至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日的内部控制设计与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运行的有效性进行了自我评价。 报告期内，公司对纳入评价范围的业务与事项均已建立了较为完善的内部控制，并得以有效执行，达到了公司内部控制 目标，未发现财务报告和非财务报告相关内部控制存在重大缺陷和重要缺陷。</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自内部控制评价报告基准日至内部控制评价报告发出日之间未发生对评价结论产生实质性影响的内部控制的重大变化。</w:t>
            </w:r>
          </w:p>
        </w:tc>
      </w:tr>
      <w:tr>
        <w:trPr>
          <w:trHeight w:val="45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5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5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5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7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87"/>
        <w:ind w:right="1116"/>
        <w:jc w:val="left"/>
      </w:pPr>
      <w:r>
        <w:rPr/>
        <w:t>会计师事务所是否出具非标准意见的内部控制鉴证报告</w:t>
      </w:r>
    </w:p>
    <w:p>
      <w:pPr>
        <w:spacing w:line="240" w:lineRule="auto" w:before="10"/>
        <w:rPr>
          <w:rFonts w:ascii="宋体" w:hAnsi="宋体" w:cs="宋体" w:eastAsia="宋体" w:hint="default"/>
          <w:sz w:val="17"/>
          <w:szCs w:val="17"/>
        </w:rPr>
      </w:pPr>
    </w:p>
    <w:p>
      <w:pPr>
        <w:pStyle w:val="BodyText"/>
        <w:spacing w:line="451" w:lineRule="auto"/>
        <w:ind w:right="4634"/>
        <w:jc w:val="left"/>
      </w:pPr>
      <w:r>
        <w:rPr>
          <w:rFonts w:ascii="Times New Roman" w:hAnsi="Times New Roman" w:cs="Times New Roman" w:eastAsia="Times New Roman" w:hint="default"/>
        </w:rPr>
        <w:t>□ </w:t>
      </w:r>
      <w:r>
        <w:rPr/>
        <w:t>是 √</w:t>
      </w:r>
      <w:r>
        <w:rPr>
          <w:spacing w:val="2"/>
        </w:rPr>
        <w:t> </w:t>
      </w:r>
      <w:r>
        <w:rPr/>
        <w:t>否</w:t>
      </w:r>
      <w:r>
        <w:rPr>
          <w:w w:val="99"/>
        </w:rPr>
        <w:t> </w:t>
      </w:r>
      <w:r>
        <w:rPr/>
        <w:t>会计师事务所出具的内部控制鉴证报告与董事会的自我评价报告意见是否一致</w:t>
      </w:r>
    </w:p>
    <w:p>
      <w:pPr>
        <w:pStyle w:val="BodyText"/>
        <w:spacing w:line="240" w:lineRule="auto" w:before="74"/>
        <w:ind w:right="1116"/>
        <w:jc w:val="left"/>
      </w:pPr>
      <w:r>
        <w:rPr>
          <w:rFonts w:ascii="Times New Roman" w:hAnsi="Times New Roman" w:cs="Times New Roman" w:eastAsia="Times New Roman" w:hint="default"/>
        </w:rPr>
        <w:t>√  </w:t>
      </w:r>
      <w:r>
        <w:rPr/>
        <w:t>是 □</w:t>
      </w:r>
      <w:r>
        <w:rPr>
          <w:spacing w:val="3"/>
        </w:rPr>
        <w:t> </w:t>
      </w:r>
      <w:r>
        <w:rPr/>
        <w:t>否</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045" w:right="1116"/>
        <w:jc w:val="left"/>
        <w:rPr>
          <w:b w:val="0"/>
          <w:bCs w:val="0"/>
        </w:rPr>
      </w:pPr>
      <w:bookmarkStart w:name="第十一节公司债券相关情况" w:id="146"/>
      <w:bookmarkEnd w:id="146"/>
      <w:r>
        <w:rPr>
          <w:b w:val="0"/>
          <w:bCs w:val="0"/>
        </w:rPr>
      </w:r>
      <w:bookmarkStart w:name="_bookmark9" w:id="147"/>
      <w:bookmarkEnd w:id="147"/>
      <w:r>
        <w:rPr>
          <w:b w:val="0"/>
          <w:bCs w:val="0"/>
        </w:rPr>
      </w:r>
      <w:r>
        <w:rPr/>
        <w:t>第十一节公司债券相关情况</w:t>
      </w:r>
      <w:r>
        <w:rPr>
          <w:b w:val="0"/>
          <w:bCs w:val="0"/>
        </w:rPr>
      </w:r>
    </w:p>
    <w:p>
      <w:pPr>
        <w:pStyle w:val="BodyText"/>
        <w:spacing w:line="316" w:lineRule="auto" w:before="224"/>
        <w:ind w:right="2114"/>
        <w:jc w:val="left"/>
      </w:pPr>
      <w:r>
        <w:rPr/>
        <w:t>公司是否存在公开发行并在证券交易所上市，且在年度报告批准报出日未到期或到期未能全额兑付的公司债券 否</w:t>
      </w:r>
    </w:p>
    <w:p>
      <w:pPr>
        <w:spacing w:after="0" w:line="316" w:lineRule="auto"/>
        <w:jc w:val="left"/>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984"/>
        <w:jc w:val="center"/>
        <w:rPr>
          <w:b w:val="0"/>
          <w:bCs w:val="0"/>
        </w:rPr>
      </w:pPr>
      <w:bookmarkStart w:name="第十二节财务报告" w:id="148"/>
      <w:bookmarkEnd w:id="148"/>
      <w:r>
        <w:rPr>
          <w:b w:val="0"/>
          <w:bCs w:val="0"/>
        </w:rPr>
      </w:r>
      <w:bookmarkStart w:name="_bookmark10" w:id="149"/>
      <w:bookmarkEnd w:id="149"/>
      <w:r>
        <w:rPr>
          <w:b w:val="0"/>
          <w:bCs w:val="0"/>
        </w:rPr>
      </w:r>
      <w:r>
        <w:rPr/>
        <w:t>第十二节财务报告</w:t>
      </w:r>
      <w:r>
        <w:rPr>
          <w:b w:val="0"/>
          <w:bCs w:val="0"/>
        </w:rPr>
      </w:r>
    </w:p>
    <w:p>
      <w:pPr>
        <w:spacing w:line="240" w:lineRule="auto" w:before="9"/>
        <w:rPr>
          <w:rFonts w:ascii="宋体" w:hAnsi="宋体" w:cs="宋体" w:eastAsia="宋体" w:hint="default"/>
          <w:b/>
          <w:bCs/>
          <w:sz w:val="11"/>
          <w:szCs w:val="11"/>
        </w:rPr>
      </w:pPr>
    </w:p>
    <w:p>
      <w:pPr>
        <w:pStyle w:val="Heading2"/>
        <w:spacing w:line="240" w:lineRule="auto" w:before="26"/>
        <w:ind w:right="1116"/>
        <w:jc w:val="left"/>
        <w:rPr>
          <w:b w:val="0"/>
          <w:bCs w:val="0"/>
        </w:rPr>
      </w:pPr>
      <w:bookmarkStart w:name="一、审计报告" w:id="150"/>
      <w:bookmarkEnd w:id="150"/>
      <w:r>
        <w:rPr>
          <w:b w:val="0"/>
          <w:bCs w:val="0"/>
        </w:rPr>
      </w:r>
      <w:r>
        <w:rPr/>
        <w:t>一、审计报告</w:t>
      </w:r>
      <w:r>
        <w:rPr>
          <w:b w:val="0"/>
          <w:bCs w:val="0"/>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ZI10046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宣宜辰、徐冬冬</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0" w:top="1080" w:bottom="1160" w:left="980" w:right="0"/>
        </w:sectPr>
      </w:pPr>
    </w:p>
    <w:p>
      <w:pPr>
        <w:pStyle w:val="Heading3"/>
        <w:spacing w:line="240" w:lineRule="auto" w:before="36"/>
        <w:ind w:left="0" w:right="0"/>
        <w:jc w:val="right"/>
        <w:rPr>
          <w:b w:val="0"/>
          <w:bCs w:val="0"/>
        </w:rPr>
      </w:pPr>
      <w:r>
        <w:rPr/>
        <w:t>审计报告正文</w:t>
      </w:r>
      <w:r>
        <w:rPr>
          <w:b w:val="0"/>
          <w:bCs w:val="0"/>
        </w:rPr>
      </w:r>
    </w:p>
    <w:p>
      <w:pPr>
        <w:spacing w:line="240" w:lineRule="auto" w:before="3"/>
        <w:rPr>
          <w:rFonts w:ascii="宋体" w:hAnsi="宋体" w:cs="宋体" w:eastAsia="宋体" w:hint="default"/>
          <w:b/>
          <w:bCs/>
          <w:sz w:val="25"/>
          <w:szCs w:val="25"/>
        </w:rPr>
      </w:pPr>
      <w:r>
        <w:rPr/>
        <w:br w:type="column"/>
      </w:r>
      <w:r>
        <w:rPr>
          <w:rFonts w:ascii="宋体"/>
          <w:b/>
          <w:sz w:val="25"/>
        </w:rPr>
      </w:r>
    </w:p>
    <w:p>
      <w:pPr>
        <w:pStyle w:val="BodyText"/>
        <w:spacing w:line="240" w:lineRule="auto"/>
        <w:ind w:left="1695" w:right="0"/>
        <w:jc w:val="left"/>
      </w:pPr>
      <w:r>
        <w:rPr/>
        <w:t>信会师报字</w:t>
      </w:r>
      <w:r>
        <w:rPr>
          <w:rFonts w:ascii="Times New Roman" w:hAnsi="Times New Roman" w:cs="Times New Roman" w:eastAsia="Times New Roman" w:hint="default"/>
        </w:rPr>
        <w:t>[2020]</w:t>
      </w:r>
      <w:r>
        <w:rPr/>
        <w:t>第</w:t>
      </w:r>
      <w:r>
        <w:rPr>
          <w:spacing w:val="-48"/>
        </w:rPr>
        <w:t> </w:t>
      </w:r>
      <w:r>
        <w:rPr>
          <w:rFonts w:ascii="Times New Roman" w:hAnsi="Times New Roman" w:cs="Times New Roman" w:eastAsia="Times New Roman" w:hint="default"/>
        </w:rPr>
        <w:t>ZI10046</w:t>
      </w:r>
      <w:r>
        <w:rPr>
          <w:rFonts w:ascii="Times New Roman" w:hAnsi="Times New Roman" w:cs="Times New Roman" w:eastAsia="Times New Roman" w:hint="default"/>
          <w:spacing w:val="-1"/>
        </w:rPr>
        <w:t> </w:t>
      </w:r>
      <w:r>
        <w:rPr/>
        <w:t>号</w:t>
      </w:r>
    </w:p>
    <w:p>
      <w:pPr>
        <w:spacing w:after="0" w:line="240" w:lineRule="auto"/>
        <w:jc w:val="left"/>
        <w:sectPr>
          <w:type w:val="continuous"/>
          <w:pgSz w:w="11910" w:h="16840"/>
          <w:pgMar w:top="1060" w:bottom="1160" w:left="980" w:right="0"/>
          <w:cols w:num="2" w:equalWidth="0">
            <w:col w:w="5607" w:space="40"/>
            <w:col w:w="5283"/>
          </w:cols>
        </w:sectPr>
      </w:pPr>
    </w:p>
    <w:p>
      <w:pPr>
        <w:spacing w:line="240" w:lineRule="auto" w:before="4"/>
        <w:rPr>
          <w:rFonts w:ascii="宋体" w:hAnsi="宋体" w:cs="宋体" w:eastAsia="宋体" w:hint="default"/>
          <w:sz w:val="20"/>
          <w:szCs w:val="20"/>
        </w:rPr>
      </w:pPr>
    </w:p>
    <w:p>
      <w:pPr>
        <w:pStyle w:val="Heading3"/>
        <w:tabs>
          <w:tab w:pos="1413" w:val="left" w:leader="none"/>
        </w:tabs>
        <w:spacing w:line="448" w:lineRule="auto" w:before="36"/>
        <w:ind w:left="719" w:right="6132" w:hanging="567"/>
        <w:jc w:val="left"/>
        <w:rPr>
          <w:b w:val="0"/>
          <w:bCs w:val="0"/>
        </w:rPr>
      </w:pPr>
      <w:r>
        <w:rPr>
          <w:spacing w:val="-1"/>
        </w:rPr>
        <w:t>深圳市今天国际物流技术股份有限公司全体股东：</w:t>
      </w:r>
      <w:r>
        <w:rPr>
          <w:spacing w:val="-85"/>
        </w:rPr>
        <w:t> </w:t>
      </w:r>
      <w:r>
        <w:rPr>
          <w:spacing w:val="-85"/>
        </w:rPr>
      </w:r>
      <w:r>
        <w:rPr/>
        <w:t>一、</w:t>
        <w:tab/>
        <w:t>审计意见</w:t>
      </w:r>
      <w:r>
        <w:rPr>
          <w:b w:val="0"/>
          <w:bCs w:val="0"/>
        </w:rPr>
      </w:r>
    </w:p>
    <w:p>
      <w:pPr>
        <w:pStyle w:val="Heading4"/>
        <w:spacing w:line="241" w:lineRule="exact" w:before="0"/>
        <w:ind w:left="719" w:right="0"/>
        <w:jc w:val="left"/>
      </w:pPr>
      <w:r>
        <w:rPr/>
        <w:t>我们审计了深圳市今天国际物流技术股份有限公司（以下简称今天国际）财务报表，包括 </w:t>
      </w:r>
      <w:r>
        <w:rPr>
          <w:rFonts w:ascii="Times New Roman" w:hAnsi="Times New Roman" w:cs="Times New Roman" w:eastAsia="Times New Roman" w:hint="default"/>
        </w:rPr>
        <w:t>2019 </w:t>
      </w:r>
      <w:r>
        <w:rPr>
          <w:rFonts w:ascii="Times New Roman" w:hAnsi="Times New Roman" w:cs="Times New Roman" w:eastAsia="Times New Roman" w:hint="default"/>
          <w:spacing w:val="40"/>
        </w:rPr>
        <w:t> </w:t>
      </w:r>
      <w:r>
        <w:rPr/>
        <w:t>年</w:t>
      </w:r>
    </w:p>
    <w:p>
      <w:pPr>
        <w:pStyle w:val="Heading4"/>
        <w:spacing w:line="336" w:lineRule="auto" w:before="119"/>
        <w:ind w:right="1116"/>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年度的合并及母公司利润表、合并及母公司现金流量表、合</w:t>
      </w:r>
      <w:r>
        <w:rPr>
          <w:w w:val="100"/>
        </w:rPr>
        <w:t> </w:t>
      </w:r>
      <w:r>
        <w:rPr/>
        <w:t>并及母公司所有者权益变动表以及相关财务报表附注。</w:t>
      </w:r>
    </w:p>
    <w:p>
      <w:pPr>
        <w:pStyle w:val="Heading4"/>
        <w:spacing w:line="240" w:lineRule="auto" w:before="49"/>
        <w:ind w:left="719" w:right="0"/>
        <w:jc w:val="left"/>
        <w:rPr>
          <w:rFonts w:ascii="Times New Roman" w:hAnsi="Times New Roman" w:cs="Times New Roman" w:eastAsia="Times New Roman" w:hint="default"/>
        </w:rPr>
      </w:pPr>
      <w:r>
        <w:rPr>
          <w:w w:val="100"/>
        </w:rPr>
        <w:t>我们</w:t>
      </w:r>
      <w:r>
        <w:rPr>
          <w:spacing w:val="-3"/>
          <w:w w:val="100"/>
        </w:rPr>
        <w:t>认</w:t>
      </w:r>
      <w:r>
        <w:rPr>
          <w:w w:val="100"/>
        </w:rPr>
        <w:t>为</w:t>
      </w:r>
      <w:r>
        <w:rPr>
          <w:spacing w:val="-108"/>
          <w:w w:val="100"/>
        </w:rPr>
        <w:t>，</w:t>
      </w:r>
      <w:r>
        <w:rPr>
          <w:w w:val="100"/>
        </w:rPr>
        <w:t>后</w:t>
      </w:r>
      <w:r>
        <w:rPr>
          <w:spacing w:val="-3"/>
          <w:w w:val="100"/>
        </w:rPr>
        <w:t>附</w:t>
      </w:r>
      <w:r>
        <w:rPr>
          <w:w w:val="100"/>
        </w:rPr>
        <w:t>的</w:t>
      </w:r>
      <w:r>
        <w:rPr>
          <w:spacing w:val="-3"/>
          <w:w w:val="100"/>
        </w:rPr>
        <w:t>财</w:t>
      </w:r>
      <w:r>
        <w:rPr>
          <w:w w:val="100"/>
        </w:rPr>
        <w:t>务</w:t>
      </w:r>
      <w:r>
        <w:rPr>
          <w:spacing w:val="-3"/>
          <w:w w:val="100"/>
        </w:rPr>
        <w:t>报表</w:t>
      </w:r>
      <w:r>
        <w:rPr>
          <w:w w:val="100"/>
        </w:rPr>
        <w:t>在所</w:t>
      </w:r>
      <w:r>
        <w:rPr>
          <w:spacing w:val="-3"/>
          <w:w w:val="100"/>
        </w:rPr>
        <w:t>有</w:t>
      </w:r>
      <w:r>
        <w:rPr>
          <w:w w:val="100"/>
        </w:rPr>
        <w:t>重</w:t>
      </w:r>
      <w:r>
        <w:rPr>
          <w:spacing w:val="-3"/>
          <w:w w:val="100"/>
        </w:rPr>
        <w:t>大</w:t>
      </w:r>
      <w:r>
        <w:rPr>
          <w:w w:val="100"/>
        </w:rPr>
        <w:t>方</w:t>
      </w:r>
      <w:r>
        <w:rPr>
          <w:spacing w:val="-3"/>
          <w:w w:val="100"/>
        </w:rPr>
        <w:t>面</w:t>
      </w:r>
      <w:r>
        <w:rPr>
          <w:w w:val="100"/>
        </w:rPr>
        <w:t>按</w:t>
      </w:r>
      <w:r>
        <w:rPr>
          <w:spacing w:val="-3"/>
          <w:w w:val="100"/>
        </w:rPr>
        <w:t>照</w:t>
      </w:r>
      <w:r>
        <w:rPr>
          <w:w w:val="100"/>
        </w:rPr>
        <w:t>企</w:t>
      </w:r>
      <w:r>
        <w:rPr>
          <w:spacing w:val="-3"/>
          <w:w w:val="100"/>
        </w:rPr>
        <w:t>业</w:t>
      </w:r>
      <w:r>
        <w:rPr>
          <w:w w:val="100"/>
        </w:rPr>
        <w:t>会计</w:t>
      </w:r>
      <w:r>
        <w:rPr>
          <w:spacing w:val="-3"/>
          <w:w w:val="100"/>
        </w:rPr>
        <w:t>准</w:t>
      </w:r>
      <w:r>
        <w:rPr>
          <w:w w:val="100"/>
        </w:rPr>
        <w:t>则</w:t>
      </w:r>
      <w:r>
        <w:rPr>
          <w:spacing w:val="-3"/>
          <w:w w:val="100"/>
        </w:rPr>
        <w:t>的</w:t>
      </w:r>
      <w:r>
        <w:rPr>
          <w:w w:val="100"/>
        </w:rPr>
        <w:t>规</w:t>
      </w:r>
      <w:r>
        <w:rPr>
          <w:spacing w:val="-3"/>
          <w:w w:val="100"/>
        </w:rPr>
        <w:t>定</w:t>
      </w:r>
      <w:r>
        <w:rPr>
          <w:w w:val="100"/>
        </w:rPr>
        <w:t>编</w:t>
      </w:r>
      <w:r>
        <w:rPr>
          <w:spacing w:val="-3"/>
          <w:w w:val="100"/>
        </w:rPr>
        <w:t>制</w:t>
      </w:r>
      <w:r>
        <w:rPr>
          <w:spacing w:val="-106"/>
          <w:w w:val="100"/>
        </w:rPr>
        <w:t>，</w:t>
      </w:r>
      <w:r>
        <w:rPr>
          <w:spacing w:val="-3"/>
          <w:w w:val="100"/>
        </w:rPr>
        <w:t>公允</w:t>
      </w:r>
      <w:r>
        <w:rPr>
          <w:w w:val="100"/>
        </w:rPr>
        <w:t>反映</w:t>
      </w:r>
      <w:r>
        <w:rPr>
          <w:spacing w:val="-3"/>
          <w:w w:val="100"/>
        </w:rPr>
        <w:t>了</w:t>
      </w:r>
      <w:r>
        <w:rPr>
          <w:w w:val="100"/>
        </w:rPr>
        <w:t>今</w:t>
      </w:r>
      <w:r>
        <w:rPr>
          <w:spacing w:val="-3"/>
          <w:w w:val="100"/>
        </w:rPr>
        <w:t>天</w:t>
      </w:r>
      <w:r>
        <w:rPr>
          <w:w w:val="100"/>
        </w:rPr>
        <w:t>国际</w:t>
      </w:r>
      <w:r>
        <w:rPr>
          <w:spacing w:val="-67"/>
        </w:rPr>
        <w:t> </w:t>
      </w:r>
      <w:r>
        <w:rPr>
          <w:rFonts w:ascii="Times New Roman" w:hAnsi="Times New Roman" w:cs="Times New Roman" w:eastAsia="Times New Roman" w:hint="default"/>
          <w:w w:val="100"/>
        </w:rPr>
        <w:t>2019</w:t>
      </w:r>
    </w:p>
    <w:p>
      <w:pPr>
        <w:pStyle w:val="Heading4"/>
        <w:tabs>
          <w:tab w:pos="1413" w:val="left" w:leader="none"/>
        </w:tabs>
        <w:spacing w:line="336" w:lineRule="auto" w:before="117"/>
        <w:ind w:left="719" w:right="2259" w:hanging="567"/>
        <w:jc w:val="left"/>
        <w:rPr>
          <w:rFonts w:ascii="宋体" w:hAnsi="宋体" w:cs="宋体" w:eastAsia="宋体" w:hint="default"/>
        </w:rPr>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年度的合并及母公司经营成果和现金流量。</w:t>
      </w:r>
      <w:r>
        <w:rPr>
          <w:w w:val="100"/>
        </w:rPr>
        <w:t> </w:t>
      </w:r>
      <w:r>
        <w:rPr>
          <w:rFonts w:ascii="宋体" w:hAnsi="宋体" w:cs="宋体" w:eastAsia="宋体" w:hint="default"/>
          <w:b/>
          <w:bCs/>
        </w:rPr>
        <w:t>二、</w:t>
        <w:tab/>
        <w:t>形成审计意见的基础</w:t>
      </w:r>
      <w:r>
        <w:rPr>
          <w:rFonts w:ascii="宋体" w:hAnsi="宋体" w:cs="宋体" w:eastAsia="宋体" w:hint="default"/>
        </w:rPr>
      </w:r>
    </w:p>
    <w:p>
      <w:pPr>
        <w:pStyle w:val="Heading4"/>
        <w:spacing w:line="357" w:lineRule="auto" w:before="51"/>
        <w:ind w:right="1126" w:firstLine="566"/>
        <w:jc w:val="both"/>
      </w:pPr>
      <w:r>
        <w:rPr/>
        <w:t>我们按照中国注册会计师审计准则的规定执行了审计工作。审计报告的“注册会计师对财务报表审</w:t>
      </w:r>
      <w:r>
        <w:rPr>
          <w:w w:val="100"/>
        </w:rPr>
        <w:t> </w:t>
      </w:r>
      <w:r>
        <w:rPr>
          <w:spacing w:val="-2"/>
        </w:rPr>
        <w:t>计的责任”部分进一步阐述了我们在这些准则下的责任。按照中国注册会计师职业道德守则，我们独立于</w:t>
      </w:r>
      <w:r>
        <w:rPr>
          <w:spacing w:val="-45"/>
        </w:rPr>
        <w:t> </w:t>
      </w:r>
      <w:r>
        <w:rPr>
          <w:spacing w:val="-45"/>
        </w:rPr>
      </w:r>
      <w:r>
        <w:rPr>
          <w:spacing w:val="-2"/>
        </w:rPr>
        <w:t>今天国际，并履行了职业道德方面的其他责任。我们相信，我们获取的审计证据是充分、适当的，为发表</w:t>
      </w:r>
      <w:r>
        <w:rPr>
          <w:spacing w:val="-43"/>
        </w:rPr>
        <w:t> </w:t>
      </w:r>
      <w:r>
        <w:rPr>
          <w:spacing w:val="-43"/>
        </w:rPr>
      </w:r>
      <w:r>
        <w:rPr/>
        <w:t>审计意见提供了基础。</w:t>
      </w:r>
    </w:p>
    <w:p>
      <w:pPr>
        <w:pStyle w:val="Heading4"/>
        <w:tabs>
          <w:tab w:pos="1413" w:val="left" w:leader="none"/>
        </w:tabs>
        <w:spacing w:line="357" w:lineRule="auto"/>
        <w:ind w:left="719" w:right="1149"/>
        <w:jc w:val="left"/>
      </w:pPr>
      <w:r>
        <w:rPr>
          <w:rFonts w:ascii="宋体" w:hAnsi="宋体" w:cs="宋体" w:eastAsia="宋体" w:hint="default"/>
          <w:b/>
          <w:bCs/>
        </w:rPr>
        <w:t>三、</w:t>
        <w:tab/>
        <w:t>关键审计事项</w:t>
      </w:r>
      <w:r>
        <w:rPr>
          <w:rFonts w:ascii="宋体" w:hAnsi="宋体" w:cs="宋体" w:eastAsia="宋体" w:hint="default"/>
          <w:b/>
          <w:bCs/>
          <w:spacing w:val="-104"/>
        </w:rPr>
        <w:t> </w:t>
      </w:r>
      <w:r>
        <w:rPr>
          <w:rFonts w:ascii="宋体" w:hAnsi="宋体" w:cs="宋体" w:eastAsia="宋体" w:hint="default"/>
          <w:b/>
          <w:bCs/>
          <w:spacing w:val="-104"/>
        </w:rPr>
      </w:r>
      <w:r>
        <w:rPr>
          <w:spacing w:val="-1"/>
        </w:rPr>
        <w:t>关键审计事项是我们根据职业判断，认为对本期财务报表审计最为重要的事项。这些事项的应对以</w:t>
      </w:r>
    </w:p>
    <w:p>
      <w:pPr>
        <w:pStyle w:val="Heading4"/>
        <w:spacing w:line="355" w:lineRule="auto"/>
        <w:ind w:right="1116"/>
        <w:jc w:val="left"/>
      </w:pP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p>
      <w:pPr>
        <w:spacing w:line="240" w:lineRule="auto" w:before="1"/>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3687"/>
        <w:gridCol w:w="4959"/>
      </w:tblGrid>
      <w:tr>
        <w:trPr>
          <w:trHeight w:val="37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03"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370" w:hRule="exact"/>
        </w:trPr>
        <w:tc>
          <w:tcPr>
            <w:tcW w:w="8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（一）收入确认</w:t>
            </w:r>
          </w:p>
        </w:tc>
      </w:tr>
      <w:tr>
        <w:trPr>
          <w:trHeight w:val="253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事项描述：</w:t>
            </w:r>
          </w:p>
          <w:p>
            <w:pPr>
              <w:pStyle w:val="TableParagraph"/>
              <w:spacing w:line="360" w:lineRule="exact" w:before="46"/>
              <w:ind w:left="105" w:right="96" w:firstLine="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年度今天国际销售收入为 </w:t>
            </w:r>
            <w:r>
              <w:rPr>
                <w:rFonts w:ascii="Times New Roman" w:hAnsi="Times New Roman" w:cs="Times New Roman" w:eastAsia="Times New Roman" w:hint="default"/>
                <w:sz w:val="18"/>
                <w:szCs w:val="18"/>
              </w:rPr>
              <w:t>71,240.90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71.19%</w:t>
            </w:r>
            <w:r>
              <w:rPr>
                <w:rFonts w:ascii="宋体" w:hAnsi="宋体" w:cs="宋体" w:eastAsia="宋体" w:hint="default"/>
                <w:sz w:val="18"/>
                <w:szCs w:val="18"/>
              </w:rPr>
              <w:t>。 </w:t>
            </w:r>
            <w:r>
              <w:rPr>
                <w:rFonts w:ascii="宋体" w:hAnsi="宋体" w:cs="宋体" w:eastAsia="宋体" w:hint="default"/>
                <w:spacing w:val="12"/>
                <w:sz w:val="18"/>
                <w:szCs w:val="18"/>
              </w:rPr>
              <w:t>贵公司收入主要来源于工业生产型物流系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统，其收入的具体确认原则为系统已按合同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和技术协议的要求全部安装调试到位，并取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得了购货方的初验证明，该物流系统已交付</w:t>
            </w:r>
            <w:r>
              <w:rPr>
                <w:rFonts w:ascii="宋体" w:hAnsi="宋体" w:cs="宋体" w:eastAsia="宋体" w:hint="default"/>
                <w:sz w:val="18"/>
                <w:szCs w:val="18"/>
              </w:rPr>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我们针对收入确认执行的主要审计程序包括：</w:t>
            </w:r>
          </w:p>
          <w:p>
            <w:pPr>
              <w:pStyle w:val="TableParagraph"/>
              <w:spacing w:line="345" w:lineRule="auto" w:before="124"/>
              <w:ind w:left="103"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）评价与收入确认相关的关键内部控制的设计和运行有效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性；</w:t>
            </w:r>
          </w:p>
          <w:p>
            <w:pPr>
              <w:pStyle w:val="TableParagraph"/>
              <w:spacing w:line="357" w:lineRule="auto" w:before="45"/>
              <w:ind w:left="103"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）了解公司各类收入的具体确认条件、方法，以评价贵公 </w:t>
            </w:r>
            <w:r>
              <w:rPr>
                <w:rFonts w:ascii="宋体" w:hAnsi="宋体" w:cs="宋体" w:eastAsia="宋体" w:hint="default"/>
                <w:spacing w:val="-2"/>
                <w:sz w:val="18"/>
                <w:szCs w:val="18"/>
              </w:rPr>
              <w:t>司的收入确认政策是否符合企业会计准则，前后期是否一致；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关注周期性、偶然性的收入是否符合既定的收入确定原则、</w:t>
            </w:r>
            <w:r>
              <w:rPr>
                <w:rFonts w:ascii="宋体" w:hAnsi="宋体" w:cs="宋体" w:eastAsia="宋体" w:hint="default"/>
                <w:sz w:val="18"/>
                <w:szCs w:val="18"/>
              </w:rPr>
            </w:r>
          </w:p>
          <w:p>
            <w:pPr>
              <w:pStyle w:val="TableParagraph"/>
              <w:spacing w:line="240" w:lineRule="auto" w:before="36"/>
              <w:ind w:left="103" w:right="0"/>
              <w:jc w:val="left"/>
              <w:rPr>
                <w:rFonts w:ascii="宋体" w:hAnsi="宋体" w:cs="宋体" w:eastAsia="宋体" w:hint="default"/>
                <w:sz w:val="18"/>
                <w:szCs w:val="18"/>
              </w:rPr>
            </w:pPr>
            <w:r>
              <w:rPr>
                <w:rFonts w:ascii="宋体" w:hAnsi="宋体" w:cs="宋体" w:eastAsia="宋体" w:hint="default"/>
                <w:sz w:val="18"/>
                <w:szCs w:val="18"/>
              </w:rPr>
              <w:t>方法，评价收入确认的真实性、合规性；</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645" w:type="dxa"/>
        <w:tblLayout w:type="fixed"/>
        <w:tblCellMar>
          <w:top w:w="0" w:type="dxa"/>
          <w:left w:w="0" w:type="dxa"/>
          <w:bottom w:w="0" w:type="dxa"/>
          <w:right w:w="0" w:type="dxa"/>
        </w:tblCellMar>
        <w:tblLook w:val="01E0"/>
      </w:tblPr>
      <w:tblGrid>
        <w:gridCol w:w="3687"/>
        <w:gridCol w:w="4959"/>
      </w:tblGrid>
      <w:tr>
        <w:trPr>
          <w:trHeight w:val="37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03"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793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7"/>
              <w:ind w:left="105" w:right="97"/>
              <w:jc w:val="left"/>
              <w:rPr>
                <w:rFonts w:ascii="宋体" w:hAnsi="宋体" w:cs="宋体" w:eastAsia="宋体" w:hint="default"/>
                <w:sz w:val="18"/>
                <w:szCs w:val="18"/>
              </w:rPr>
            </w:pPr>
            <w:r>
              <w:rPr>
                <w:rFonts w:ascii="宋体" w:hAnsi="宋体" w:cs="宋体" w:eastAsia="宋体" w:hint="default"/>
                <w:sz w:val="18"/>
                <w:szCs w:val="18"/>
              </w:rPr>
              <w:t>购货方进入商业运行时，予以确认收入。 </w:t>
            </w:r>
            <w:r>
              <w:rPr>
                <w:rFonts w:ascii="宋体" w:hAnsi="宋体" w:cs="宋体" w:eastAsia="宋体" w:hint="default"/>
                <w:spacing w:val="2"/>
                <w:sz w:val="18"/>
                <w:szCs w:val="18"/>
              </w:rPr>
              <w:t>由于工业生产型物流系统的初验证明以及系</w:t>
            </w:r>
            <w:r>
              <w:rPr>
                <w:rFonts w:ascii="宋体" w:hAnsi="宋体" w:cs="宋体" w:eastAsia="宋体" w:hint="default"/>
                <w:spacing w:val="2"/>
                <w:sz w:val="18"/>
                <w:szCs w:val="18"/>
              </w:rPr>
              <w:t> 统验收资料的取得需要与客户进行对接，其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取得时点因客户的人为或其他不可控因素具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有不可控制性。收入是今天国际的关键业绩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指标之一，对财务报表影响重大，从而存在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管理层为了达到特定目标或期望而操纵收入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确认时点的固有风险。因此，我们将收入确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认作为关键审计事项。</w:t>
            </w:r>
            <w:r>
              <w:rPr>
                <w:rFonts w:ascii="宋体" w:hAnsi="宋体" w:cs="宋体" w:eastAsia="宋体" w:hint="default"/>
                <w:sz w:val="18"/>
                <w:szCs w:val="18"/>
              </w:rPr>
              <w:t> </w:t>
            </w:r>
            <w:r>
              <w:rPr>
                <w:rFonts w:ascii="宋体" w:hAnsi="宋体" w:cs="宋体" w:eastAsia="宋体" w:hint="default"/>
                <w:spacing w:val="2"/>
                <w:sz w:val="18"/>
                <w:szCs w:val="18"/>
              </w:rPr>
              <w:t>关于收入确认的会计政策详见本报告第十二</w:t>
            </w:r>
            <w:r>
              <w:rPr>
                <w:rFonts w:ascii="宋体" w:hAnsi="宋体" w:cs="宋体" w:eastAsia="宋体" w:hint="default"/>
                <w:spacing w:val="2"/>
                <w:sz w:val="18"/>
                <w:szCs w:val="18"/>
              </w:rPr>
              <w:t> </w:t>
            </w:r>
            <w:r>
              <w:rPr>
                <w:rFonts w:ascii="宋体" w:hAnsi="宋体" w:cs="宋体" w:eastAsia="宋体" w:hint="default"/>
                <w:sz w:val="18"/>
                <w:szCs w:val="18"/>
              </w:rPr>
              <w:t>节财务报告附注五、</w:t>
            </w:r>
            <w:r>
              <w:rPr>
                <w:rFonts w:ascii="Times New Roman" w:hAnsi="Times New Roman" w:cs="Times New Roman" w:eastAsia="Times New Roman" w:hint="default"/>
                <w:sz w:val="18"/>
                <w:szCs w:val="18"/>
              </w:rPr>
              <w:t>23</w:t>
            </w:r>
            <w:r>
              <w:rPr>
                <w:rFonts w:ascii="宋体" w:hAnsi="宋体" w:cs="宋体" w:eastAsia="宋体" w:hint="default"/>
                <w:sz w:val="18"/>
                <w:szCs w:val="18"/>
              </w:rPr>
              <w:t>；关于营业收入披露</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见附注七、</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7"/>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）就本期确认收入的物流系统项目，抽取样本，检查销售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合同、项目实施关键节点证明资料、初验证明等可以证明该</w:t>
            </w:r>
            <w:r>
              <w:rPr>
                <w:rFonts w:ascii="宋体" w:hAnsi="宋体" w:cs="宋体" w:eastAsia="宋体" w:hint="default"/>
                <w:spacing w:val="2"/>
                <w:sz w:val="18"/>
                <w:szCs w:val="18"/>
              </w:rPr>
              <w:t> 物流系统已交付购货方进入商业运行的支持性文件，以评价 </w:t>
            </w:r>
            <w:r>
              <w:rPr>
                <w:rFonts w:ascii="宋体" w:hAnsi="宋体" w:cs="宋体" w:eastAsia="宋体" w:hint="default"/>
                <w:spacing w:val="8"/>
                <w:sz w:val="18"/>
                <w:szCs w:val="18"/>
              </w:rPr>
              <w:t>相关物流系统项目收入是否已按照公司的收入确认政策确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认；</w:t>
            </w:r>
          </w:p>
          <w:p>
            <w:pPr>
              <w:pStyle w:val="TableParagraph"/>
              <w:spacing w:line="360" w:lineRule="auto" w:before="32"/>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）就资产负债表日前后确认收入的项目，检查可以证明该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物流系统已交付购货方进入商业运行的支持性文件时，重点</w:t>
            </w:r>
            <w:r>
              <w:rPr>
                <w:rFonts w:ascii="宋体" w:hAnsi="宋体" w:cs="宋体" w:eastAsia="宋体" w:hint="default"/>
                <w:spacing w:val="2"/>
                <w:sz w:val="18"/>
                <w:szCs w:val="18"/>
              </w:rPr>
              <w:t> </w:t>
            </w:r>
            <w:r>
              <w:rPr>
                <w:rFonts w:ascii="宋体" w:hAnsi="宋体" w:cs="宋体" w:eastAsia="宋体" w:hint="default"/>
                <w:sz w:val="18"/>
                <w:szCs w:val="18"/>
              </w:rPr>
              <w:t>核对收入确认时间是否与取得系统项目验收证明时间相符，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以评价相关物流系统项目收入是否在恰当的期间确认；</w:t>
            </w:r>
          </w:p>
          <w:p>
            <w:pPr>
              <w:pStyle w:val="TableParagraph"/>
              <w:spacing w:line="360" w:lineRule="auto" w:before="35"/>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）查阅销售合同中与收款、验收相关的主要条款，通过项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目的实际工作进度与销售合同约定的收款节点进行对照分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析，检查是否有延期收款，分析未按合同约定节点收款的原</w:t>
            </w:r>
            <w:r>
              <w:rPr>
                <w:rFonts w:ascii="宋体" w:hAnsi="宋体" w:cs="宋体" w:eastAsia="宋体" w:hint="default"/>
                <w:spacing w:val="2"/>
                <w:sz w:val="18"/>
                <w:szCs w:val="18"/>
              </w:rPr>
              <w:t> </w:t>
            </w:r>
            <w:r>
              <w:rPr>
                <w:rFonts w:ascii="宋体" w:hAnsi="宋体" w:cs="宋体" w:eastAsia="宋体" w:hint="default"/>
                <w:sz w:val="18"/>
                <w:szCs w:val="18"/>
              </w:rPr>
              <w:t>因，判断其相关收入确认的合理性和真实性；</w:t>
            </w:r>
          </w:p>
          <w:p>
            <w:pPr>
              <w:pStyle w:val="TableParagraph"/>
              <w:spacing w:line="362" w:lineRule="auto" w:before="34"/>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）抽取对本期收入影响较大的物流系统项目，执行现场查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验程序，现场观察该物流系统的所有设备是否均安装调试完</w:t>
            </w:r>
            <w:r>
              <w:rPr>
                <w:rFonts w:ascii="宋体" w:hAnsi="宋体" w:cs="宋体" w:eastAsia="宋体" w:hint="default"/>
                <w:spacing w:val="2"/>
                <w:sz w:val="18"/>
                <w:szCs w:val="18"/>
              </w:rPr>
              <w:t> 毕，并已整体交付给客户由其投入试运行，并现场访谈甲方 主要负责人确认项目进展及项目试运行和初验情况，确认其 是否已初验完成并进入商业运行，判断其是否符合收入确认</w:t>
            </w:r>
            <w:r>
              <w:rPr>
                <w:rFonts w:ascii="宋体" w:hAnsi="宋体" w:cs="宋体" w:eastAsia="宋体" w:hint="default"/>
                <w:sz w:val="18"/>
                <w:szCs w:val="18"/>
              </w:rPr>
              <w:t> 条件；</w:t>
            </w:r>
          </w:p>
          <w:p>
            <w:pPr>
              <w:pStyle w:val="TableParagraph"/>
              <w:spacing w:line="345" w:lineRule="auto" w:before="33"/>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）对未执行现场查验的物流系统项目执行函证程序，函证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客户的合同金额、累计付款金额、项目保证金金额、初验及</w:t>
            </w:r>
            <w:r>
              <w:rPr>
                <w:rFonts w:ascii="宋体" w:hAnsi="宋体" w:cs="宋体" w:eastAsia="宋体" w:hint="default"/>
                <w:sz w:val="18"/>
                <w:szCs w:val="18"/>
              </w:rPr>
            </w:r>
          </w:p>
          <w:p>
            <w:pPr>
              <w:pStyle w:val="TableParagraph"/>
              <w:spacing w:line="240" w:lineRule="auto" w:before="45"/>
              <w:ind w:left="103" w:right="0"/>
              <w:jc w:val="both"/>
              <w:rPr>
                <w:rFonts w:ascii="宋体" w:hAnsi="宋体" w:cs="宋体" w:eastAsia="宋体" w:hint="default"/>
                <w:sz w:val="18"/>
                <w:szCs w:val="18"/>
              </w:rPr>
            </w:pPr>
            <w:r>
              <w:rPr>
                <w:rFonts w:ascii="宋体" w:hAnsi="宋体" w:cs="宋体" w:eastAsia="宋体" w:hint="default"/>
                <w:sz w:val="18"/>
                <w:szCs w:val="18"/>
              </w:rPr>
              <w:t>终验情况。</w:t>
            </w:r>
          </w:p>
        </w:tc>
      </w:tr>
      <w:tr>
        <w:trPr>
          <w:trHeight w:val="372" w:hRule="exact"/>
        </w:trPr>
        <w:tc>
          <w:tcPr>
            <w:tcW w:w="8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5" w:right="0"/>
              <w:jc w:val="left"/>
              <w:rPr>
                <w:rFonts w:ascii="宋体" w:hAnsi="宋体" w:cs="宋体" w:eastAsia="宋体" w:hint="default"/>
                <w:sz w:val="18"/>
                <w:szCs w:val="18"/>
              </w:rPr>
            </w:pPr>
            <w:r>
              <w:rPr>
                <w:rFonts w:ascii="宋体" w:hAnsi="宋体" w:cs="宋体" w:eastAsia="宋体" w:hint="default"/>
                <w:sz w:val="18"/>
                <w:szCs w:val="18"/>
              </w:rPr>
              <w:t>（二）应收账款的可收回性及减值</w:t>
            </w:r>
          </w:p>
        </w:tc>
      </w:tr>
      <w:tr>
        <w:trPr>
          <w:trHeight w:val="50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both"/>
              <w:rPr>
                <w:rFonts w:ascii="宋体" w:hAnsi="宋体" w:cs="宋体" w:eastAsia="宋体" w:hint="default"/>
                <w:sz w:val="18"/>
                <w:szCs w:val="18"/>
              </w:rPr>
            </w:pPr>
            <w:r>
              <w:rPr>
                <w:rFonts w:ascii="宋体" w:hAnsi="宋体" w:cs="宋体" w:eastAsia="宋体" w:hint="default"/>
                <w:sz w:val="18"/>
                <w:szCs w:val="18"/>
              </w:rPr>
              <w:t>事项描述：</w:t>
            </w:r>
          </w:p>
          <w:p>
            <w:pPr>
              <w:pStyle w:val="TableParagraph"/>
              <w:spacing w:line="240" w:lineRule="auto" w:before="124"/>
              <w:ind w:left="110"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日，今天国际应收账款</w:t>
            </w:r>
          </w:p>
          <w:p>
            <w:pPr>
              <w:pStyle w:val="TableParagraph"/>
              <w:spacing w:line="345" w:lineRule="auto" w:before="111"/>
              <w:ind w:left="105" w:right="98"/>
              <w:jc w:val="both"/>
              <w:rPr>
                <w:rFonts w:ascii="宋体" w:hAnsi="宋体" w:cs="宋体" w:eastAsia="宋体" w:hint="default"/>
                <w:sz w:val="18"/>
                <w:szCs w:val="18"/>
              </w:rPr>
            </w:pPr>
            <w:r>
              <w:rPr>
                <w:rFonts w:ascii="宋体" w:hAnsi="宋体" w:cs="宋体" w:eastAsia="宋体" w:hint="default"/>
                <w:sz w:val="18"/>
                <w:szCs w:val="18"/>
              </w:rPr>
              <w:t>账面价值为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48,035.89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万元，占合并财务报表</w:t>
            </w:r>
            <w:r>
              <w:rPr>
                <w:rFonts w:ascii="宋体" w:hAnsi="宋体" w:cs="宋体" w:eastAsia="宋体" w:hint="default"/>
                <w:sz w:val="18"/>
                <w:szCs w:val="18"/>
              </w:rPr>
              <w:t> 资</w:t>
            </w:r>
            <w:r>
              <w:rPr>
                <w:rFonts w:ascii="宋体" w:hAnsi="宋体" w:cs="宋体" w:eastAsia="宋体" w:hint="default"/>
                <w:spacing w:val="-53"/>
                <w:sz w:val="18"/>
                <w:szCs w:val="18"/>
              </w:rPr>
              <w:t> </w:t>
            </w:r>
            <w:r>
              <w:rPr>
                <w:rFonts w:ascii="宋体" w:hAnsi="宋体" w:cs="宋体" w:eastAsia="宋体" w:hint="default"/>
                <w:sz w:val="18"/>
                <w:szCs w:val="18"/>
              </w:rPr>
              <w:t>产</w:t>
            </w:r>
            <w:r>
              <w:rPr>
                <w:rFonts w:ascii="宋体" w:hAnsi="宋体" w:cs="宋体" w:eastAsia="宋体" w:hint="default"/>
                <w:spacing w:val="-53"/>
                <w:sz w:val="18"/>
                <w:szCs w:val="18"/>
              </w:rPr>
              <w:t> </w:t>
            </w:r>
            <w:r>
              <w:rPr>
                <w:rFonts w:ascii="宋体" w:hAnsi="宋体" w:cs="宋体" w:eastAsia="宋体" w:hint="default"/>
                <w:sz w:val="18"/>
                <w:szCs w:val="18"/>
              </w:rPr>
              <w:t>总</w:t>
            </w:r>
            <w:r>
              <w:rPr>
                <w:rFonts w:ascii="宋体" w:hAnsi="宋体" w:cs="宋体" w:eastAsia="宋体" w:hint="default"/>
                <w:spacing w:val="-56"/>
                <w:sz w:val="18"/>
                <w:szCs w:val="18"/>
              </w:rPr>
              <w:t> </w:t>
            </w:r>
            <w:r>
              <w:rPr>
                <w:rFonts w:ascii="宋体" w:hAnsi="宋体" w:cs="宋体" w:eastAsia="宋体" w:hint="default"/>
                <w:sz w:val="18"/>
                <w:szCs w:val="18"/>
              </w:rPr>
              <w:t>额</w:t>
            </w:r>
            <w:r>
              <w:rPr>
                <w:rFonts w:ascii="宋体" w:hAnsi="宋体" w:cs="宋体" w:eastAsia="宋体" w:hint="default"/>
                <w:spacing w:val="-53"/>
                <w:sz w:val="18"/>
                <w:szCs w:val="18"/>
              </w:rPr>
              <w:t> </w:t>
            </w:r>
            <w:r>
              <w:rPr>
                <w:rFonts w:ascii="宋体" w:hAnsi="宋体" w:cs="宋体" w:eastAsia="宋体" w:hint="default"/>
                <w:sz w:val="18"/>
                <w:szCs w:val="18"/>
              </w:rPr>
              <w:t>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27.85%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其</w:t>
            </w:r>
            <w:r>
              <w:rPr>
                <w:rFonts w:ascii="宋体" w:hAnsi="宋体" w:cs="宋体" w:eastAsia="宋体" w:hint="default"/>
                <w:spacing w:val="-53"/>
                <w:sz w:val="18"/>
                <w:szCs w:val="18"/>
              </w:rPr>
              <w:t> </w:t>
            </w:r>
            <w:r>
              <w:rPr>
                <w:rFonts w:ascii="宋体" w:hAnsi="宋体" w:cs="宋体" w:eastAsia="宋体" w:hint="default"/>
                <w:sz w:val="18"/>
                <w:szCs w:val="18"/>
              </w:rPr>
              <w:t>中</w:t>
            </w:r>
            <w:r>
              <w:rPr>
                <w:rFonts w:ascii="宋体" w:hAnsi="宋体" w:cs="宋体" w:eastAsia="宋体" w:hint="default"/>
                <w:spacing w:val="-56"/>
                <w:sz w:val="18"/>
                <w:szCs w:val="18"/>
              </w:rPr>
              <w:t> </w:t>
            </w:r>
            <w:r>
              <w:rPr>
                <w:rFonts w:ascii="宋体" w:hAnsi="宋体" w:cs="宋体" w:eastAsia="宋体" w:hint="default"/>
                <w:sz w:val="18"/>
                <w:szCs w:val="18"/>
              </w:rPr>
              <w:t>账</w:t>
            </w:r>
            <w:r>
              <w:rPr>
                <w:rFonts w:ascii="宋体" w:hAnsi="宋体" w:cs="宋体" w:eastAsia="宋体" w:hint="default"/>
                <w:spacing w:val="-53"/>
                <w:sz w:val="18"/>
                <w:szCs w:val="18"/>
              </w:rPr>
              <w:t> </w:t>
            </w:r>
            <w:r>
              <w:rPr>
                <w:rFonts w:ascii="宋体" w:hAnsi="宋体" w:cs="宋体" w:eastAsia="宋体" w:hint="default"/>
                <w:sz w:val="18"/>
                <w:szCs w:val="18"/>
              </w:rPr>
              <w:t>面</w:t>
            </w:r>
            <w:r>
              <w:rPr>
                <w:rFonts w:ascii="宋体" w:hAnsi="宋体" w:cs="宋体" w:eastAsia="宋体" w:hint="default"/>
                <w:spacing w:val="-53"/>
                <w:sz w:val="18"/>
                <w:szCs w:val="18"/>
              </w:rPr>
              <w:t> </w:t>
            </w:r>
            <w:r>
              <w:rPr>
                <w:rFonts w:ascii="宋体" w:hAnsi="宋体" w:cs="宋体" w:eastAsia="宋体" w:hint="default"/>
                <w:sz w:val="18"/>
                <w:szCs w:val="18"/>
              </w:rPr>
              <w:t>余</w:t>
            </w:r>
            <w:r>
              <w:rPr>
                <w:rFonts w:ascii="宋体" w:hAnsi="宋体" w:cs="宋体" w:eastAsia="宋体" w:hint="default"/>
                <w:spacing w:val="-56"/>
                <w:sz w:val="18"/>
                <w:szCs w:val="18"/>
              </w:rPr>
              <w:t> </w:t>
            </w:r>
            <w:r>
              <w:rPr>
                <w:rFonts w:ascii="宋体" w:hAnsi="宋体" w:cs="宋体" w:eastAsia="宋体" w:hint="default"/>
                <w:sz w:val="18"/>
                <w:szCs w:val="18"/>
              </w:rPr>
              <w:t>额</w:t>
            </w:r>
            <w:r>
              <w:rPr>
                <w:rFonts w:ascii="宋体" w:hAnsi="宋体" w:cs="宋体" w:eastAsia="宋体" w:hint="default"/>
                <w:spacing w:val="-53"/>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51,320.80 </w:t>
            </w:r>
            <w:r>
              <w:rPr>
                <w:rFonts w:ascii="宋体" w:hAnsi="宋体" w:cs="宋体" w:eastAsia="宋体" w:hint="default"/>
                <w:sz w:val="18"/>
                <w:szCs w:val="18"/>
              </w:rPr>
              <w:t>万元，坏账准备为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3,284.91 </w:t>
            </w:r>
            <w:r>
              <w:rPr>
                <w:rFonts w:ascii="宋体" w:hAnsi="宋体" w:cs="宋体" w:eastAsia="宋体" w:hint="default"/>
                <w:sz w:val="18"/>
                <w:szCs w:val="18"/>
              </w:rPr>
              <w:t>万元。</w:t>
            </w:r>
          </w:p>
          <w:p>
            <w:pPr>
              <w:pStyle w:val="TableParagraph"/>
              <w:spacing w:line="364" w:lineRule="auto" w:before="23"/>
              <w:ind w:left="105" w:right="97" w:firstLine="4"/>
              <w:jc w:val="both"/>
              <w:rPr>
                <w:rFonts w:ascii="宋体" w:hAnsi="宋体" w:cs="宋体" w:eastAsia="宋体" w:hint="default"/>
                <w:sz w:val="18"/>
                <w:szCs w:val="18"/>
              </w:rPr>
            </w:pPr>
            <w:r>
              <w:rPr>
                <w:rFonts w:ascii="宋体" w:hAnsi="宋体" w:cs="宋体" w:eastAsia="宋体" w:hint="default"/>
                <w:sz w:val="18"/>
                <w:szCs w:val="18"/>
              </w:rPr>
              <w:t>贵公司自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日起执行新金融工具 </w:t>
            </w:r>
            <w:r>
              <w:rPr>
                <w:rFonts w:ascii="宋体" w:hAnsi="宋体" w:cs="宋体" w:eastAsia="宋体" w:hint="default"/>
                <w:spacing w:val="2"/>
                <w:sz w:val="18"/>
                <w:szCs w:val="18"/>
              </w:rPr>
              <w:t>准则，贵公司管理层进行应收账款减值测试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时，需综合考虑有关过去事项、当前状况以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及未来经济状况预测的所有合理且有依据的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信息，包括前瞻性信息，以单项或组合的方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式对应收账款的预期信用损失进行估计。预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期信用损失的计量取决于金融资产自初始确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认后是否发生信用风险显著增加。</w:t>
            </w:r>
          </w:p>
          <w:p>
            <w:pPr>
              <w:pStyle w:val="TableParagraph"/>
              <w:spacing w:line="240" w:lineRule="auto" w:before="30"/>
              <w:ind w:left="110" w:right="0"/>
              <w:jc w:val="both"/>
              <w:rPr>
                <w:rFonts w:ascii="宋体" w:hAnsi="宋体" w:cs="宋体" w:eastAsia="宋体" w:hint="default"/>
                <w:sz w:val="18"/>
                <w:szCs w:val="18"/>
              </w:rPr>
            </w:pPr>
            <w:r>
              <w:rPr>
                <w:rFonts w:ascii="宋体" w:hAnsi="宋体" w:cs="宋体" w:eastAsia="宋体" w:hint="default"/>
                <w:spacing w:val="2"/>
                <w:sz w:val="18"/>
                <w:szCs w:val="18"/>
              </w:rPr>
              <w:t>由于应收款项金额重大，若应收账款不能按</w:t>
            </w:r>
            <w:r>
              <w:rPr>
                <w:rFonts w:ascii="宋体" w:hAnsi="宋体" w:cs="宋体" w:eastAsia="宋体" w:hint="default"/>
                <w:sz w:val="18"/>
                <w:szCs w:val="18"/>
              </w:rPr>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7" w:right="0"/>
              <w:jc w:val="both"/>
              <w:rPr>
                <w:rFonts w:ascii="宋体" w:hAnsi="宋体" w:cs="宋体" w:eastAsia="宋体" w:hint="default"/>
                <w:sz w:val="18"/>
                <w:szCs w:val="18"/>
              </w:rPr>
            </w:pPr>
            <w:r>
              <w:rPr>
                <w:rFonts w:ascii="宋体" w:hAnsi="宋体" w:cs="宋体" w:eastAsia="宋体" w:hint="default"/>
                <w:sz w:val="18"/>
                <w:szCs w:val="18"/>
              </w:rPr>
              <w:t>我们对应收账款的可收回性及减值实施的相关程序包括：</w:t>
            </w:r>
          </w:p>
          <w:p>
            <w:pPr>
              <w:pStyle w:val="TableParagraph"/>
              <w:spacing w:line="345" w:lineRule="auto" w:before="124"/>
              <w:ind w:left="103" w:right="102" w:firstLine="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）评价与应收账款日常管理、信用期划分及可收回性评估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相关的关键内部控制的设计和运行有效性；</w:t>
            </w:r>
          </w:p>
          <w:p>
            <w:pPr>
              <w:pStyle w:val="TableParagraph"/>
              <w:spacing w:line="357" w:lineRule="auto" w:before="45"/>
              <w:ind w:left="103" w:right="100" w:firstLine="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）对于单项金额重大并单独计提坏账准备的应收账款，选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取样本复核管理层对预计未来可获得的现金流量做出评估的</w:t>
            </w:r>
            <w:r>
              <w:rPr>
                <w:rFonts w:ascii="宋体" w:hAnsi="宋体" w:cs="宋体" w:eastAsia="宋体" w:hint="default"/>
                <w:spacing w:val="2"/>
                <w:sz w:val="18"/>
                <w:szCs w:val="18"/>
              </w:rPr>
              <w:t> </w:t>
            </w:r>
            <w:r>
              <w:rPr>
                <w:rFonts w:ascii="宋体" w:hAnsi="宋体" w:cs="宋体" w:eastAsia="宋体" w:hint="default"/>
                <w:sz w:val="18"/>
                <w:szCs w:val="18"/>
              </w:rPr>
              <w:t>依据；</w:t>
            </w:r>
          </w:p>
          <w:p>
            <w:pPr>
              <w:pStyle w:val="TableParagraph"/>
              <w:spacing w:line="360" w:lineRule="auto" w:before="37"/>
              <w:ind w:left="103" w:right="100" w:firstLine="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）对于管理层按照信用风险特征组合计提坏账准备的应收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账款，通过分析不同组合客户群体的历史发生坏账损失的情</w:t>
            </w:r>
            <w:r>
              <w:rPr>
                <w:rFonts w:ascii="宋体" w:hAnsi="宋体" w:cs="宋体" w:eastAsia="宋体" w:hint="default"/>
                <w:spacing w:val="2"/>
                <w:sz w:val="18"/>
                <w:szCs w:val="18"/>
              </w:rPr>
              <w:t> 况是否存在显著差异，评估管理层将应收款项组合划分的合 </w:t>
            </w:r>
            <w:r>
              <w:rPr>
                <w:rFonts w:ascii="宋体" w:hAnsi="宋体" w:cs="宋体" w:eastAsia="宋体" w:hint="default"/>
                <w:sz w:val="18"/>
                <w:szCs w:val="18"/>
              </w:rPr>
              <w:t>理性；</w:t>
            </w:r>
          </w:p>
          <w:p>
            <w:pPr>
              <w:pStyle w:val="TableParagraph"/>
              <w:spacing w:line="357" w:lineRule="auto" w:before="34"/>
              <w:ind w:left="103" w:right="13" w:firstLine="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）对于按照整个存续期预期信用损失计量减值准备的应收 </w:t>
            </w:r>
            <w:r>
              <w:rPr>
                <w:rFonts w:ascii="宋体" w:hAnsi="宋体" w:cs="宋体" w:eastAsia="宋体" w:hint="default"/>
                <w:spacing w:val="-2"/>
                <w:sz w:val="18"/>
                <w:szCs w:val="18"/>
              </w:rPr>
              <w:t>账款，结合应收款项的信用期、历史款项的回款及损失信息，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评估应收账款的信用期划分及基于前瞻性信息调整的预期违</w:t>
            </w:r>
            <w:r>
              <w:rPr>
                <w:rFonts w:ascii="宋体" w:hAnsi="宋体" w:cs="宋体" w:eastAsia="宋体" w:hint="default"/>
                <w:sz w:val="18"/>
                <w:szCs w:val="18"/>
              </w:rPr>
            </w:r>
          </w:p>
          <w:p>
            <w:pPr>
              <w:pStyle w:val="TableParagraph"/>
              <w:spacing w:line="240" w:lineRule="auto" w:before="36"/>
              <w:ind w:left="103" w:right="0"/>
              <w:jc w:val="both"/>
              <w:rPr>
                <w:rFonts w:ascii="宋体" w:hAnsi="宋体" w:cs="宋体" w:eastAsia="宋体" w:hint="default"/>
                <w:sz w:val="18"/>
                <w:szCs w:val="18"/>
              </w:rPr>
            </w:pPr>
            <w:r>
              <w:rPr>
                <w:rFonts w:ascii="宋体" w:hAnsi="宋体" w:cs="宋体" w:eastAsia="宋体" w:hint="default"/>
                <w:spacing w:val="2"/>
                <w:sz w:val="18"/>
                <w:szCs w:val="18"/>
              </w:rPr>
              <w:t>约损失率是否适当，并复核应收账款按信用期划分的账龄及</w:t>
            </w:r>
            <w:r>
              <w:rPr>
                <w:rFonts w:ascii="宋体" w:hAnsi="宋体" w:cs="宋体" w:eastAsia="宋体" w:hint="default"/>
                <w:sz w:val="18"/>
                <w:szCs w:val="18"/>
              </w:rPr>
            </w:r>
          </w:p>
        </w:tc>
      </w:tr>
    </w:tbl>
    <w:p>
      <w:pPr>
        <w:spacing w:after="0" w:line="240" w:lineRule="auto"/>
        <w:jc w:val="both"/>
        <w:rPr>
          <w:rFonts w:ascii="宋体" w:hAnsi="宋体" w:cs="宋体" w:eastAsia="宋体"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645" w:type="dxa"/>
        <w:tblLayout w:type="fixed"/>
        <w:tblCellMar>
          <w:top w:w="0" w:type="dxa"/>
          <w:left w:w="0" w:type="dxa"/>
          <w:bottom w:w="0" w:type="dxa"/>
          <w:right w:w="0" w:type="dxa"/>
        </w:tblCellMar>
        <w:tblLook w:val="01E0"/>
      </w:tblPr>
      <w:tblGrid>
        <w:gridCol w:w="3687"/>
        <w:gridCol w:w="4959"/>
      </w:tblGrid>
      <w:tr>
        <w:trPr>
          <w:trHeight w:val="37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03"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253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5" w:right="9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期收回或无法收回而发生坏账对财务报表影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响重大，且管理层在确定应收款项减值时作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出了重大判断，我们将应收款项的可收回性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及减值确定为关键审计事项。</w:t>
            </w:r>
            <w:r>
              <w:rPr>
                <w:rFonts w:ascii="宋体" w:hAnsi="宋体" w:cs="宋体" w:eastAsia="宋体" w:hint="default"/>
                <w:sz w:val="18"/>
                <w:szCs w:val="18"/>
              </w:rPr>
              <w:t> </w:t>
            </w:r>
            <w:r>
              <w:rPr>
                <w:rFonts w:ascii="宋体" w:hAnsi="宋体" w:cs="宋体" w:eastAsia="宋体" w:hint="default"/>
                <w:spacing w:val="2"/>
                <w:sz w:val="18"/>
                <w:szCs w:val="18"/>
              </w:rPr>
              <w:t>关于应收账款坏账准备会计政策见本报告第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十二节财务报告附注五、</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；关于应收账款</w:t>
            </w:r>
            <w:r>
              <w:rPr>
                <w:rFonts w:ascii="宋体" w:hAnsi="宋体" w:cs="宋体" w:eastAsia="宋体" w:hint="default"/>
                <w:spacing w:val="-87"/>
                <w:sz w:val="18"/>
                <w:szCs w:val="18"/>
              </w:rPr>
              <w:t> </w:t>
            </w:r>
            <w:r>
              <w:rPr>
                <w:rFonts w:ascii="宋体" w:hAnsi="宋体" w:cs="宋体" w:eastAsia="宋体" w:hint="default"/>
                <w:sz w:val="18"/>
                <w:szCs w:val="18"/>
              </w:rPr>
              <w:t>账面余额及坏账准备见附注七、</w:t>
            </w:r>
            <w:r>
              <w:rPr>
                <w:rFonts w:ascii="Times New Roman" w:hAnsi="Times New Roman" w:cs="Times New Roman" w:eastAsia="Times New Roman" w:hint="default"/>
                <w:sz w:val="18"/>
                <w:szCs w:val="18"/>
              </w:rPr>
              <w:t>3</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相应坏账准备的计算是否正确；</w:t>
            </w:r>
          </w:p>
          <w:p>
            <w:pPr>
              <w:pStyle w:val="TableParagraph"/>
              <w:spacing w:line="357" w:lineRule="auto" w:before="124"/>
              <w:ind w:left="103" w:right="99" w:firstLine="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）选取金额重大或账龄长、高风险的应收款项，执行了网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上查询、现场走访、函证及检查期后回款等程序，评估其可</w:t>
            </w:r>
            <w:r>
              <w:rPr>
                <w:rFonts w:ascii="宋体" w:hAnsi="宋体" w:cs="宋体" w:eastAsia="宋体" w:hint="default"/>
                <w:spacing w:val="2"/>
                <w:sz w:val="18"/>
                <w:szCs w:val="18"/>
              </w:rPr>
              <w:t> </w:t>
            </w:r>
            <w:r>
              <w:rPr>
                <w:rFonts w:ascii="宋体" w:hAnsi="宋体" w:cs="宋体" w:eastAsia="宋体" w:hint="default"/>
                <w:sz w:val="18"/>
                <w:szCs w:val="18"/>
              </w:rPr>
              <w:t>收回性及管理层坏账准备计提的是否充分；</w:t>
            </w:r>
          </w:p>
          <w:p>
            <w:pPr>
              <w:pStyle w:val="TableParagraph"/>
              <w:spacing w:line="345" w:lineRule="auto" w:before="36"/>
              <w:ind w:left="103" w:right="100" w:firstLine="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）对比同行业坏账准备的计提比例，比较坏账准备计提数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和实际发生坏账损失情况，评估应收账款坏账准备计提是否</w:t>
            </w:r>
            <w:r>
              <w:rPr>
                <w:rFonts w:ascii="宋体" w:hAnsi="宋体" w:cs="宋体" w:eastAsia="宋体" w:hint="default"/>
                <w:sz w:val="18"/>
                <w:szCs w:val="18"/>
              </w:rPr>
            </w:r>
          </w:p>
          <w:p>
            <w:pPr>
              <w:pStyle w:val="TableParagraph"/>
              <w:spacing w:line="240" w:lineRule="auto" w:before="45"/>
              <w:ind w:left="103" w:right="0"/>
              <w:jc w:val="both"/>
              <w:rPr>
                <w:rFonts w:ascii="宋体" w:hAnsi="宋体" w:cs="宋体" w:eastAsia="宋体" w:hint="default"/>
                <w:sz w:val="18"/>
                <w:szCs w:val="18"/>
              </w:rPr>
            </w:pPr>
            <w:r>
              <w:rPr>
                <w:rFonts w:ascii="宋体" w:hAnsi="宋体" w:cs="宋体" w:eastAsia="宋体" w:hint="default"/>
                <w:sz w:val="18"/>
                <w:szCs w:val="18"/>
              </w:rPr>
              <w:t>充分、适当。</w:t>
            </w:r>
          </w:p>
        </w:tc>
      </w:tr>
    </w:tbl>
    <w:p>
      <w:pPr>
        <w:spacing w:line="240" w:lineRule="auto" w:before="9"/>
        <w:rPr>
          <w:rFonts w:ascii="Times New Roman" w:hAnsi="Times New Roman" w:cs="Times New Roman" w:eastAsia="Times New Roman" w:hint="default"/>
          <w:sz w:val="14"/>
          <w:szCs w:val="14"/>
        </w:rPr>
      </w:pPr>
    </w:p>
    <w:p>
      <w:pPr>
        <w:pStyle w:val="Heading3"/>
        <w:tabs>
          <w:tab w:pos="1413" w:val="left" w:leader="none"/>
        </w:tabs>
        <w:spacing w:line="240" w:lineRule="auto" w:before="36"/>
        <w:ind w:left="719" w:right="1116"/>
        <w:jc w:val="left"/>
        <w:rPr>
          <w:b w:val="0"/>
          <w:bCs w:val="0"/>
        </w:rPr>
      </w:pPr>
      <w:r>
        <w:rPr/>
        <w:t>四、</w:t>
        <w:tab/>
        <w:t>其他信息</w:t>
      </w:r>
      <w:r>
        <w:rPr>
          <w:b w:val="0"/>
          <w:bCs w:val="0"/>
        </w:rPr>
      </w:r>
    </w:p>
    <w:p>
      <w:pPr>
        <w:pStyle w:val="Heading4"/>
        <w:spacing w:line="338" w:lineRule="auto" w:before="133"/>
        <w:ind w:right="1126" w:firstLine="566"/>
        <w:jc w:val="both"/>
      </w:pPr>
      <w:r>
        <w:rPr>
          <w:spacing w:val="-4"/>
        </w:rPr>
        <w:t>今天国际管理层（以下简称管理层）对其他信息负责。其他信息包括今天国际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年年度报告中涵</w:t>
      </w:r>
      <w:r>
        <w:rPr>
          <w:w w:val="100"/>
        </w:rPr>
        <w:t> </w:t>
      </w:r>
      <w:r>
        <w:rPr/>
        <w:t>盖的信息，但不包括财务报表和我们的审计报告。</w:t>
      </w:r>
    </w:p>
    <w:p>
      <w:pPr>
        <w:pStyle w:val="Heading4"/>
        <w:spacing w:line="355" w:lineRule="auto" w:before="47"/>
        <w:ind w:left="719" w:right="1116"/>
        <w:jc w:val="left"/>
      </w:pPr>
      <w:r>
        <w:rPr>
          <w:spacing w:val="-2"/>
        </w:rPr>
        <w:t>我们对财务报表发表的审计意见不涵盖其他信息，我们也不对其他信息发表任何形式的鉴证结论。</w:t>
      </w:r>
      <w:r>
        <w:rPr>
          <w:spacing w:val="-25"/>
        </w:rPr>
        <w:t> </w:t>
      </w:r>
      <w:r>
        <w:rPr>
          <w:spacing w:val="-25"/>
        </w:rPr>
      </w:r>
      <w:r>
        <w:rPr>
          <w:spacing w:val="-1"/>
        </w:rPr>
        <w:t>结合我们对财务报表的审计，我们的责任是阅读其他信息，在此过程中，考虑其他信息是否与财务</w:t>
      </w:r>
    </w:p>
    <w:p>
      <w:pPr>
        <w:pStyle w:val="Heading4"/>
        <w:spacing w:line="355" w:lineRule="auto" w:before="32"/>
        <w:ind w:left="719" w:right="1116" w:hanging="567"/>
        <w:jc w:val="left"/>
      </w:pPr>
      <w:r>
        <w:rPr/>
        <w:t>报表或我们在审计过程中了解到的情况存在重大不一致或者似乎存在重大错报。</w:t>
      </w:r>
      <w:r>
        <w:rPr>
          <w:w w:val="100"/>
        </w:rPr>
        <w:t> </w:t>
      </w:r>
      <w:r>
        <w:rPr>
          <w:spacing w:val="-1"/>
        </w:rPr>
        <w:t>基于我们已执行的工作，如果我们确定其他信息存在重大错报，我们应当报告该事实。在这方面，</w:t>
      </w:r>
    </w:p>
    <w:p>
      <w:pPr>
        <w:pStyle w:val="Heading4"/>
        <w:spacing w:line="240" w:lineRule="auto" w:before="34"/>
        <w:ind w:right="1116"/>
        <w:jc w:val="left"/>
      </w:pPr>
      <w:r>
        <w:rPr/>
        <w:t>我们无任何事项需要报告。</w:t>
      </w:r>
    </w:p>
    <w:p>
      <w:pPr>
        <w:tabs>
          <w:tab w:pos="1413" w:val="left" w:leader="none"/>
        </w:tabs>
        <w:spacing w:line="355" w:lineRule="auto" w:before="133"/>
        <w:ind w:left="719" w:right="1149" w:firstLine="0"/>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管理层负责按照企业会计准则的规定编制财务报表，使其实现公允反映，并设计、执行和维护必要</w:t>
      </w:r>
    </w:p>
    <w:p>
      <w:pPr>
        <w:pStyle w:val="Heading4"/>
        <w:spacing w:line="357" w:lineRule="auto" w:before="32"/>
        <w:ind w:left="719" w:right="1116" w:hanging="567"/>
        <w:jc w:val="left"/>
      </w:pPr>
      <w:r>
        <w:rPr/>
        <w:t>的内部控制，以使财务报表不存在由于舞弊或错误导致的重大错报。</w:t>
      </w:r>
      <w:r>
        <w:rPr>
          <w:w w:val="100"/>
        </w:rPr>
        <w:t> </w:t>
      </w:r>
      <w:r>
        <w:rPr>
          <w:spacing w:val="-1"/>
        </w:rPr>
        <w:t>在编制财务报表时，管理层负责评估今天国际的持续经营能力，披露与持续经营相关的事项（如适</w:t>
      </w:r>
    </w:p>
    <w:p>
      <w:pPr>
        <w:pStyle w:val="Heading4"/>
        <w:spacing w:line="355" w:lineRule="auto" w:before="32"/>
        <w:ind w:left="719" w:right="1116" w:hanging="567"/>
        <w:jc w:val="left"/>
      </w:pPr>
      <w:r>
        <w:rPr>
          <w:spacing w:val="-5"/>
          <w:w w:val="100"/>
        </w:rPr>
        <w:t>用），并运用持续经营假设，除非计划进行清算、终止运营或别无其他现实的选择。</w:t>
      </w:r>
      <w:r>
        <w:rPr>
          <w:spacing w:val="-75"/>
          <w:w w:val="100"/>
        </w:rPr>
        <w:t> </w:t>
      </w:r>
      <w:r>
        <w:rPr>
          <w:spacing w:val="-75"/>
          <w:w w:val="100"/>
        </w:rPr>
      </w:r>
      <w:r>
        <w:rPr/>
        <w:t>治理层负责监督今天国际的财务报告过程。</w:t>
      </w:r>
    </w:p>
    <w:p>
      <w:pPr>
        <w:tabs>
          <w:tab w:pos="1413" w:val="left" w:leader="none"/>
        </w:tabs>
        <w:spacing w:line="355" w:lineRule="auto" w:before="32"/>
        <w:ind w:left="719" w:right="1149" w:firstLine="0"/>
        <w:jc w:val="left"/>
        <w:rPr>
          <w:rFonts w:ascii="宋体" w:hAnsi="宋体" w:cs="宋体" w:eastAsia="宋体" w:hint="default"/>
          <w:sz w:val="21"/>
          <w:szCs w:val="21"/>
        </w:rPr>
      </w:pPr>
      <w:r>
        <w:rPr>
          <w:rFonts w:ascii="宋体" w:hAnsi="宋体" w:cs="宋体" w:eastAsia="宋体" w:hint="default"/>
          <w:b/>
          <w:bCs/>
          <w:sz w:val="21"/>
          <w:szCs w:val="21"/>
        </w:rPr>
        <w:t>六、</w:t>
        <w:tab/>
        <w:t>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w:t>
      </w:r>
    </w:p>
    <w:p>
      <w:pPr>
        <w:pStyle w:val="Heading4"/>
        <w:spacing w:line="355" w:lineRule="auto" w:before="34"/>
        <w:ind w:right="1126"/>
        <w:jc w:val="both"/>
      </w:pPr>
      <w:r>
        <w:rPr>
          <w:spacing w:val="-2"/>
        </w:rPr>
        <w:t>含审计意见的审计报告。合理保证是高水平的保证，但并不能保证按照审计准则执行的审计在某一重大错</w:t>
      </w:r>
      <w:r>
        <w:rPr>
          <w:spacing w:val="-43"/>
        </w:rPr>
        <w:t> </w:t>
      </w:r>
      <w:r>
        <w:rPr>
          <w:spacing w:val="-43"/>
        </w:rPr>
      </w:r>
      <w:r>
        <w:rPr>
          <w:spacing w:val="-2"/>
        </w:rPr>
        <w:t>报存在时总能发现。错报可能由于舞弊或错误导致，如果合理预期错报单独或汇总起来可能影响财务报表</w:t>
      </w:r>
      <w:r>
        <w:rPr>
          <w:spacing w:val="-43"/>
        </w:rPr>
        <w:t> </w:t>
      </w:r>
      <w:r>
        <w:rPr>
          <w:spacing w:val="-43"/>
        </w:rPr>
      </w:r>
      <w:r>
        <w:rPr/>
        <w:t>使用者依据财务报表作出的经济决策，则通常认为错报是重大的。</w:t>
      </w:r>
    </w:p>
    <w:p>
      <w:pPr>
        <w:pStyle w:val="Heading4"/>
        <w:spacing w:line="355" w:lineRule="auto" w:before="33"/>
        <w:ind w:right="1130" w:firstLine="566"/>
        <w:jc w:val="both"/>
      </w:pPr>
      <w:r>
        <w:rPr>
          <w:spacing w:val="-1"/>
        </w:rPr>
        <w:t>在按照审计准则执行审计工作的过程中，我们运用职业判断，并保持职业怀疑。同时，我们也执行</w:t>
      </w:r>
      <w:r>
        <w:rPr>
          <w:w w:val="100"/>
        </w:rPr>
        <w:t> </w:t>
      </w:r>
      <w:r>
        <w:rPr/>
        <w:t>以下工作：</w:t>
      </w:r>
    </w:p>
    <w:p>
      <w:pPr>
        <w:pStyle w:val="Heading4"/>
        <w:spacing w:line="350" w:lineRule="auto" w:before="34"/>
        <w:ind w:right="1126" w:firstLine="56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4"/>
        <w:spacing w:line="240" w:lineRule="auto" w:before="36"/>
        <w:ind w:left="719" w:right="1116"/>
        <w:jc w:val="left"/>
      </w:pPr>
      <w:r>
        <w:rPr/>
        <w:t>（</w:t>
      </w:r>
      <w:r>
        <w:rPr>
          <w:rFonts w:ascii="Times New Roman" w:hAnsi="Times New Roman" w:cs="Times New Roman" w:eastAsia="Times New Roman" w:hint="default"/>
        </w:rPr>
        <w:t>2</w:t>
      </w:r>
      <w:r>
        <w:rPr/>
        <w:t>）了解与审计相关的内部控制，以设计恰当的审计程序。</w:t>
      </w:r>
    </w:p>
    <w:p>
      <w:pPr>
        <w:spacing w:after="0" w:line="240" w:lineRule="auto"/>
        <w:jc w:val="left"/>
        <w:sectPr>
          <w:pgSz w:w="11910" w:h="16840"/>
          <w:pgMar w:header="877" w:footer="980" w:top="108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left="719" w:right="1116"/>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352" w:lineRule="auto" w:before="117"/>
        <w:ind w:right="1126" w:firstLine="56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）对管理层使用持续经营假设的恰当性得出结论。同时，根据获取的审计证据，就可能导致对今</w:t>
      </w:r>
      <w:r>
        <w:rPr>
          <w:w w:val="100"/>
        </w:rPr>
        <w:t> </w:t>
      </w:r>
      <w:r>
        <w:rPr>
          <w:spacing w:val="-2"/>
        </w:rPr>
        <w:t>天国际持续经营能力产生重大疑虑的事项或情况是否存在重大不确定性得出结论。如果我们得出结论认为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项或情况可能导致今天国际不能持续经营。</w:t>
      </w:r>
    </w:p>
    <w:p>
      <w:pPr>
        <w:pStyle w:val="Heading4"/>
        <w:spacing w:line="240" w:lineRule="auto" w:before="34"/>
        <w:ind w:left="719" w:right="1116"/>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Heading4"/>
        <w:spacing w:line="336" w:lineRule="auto" w:before="119"/>
        <w:ind w:right="1129" w:firstLine="566"/>
        <w:jc w:val="both"/>
      </w:pPr>
      <w:r>
        <w:rPr>
          <w:spacing w:val="-3"/>
        </w:rPr>
        <w:t>（</w:t>
      </w:r>
      <w:r>
        <w:rPr>
          <w:rFonts w:ascii="Times New Roman" w:hAnsi="Times New Roman" w:cs="Times New Roman" w:eastAsia="Times New Roman" w:hint="default"/>
          <w:spacing w:val="-3"/>
        </w:rPr>
        <w:t>6</w:t>
      </w:r>
      <w:r>
        <w:rPr>
          <w:spacing w:val="-3"/>
        </w:rPr>
        <w:t>）就今天国际中实体或业务活动的财务信息获取充分、适当的审计证据，以对财务报表发表审计</w:t>
      </w:r>
      <w:r>
        <w:rPr>
          <w:w w:val="100"/>
        </w:rPr>
        <w:t> </w:t>
      </w:r>
      <w:r>
        <w:rPr/>
        <w:t>意见。我们负责指导、监督和执行集团审计，并对审计意见承担全部责任。</w:t>
      </w:r>
    </w:p>
    <w:p>
      <w:pPr>
        <w:pStyle w:val="Heading4"/>
        <w:spacing w:line="357" w:lineRule="auto" w:before="49"/>
        <w:ind w:right="1130" w:firstLine="566"/>
        <w:jc w:val="both"/>
      </w:pPr>
      <w:r>
        <w:rPr>
          <w:spacing w:val="-1"/>
        </w:rPr>
        <w:t>我们与治理层就计划的审计范围、时间安排和重大审计发现等事项进行沟通，包括沟通我们在审计</w:t>
      </w:r>
      <w:r>
        <w:rPr>
          <w:w w:val="100"/>
        </w:rPr>
        <w:t> </w:t>
      </w:r>
      <w:r>
        <w:rPr/>
        <w:t>中识别出的值得关注的内部控制缺陷。</w:t>
      </w:r>
    </w:p>
    <w:p>
      <w:pPr>
        <w:pStyle w:val="Heading4"/>
        <w:spacing w:line="357" w:lineRule="auto"/>
        <w:ind w:right="1130" w:firstLine="566"/>
        <w:jc w:val="both"/>
      </w:pPr>
      <w:r>
        <w:rPr>
          <w:spacing w:val="-1"/>
        </w:rPr>
        <w:t>我们还就已遵守与独立性相关的职业道德要求向治理层提供声明，并与治理层沟通可能被合理认为</w:t>
      </w:r>
      <w:r>
        <w:rPr>
          <w:w w:val="100"/>
        </w:rPr>
        <w:t> </w:t>
      </w:r>
      <w:r>
        <w:rPr>
          <w:spacing w:val="-5"/>
          <w:w w:val="100"/>
        </w:rPr>
        <w:t>影响我们独立性的所有关系和其他事项，以及相关的防范措施（如适用）。</w:t>
      </w:r>
    </w:p>
    <w:p>
      <w:pPr>
        <w:pStyle w:val="Heading4"/>
        <w:spacing w:line="355" w:lineRule="auto"/>
        <w:ind w:right="1126" w:firstLine="566"/>
        <w:jc w:val="both"/>
      </w:pPr>
      <w:r>
        <w:rPr>
          <w:spacing w:val="-1"/>
        </w:rPr>
        <w:t>从与治理层沟通过的事项中，我们确定哪些事项对本期财务报表审计最为重要，因而构成关键审计</w:t>
      </w:r>
      <w:r>
        <w:rPr>
          <w:w w:val="100"/>
        </w:rPr>
        <w:t> </w:t>
      </w:r>
      <w:r>
        <w:rPr>
          <w:spacing w:val="-2"/>
        </w:rPr>
        <w:t>事项。我们在审计报告中描述这些事项，除非法律法规禁止公开披露这些事项，或在极少数情形下，如果</w:t>
      </w:r>
      <w:r>
        <w:rPr>
          <w:spacing w:val="-47"/>
        </w:rPr>
        <w:t> </w:t>
      </w:r>
      <w:r>
        <w:rPr>
          <w:spacing w:val="-47"/>
        </w:rPr>
      </w:r>
      <w:r>
        <w:rPr>
          <w:spacing w:val="-2"/>
        </w:rPr>
        <w:t>合理预期在审计报告中沟通某事项造成的负面后果超过在公众利益方面产生的益处，我们确定不应在审计</w:t>
      </w:r>
      <w:r>
        <w:rPr>
          <w:spacing w:val="-43"/>
        </w:rPr>
        <w:t> </w:t>
      </w:r>
      <w:r>
        <w:rPr>
          <w:spacing w:val="-43"/>
        </w:rPr>
      </w:r>
      <w:r>
        <w:rPr/>
        <w:t>报告中沟通该事项。</w:t>
      </w:r>
    </w:p>
    <w:p>
      <w:pPr>
        <w:spacing w:after="0" w:line="355" w:lineRule="auto"/>
        <w:jc w:val="both"/>
        <w:sectPr>
          <w:pgSz w:w="11910" w:h="16840"/>
          <w:pgMar w:header="877" w:footer="980" w:top="108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before="36"/>
        <w:ind w:left="719" w:right="1116"/>
        <w:jc w:val="left"/>
        <w:rPr>
          <w:b w:val="0"/>
          <w:bCs w:val="0"/>
        </w:rPr>
      </w:pPr>
      <w:r>
        <w:rPr/>
        <w:t>（此页无正文）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Heading3"/>
        <w:tabs>
          <w:tab w:pos="4152" w:val="left" w:leader="none"/>
          <w:tab w:pos="6576" w:val="left" w:leader="none"/>
        </w:tabs>
        <w:spacing w:line="274" w:lineRule="exact"/>
        <w:ind w:left="359" w:right="1116"/>
        <w:jc w:val="left"/>
        <w:rPr>
          <w:b w:val="0"/>
          <w:bCs w:val="0"/>
        </w:rPr>
      </w:pPr>
      <w:r>
        <w:rPr/>
        <w:t>立信会计师事务所</w:t>
        <w:tab/>
      </w:r>
      <w:r>
        <w:rPr>
          <w:spacing w:val="-1"/>
        </w:rPr>
        <w:t>中国注册会计师：</w:t>
        <w:tab/>
        <w:t>（项目合伙人）</w:t>
      </w:r>
      <w:r>
        <w:rPr>
          <w:b w:val="0"/>
          <w:bCs w:val="0"/>
          <w:spacing w:val="-1"/>
        </w:rPr>
      </w:r>
    </w:p>
    <w:p>
      <w:pPr>
        <w:pStyle w:val="Heading3"/>
        <w:spacing w:line="274" w:lineRule="exact"/>
        <w:ind w:left="359" w:right="1116"/>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6"/>
        <w:ind w:left="0" w:right="932"/>
        <w:jc w:val="center"/>
        <w:rPr>
          <w:b w:val="0"/>
          <w:bCs w:val="0"/>
        </w:rPr>
      </w:pPr>
      <w:r>
        <w:rPr/>
        <w:t>中国注册会计师：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4144" w:val="left" w:leader="none"/>
        </w:tabs>
        <w:spacing w:line="240" w:lineRule="auto" w:before="178"/>
        <w:ind w:left="364" w:right="1116"/>
        <w:jc w:val="left"/>
        <w:rPr>
          <w:b w:val="0"/>
          <w:bCs w:val="0"/>
        </w:rPr>
      </w:pPr>
      <w:r>
        <w:rPr/>
        <w:t>中国•上海</w:t>
        <w:tab/>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b w:val="0"/>
          <w:bCs w:val="0"/>
        </w:rPr>
      </w:r>
    </w:p>
    <w:p>
      <w:pPr>
        <w:spacing w:after="0" w:line="240" w:lineRule="auto"/>
        <w:jc w:val="left"/>
        <w:sectPr>
          <w:pgSz w:w="11910" w:h="16840"/>
          <w:pgMar w:header="877" w:footer="980" w:top="1080" w:bottom="1160" w:left="980" w:right="0"/>
        </w:sectPr>
      </w:pPr>
    </w:p>
    <w:p>
      <w:pPr>
        <w:spacing w:line="240" w:lineRule="auto" w:before="7"/>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0" w:top="1080" w:bottom="1160" w:left="980" w:right="0"/>
        </w:sectPr>
      </w:pPr>
    </w:p>
    <w:p>
      <w:pPr>
        <w:pStyle w:val="Heading2"/>
        <w:spacing w:line="240" w:lineRule="auto" w:before="26"/>
        <w:ind w:right="-20"/>
        <w:jc w:val="left"/>
        <w:rPr>
          <w:b w:val="0"/>
          <w:bCs w:val="0"/>
        </w:rPr>
      </w:pPr>
      <w:bookmarkStart w:name="二、财务报表" w:id="151"/>
      <w:bookmarkEnd w:id="151"/>
      <w:r>
        <w:rPr>
          <w:b w:val="0"/>
          <w:bCs w:val="0"/>
        </w:rPr>
      </w:r>
      <w:r>
        <w:rPr/>
        <w:t>二、财务报表</w:t>
      </w:r>
      <w:r>
        <w:rPr>
          <w:b w:val="0"/>
          <w:bCs w:val="0"/>
        </w:rPr>
      </w:r>
    </w:p>
    <w:p>
      <w:pPr>
        <w:spacing w:line="285" w:lineRule="auto" w:before="47"/>
        <w:ind w:left="152" w:right="-2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 </w:t>
      </w:r>
      <w:bookmarkStart w:name="1、合并资产负债表" w:id="152"/>
      <w:bookmarkEnd w:id="152"/>
      <w:r>
        <w:rPr>
          <w:rFonts w:ascii="宋体" w:hAnsi="宋体" w:cs="宋体" w:eastAsia="宋体" w:hint="default"/>
          <w:sz w:val="18"/>
          <w:szCs w:val="18"/>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spacing w:val="-103"/>
          <w:sz w:val="21"/>
          <w:szCs w:val="21"/>
        </w:rPr>
        <w:t> </w:t>
      </w:r>
      <w:r>
        <w:rPr>
          <w:rFonts w:ascii="宋体" w:hAnsi="宋体" w:cs="宋体" w:eastAsia="宋体" w:hint="default"/>
          <w:sz w:val="18"/>
          <w:szCs w:val="18"/>
        </w:rPr>
        <w:t>编制单位：深圳市今天国际物流技术股份有限公司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5"/>
        <w:ind w:left="76" w:right="-15"/>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4113" w:space="40"/>
            <w:col w:w="1565" w:space="3202"/>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472,958,358.96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284,313,470.25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57,025,560.04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51,664,524.70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480,358,863.08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457,363,835.47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427,828.53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34,638,988.06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44,744,163.71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37,402,869.80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38,914,920.68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295,318,879.73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216,398,418.26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30,585,669.0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123,983,795.68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1,408,717,017.28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1,217,383,128.75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55,077,173.97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51,628,016.06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30,001,274.19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15,817,136.49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199,712,993.11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85,200,416.16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57,105.30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112,208,415.07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13,305,261.44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13,068,555.33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208,659.18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381,339.68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17,824,085.79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15,628,409.51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316,186,552.98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293,932,288.30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1,724,903,570.26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1,511,315,417.05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49,943,846.51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54,024,777.58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274,063,005.15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204,919,402.71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450,545,276.16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355,907,321.95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15,246,153.36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14,665,030.78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8,777,747.89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4,274,458.04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33,393,776.76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61,024,417.13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26,551,419.09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23,426,839.77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909,009,912.10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718,242,247.96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28,195,342.81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15,941,535.30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14,732,569.19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422,587.58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422,180.91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43,350,499.58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24,513,716.21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952,360,411.68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742,755,964.17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275,034,744.00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277,253,280.00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201,358,649.56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226,318,905.12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18,552,317.04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39,872,448.00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295,653.37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-107,531.14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47,452,803.68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45,010,590.08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266,953,625.01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259,956,656.82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772,543,158.58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768,559,452.88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772,543,158.58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768,559,452.88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1,724,903,570.26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1,511,315,417.05</w:t>
            </w:r>
          </w:p>
        </w:tc>
      </w:tr>
    </w:tbl>
    <w:p>
      <w:pPr>
        <w:pStyle w:val="BodyText"/>
        <w:tabs>
          <w:tab w:pos="3578" w:val="left" w:leader="none"/>
          <w:tab w:pos="7721" w:val="left" w:leader="none"/>
        </w:tabs>
        <w:spacing w:line="240" w:lineRule="auto" w:before="8"/>
        <w:ind w:right="1116"/>
        <w:jc w:val="left"/>
      </w:pPr>
      <w:r>
        <w:rPr/>
        <w:t>法定代表人：邵健伟</w:t>
        <w:tab/>
      </w:r>
      <w:r>
        <w:rPr>
          <w:spacing w:val="-1"/>
        </w:rPr>
        <w:t>主管会计工作负责人：张永清</w:t>
        <w:tab/>
      </w:r>
      <w:r>
        <w:rPr/>
        <w:t>会计机构负责人：蓝国斌</w:t>
      </w:r>
    </w:p>
    <w:p>
      <w:pPr>
        <w:pStyle w:val="Heading3"/>
        <w:spacing w:line="240" w:lineRule="auto" w:before="56"/>
        <w:ind w:right="1116"/>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pStyle w:val="BodyText"/>
        <w:spacing w:line="240" w:lineRule="auto" w:before="42"/>
        <w:ind w:left="0" w:right="1131"/>
        <w:jc w:val="right"/>
      </w:pPr>
      <w:r>
        <w:rPr/>
        <w:t>单位：元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442,281,326.24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237,558,574.04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57,025,560.04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51,664,524.70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482,442,284.07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453,206,311.50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427,828.53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28,725,044.64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38,968,092.38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36,859,868.36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38,279,144.55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298,173,294.70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223,019,168.25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22,421,668.20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120,486,374.59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1,368,356,874.78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1,163,182,190.01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136,665,203.70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127,216,045.79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45,185,726.74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44,099,761.39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183,243,989.06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55,419,868.70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57,105.30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112,211,434.78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12,775,784.75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12,541,160.72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208,659.18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381,339.68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12,997,899.62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11,862,138.57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391,134,368.35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363,731,749.63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1,759,491,243.13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1,526,913,939.64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50,385,504.98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55,105,761.47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389,033,996.57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278,710,179.03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447,858,957.74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351,588,426.27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9,262,394.80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8,886,925.24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6,893,709.51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2,999,191.39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32,347,429.01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56,282,209.04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25,559,645.28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22,805,812.45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1,011,830,325.07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776,378,504.89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24,190,968.37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14,329,272.16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14,732,569.19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368,985.26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238,585.11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39,292,522.82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22,717,857.27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1,051,122,847.89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799,096,362.16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275,034,744.00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277,253,280.00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196,902,577.87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221,862,833.43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18,552,317.04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39,872,448.00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102,498.36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39,522.47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47,452,803.68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45,010,590.08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207,428,088.37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223,523,799.50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708,368,395.24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727,817,577.48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1,759,491,243.13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1,526,913,939.64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9" w:lineRule="exact"/>
        <w:ind w:right="-17"/>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26" w:space="7394"/>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712,409,042.47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416,147,308.87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712,409,042.47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416,147,308.87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665,780,962.99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418,681,796.09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506,101,975.91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272,430,679.09</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2,038,385.09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1,971,588.24</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42,971,388.01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43,639,279.77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62,884,241.07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60,318,326.94</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52,943,503.30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42,594,346.93</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-1,158,530.39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-2,272,424.88</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1,600,799.98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2,208,890.15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1,583,216.97</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9,715,917.84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9,114,846.38</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6,790,975.95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6,506,728.91</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3,386,182.02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3,838,088.39</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4"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-13,423,634.19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3,552,571.88</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50,588.06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106,401.42</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49,761,927.14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16,746,061.37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210,643.61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531,522.51</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119,860.46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686,541.26</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49,852,710.29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16,591,042.62</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2,337,894.99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-779,562.62</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47,514,815.30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17,370,605.24</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47,514,815.30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17,370,605.24</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47,514,815.30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18,219,848.27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-849,243.03</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403,184.51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401,037.36</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403,184.51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401,037.36</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403,184.51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401,037.36</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62,975.89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59,450.12</w:t>
            </w:r>
          </w:p>
        </w:tc>
      </w:tr>
      <w:tr>
        <w:trPr>
          <w:trHeight w:val="63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340,208.62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341,587.24</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47,917,999.81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17,771,642.60</w:t>
            </w:r>
          </w:p>
        </w:tc>
      </w:tr>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47,917,999.81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18,620,885.63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63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-849,243.03</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98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0.07</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8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0.07</w:t>
            </w:r>
          </w:p>
        </w:tc>
      </w:tr>
    </w:tbl>
    <w:p>
      <w:pPr>
        <w:pStyle w:val="BodyText"/>
        <w:tabs>
          <w:tab w:pos="3578" w:val="left" w:leader="none"/>
          <w:tab w:pos="7721" w:val="left" w:leader="none"/>
        </w:tabs>
        <w:spacing w:line="297" w:lineRule="auto" w:before="8"/>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法定代表人：邵健伟</w:t>
        <w:tab/>
      </w:r>
      <w:r>
        <w:rPr>
          <w:spacing w:val="-1"/>
        </w:rPr>
        <w:t>主管会计工作负责人：张永清</w:t>
        <w:tab/>
      </w:r>
      <w:r>
        <w:rPr/>
        <w:t>会计机构负责人：蓝国斌</w:t>
      </w:r>
      <w:r>
        <w:rPr/>
        <w:t> </w:t>
      </w:r>
      <w:bookmarkStart w:name="4、母公司利润表" w:id="155"/>
      <w:bookmarkEnd w:id="15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22" w:lineRule="exact"/>
        <w:ind w:left="0" w:right="1131"/>
        <w:jc w:val="right"/>
      </w:pPr>
      <w:r>
        <w:rPr/>
        <w:t>单位：元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709,790,536.72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409,238,677.20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559,052,722.55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298,791,169.38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1,486,594.07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1,369,772.33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37,742,825.08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32,841,226.27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50,097,192.74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49,614,988.33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33,963,969.97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23,289,919.05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-819,579.82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-2,096,559.55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9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1,600,799.98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9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1,891,431.86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1,403,469.67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4,020,469.81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3,857,368.64</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6,642,104.07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6,101,131.40</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3,386,182.02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3,838,088.39</w:t>
            </w:r>
          </w:p>
        </w:tc>
      </w:tr>
      <w:tr>
        <w:trPr>
          <w:trHeight w:val="94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3" w:right="91"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-13,534,964.25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3,807,789.40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50,588.06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106,401.42</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25,445,009.82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19,300,852.25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210,640.02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531,519.73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19,810.46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683,654.41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25,635,839.38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19,148,717.57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1,213,703.40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792,108.01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24,422,135.98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18,356,609.56</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24,422,135.98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18,356,609.56</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62,975.89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59,450.12</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62,975.89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59,450.12</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62,975.89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59,450.12</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24,485,111.87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18,416,059.68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pStyle w:val="Heading3"/>
        <w:spacing w:line="278" w:lineRule="exact"/>
        <w:ind w:right="-16"/>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949" w:space="6972"/>
            <w:col w:w="2009"/>
          </w:cols>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831,809,640.34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744,109,645.36</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4,094,679.49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5,267,128.03</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56,465,653.19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49,282,685.88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892,369,973.02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798,659,459.27</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520,757,684.13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396,197,544.04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105,380,779.31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85,998,970.23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34,105,830.00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38,358,744.44</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121,364,549.14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128,422,246.21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781,608,842.58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648,977,504.92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110,761,130.44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149,681,954.35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3,404,793.93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2,668,620.79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78,270.00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465,400.00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113,483,063.93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3,134,020.79</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25,644,918.39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37,260,929.79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60,134,000.00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25,644,918.39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97,394,929.79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87,838,145.54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-94,260,909.00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45,606,359.02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47,550,166.11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22,093,130.96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67,699,489.98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87,550,166.11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-17,210,802.80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-87,548,166.11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81,879.66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263,793.73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181,640,404.04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-31,863,327.03</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257,618,449.23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289,481,776.26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439,258,853.27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257,618,449.23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8"/>
        <w:jc w:val="left"/>
        <w:rPr>
          <w:b w:val="0"/>
          <w:bCs w:val="0"/>
        </w:rPr>
      </w:pPr>
      <w:bookmarkStart w:name="6、母公司现金流量表" w:id="157"/>
      <w:bookmarkEnd w:id="157"/>
      <w:r>
        <w:rPr>
          <w:b w:val="0"/>
          <w:bCs w:val="0"/>
        </w:rPr>
      </w:r>
      <w:r>
        <w:rPr>
          <w:rFonts w:ascii="Times New Roman" w:hAnsi="Times New Roman" w:cs="Times New Roman" w:eastAsia="Times New Roman" w:hint="default"/>
          <w:spacing w:val="-1"/>
        </w:rPr>
        <w:t>6</w:t>
      </w:r>
      <w:r>
        <w:rPr>
          <w:spacing w:val="-1"/>
        </w:rPr>
        <w:t>、母公司现金流量表</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157" w:space="6763"/>
            <w:col w:w="201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824,131,596.79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739,486,950.53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700,484.26</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54,895,201.76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48,730,942.16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879,026,798.55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788,918,376.95</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550,500,008.40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438,539,228.08</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64,552,476.32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54,429,519.00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20,919,012.15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24,942,547.15</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111,143,516.08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118,774,988.25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747,115,012.95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636,686,282.48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131,911,785.60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152,232,094.47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3,255,922.05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2,263,043.01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78,270.00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465,400.00</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113,334,192.05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2,728,443.01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24,487,418.01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37,179,375.10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70,134,000.00</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30,487,418.01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107,313,375.10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82,846,774.04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-104,584,932.09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63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45,606,359.02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47,550,166.11</w:t>
            </w:r>
          </w:p>
        </w:tc>
      </w:tr>
      <w:tr>
        <w:trPr>
          <w:trHeight w:val="63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22,093,130.96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67,699,489.98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87,550,166.11</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-17,210,802.80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-87,550,166.11</w:t>
            </w:r>
          </w:p>
        </w:tc>
      </w:tr>
      <w:tr>
        <w:trPr>
          <w:trHeight w:val="63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2,640.81</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197,718,267.53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-39,900,362.92</w:t>
            </w:r>
          </w:p>
        </w:tc>
      </w:tr>
      <w:tr>
        <w:trPr>
          <w:trHeight w:val="63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210,863,553.02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250,763,915.94</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408,581,820.55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210,863,553.02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9" w:lineRule="exact"/>
        <w:ind w:right="-5"/>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spacing w:val="-1"/>
        </w:rPr>
        <w:t>7</w:t>
      </w:r>
      <w:r>
        <w:rPr>
          <w:spacing w:val="-1"/>
        </w:rPr>
        <w:t>、合并所有者权益变动表</w:t>
      </w:r>
      <w:r>
        <w:rPr>
          <w:b w:val="0"/>
          <w:bCs w:val="0"/>
          <w:spacing w:val="-1"/>
        </w:rPr>
      </w:r>
    </w:p>
    <w:p>
      <w:pPr>
        <w:pStyle w:val="BodyText"/>
        <w:spacing w:line="240" w:lineRule="auto" w:before="44"/>
        <w:ind w:right="-5"/>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580" w:space="6341"/>
            <w:col w:w="2009"/>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32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32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4"/>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94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6" w:right="13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9" w:right="1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41"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57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318,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 w:right="0"/>
              <w:jc w:val="center"/>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259,</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956,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w:t>
            </w:r>
          </w:p>
        </w:tc>
      </w:tr>
      <w:tr>
        <w:trPr>
          <w:trHeight w:val="94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1.05</w:t>
            </w:r>
          </w:p>
        </w:tc>
      </w:tr>
      <w:tr>
        <w:trPr>
          <w:trHeight w:val="6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318,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 w:right="0"/>
              <w:jc w:val="center"/>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265,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697.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773,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773,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57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4" w:right="0"/>
              <w:jc w:val="center"/>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8" w:right="0"/>
              <w:jc w:val="left"/>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7.14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35.3</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35.3</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5</w:t>
            </w: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17,9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17,9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99.8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w:t>
            </w:r>
          </w:p>
        </w:tc>
      </w:tr>
      <w:tr>
        <w:trPr>
          <w:trHeight w:val="157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投入和减少 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w:t>
            </w:r>
          </w:p>
        </w:tc>
      </w:tr>
      <w:tr>
        <w:trPr>
          <w:trHeight w:val="63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60.6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w:t>
            </w:r>
          </w:p>
        </w:tc>
      </w:tr>
      <w:tr>
        <w:trPr>
          <w:trHeight w:val="157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01"/>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812,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w:t>
            </w: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42,2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-43,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w:t>
            </w:r>
          </w:p>
        </w:tc>
      </w:tr>
      <w:tr>
        <w:trPr>
          <w:trHeight w:val="32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94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权益内部结 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8"/>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01"/>
              <w:jc w:val="left"/>
              <w:rPr>
                <w:rFonts w:ascii="宋体" w:hAnsi="宋体" w:cs="宋体" w:eastAsia="宋体" w:hint="default"/>
                <w:sz w:val="18"/>
                <w:szCs w:val="18"/>
              </w:rPr>
            </w:pPr>
            <w:r>
              <w:rPr>
                <w:rFonts w:ascii="宋体" w:hAnsi="宋体" w:cs="宋体" w:eastAsia="宋体" w:hint="default"/>
                <w:spacing w:val="-8"/>
                <w:sz w:val="18"/>
                <w:szCs w:val="18"/>
              </w:rPr>
              <w:t>（五）专项储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四、本期期末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275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44.</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649.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4" w:right="0"/>
              <w:jc w:val="center"/>
              <w:rPr>
                <w:rFonts w:ascii="Times New Roman" w:hAnsi="Times New Roman" w:cs="Times New Roman" w:eastAsia="Times New Roman" w:hint="default"/>
                <w:sz w:val="18"/>
                <w:szCs w:val="18"/>
              </w:rPr>
            </w:pPr>
            <w:r>
              <w:rPr>
                <w:rFonts w:ascii="Times New Roman"/>
                <w:sz w:val="18"/>
              </w:rPr>
              <w:t>295,</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52,8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03.6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953,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772,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543,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772,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543,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58</w:t>
            </w:r>
          </w:p>
        </w:tc>
      </w:tr>
    </w:tbl>
    <w:p>
      <w:pPr>
        <w:pStyle w:val="BodyText"/>
        <w:spacing w:line="240" w:lineRule="auto" w:before="8"/>
        <w:ind w:right="1116"/>
        <w:jc w:val="left"/>
      </w:pPr>
      <w:r>
        <w:rPr/>
        <w:t>上期金额</w:t>
      </w:r>
    </w:p>
    <w:p>
      <w:pPr>
        <w:pStyle w:val="BodyText"/>
        <w:spacing w:line="240" w:lineRule="auto" w:before="76"/>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7"/>
        <w:gridCol w:w="569"/>
        <w:gridCol w:w="641"/>
        <w:gridCol w:w="653"/>
      </w:tblGrid>
      <w:tr>
        <w:trPr>
          <w:trHeight w:val="32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23"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141" w:right="13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32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48"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107"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189"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14"/>
              <w:ind w:left="136" w:right="13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3" w:type="dxa"/>
            <w:vMerge/>
            <w:tcBorders>
              <w:left w:val="single" w:sz="4" w:space="0" w:color="000000"/>
              <w:right w:val="single" w:sz="4" w:space="0" w:color="000000"/>
            </w:tcBorders>
            <w:shd w:val="clear" w:color="auto" w:fill="D2D2D2"/>
          </w:tcPr>
          <w:p>
            <w:pPr/>
          </w:p>
        </w:tc>
      </w:tr>
      <w:tr>
        <w:trPr>
          <w:trHeight w:val="94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1" w:right="1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1"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4"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57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一、上年期末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347,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 w:right="0"/>
              <w:jc w:val="center"/>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097.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762,7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Times New Roman" w:hAnsi="Times New Roman" w:cs="Times New Roman" w:eastAsia="Times New Roman" w:hint="default"/>
                <w:sz w:val="18"/>
                <w:szCs w:val="18"/>
              </w:rPr>
            </w:pPr>
            <w:r>
              <w:rPr>
                <w:rFonts w:ascii="Times New Roman"/>
                <w:sz w:val="18"/>
              </w:rPr>
              <w:t>784,8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5.12</w:t>
            </w:r>
          </w:p>
        </w:tc>
      </w:tr>
      <w:tr>
        <w:trPr>
          <w:trHeight w:val="63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firstLine="360"/>
              <w:jc w:val="left"/>
              <w:rPr>
                <w:rFonts w:ascii="宋体" w:hAnsi="宋体" w:cs="宋体" w:eastAsia="宋体" w:hint="default"/>
                <w:sz w:val="18"/>
                <w:szCs w:val="18"/>
              </w:rPr>
            </w:pPr>
            <w:r>
              <w:rPr>
                <w:rFonts w:ascii="宋体" w:hAnsi="宋体" w:cs="宋体" w:eastAsia="宋体" w:hint="default"/>
                <w:spacing w:val="-22"/>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63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9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9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9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二、本年期初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347,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4" w:right="0"/>
              <w:jc w:val="center"/>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097.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322.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762,7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4" w:right="0"/>
              <w:jc w:val="left"/>
              <w:rPr>
                <w:rFonts w:ascii="Times New Roman" w:hAnsi="Times New Roman" w:cs="Times New Roman" w:eastAsia="Times New Roman" w:hint="default"/>
                <w:sz w:val="18"/>
                <w:szCs w:val="18"/>
              </w:rPr>
            </w:pPr>
            <w:r>
              <w:rPr>
                <w:rFonts w:ascii="Times New Roman"/>
                <w:sz w:val="18"/>
              </w:rPr>
              <w:t>784,8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5.12</w:t>
            </w:r>
          </w:p>
        </w:tc>
      </w:tr>
      <w:tr>
        <w:trPr>
          <w:trHeight w:val="157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15"/>
                <w:sz w:val="18"/>
                <w:szCs w:val="18"/>
              </w:rPr>
              <w:t>三、本期增减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少以“－”号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,440,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 w:right="0"/>
              <w:jc w:val="center"/>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1"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0.96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440.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533,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869.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-762,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732.6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5"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96,60</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2.24</w:t>
            </w: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（一）综合收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18,2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17,77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1,642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w:t>
            </w: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投入和减少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841,</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5"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80.6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4" w:right="0"/>
              <w:jc w:val="left"/>
              <w:rPr>
                <w:rFonts w:ascii="Times New Roman" w:hAnsi="Times New Roman" w:cs="Times New Roman" w:eastAsia="Times New Roman" w:hint="default"/>
                <w:sz w:val="18"/>
                <w:szCs w:val="18"/>
              </w:rPr>
            </w:pPr>
            <w:r>
              <w:rPr>
                <w:rFonts w:ascii="Times New Roman"/>
                <w:sz w:val="18"/>
              </w:rPr>
              <w:t>86,51</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0.39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6,791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5"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4" w:right="0"/>
              <w:jc w:val="left"/>
              <w:rPr>
                <w:rFonts w:ascii="Times New Roman" w:hAnsi="Times New Roman" w:cs="Times New Roman" w:eastAsia="Times New Roman" w:hint="default"/>
                <w:sz w:val="18"/>
                <w:szCs w:val="18"/>
              </w:rPr>
            </w:pPr>
            <w:r>
              <w:rPr>
                <w:rFonts w:ascii="Times New Roman"/>
                <w:sz w:val="18"/>
              </w:rPr>
              <w:t>86,51</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0.39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5,022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.39</w:t>
            </w:r>
          </w:p>
        </w:tc>
      </w:tr>
      <w:tr>
        <w:trPr>
          <w:trHeight w:val="94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0,27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2,060</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8,510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.39</w:t>
            </w: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（三）利润分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0.96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702,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66,62</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0.96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35,6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60.9</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5"/>
                <w:sz w:val="18"/>
                <w:szCs w:val="18"/>
              </w:rPr>
              <w:t>（或股东）的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66,62</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8.00</w:t>
            </w:r>
          </w:p>
        </w:tc>
      </w:tr>
      <w:tr>
        <w:trPr>
          <w:trHeight w:val="32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权益内部结 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3"/>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8"/>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（五）专项储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941,5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92.16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57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四、本期期末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318,</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4" w:right="0"/>
              <w:jc w:val="center"/>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259,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956,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4" w:right="0"/>
              <w:jc w:val="left"/>
              <w:rPr>
                <w:rFonts w:ascii="Times New Roman" w:hAnsi="Times New Roman" w:cs="Times New Roman" w:eastAsia="Times New Roman" w:hint="default"/>
                <w:sz w:val="18"/>
                <w:szCs w:val="18"/>
              </w:rPr>
            </w:pPr>
            <w:r>
              <w:rPr>
                <w:rFonts w:ascii="Times New Roman"/>
                <w:sz w:val="18"/>
              </w:rPr>
              <w:t>768,5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2.88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6"/>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spacing w:val="-1"/>
        </w:rPr>
        <w:t>8</w:t>
      </w:r>
      <w:r>
        <w:rPr>
          <w:spacing w:val="-1"/>
        </w:rPr>
        <w:t>、母公司所有者权益变动表</w:t>
      </w:r>
      <w:r>
        <w:rPr>
          <w:b w:val="0"/>
          <w:bCs w:val="0"/>
          <w:spacing w:val="-1"/>
        </w:rPr>
      </w:r>
    </w:p>
    <w:p>
      <w:pPr>
        <w:pStyle w:val="BodyText"/>
        <w:spacing w:line="240" w:lineRule="auto" w:before="44"/>
        <w:ind w:right="-6"/>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789" w:space="6132"/>
            <w:col w:w="2009"/>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32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77"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77" w:right="17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79"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22" w:right="12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63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26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277,2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221,86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2,833.</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9" w:right="0"/>
              <w:jc w:val="left"/>
              <w:rPr>
                <w:rFonts w:ascii="Times New Roman" w:hAnsi="Times New Roman" w:cs="Times New Roman" w:eastAsia="Times New Roman" w:hint="default"/>
                <w:sz w:val="18"/>
                <w:szCs w:val="18"/>
              </w:rPr>
            </w:pPr>
            <w:r>
              <w:rPr>
                <w:rFonts w:ascii="Times New Roman"/>
                <w:sz w:val="18"/>
              </w:rPr>
              <w:t>39,522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4"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523,</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 w:right="0"/>
              <w:jc w:val="center"/>
              <w:rPr>
                <w:rFonts w:ascii="Times New Roman" w:hAnsi="Times New Roman" w:cs="Times New Roman" w:eastAsia="Times New Roman" w:hint="default"/>
                <w:sz w:val="18"/>
                <w:szCs w:val="18"/>
              </w:rPr>
            </w:pPr>
            <w:r>
              <w:rPr>
                <w:rFonts w:ascii="Times New Roman"/>
                <w:sz w:val="18"/>
              </w:rPr>
              <w:t>727,817,</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577.48</w:t>
            </w: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10"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5,04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5,295,04</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1.05</w:t>
            </w: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10"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277,2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221,86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2,833.</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9" w:right="0"/>
              <w:jc w:val="left"/>
              <w:rPr>
                <w:rFonts w:ascii="Times New Roman" w:hAnsi="Times New Roman" w:cs="Times New Roman" w:eastAsia="Times New Roman" w:hint="default"/>
                <w:sz w:val="18"/>
                <w:szCs w:val="18"/>
              </w:rPr>
            </w:pPr>
            <w:r>
              <w:rPr>
                <w:rFonts w:ascii="Times New Roman"/>
                <w:sz w:val="18"/>
              </w:rPr>
              <w:t>39,522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,590.0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 w:right="0"/>
              <w:jc w:val="center"/>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818,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 w:right="0"/>
              <w:jc w:val="center"/>
              <w:rPr>
                <w:rFonts w:ascii="Times New Roman" w:hAnsi="Times New Roman" w:cs="Times New Roman" w:eastAsia="Times New Roman" w:hint="default"/>
                <w:sz w:val="18"/>
                <w:szCs w:val="18"/>
              </w:rPr>
            </w:pPr>
            <w:r>
              <w:rPr>
                <w:rFonts w:ascii="Times New Roman"/>
                <w:sz w:val="18"/>
              </w:rPr>
              <w:t>733,112,</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618.53</w:t>
            </w:r>
          </w:p>
        </w:tc>
      </w:tr>
      <w:tr>
        <w:trPr>
          <w:trHeight w:val="125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11"/>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-24,96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0,255.</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56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-21,32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0,130.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9"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Times New Roman" w:hAnsi="Times New Roman" w:cs="Times New Roman" w:eastAsia="Times New Roman" w:hint="default"/>
                <w:sz w:val="18"/>
                <w:szCs w:val="18"/>
              </w:rPr>
            </w:pPr>
            <w:r>
              <w:rPr>
                <w:rFonts w:ascii="Times New Roman"/>
                <w:sz w:val="18"/>
              </w:rPr>
              <w:t>2,442,</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213.60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 w:right="0"/>
              <w:jc w:val="center"/>
              <w:rPr>
                <w:rFonts w:ascii="Times New Roman" w:hAnsi="Times New Roman" w:cs="Times New Roman" w:eastAsia="Times New Roman" w:hint="default"/>
                <w:sz w:val="18"/>
                <w:szCs w:val="18"/>
              </w:rPr>
            </w:pPr>
            <w:r>
              <w:rPr>
                <w:rFonts w:ascii="Times New Roman"/>
                <w:sz w:val="18"/>
              </w:rPr>
              <w:t>-24,744,</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223.29</w:t>
            </w:r>
          </w:p>
        </w:tc>
      </w:tr>
      <w:tr>
        <w:trPr>
          <w:trHeight w:val="125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9"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7" w:right="0"/>
              <w:jc w:val="left"/>
              <w:rPr>
                <w:rFonts w:ascii="Times New Roman" w:hAnsi="Times New Roman" w:cs="Times New Roman" w:eastAsia="Times New Roman" w:hint="default"/>
                <w:sz w:val="18"/>
                <w:szCs w:val="18"/>
              </w:rPr>
            </w:pPr>
            <w:r>
              <w:rPr>
                <w:rFonts w:ascii="Times New Roman"/>
                <w:sz w:val="18"/>
              </w:rPr>
              <w:t>24,485,1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11.87</w:t>
            </w:r>
          </w:p>
        </w:tc>
      </w:tr>
      <w:tr>
        <w:trPr>
          <w:trHeight w:val="94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11"/>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1" w:right="0"/>
              <w:jc w:val="left"/>
              <w:rPr>
                <w:rFonts w:ascii="Times New Roman" w:hAnsi="Times New Roman" w:cs="Times New Roman" w:eastAsia="Times New Roman" w:hint="default"/>
                <w:sz w:val="18"/>
                <w:szCs w:val="18"/>
              </w:rPr>
            </w:pPr>
            <w:r>
              <w:rPr>
                <w:rFonts w:ascii="Times New Roman"/>
                <w:sz w:val="18"/>
              </w:rPr>
              <w:t>-24,96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0,255.</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56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-21,32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0,130.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-5,858,6</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60.60</w:t>
            </w: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3"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-5,858,</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660.60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-5,858,6</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60.60</w:t>
            </w:r>
          </w:p>
        </w:tc>
      </w:tr>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8,536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-19,10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96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-21,32</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0,130.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11"/>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65" w:right="0"/>
              <w:jc w:val="left"/>
              <w:rPr>
                <w:rFonts w:ascii="Times New Roman" w:hAnsi="Times New Roman" w:cs="Times New Roman" w:eastAsia="Times New Roman" w:hint="default"/>
                <w:sz w:val="18"/>
                <w:szCs w:val="18"/>
              </w:rPr>
            </w:pPr>
            <w:r>
              <w:rPr>
                <w:rFonts w:ascii="Times New Roman"/>
                <w:sz w:val="18"/>
              </w:rPr>
              <w:t>2,442,</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213.60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-45,8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1" w:right="0"/>
              <w:jc w:val="center"/>
              <w:rPr>
                <w:rFonts w:ascii="Times New Roman" w:hAnsi="Times New Roman" w:cs="Times New Roman" w:eastAsia="Times New Roman" w:hint="default"/>
                <w:sz w:val="18"/>
                <w:szCs w:val="18"/>
              </w:rPr>
            </w:pPr>
            <w:r>
              <w:rPr>
                <w:rFonts w:ascii="Times New Roman"/>
                <w:sz w:val="18"/>
              </w:rPr>
              <w:t>-43,370,</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674.56</w:t>
            </w:r>
          </w:p>
        </w:tc>
      </w:tr>
      <w:tr>
        <w:trPr>
          <w:trHeight w:val="94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2,442,</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213.60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11"/>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 w:right="0"/>
              <w:jc w:val="left"/>
              <w:rPr>
                <w:rFonts w:ascii="Times New Roman" w:hAnsi="Times New Roman" w:cs="Times New Roman" w:eastAsia="Times New Roman" w:hint="default"/>
                <w:sz w:val="18"/>
                <w:szCs w:val="18"/>
              </w:rPr>
            </w:pPr>
            <w:r>
              <w:rPr>
                <w:rFonts w:ascii="Times New Roman"/>
                <w:sz w:val="18"/>
              </w:rPr>
              <w:t>-43,3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1" w:right="0"/>
              <w:jc w:val="center"/>
              <w:rPr>
                <w:rFonts w:ascii="Times New Roman" w:hAnsi="Times New Roman" w:cs="Times New Roman" w:eastAsia="Times New Roman" w:hint="default"/>
                <w:sz w:val="18"/>
                <w:szCs w:val="18"/>
              </w:rPr>
            </w:pPr>
            <w:r>
              <w:rPr>
                <w:rFonts w:ascii="Times New Roman"/>
                <w:sz w:val="18"/>
              </w:rPr>
              <w:t>-43,370,</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674.56</w:t>
            </w:r>
          </w:p>
        </w:tc>
      </w:tr>
      <w:tr>
        <w:trPr>
          <w:trHeight w:val="32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11"/>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11"/>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2" w:right="111"/>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34,74</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196,90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2,577.</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87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9" w:right="0"/>
              <w:jc w:val="center"/>
              <w:rPr>
                <w:rFonts w:ascii="Times New Roman" w:hAnsi="Times New Roman" w:cs="Times New Roman" w:eastAsia="Times New Roman" w:hint="default"/>
                <w:sz w:val="18"/>
                <w:szCs w:val="18"/>
              </w:rPr>
            </w:pPr>
            <w:r>
              <w:rPr>
                <w:rFonts w:ascii="Times New Roman"/>
                <w:sz w:val="18"/>
              </w:rPr>
              <w:t>102,49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8.36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47,452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 w:right="0"/>
              <w:jc w:val="center"/>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088.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0" w:right="0"/>
              <w:jc w:val="center"/>
              <w:rPr>
                <w:rFonts w:ascii="Times New Roman" w:hAnsi="Times New Roman" w:cs="Times New Roman" w:eastAsia="Times New Roman" w:hint="default"/>
                <w:sz w:val="18"/>
                <w:szCs w:val="18"/>
              </w:rPr>
            </w:pPr>
            <w:r>
              <w:rPr>
                <w:rFonts w:ascii="Times New Roman"/>
                <w:sz w:val="18"/>
              </w:rPr>
              <w:t>708,368,</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395.24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44"/>
        <w:ind w:right="1116"/>
        <w:jc w:val="left"/>
      </w:pPr>
      <w:r>
        <w:rPr/>
        <w:t>上期金额</w:t>
      </w:r>
    </w:p>
    <w:p>
      <w:pPr>
        <w:pStyle w:val="BodyText"/>
        <w:spacing w:line="240" w:lineRule="auto" w:before="77"/>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322"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22"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58" w:right="15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58"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97"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946"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1"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9" w:right="1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26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029,</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342,0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84,64</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2.27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49,80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0,960.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-19,92</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7.65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43,17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4,929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9,478.9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4" w:right="0"/>
              <w:jc w:val="center"/>
              <w:rPr>
                <w:rFonts w:ascii="Times New Roman" w:hAnsi="Times New Roman" w:cs="Times New Roman" w:eastAsia="Times New Roman" w:hint="default"/>
                <w:sz w:val="18"/>
                <w:szCs w:val="18"/>
              </w:rPr>
            </w:pPr>
            <w:r>
              <w:rPr>
                <w:rFonts w:ascii="Times New Roman"/>
                <w:sz w:val="18"/>
              </w:rPr>
              <w:t>742,337,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762.64</w:t>
            </w:r>
          </w:p>
        </w:tc>
      </w:tr>
      <w:tr>
        <w:trPr>
          <w:trHeight w:val="63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01"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16"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16"/>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029,</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342,0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84,64</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2.27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49,80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0,960.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-19,92</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7.65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43,17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4,929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9,478.9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4" w:right="0"/>
              <w:jc w:val="center"/>
              <w:rPr>
                <w:rFonts w:ascii="Times New Roman" w:hAnsi="Times New Roman" w:cs="Times New Roman" w:eastAsia="Times New Roman" w:hint="default"/>
                <w:sz w:val="18"/>
                <w:szCs w:val="18"/>
              </w:rPr>
            </w:pPr>
            <w:r>
              <w:rPr>
                <w:rFonts w:ascii="Times New Roman"/>
                <w:sz w:val="18"/>
              </w:rPr>
              <w:t>742,337,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762.64</w:t>
            </w:r>
          </w:p>
        </w:tc>
      </w:tr>
      <w:tr>
        <w:trPr>
          <w:trHeight w:val="125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2"/>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-120,2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21,80</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8.84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0.12</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1,835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1" w:right="0"/>
              <w:jc w:val="left"/>
              <w:rPr>
                <w:rFonts w:ascii="Times New Roman" w:hAnsi="Times New Roman" w:cs="Times New Roman" w:eastAsia="Times New Roman" w:hint="default"/>
                <w:sz w:val="18"/>
                <w:szCs w:val="18"/>
              </w:rPr>
            </w:pPr>
            <w:r>
              <w:rPr>
                <w:rFonts w:ascii="Times New Roman"/>
                <w:sz w:val="18"/>
              </w:rPr>
              <w:t>-29,345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,679.40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9" w:right="0"/>
              <w:jc w:val="left"/>
              <w:rPr>
                <w:rFonts w:ascii="Times New Roman" w:hAnsi="Times New Roman" w:cs="Times New Roman" w:eastAsia="Times New Roman" w:hint="default"/>
                <w:sz w:val="18"/>
                <w:szCs w:val="18"/>
              </w:rPr>
            </w:pPr>
            <w:r>
              <w:rPr>
                <w:rFonts w:ascii="Times New Roman"/>
                <w:sz w:val="18"/>
              </w:rPr>
              <w:t>-14,520,1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85.16</w:t>
            </w:r>
          </w:p>
        </w:tc>
      </w:tr>
      <w:tr>
        <w:trPr>
          <w:trHeight w:val="63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5" w:right="0"/>
              <w:jc w:val="left"/>
              <w:rPr>
                <w:rFonts w:ascii="Times New Roman" w:hAnsi="Times New Roman" w:cs="Times New Roman" w:eastAsia="Times New Roman" w:hint="default"/>
                <w:sz w:val="18"/>
                <w:szCs w:val="18"/>
              </w:rPr>
            </w:pPr>
            <w:r>
              <w:rPr>
                <w:rFonts w:ascii="Times New Roman"/>
                <w:sz w:val="18"/>
              </w:rPr>
              <w:t>59,45</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0.12</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609.56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18,416,0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59.68</w:t>
            </w:r>
          </w:p>
        </w:tc>
      </w:tr>
      <w:tr>
        <w:trPr>
          <w:trHeight w:val="94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11,988,79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1.00</w:t>
            </w:r>
          </w:p>
        </w:tc>
      </w:tr>
      <w:tr>
        <w:trPr>
          <w:trHeight w:val="94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9,928,51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2.00</w:t>
            </w:r>
          </w:p>
        </w:tc>
      </w:tr>
      <w:tr>
        <w:trPr>
          <w:trHeight w:val="94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2,060,27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9.00</w:t>
            </w:r>
          </w:p>
        </w:tc>
      </w:tr>
      <w:tr>
        <w:trPr>
          <w:trHeight w:val="32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1,835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-47,702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,288.96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-45,866,6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28.00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94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00" w:lineRule="auto"/>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1,835</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-1,835,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660.96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-45,866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,628.00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-45,866,6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28.00</w:t>
            </w:r>
          </w:p>
        </w:tc>
      </w:tr>
      <w:tr>
        <w:trPr>
          <w:trHeight w:val="32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-123,2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9" w:lineRule="auto"/>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-123,2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8"/>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01"/>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941,5</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92.16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941,592.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16</w:t>
            </w:r>
          </w:p>
        </w:tc>
      </w:tr>
      <w:tr>
        <w:trPr>
          <w:trHeight w:val="126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 w:right="0"/>
              <w:jc w:val="center"/>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253,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221,8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62,83</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3.43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39,87</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2,448.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Times New Roman" w:hAnsi="Times New Roman" w:cs="Times New Roman" w:eastAsia="Times New Roman" w:hint="default"/>
                <w:sz w:val="18"/>
                <w:szCs w:val="18"/>
              </w:rPr>
            </w:pPr>
            <w:r>
              <w:rPr>
                <w:rFonts w:ascii="Times New Roman"/>
                <w:sz w:val="18"/>
              </w:rPr>
              <w:t>39,52</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2.47</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45,01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0,590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3,799.5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4" w:right="0"/>
              <w:jc w:val="center"/>
              <w:rPr>
                <w:rFonts w:ascii="Times New Roman" w:hAnsi="Times New Roman" w:cs="Times New Roman" w:eastAsia="Times New Roman" w:hint="default"/>
                <w:sz w:val="18"/>
                <w:szCs w:val="18"/>
              </w:rPr>
            </w:pPr>
            <w:r>
              <w:rPr>
                <w:rFonts w:ascii="Times New Roman"/>
                <w:sz w:val="18"/>
              </w:rPr>
              <w:t>727,817,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577.48</w:t>
            </w:r>
          </w:p>
        </w:tc>
      </w:tr>
    </w:tbl>
    <w:p>
      <w:pPr>
        <w:pStyle w:val="Heading5"/>
        <w:spacing w:line="240" w:lineRule="auto" w:before="10"/>
        <w:ind w:right="1116"/>
        <w:jc w:val="left"/>
        <w:rPr>
          <w:b w:val="0"/>
          <w:bCs w:val="0"/>
        </w:rPr>
      </w:pPr>
      <w:bookmarkStart w:name="三、公司基本情况" w:id="160"/>
      <w:bookmarkEnd w:id="160"/>
      <w:r>
        <w:rPr>
          <w:b w:val="0"/>
          <w:bCs w:val="0"/>
        </w:rPr>
      </w:r>
      <w:r>
        <w:rPr/>
        <w:t>三、公司基本情况</w:t>
      </w:r>
      <w:r>
        <w:rPr>
          <w:b w:val="0"/>
          <w:bCs w:val="0"/>
        </w:rPr>
      </w:r>
    </w:p>
    <w:p>
      <w:pPr>
        <w:pStyle w:val="BodyText"/>
        <w:spacing w:line="304" w:lineRule="auto" w:before="74"/>
        <w:ind w:right="1124"/>
        <w:jc w:val="left"/>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w w:val="99"/>
        </w:rPr>
        <w:t> </w:t>
      </w:r>
      <w:r>
        <w:rPr>
          <w:spacing w:val="-2"/>
        </w:rPr>
        <w:t>深圳市今天国际物流技术股份有限公司（以下简称“公司”或“本公司”）成立于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日，系由深圳市今天物流技</w:t>
      </w:r>
      <w:r>
        <w:rPr>
          <w:spacing w:val="-59"/>
        </w:rPr>
        <w:t> </w:t>
      </w:r>
      <w:r>
        <w:rPr>
          <w:spacing w:val="-1"/>
        </w:rPr>
        <w:t>术有限公司依法整体变更设立的股份有限公司。公司的统一社会信用代码：</w:t>
      </w:r>
      <w:r>
        <w:rPr>
          <w:rFonts w:ascii="Times New Roman" w:hAnsi="Times New Roman" w:cs="Times New Roman" w:eastAsia="Times New Roman" w:hint="default"/>
          <w:spacing w:val="-1"/>
        </w:rPr>
        <w:t>9144030072472803X3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日在深圳证</w:t>
      </w:r>
      <w:r>
        <w:rPr>
          <w:spacing w:val="-66"/>
        </w:rPr>
        <w:t> </w:t>
      </w:r>
      <w:r>
        <w:rPr>
          <w:spacing w:val="-66"/>
        </w:rPr>
      </w:r>
      <w:r>
        <w:rPr/>
        <w:t>券交易所上市。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275,034,744.00</w:t>
      </w:r>
      <w:r>
        <w:rPr/>
        <w:t>股，注册资本为</w:t>
      </w:r>
      <w:r>
        <w:rPr>
          <w:rFonts w:ascii="Times New Roman" w:hAnsi="Times New Roman" w:cs="Times New Roman" w:eastAsia="Times New Roman" w:hint="default"/>
        </w:rPr>
        <w:t>275,034,744.00</w:t>
      </w:r>
      <w:r>
        <w:rPr/>
        <w:t>元，注册地：深圳市罗湖区</w:t>
      </w:r>
    </w:p>
    <w:p>
      <w:pPr>
        <w:spacing w:after="0" w:line="304"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00" w:lineRule="auto" w:before="44"/>
        <w:ind w:right="1116"/>
        <w:jc w:val="left"/>
      </w:pPr>
      <w:r>
        <w:rPr/>
        <w:t>笋岗东路</w:t>
      </w:r>
      <w:r>
        <w:rPr>
          <w:rFonts w:ascii="Times New Roman" w:hAnsi="Times New Roman" w:cs="Times New Roman" w:eastAsia="Times New Roman" w:hint="default"/>
        </w:rPr>
        <w:t>1002</w:t>
      </w:r>
      <w:r>
        <w:rPr/>
        <w:t>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H</w:t>
      </w:r>
      <w:r>
        <w:rPr/>
        <w:t>，总部地址：深圳市罗湖区笋岗东路</w:t>
      </w:r>
      <w:r>
        <w:rPr>
          <w:rFonts w:ascii="Times New Roman" w:hAnsi="Times New Roman" w:cs="Times New Roman" w:eastAsia="Times New Roman" w:hint="default"/>
        </w:rPr>
        <w:t>1002</w:t>
      </w:r>
      <w:r>
        <w:rPr/>
        <w:t>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H</w:t>
      </w:r>
      <w:r>
        <w:rPr/>
        <w:t>。本公司的实</w:t>
      </w:r>
      <w:r>
        <w:rPr>
          <w:spacing w:val="-81"/>
        </w:rPr>
        <w:t> </w:t>
      </w:r>
      <w:r>
        <w:rPr>
          <w:spacing w:val="-81"/>
        </w:rPr>
      </w:r>
      <w:r>
        <w:rPr/>
        <w:t>际控制人为邵健伟。</w:t>
      </w:r>
    </w:p>
    <w:p>
      <w:pPr>
        <w:spacing w:line="240" w:lineRule="auto" w:before="3"/>
        <w:rPr>
          <w:rFonts w:ascii="宋体" w:hAnsi="宋体" w:cs="宋体" w:eastAsia="宋体" w:hint="default"/>
          <w:sz w:val="26"/>
          <w:szCs w:val="26"/>
        </w:rPr>
      </w:pPr>
    </w:p>
    <w:p>
      <w:pPr>
        <w:spacing w:line="300"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、公司的业务性质、及主要产品或提供的劳务</w:t>
      </w:r>
      <w:r>
        <w:rPr>
          <w:rFonts w:ascii="宋体" w:hAnsi="宋体" w:cs="宋体" w:eastAsia="宋体" w:hint="default"/>
          <w:b/>
          <w:bCs/>
          <w:w w:val="99"/>
          <w:sz w:val="18"/>
          <w:szCs w:val="18"/>
        </w:rPr>
        <w:t> </w:t>
      </w:r>
      <w:r>
        <w:rPr>
          <w:rFonts w:ascii="宋体" w:hAnsi="宋体" w:cs="宋体" w:eastAsia="宋体" w:hint="default"/>
          <w:sz w:val="18"/>
          <w:szCs w:val="18"/>
        </w:rPr>
        <w:t>公司业务性质：公司所属软件和信息技术服务业</w:t>
      </w:r>
    </w:p>
    <w:p>
      <w:pPr>
        <w:pStyle w:val="BodyText"/>
        <w:spacing w:line="316" w:lineRule="auto" w:before="31"/>
        <w:ind w:right="1116"/>
        <w:jc w:val="left"/>
      </w:pPr>
      <w:r>
        <w:rPr>
          <w:spacing w:val="-2"/>
        </w:rPr>
        <w:t>主要经营活动或产品：公司为一家自动化物流系统综合解决方案提供商，主要产品分为工业生产型物流系统（包括智慧物流</w:t>
      </w:r>
      <w:r>
        <w:rPr>
          <w:spacing w:val="-63"/>
        </w:rPr>
        <w:t> </w:t>
      </w:r>
      <w:r>
        <w:rPr>
          <w:spacing w:val="-63"/>
        </w:rPr>
      </w:r>
      <w:r>
        <w:rPr>
          <w:spacing w:val="-4"/>
        </w:rPr>
        <w:t>系统和智能制造系统）、商业配送型物流系统、运营维护。</w:t>
      </w:r>
    </w:p>
    <w:p>
      <w:pPr>
        <w:spacing w:line="240" w:lineRule="auto" w:before="4"/>
        <w:rPr>
          <w:rFonts w:ascii="宋体" w:hAnsi="宋体" w:cs="宋体" w:eastAsia="宋体" w:hint="default"/>
          <w:sz w:val="25"/>
          <w:szCs w:val="25"/>
        </w:rPr>
      </w:pPr>
    </w:p>
    <w:p>
      <w:pPr>
        <w:spacing w:line="300" w:lineRule="auto" w:before="0"/>
        <w:ind w:left="152" w:right="634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、财务报告的批准报出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本财务报告业经公司董事会于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日批准报出。</w:t>
      </w:r>
    </w:p>
    <w:p>
      <w:pPr>
        <w:spacing w:line="240" w:lineRule="auto" w:before="11"/>
        <w:rPr>
          <w:rFonts w:ascii="宋体" w:hAnsi="宋体" w:cs="宋体" w:eastAsia="宋体" w:hint="default"/>
          <w:sz w:val="24"/>
          <w:szCs w:val="24"/>
        </w:rPr>
      </w:pPr>
    </w:p>
    <w:p>
      <w:pPr>
        <w:pStyle w:val="Heading5"/>
        <w:spacing w:line="240" w:lineRule="auto"/>
        <w:ind w:right="1116"/>
        <w:jc w:val="left"/>
        <w:rPr>
          <w:b w:val="0"/>
          <w:bCs w:val="0"/>
        </w:rPr>
      </w:pPr>
      <w:r>
        <w:rPr>
          <w:rFonts w:ascii="Times New Roman" w:hAnsi="Times New Roman" w:cs="Times New Roman" w:eastAsia="Times New Roman" w:hint="default"/>
        </w:rPr>
        <w:t>4</w:t>
      </w:r>
      <w:r>
        <w:rPr/>
        <w:t>、合并财务报表范围</w:t>
      </w:r>
      <w:r>
        <w:rPr>
          <w:b w:val="0"/>
          <w:bCs w:val="0"/>
        </w:rPr>
      </w:r>
    </w:p>
    <w:p>
      <w:pPr>
        <w:pStyle w:val="BodyText"/>
        <w:spacing w:line="240" w:lineRule="auto" w:before="63"/>
        <w:ind w:left="866" w:right="111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4"/>
          <w:szCs w:val="4"/>
        </w:rPr>
      </w:pP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355"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昌乐怀真今天人工智能科技合伙企业（有限合伙）</w:t>
            </w:r>
          </w:p>
        </w:tc>
      </w:tr>
    </w:tbl>
    <w:p>
      <w:pPr>
        <w:spacing w:line="319" w:lineRule="auto" w:before="8"/>
        <w:ind w:left="152" w:right="3846" w:firstLine="713"/>
        <w:jc w:val="left"/>
        <w:rPr>
          <w:rFonts w:ascii="宋体" w:hAnsi="宋体" w:cs="宋体" w:eastAsia="宋体" w:hint="default"/>
          <w:sz w:val="18"/>
          <w:szCs w:val="18"/>
        </w:rPr>
      </w:pPr>
      <w:r>
        <w:rPr>
          <w:rFonts w:ascii="宋体" w:hAnsi="宋体" w:cs="宋体" w:eastAsia="宋体" w:hint="default"/>
          <w:spacing w:val="-3"/>
          <w:sz w:val="18"/>
          <w:szCs w:val="18"/>
        </w:rPr>
        <w:t>本期合并财务报表范围及其变化情况详见“本附注八、在其他主体中的权益”。</w:t>
      </w:r>
      <w:r>
        <w:rPr>
          <w:rFonts w:ascii="宋体" w:hAnsi="宋体" w:cs="宋体" w:eastAsia="宋体" w:hint="default"/>
          <w:sz w:val="18"/>
          <w:szCs w:val="18"/>
        </w:rPr>
        <w:t> </w:t>
      </w:r>
      <w:bookmarkStart w:name="四、财务报表的编制基础" w:id="161"/>
      <w:bookmarkEnd w:id="161"/>
      <w:r>
        <w:rPr>
          <w:rFonts w:ascii="宋体" w:hAnsi="宋体" w:cs="宋体" w:eastAsia="宋体" w:hint="default"/>
          <w:sz w:val="18"/>
          <w:szCs w:val="18"/>
        </w:rPr>
      </w:r>
      <w:r>
        <w:rPr>
          <w:rFonts w:ascii="宋体" w:hAnsi="宋体" w:cs="宋体" w:eastAsia="宋体" w:hint="default"/>
          <w:b/>
          <w:bCs/>
          <w:sz w:val="18"/>
          <w:szCs w:val="18"/>
        </w:rPr>
        <w:t>四、财务报表的编制基础</w:t>
      </w:r>
      <w:r>
        <w:rPr>
          <w:rFonts w:ascii="宋体" w:hAnsi="宋体" w:cs="宋体" w:eastAsia="宋体" w:hint="default"/>
          <w:sz w:val="18"/>
          <w:szCs w:val="18"/>
        </w:rPr>
      </w:r>
    </w:p>
    <w:p>
      <w:pPr>
        <w:pStyle w:val="BodyText"/>
        <w:spacing w:line="312" w:lineRule="auto" w:before="19"/>
        <w:ind w:right="1116"/>
        <w:jc w:val="left"/>
      </w:pPr>
      <w:bookmarkStart w:name="1、编制基础" w:id="162"/>
      <w:bookmarkEnd w:id="162"/>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spacing w:val="-2"/>
        </w:rPr>
        <w:t>公司以持续经营为基础，根据实际发生的交易和事项，按照财政部颁布的《企业会计准则——基本准则》和各项具体会计准</w:t>
      </w:r>
      <w:r>
        <w:rPr>
          <w:spacing w:val="-63"/>
        </w:rPr>
        <w:t> </w:t>
      </w:r>
      <w:r>
        <w:rPr>
          <w:spacing w:val="-63"/>
        </w:rPr>
      </w:r>
      <w:r>
        <w:rPr>
          <w:spacing w:val="-5"/>
        </w:rPr>
        <w:t>则、企业会计准则应用指南、企业会计准则解释及其他相关规定（以下合称“企业会计准则”），以及中国证券监督管理委员</w:t>
      </w:r>
      <w:r>
        <w:rPr>
          <w:spacing w:val="-82"/>
        </w:rPr>
        <w:t> </w:t>
      </w:r>
      <w:r>
        <w:rPr>
          <w:spacing w:val="-82"/>
        </w:rPr>
      </w:r>
      <w:r>
        <w:rPr/>
        <w:t>会《公开发行证券的公司信息披露编报规则第</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号——财务报告的一般规定》的披露规定编制财务报表。</w:t>
      </w:r>
    </w:p>
    <w:p>
      <w:pPr>
        <w:spacing w:line="302" w:lineRule="auto" w:before="5"/>
        <w:ind w:left="152" w:right="3914" w:firstLine="0"/>
        <w:jc w:val="left"/>
        <w:rPr>
          <w:rFonts w:ascii="宋体" w:hAnsi="宋体" w:cs="宋体" w:eastAsia="宋体" w:hint="default"/>
          <w:sz w:val="18"/>
          <w:szCs w:val="18"/>
        </w:rPr>
      </w:pPr>
      <w:bookmarkStart w:name="2、持续经营" w:id="163"/>
      <w:bookmarkEnd w:id="163"/>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、持续经营</w:t>
      </w:r>
      <w:r>
        <w:rPr>
          <w:rFonts w:ascii="宋体" w:hAnsi="宋体" w:cs="宋体" w:eastAsia="宋体" w:hint="default"/>
          <w:b/>
          <w:bCs/>
          <w:w w:val="99"/>
          <w:sz w:val="18"/>
          <w:szCs w:val="18"/>
        </w:rPr>
        <w:t> </w:t>
      </w:r>
      <w:r>
        <w:rPr>
          <w:rFonts w:ascii="宋体" w:hAnsi="宋体" w:cs="宋体" w:eastAsia="宋体" w:hint="default"/>
          <w:sz w:val="18"/>
          <w:szCs w:val="18"/>
        </w:rPr>
        <w:t>公司自本报告期末至少</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个月内具备持续经营能力，无影响持续经营能力的重大事项。 </w:t>
      </w:r>
      <w:bookmarkStart w:name="五、重要会计政策及会计估计" w:id="164"/>
      <w:bookmarkEnd w:id="164"/>
      <w:r>
        <w:rPr>
          <w:rFonts w:ascii="宋体" w:hAnsi="宋体" w:cs="宋体" w:eastAsia="宋体" w:hint="default"/>
          <w:sz w:val="18"/>
          <w:szCs w:val="18"/>
        </w:rPr>
      </w:r>
      <w:r>
        <w:rPr>
          <w:rFonts w:ascii="宋体" w:hAnsi="宋体" w:cs="宋体" w:eastAsia="宋体" w:hint="default"/>
          <w:b/>
          <w:bCs/>
          <w:sz w:val="18"/>
          <w:szCs w:val="18"/>
        </w:rPr>
        <w:t>五、重要会计政策及会计估计</w:t>
      </w:r>
      <w:r>
        <w:rPr>
          <w:rFonts w:ascii="宋体" w:hAnsi="宋体" w:cs="宋体" w:eastAsia="宋体" w:hint="default"/>
          <w:sz w:val="18"/>
          <w:szCs w:val="18"/>
        </w:rPr>
      </w:r>
    </w:p>
    <w:p>
      <w:pPr>
        <w:pStyle w:val="BodyText"/>
        <w:spacing w:line="309" w:lineRule="auto" w:before="27"/>
        <w:ind w:right="1109"/>
        <w:jc w:val="left"/>
      </w:pPr>
      <w:r>
        <w:rPr/>
        <w:t>具体会计政策和会计估计提示： 以下披露内容已涵盖了本公司根据实际生产经营特点制定的具体会计政策和会计估计。第十二节</w:t>
      </w:r>
      <w:r>
        <w:rPr>
          <w:spacing w:val="-49"/>
        </w:rPr>
        <w:t> </w:t>
      </w:r>
      <w:r>
        <w:rPr>
          <w:spacing w:val="-11"/>
        </w:rPr>
        <w:t>五、</w:t>
      </w:r>
      <w:r>
        <w:rPr>
          <w:rFonts w:ascii="Times New Roman" w:hAnsi="Times New Roman" w:cs="Times New Roman" w:eastAsia="Times New Roman" w:hint="default"/>
          <w:spacing w:val="-11"/>
        </w:rPr>
        <w:t>“</w:t>
      </w:r>
      <w:r>
        <w:rPr>
          <w:rFonts w:ascii="宋体" w:hAnsi="宋体" w:cs="宋体" w:eastAsia="宋体" w:hint="default"/>
          <w:spacing w:val="-11"/>
        </w:rPr>
        <w:t>10</w:t>
      </w:r>
      <w:r>
        <w:rPr>
          <w:spacing w:val="-11"/>
        </w:rPr>
        <w:t>、金融工具</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w:t>
      </w:r>
      <w:r>
        <w:rPr>
          <w:rFonts w:ascii="宋体" w:hAnsi="宋体" w:cs="宋体" w:eastAsia="宋体" w:hint="default"/>
          <w:spacing w:val="-11"/>
        </w:rPr>
        <w:t>11</w:t>
      </w:r>
      <w:r>
        <w:rPr>
          <w:spacing w:val="-11"/>
        </w:rPr>
        <w:t>、</w:t>
      </w:r>
      <w:r>
        <w:rPr/>
        <w:t> 存货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宋体" w:hAnsi="宋体" w:cs="宋体" w:eastAsia="宋体" w:hint="default"/>
        </w:rPr>
        <w:t>21</w:t>
      </w:r>
      <w:r>
        <w:rPr/>
        <w:t>、预计负债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宋体" w:hAnsi="宋体" w:cs="宋体" w:eastAsia="宋体" w:hint="default"/>
        </w:rPr>
        <w:t>23</w:t>
      </w:r>
      <w:r>
        <w:rPr/>
        <w:t>、收入</w:t>
      </w:r>
      <w:r>
        <w:rPr>
          <w:rFonts w:ascii="Times New Roman" w:hAnsi="Times New Roman" w:cs="Times New Roman" w:eastAsia="Times New Roman" w:hint="default"/>
        </w:rPr>
        <w:t>”</w:t>
      </w:r>
      <w:r>
        <w:rPr/>
        <w:t>。</w:t>
      </w:r>
    </w:p>
    <w:p>
      <w:pPr>
        <w:pStyle w:val="BodyText"/>
        <w:spacing w:line="300" w:lineRule="auto" w:before="7"/>
        <w:ind w:right="1116"/>
        <w:jc w:val="left"/>
      </w:pPr>
      <w:bookmarkStart w:name="1、遵循企业会计准则的声明" w:id="165"/>
      <w:bookmarkEnd w:id="165"/>
      <w:r>
        <w:rPr/>
      </w:r>
      <w:r>
        <w:rPr>
          <w:rFonts w:ascii="Times New Roman" w:hAnsi="Times New Roman" w:cs="Times New Roman" w:eastAsia="Times New Roman" w:hint="default"/>
          <w:b/>
          <w:bCs/>
        </w:rPr>
        <w:t>1</w:t>
      </w:r>
      <w:r>
        <w:rPr>
          <w:rFonts w:ascii="宋体" w:hAnsi="宋体" w:cs="宋体" w:eastAsia="宋体" w:hint="default"/>
          <w:b/>
          <w:bCs/>
        </w:rPr>
        <w:t>、遵循企业会计准则的声明</w:t>
      </w:r>
      <w:r>
        <w:rPr>
          <w:rFonts w:ascii="宋体" w:hAnsi="宋体" w:cs="宋体" w:eastAsia="宋体" w:hint="default"/>
          <w:b/>
          <w:bCs/>
          <w:w w:val="99"/>
        </w:rPr>
        <w:t> </w:t>
      </w: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日的合并及母公司财务状况以</w:t>
      </w:r>
      <w:r>
        <w:rPr>
          <w:spacing w:val="-56"/>
        </w:rPr>
        <w:t> </w:t>
      </w:r>
      <w:r>
        <w:rPr/>
        <w:t>及</w:t>
      </w:r>
      <w:r>
        <w:rPr>
          <w:rFonts w:ascii="Times New Roman" w:hAnsi="Times New Roman" w:cs="Times New Roman" w:eastAsia="Times New Roman" w:hint="default"/>
        </w:rPr>
        <w:t>2019</w:t>
      </w:r>
      <w:r>
        <w:rPr/>
        <w:t>年度的合并及母公司经营成果和现金流量。</w:t>
      </w:r>
    </w:p>
    <w:p>
      <w:pPr>
        <w:spacing w:line="300" w:lineRule="auto" w:before="15"/>
        <w:ind w:left="152" w:right="7154" w:firstLine="0"/>
        <w:jc w:val="left"/>
        <w:rPr>
          <w:rFonts w:ascii="宋体" w:hAnsi="宋体" w:cs="宋体" w:eastAsia="宋体" w:hint="default"/>
          <w:sz w:val="18"/>
          <w:szCs w:val="18"/>
        </w:rPr>
      </w:pPr>
      <w:bookmarkStart w:name="2、会计期间" w:id="166"/>
      <w:bookmarkEnd w:id="166"/>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、会计期间</w:t>
      </w:r>
      <w:r>
        <w:rPr>
          <w:rFonts w:ascii="宋体" w:hAnsi="宋体" w:cs="宋体" w:eastAsia="宋体" w:hint="default"/>
          <w:b/>
          <w:bCs/>
          <w:w w:val="99"/>
          <w:sz w:val="18"/>
          <w:szCs w:val="18"/>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67"/>
      <w:bookmarkEnd w:id="167"/>
      <w:r>
        <w:rPr>
          <w:rFonts w:ascii="宋体" w:hAnsi="宋体" w:cs="宋体" w:eastAsia="宋体" w:hint="default"/>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、营业周期</w:t>
      </w:r>
      <w:r>
        <w:rPr>
          <w:rFonts w:ascii="宋体" w:hAnsi="宋体" w:cs="宋体" w:eastAsia="宋体" w:hint="default"/>
          <w:sz w:val="18"/>
          <w:szCs w:val="18"/>
        </w:rPr>
      </w:r>
    </w:p>
    <w:p>
      <w:pPr>
        <w:spacing w:line="300" w:lineRule="auto" w:before="13"/>
        <w:ind w:left="152" w:right="805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bookmarkStart w:name="4、记账本位币" w:id="168"/>
      <w:bookmarkEnd w:id="168"/>
      <w:r>
        <w:rPr>
          <w:rFonts w:ascii="宋体" w:hAnsi="宋体" w:cs="宋体" w:eastAsia="宋体" w:hint="default"/>
          <w:sz w:val="18"/>
          <w:szCs w:val="18"/>
        </w:rPr>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、记账本位币</w:t>
      </w:r>
      <w:r>
        <w:rPr>
          <w:rFonts w:ascii="宋体" w:hAnsi="宋体" w:cs="宋体" w:eastAsia="宋体" w:hint="default"/>
          <w:b/>
          <w:bCs/>
          <w:w w:val="99"/>
          <w:sz w:val="18"/>
          <w:szCs w:val="18"/>
        </w:rPr>
        <w:t> </w:t>
      </w:r>
      <w:r>
        <w:rPr>
          <w:rFonts w:ascii="宋体" w:hAnsi="宋体" w:cs="宋体" w:eastAsia="宋体" w:hint="default"/>
          <w:sz w:val="18"/>
          <w:szCs w:val="18"/>
        </w:rPr>
        <w:t>本公司采用人民币为记账本位币。</w:t>
      </w:r>
    </w:p>
    <w:p>
      <w:pPr>
        <w:pStyle w:val="BodyText"/>
        <w:spacing w:line="240" w:lineRule="auto" w:before="31"/>
        <w:ind w:right="0"/>
        <w:jc w:val="left"/>
      </w:pPr>
      <w:r>
        <w:rPr/>
        <w:t>本公司之香港子公司今天国际物流科技有限公司以其注册地的法定货币港币为记账本位币，编制财务报表时折算为人民币。</w:t>
      </w:r>
    </w:p>
    <w:p>
      <w:pPr>
        <w:spacing w:after="0" w:line="240" w:lineRule="auto"/>
        <w:jc w:val="left"/>
        <w:sectPr>
          <w:pgSz w:w="11910" w:h="16840"/>
          <w:pgMar w:header="877" w:footer="980" w:top="1080" w:bottom="1160" w:left="980" w:right="0"/>
        </w:sectPr>
      </w:pPr>
    </w:p>
    <w:p>
      <w:pPr>
        <w:spacing w:line="240" w:lineRule="auto" w:before="11"/>
        <w:rPr>
          <w:rFonts w:ascii="宋体" w:hAnsi="宋体" w:cs="宋体" w:eastAsia="宋体" w:hint="default"/>
          <w:sz w:val="23"/>
          <w:szCs w:val="23"/>
        </w:rPr>
      </w:pPr>
    </w:p>
    <w:p>
      <w:pPr>
        <w:pStyle w:val="BodyText"/>
        <w:spacing w:line="312" w:lineRule="auto" w:before="44"/>
        <w:ind w:right="1116"/>
        <w:jc w:val="left"/>
      </w:pPr>
      <w:bookmarkStart w:name="5、同一控制下和非同一控制下企业合并的会计处理方法" w:id="169"/>
      <w:bookmarkEnd w:id="169"/>
      <w:r>
        <w:rPr/>
      </w:r>
      <w:r>
        <w:rPr>
          <w:rFonts w:ascii="Times New Roman" w:hAnsi="Times New Roman" w:cs="Times New Roman" w:eastAsia="Times New Roman" w:hint="default"/>
          <w:b/>
          <w:bCs/>
        </w:rPr>
        <w:t>5</w:t>
      </w:r>
      <w:r>
        <w:rPr>
          <w:rFonts w:ascii="宋体" w:hAnsi="宋体" w:cs="宋体" w:eastAsia="宋体" w:hint="default"/>
          <w:b/>
          <w:bCs/>
        </w:rPr>
        <w:t>、同一控制下和非同一控制下企业合并的会计处理方法</w:t>
      </w:r>
      <w:r>
        <w:rPr>
          <w:rFonts w:ascii="宋体" w:hAnsi="宋体" w:cs="宋体" w:eastAsia="宋体" w:hint="default"/>
          <w:b/>
          <w:bCs/>
          <w:w w:val="99"/>
        </w:rPr>
        <w:t> </w:t>
      </w:r>
      <w:r>
        <w:rPr>
          <w:spacing w:val="-2"/>
        </w:rPr>
        <w:t>同一控制下企业合并：合并方在企业合并中取得的资产和负债，按照合并日被合并方资产、负债（包括最终控制方收购被合</w:t>
      </w:r>
      <w:r>
        <w:rPr>
          <w:spacing w:val="-64"/>
        </w:rPr>
        <w:t> </w:t>
      </w:r>
      <w:r>
        <w:rPr>
          <w:spacing w:val="-64"/>
        </w:rPr>
      </w:r>
      <w:r>
        <w:rPr>
          <w:spacing w:val="-2"/>
        </w:rPr>
        <w:t>并方而形成的商誉）在最终控制方合并财务报表中的账面价值计量。在合并中取得的净资产账面价值与支付的合并对价账面</w:t>
      </w:r>
      <w:r>
        <w:rPr>
          <w:spacing w:val="-62"/>
        </w:rPr>
        <w:t> </w:t>
      </w:r>
      <w:r>
        <w:rPr>
          <w:spacing w:val="-62"/>
        </w:rPr>
      </w:r>
      <w:r>
        <w:rPr/>
        <w:t>价值（或发行股份面值总额）的差额，调整资本公积中的股本溢价，资本公积中的股本溢价不足冲减的，调整留存收益。</w:t>
      </w:r>
    </w:p>
    <w:p>
      <w:pPr>
        <w:spacing w:line="240" w:lineRule="auto" w:before="7"/>
        <w:rPr>
          <w:rFonts w:ascii="宋体" w:hAnsi="宋体" w:cs="宋体" w:eastAsia="宋体" w:hint="default"/>
          <w:sz w:val="25"/>
          <w:szCs w:val="25"/>
        </w:rPr>
      </w:pPr>
    </w:p>
    <w:p>
      <w:pPr>
        <w:pStyle w:val="BodyText"/>
        <w:spacing w:line="316" w:lineRule="auto"/>
        <w:ind w:right="1130"/>
        <w:jc w:val="both"/>
      </w:pPr>
      <w:r>
        <w:rPr>
          <w:spacing w:val="-2"/>
        </w:rPr>
        <w:t>非同一控制下企业合并：购买方在购买日对作为企业合并对价付出的资产、发生或承担的负债按照公允价值计量，公允价值</w:t>
      </w:r>
      <w:r>
        <w:rPr>
          <w:spacing w:val="-63"/>
        </w:rPr>
        <w:t> </w:t>
      </w:r>
      <w:r>
        <w:rPr>
          <w:spacing w:val="-63"/>
        </w:rPr>
      </w:r>
      <w:r>
        <w:rPr>
          <w:spacing w:val="-5"/>
        </w:rPr>
        <w:t>与其账面价值的差额，计入当期损益。合并成本大于合并中取得的被购买方可辨认净资产公允价值份额的差额，确认为商誉；</w:t>
      </w:r>
      <w:r>
        <w:rPr>
          <w:spacing w:val="-76"/>
        </w:rPr>
        <w:t> </w:t>
      </w:r>
      <w:r>
        <w:rPr>
          <w:spacing w:val="-76"/>
        </w:rPr>
      </w:r>
      <w:r>
        <w:rPr/>
        <w:t>合并成本小于合并中取得的被购买方可辨认净资产公允价值份额的差额，计入当期损益。</w:t>
      </w:r>
    </w:p>
    <w:p>
      <w:pPr>
        <w:spacing w:line="240" w:lineRule="auto" w:before="4"/>
        <w:rPr>
          <w:rFonts w:ascii="宋体" w:hAnsi="宋体" w:cs="宋体" w:eastAsia="宋体" w:hint="default"/>
          <w:sz w:val="25"/>
          <w:szCs w:val="25"/>
        </w:rPr>
      </w:pPr>
    </w:p>
    <w:p>
      <w:pPr>
        <w:pStyle w:val="BodyText"/>
        <w:spacing w:line="316" w:lineRule="auto"/>
        <w:ind w:right="1116"/>
        <w:jc w:val="left"/>
      </w:pPr>
      <w:r>
        <w:rPr>
          <w:spacing w:val="-2"/>
        </w:rPr>
        <w:t>为企业合并发生的直接相关费用于发生时计入当期损益；为企业合并而发行权益性证券或债务性证券的交易费用，计入权益</w:t>
      </w:r>
      <w:r>
        <w:rPr>
          <w:spacing w:val="-62"/>
        </w:rPr>
        <w:t> </w:t>
      </w:r>
      <w:r>
        <w:rPr>
          <w:spacing w:val="-62"/>
        </w:rPr>
      </w:r>
      <w:r>
        <w:rPr/>
        <w:t>性证券或债务性证券的初始确认金额。</w:t>
      </w:r>
    </w:p>
    <w:p>
      <w:pPr>
        <w:pStyle w:val="Heading5"/>
        <w:spacing w:line="240" w:lineRule="auto" w:before="21"/>
        <w:ind w:right="1116"/>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pStyle w:val="Heading5"/>
        <w:spacing w:line="240" w:lineRule="auto" w:before="61"/>
        <w:ind w:left="1070" w:right="1116"/>
        <w:jc w:val="left"/>
        <w:rPr>
          <w:b w:val="0"/>
          <w:bCs w:val="0"/>
        </w:rPr>
      </w:pPr>
      <w:r>
        <w:rPr>
          <w:rFonts w:ascii="宋体" w:hAnsi="宋体" w:cs="宋体" w:eastAsia="宋体" w:hint="default"/>
        </w:rPr>
        <w:t>1.</w:t>
      </w:r>
      <w:r>
        <w:rPr>
          <w:rFonts w:ascii="宋体" w:hAnsi="宋体" w:cs="宋体" w:eastAsia="宋体" w:hint="default"/>
          <w:spacing w:val="86"/>
        </w:rPr>
        <w:t> </w:t>
      </w:r>
      <w:r>
        <w:rPr/>
        <w:t>合并范围</w:t>
      </w:r>
      <w:r>
        <w:rPr>
          <w:b w:val="0"/>
          <w:bCs w:val="0"/>
        </w:rPr>
      </w:r>
    </w:p>
    <w:p>
      <w:pPr>
        <w:pStyle w:val="BodyText"/>
        <w:spacing w:line="316" w:lineRule="auto" w:before="76"/>
        <w:ind w:left="1430" w:right="1116"/>
        <w:jc w:val="left"/>
      </w:pPr>
      <w:r>
        <w:rPr/>
        <w:t>本公司合并财务报表的合并范围以控制为基础确定，所有子公司（包括本公司所控制的被投资方可分割的</w:t>
      </w:r>
      <w:r>
        <w:rPr>
          <w:spacing w:val="-19"/>
        </w:rPr>
        <w:t> </w:t>
      </w:r>
      <w:r>
        <w:rPr>
          <w:spacing w:val="-19"/>
        </w:rPr>
      </w:r>
      <w:r>
        <w:rPr/>
        <w:t>部分）均纳入合并财务报表。</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2.</w:t>
      </w:r>
      <w:r>
        <w:rPr>
          <w:rFonts w:ascii="宋体" w:hAnsi="宋体" w:cs="宋体" w:eastAsia="宋体" w:hint="default"/>
          <w:spacing w:val="86"/>
        </w:rPr>
        <w:t> </w:t>
      </w:r>
      <w:r>
        <w:rPr/>
        <w:t>合并程序</w:t>
      </w:r>
      <w:r>
        <w:rPr>
          <w:b w:val="0"/>
          <w:bCs w:val="0"/>
        </w:rPr>
      </w:r>
    </w:p>
    <w:p>
      <w:pPr>
        <w:pStyle w:val="BodyText"/>
        <w:spacing w:line="316" w:lineRule="auto" w:before="76"/>
        <w:ind w:left="1430" w:right="1116"/>
        <w:jc w:val="left"/>
      </w:pPr>
      <w:r>
        <w:rPr/>
        <w:t>本公司以自身和各子公司的财务报表为基础，根据其他有关资料，编制合并财务报表。本公司编制合并财</w:t>
      </w:r>
      <w:r>
        <w:rPr>
          <w:spacing w:val="-19"/>
        </w:rPr>
        <w:t> </w:t>
      </w:r>
      <w:r>
        <w:rPr>
          <w:spacing w:val="-19"/>
        </w:rPr>
      </w:r>
      <w:r>
        <w:rPr/>
        <w:t>务报表，将整个企业集团视为一个会计主体，依据相关企业会计准则的确认、计量和列报要求，按照统一</w:t>
      </w:r>
      <w:r>
        <w:rPr>
          <w:spacing w:val="-19"/>
        </w:rPr>
        <w:t> </w:t>
      </w:r>
      <w:r>
        <w:rPr>
          <w:spacing w:val="-19"/>
        </w:rPr>
      </w:r>
      <w:r>
        <w:rPr/>
        <w:t>的会计政策，反映本企业集团整体财务状况、经营成果和现金流量。 所有纳入合并财务报表合并范围的子公司所采用的会计政策、会计期间与本公司一致，如子公司采用的会</w:t>
      </w:r>
      <w:r>
        <w:rPr>
          <w:spacing w:val="-19"/>
        </w:rPr>
        <w:t> </w:t>
      </w:r>
      <w:r>
        <w:rPr>
          <w:spacing w:val="-19"/>
        </w:rPr>
      </w:r>
      <w:r>
        <w:rPr/>
        <w:t>计政策、会计期间与本公司不一致的，在编制合并财务报表时，按本公司的会计政策、会计期间进行必要</w:t>
      </w:r>
      <w:r>
        <w:rPr>
          <w:spacing w:val="-19"/>
        </w:rPr>
        <w:t> </w:t>
      </w:r>
      <w:r>
        <w:rPr>
          <w:spacing w:val="-19"/>
        </w:rPr>
      </w:r>
      <w:r>
        <w:rPr/>
        <w:t>的调整。对于非同一控制下企业合并取得的子公司，以购买日可辨认净资产公允价值为基础对其财务报表</w:t>
      </w:r>
      <w:r>
        <w:rPr>
          <w:spacing w:val="-19"/>
        </w:rPr>
        <w:t> </w:t>
      </w:r>
      <w:r>
        <w:rPr>
          <w:spacing w:val="-19"/>
        </w:rPr>
      </w:r>
      <w:r>
        <w:rPr/>
        <w:t>进行调整。对于同一控制下企业合并取得的子公司，以其资产、负债（包括最终控制方收购该子公司而形</w:t>
      </w:r>
      <w:r>
        <w:rPr>
          <w:spacing w:val="-19"/>
        </w:rPr>
        <w:t> </w:t>
      </w:r>
      <w:r>
        <w:rPr>
          <w:spacing w:val="-19"/>
        </w:rPr>
      </w:r>
      <w:r>
        <w:rPr/>
        <w:t>成的商誉）在最终控制方财务报表中的账面价值为基础对其财务报表进行调整。 子公司所有者权益、当期净损益和当期综合收益中属于少数股东的份额分别在合并资产负债表中所有者权</w:t>
      </w:r>
      <w:r>
        <w:rPr>
          <w:spacing w:val="-11"/>
        </w:rPr>
        <w:t> </w:t>
      </w:r>
      <w:r>
        <w:rPr>
          <w:spacing w:val="-11"/>
        </w:rPr>
      </w:r>
      <w:r>
        <w:rPr/>
        <w:t>益项目下、合并利润表中净利润项目下和综合收益总额项目下单独列示。子公司少数股东分担的当期亏损</w:t>
      </w:r>
      <w:r>
        <w:rPr>
          <w:spacing w:val="-19"/>
        </w:rPr>
        <w:t> </w:t>
      </w:r>
      <w:r>
        <w:rPr>
          <w:spacing w:val="-19"/>
        </w:rPr>
      </w:r>
      <w:r>
        <w:rPr/>
        <w:t>超过了少数股东在该子公司期初所有者权益中所享有份额而形成的余额，冲减少数股东权益。</w:t>
      </w:r>
    </w:p>
    <w:p>
      <w:pPr>
        <w:pStyle w:val="BodyText"/>
        <w:spacing w:line="316" w:lineRule="auto" w:before="19"/>
        <w:ind w:left="1430" w:right="1116"/>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w:t>
      </w:r>
      <w:r>
        <w:rPr>
          <w:spacing w:val="-19"/>
        </w:rPr>
        <w:t> </w:t>
      </w:r>
      <w:r>
        <w:rPr>
          <w:spacing w:val="-19"/>
        </w:rPr>
      </w:r>
      <w:r>
        <w:rPr/>
        <w:t>或业务合并当期期初至报告期末的收入、费用、利润纳入合并利润表；将子公司或业务合并当期期初至报</w:t>
      </w:r>
      <w:r>
        <w:rPr>
          <w:spacing w:val="-19"/>
        </w:rPr>
        <w:t> </w:t>
      </w:r>
      <w:r>
        <w:rPr>
          <w:spacing w:val="-19"/>
        </w:rPr>
      </w:r>
      <w:r>
        <w:rPr/>
        <w:t>告期末的现金流量纳入合并现金流量表，同时对比较报表的相关项目进行调整，视同合并后的报告主体自</w:t>
      </w:r>
      <w:r>
        <w:rPr>
          <w:spacing w:val="-19"/>
        </w:rPr>
        <w:t> </w:t>
      </w:r>
      <w:r>
        <w:rPr>
          <w:spacing w:val="-19"/>
        </w:rPr>
      </w:r>
      <w:r>
        <w:rPr/>
        <w:t>最终控制方开始控制时点起一直存在。 因追加投资等原因能够对同一控制下的被投资方实施控制的，视同参与合并的各方在最终控制方开始控制</w:t>
      </w:r>
      <w:r>
        <w:rPr>
          <w:spacing w:val="-19"/>
        </w:rPr>
        <w:t> </w:t>
      </w:r>
      <w:r>
        <w:rPr>
          <w:spacing w:val="-19"/>
        </w:rPr>
      </w:r>
      <w:r>
        <w:rPr/>
        <w:t>时即以目前的状态存在进行调整。在取得被合并方控制权之前持有的股权投资，在取得原股权之日与合并</w:t>
      </w:r>
      <w:r>
        <w:rPr>
          <w:spacing w:val="-19"/>
        </w:rPr>
        <w:t> </w:t>
      </w:r>
      <w:r>
        <w:rPr>
          <w:spacing w:val="-19"/>
        </w:rPr>
      </w:r>
      <w:r>
        <w:rPr/>
        <w:t>方和被合并方同处于同一控制之日孰晚日起至合并日之间已确认有关损益、其他综合收益以及其他净资产</w:t>
      </w:r>
      <w:r>
        <w:rPr>
          <w:spacing w:val="-19"/>
        </w:rPr>
        <w:t> </w:t>
      </w:r>
      <w:r>
        <w:rPr>
          <w:spacing w:val="-19"/>
        </w:rPr>
      </w:r>
      <w:r>
        <w:rPr/>
        <w:t>变动，分别冲减比较报表期间的期初留存收益或当期损益。 在报告期内，若因非同一控制下企业合并增加子公司或业务的，则不调整合并资产负债表期初数；将该子</w:t>
      </w:r>
      <w:r>
        <w:rPr>
          <w:spacing w:val="-19"/>
        </w:rPr>
        <w:t> </w:t>
      </w:r>
      <w:r>
        <w:rPr>
          <w:spacing w:val="-19"/>
        </w:rPr>
      </w:r>
      <w:r>
        <w:rPr/>
        <w:t>公司或业务自购买日至报告期末的收入、费用、利润纳入合并利润表；该子公司或业务自购买日至报告期</w:t>
      </w:r>
      <w:r>
        <w:rPr>
          <w:spacing w:val="-12"/>
        </w:rPr>
        <w:t> </w:t>
      </w:r>
      <w:r>
        <w:rPr>
          <w:spacing w:val="-12"/>
        </w:rPr>
      </w:r>
      <w:r>
        <w:rPr/>
        <w:t>末的现金流量纳入合并现金流量表。 因追加投资等原因能够对非同一控制下的被投资方实施控制的，对于购买日之前持有的被购买方的股权，</w:t>
      </w:r>
      <w:r>
        <w:rPr>
          <w:spacing w:val="-19"/>
        </w:rPr>
        <w:t> </w:t>
      </w:r>
      <w:r>
        <w:rPr>
          <w:spacing w:val="-19"/>
        </w:rPr>
      </w:r>
      <w:r>
        <w:rPr/>
        <w:t>本公司按照该股权在购买日的公允价值进行重新计量，公允价值与其账面价值的差额计入当期投资收益。</w:t>
      </w:r>
      <w:r>
        <w:rPr>
          <w:spacing w:val="-19"/>
        </w:rPr>
        <w:t> </w:t>
      </w:r>
      <w:r>
        <w:rPr>
          <w:spacing w:val="-19"/>
        </w:rPr>
      </w:r>
      <w:r>
        <w:rPr/>
        <w:t>购买日之前持有的被购买方的股权涉及权益法核算下的其他综合收益以及除净损益、其他综合收益和利润</w:t>
      </w:r>
      <w:r>
        <w:rPr>
          <w:spacing w:val="-19"/>
        </w:rPr>
        <w:t> </w:t>
      </w:r>
      <w:r>
        <w:rPr>
          <w:spacing w:val="-19"/>
        </w:rPr>
      </w:r>
      <w:r>
        <w:rPr/>
        <w:t>分配之外的其他所有者权益变动的，与其相关的其他综合收益、其他所有者权益变动转为购买日所属当期</w:t>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240" w:lineRule="auto" w:before="44"/>
        <w:ind w:left="1430" w:right="1116"/>
        <w:jc w:val="left"/>
      </w:pPr>
      <w:r>
        <w:rPr/>
        <w:t>投资收益，由于被投资方重新计量设定受益计划净负债或净资产变动而产生的其他综合收益除外。</w:t>
      </w:r>
    </w:p>
    <w:p>
      <w:pPr>
        <w:pStyle w:val="BodyText"/>
        <w:spacing w:line="240" w:lineRule="auto" w:before="77"/>
        <w:ind w:left="1430" w:right="1116"/>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1430" w:right="1116"/>
        <w:jc w:val="left"/>
      </w:pPr>
      <w:r>
        <w:rPr/>
        <w:t>①一般处理方法 在报告期内，本公司处置子公司或业务，则该子公司或业务期初至处置日的收入、费用、利润纳入合并利</w:t>
      </w:r>
      <w:r>
        <w:rPr>
          <w:spacing w:val="-19"/>
        </w:rPr>
        <w:t> </w:t>
      </w:r>
      <w:r>
        <w:rPr>
          <w:spacing w:val="-19"/>
        </w:rPr>
      </w:r>
      <w:r>
        <w:rPr/>
        <w:t>润表；该子公司或业务期初至处置日的现金流量纳入合并现金流量表。 因处置部分股权投资或其他原因丧失了对被投资方控制权时，对于处置后的剩余股权投资，本公司按照其</w:t>
      </w:r>
      <w:r>
        <w:rPr>
          <w:spacing w:val="-19"/>
        </w:rPr>
        <w:t> </w:t>
      </w:r>
      <w:r>
        <w:rPr>
          <w:spacing w:val="-19"/>
        </w:rPr>
      </w:r>
      <w:r>
        <w:rPr/>
        <w:t>在丧失控制权日的公允价值进行重新计量。处置股权取得的对价与剩余股权公允价值之和，减去按原持股</w:t>
      </w:r>
      <w:r>
        <w:rPr>
          <w:spacing w:val="-19"/>
        </w:rPr>
        <w:t> </w:t>
      </w:r>
      <w:r>
        <w:rPr>
          <w:spacing w:val="-19"/>
        </w:rPr>
      </w:r>
      <w:r>
        <w:rPr/>
        <w:t>比例计算应享有原有子公司自购买日或合并日开始持续计算的净资产的份额与商誉之和的差额，计入丧失</w:t>
      </w:r>
      <w:r>
        <w:rPr>
          <w:spacing w:val="-19"/>
        </w:rPr>
        <w:t> </w:t>
      </w:r>
      <w:r>
        <w:rPr>
          <w:spacing w:val="-19"/>
        </w:rPr>
      </w:r>
      <w:r>
        <w:rPr/>
        <w:t>控制权当期的投资收益。与原有子公司股权投资相关的其他综合收益或除净损益、其他综合收益及利润分</w:t>
      </w:r>
      <w:r>
        <w:rPr>
          <w:spacing w:val="-19"/>
        </w:rPr>
        <w:t> </w:t>
      </w:r>
      <w:r>
        <w:rPr>
          <w:spacing w:val="-19"/>
        </w:rPr>
      </w:r>
      <w:r>
        <w:rPr/>
        <w:t>配之外的其他所有者权益变动，在丧失控制权时转为当期投资收益，由于被投资方重新计量设定受益计划</w:t>
      </w:r>
      <w:r>
        <w:rPr>
          <w:spacing w:val="-19"/>
        </w:rPr>
        <w:t> </w:t>
      </w:r>
      <w:r>
        <w:rPr>
          <w:spacing w:val="-19"/>
        </w:rPr>
      </w:r>
      <w:r>
        <w:rPr/>
        <w:t>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left="1430" w:right="1116"/>
        <w:jc w:val="left"/>
      </w:pPr>
      <w:r>
        <w:rPr/>
        <w:t>②分步处置子公司 通过多次交易分步处置对子公司股权投资直至丧失控制权的，处置对子公司股权投资的各项交易的条款、</w:t>
      </w:r>
      <w:r>
        <w:rPr>
          <w:spacing w:val="-19"/>
        </w:rPr>
        <w:t> </w:t>
      </w:r>
      <w:r>
        <w:rPr>
          <w:spacing w:val="-19"/>
        </w:rPr>
      </w:r>
      <w:r>
        <w:rPr/>
        <w:t>条件以及经济影响符合以下一种或多种情况，通常表明应将多次交易事项作为一揽子交易进行会计处理： ⅰ．这些交易是同时或者在考虑了彼此影响的情况下订立的；</w:t>
      </w:r>
      <w:r>
        <w:rPr/>
        <w:t> ⅱ．这些交易整体才能达成一项完整的商业结果；</w:t>
      </w:r>
    </w:p>
    <w:p>
      <w:pPr>
        <w:pStyle w:val="BodyText"/>
        <w:spacing w:line="316" w:lineRule="auto" w:before="19"/>
        <w:ind w:left="1430" w:right="1116"/>
        <w:jc w:val="left"/>
      </w:pPr>
      <w:r>
        <w:rPr/>
        <w:t>ⅲ．一项交易的发生取决于其他至少一项交易的发生； ⅳ．一项交易单独看是不经济的，但是和其他交易一并考虑时是经济的。 处置对子公司股权投资直至丧失控制权的各项交易属于一揽子交易的，本公司将各项交易作为一项处置子</w:t>
      </w:r>
      <w:r>
        <w:rPr>
          <w:spacing w:val="-19"/>
        </w:rPr>
        <w:t> </w:t>
      </w:r>
      <w:r>
        <w:rPr>
          <w:spacing w:val="-19"/>
        </w:rPr>
      </w:r>
      <w:r>
        <w:rPr/>
        <w:t>公司并丧失控制权的交易进行会计处理；但是，在丧失控制权之前每一次处置价款与处置投资对应的享有</w:t>
      </w:r>
      <w:r>
        <w:rPr>
          <w:spacing w:val="-19"/>
        </w:rPr>
        <w:t> </w:t>
      </w:r>
      <w:r>
        <w:rPr>
          <w:spacing w:val="-19"/>
        </w:rPr>
      </w:r>
      <w:r>
        <w:rPr/>
        <w:t>该子公司净资产份额的差额，在合并财务报表中确认为其他综合收益，在丧失控制权时一并转入丧失控制</w:t>
      </w:r>
      <w:r>
        <w:rPr>
          <w:spacing w:val="-19"/>
        </w:rPr>
        <w:t> </w:t>
      </w:r>
      <w:r>
        <w:rPr>
          <w:spacing w:val="-19"/>
        </w:rPr>
      </w:r>
      <w:r>
        <w:rPr/>
        <w:t>权当期的损益。 处置对子公司股权投资直至丧失控制权的各项交易不属于一揽子交易的，在丧失控制权之前，按不丧失控</w:t>
      </w:r>
      <w:r>
        <w:rPr>
          <w:spacing w:val="-19"/>
        </w:rPr>
        <w:t> </w:t>
      </w:r>
      <w:r>
        <w:rPr>
          <w:spacing w:val="-19"/>
        </w:rPr>
      </w:r>
      <w:r>
        <w:rPr/>
        <w:t>制权的情况下部分处置对子公司的股权投资的相关政策进行会计处理；在丧失控制权时，按处置子公司一</w:t>
      </w:r>
      <w:r>
        <w:rPr>
          <w:spacing w:val="-19"/>
        </w:rPr>
        <w:t> </w:t>
      </w:r>
      <w:r>
        <w:rPr>
          <w:spacing w:val="-19"/>
        </w:rPr>
      </w:r>
      <w:r>
        <w:rPr/>
        <w:t>般处理方法进行会计处理。</w:t>
      </w:r>
    </w:p>
    <w:p>
      <w:pPr>
        <w:pStyle w:val="BodyText"/>
        <w:spacing w:line="312" w:lineRule="auto" w:before="19"/>
        <w:ind w:left="1430"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本公司因购买少数股权新取得的长期股权投资与按照新增持股比例计算应享有子公司自购买日（或合并日）</w:t>
      </w:r>
      <w:r>
        <w:rPr>
          <w:spacing w:val="-51"/>
        </w:rPr>
        <w:t> </w:t>
      </w:r>
      <w:r>
        <w:rPr>
          <w:spacing w:val="-51"/>
        </w:rPr>
      </w:r>
      <w:r>
        <w:rPr/>
        <w:t>开始持续计算的净资产份额之间的差额，调整合并资产负债表中的资本公积中的股本溢价，资本公积中的</w:t>
      </w:r>
      <w:r>
        <w:rPr>
          <w:spacing w:val="-19"/>
        </w:rPr>
        <w:t> </w:t>
      </w:r>
      <w:r>
        <w:rPr>
          <w:spacing w:val="-19"/>
        </w:rPr>
      </w:r>
      <w:r>
        <w:rPr/>
        <w:t>股本溢价不足冲减的，调整留存收益。</w:t>
      </w:r>
    </w:p>
    <w:p>
      <w:pPr>
        <w:pStyle w:val="BodyText"/>
        <w:spacing w:line="312" w:lineRule="auto" w:before="22"/>
        <w:ind w:left="1430" w:right="1116"/>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w:t>
      </w:r>
      <w:r>
        <w:rPr>
          <w:spacing w:val="-19"/>
        </w:rPr>
        <w:t> </w:t>
      </w:r>
      <w:r>
        <w:rPr>
          <w:spacing w:val="-19"/>
        </w:rPr>
      </w:r>
      <w:r>
        <w:rPr/>
        <w:t>应享有子公司自购买日或合并日开始持续计算的净资产份额之间的差额，调整合并资产负债表中的资本公</w:t>
      </w:r>
      <w:r>
        <w:rPr>
          <w:spacing w:val="-19"/>
        </w:rPr>
        <w:t> </w:t>
      </w:r>
      <w:r>
        <w:rPr>
          <w:spacing w:val="-19"/>
        </w:rPr>
      </w:r>
      <w:r>
        <w:rPr/>
        <w:t>积中的股本溢价，资本公积中的股本溢价不足冲减的，调整留存收益。</w:t>
      </w:r>
    </w:p>
    <w:p>
      <w:pPr>
        <w:spacing w:line="297" w:lineRule="auto" w:before="25"/>
        <w:ind w:left="866" w:right="7160" w:hanging="714"/>
        <w:jc w:val="left"/>
        <w:rPr>
          <w:rFonts w:ascii="宋体" w:hAnsi="宋体" w:cs="宋体" w:eastAsia="宋体" w:hint="default"/>
          <w:sz w:val="18"/>
          <w:szCs w:val="18"/>
        </w:rPr>
      </w:pPr>
      <w:bookmarkStart w:name="7、合营安排分类及共同经营会计处理方法" w:id="171"/>
      <w:bookmarkEnd w:id="171"/>
      <w:r>
        <w:rPr/>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、合营安排分类及共同经营会计处理方法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合营安排分为共同经营和合营企业。</w:t>
      </w:r>
    </w:p>
    <w:p>
      <w:pPr>
        <w:pStyle w:val="BodyText"/>
        <w:spacing w:line="316" w:lineRule="auto" w:before="33"/>
        <w:ind w:left="866" w:right="2120"/>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866" w:right="1116"/>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866" w:right="1116"/>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866" w:right="1116"/>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866" w:right="1116"/>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866" w:right="4010"/>
        <w:jc w:val="left"/>
      </w:pPr>
      <w:r>
        <w:rPr/>
        <w:t>（</w:t>
      </w:r>
      <w:r>
        <w:rPr>
          <w:rFonts w:ascii="Times New Roman" w:hAnsi="Times New Roman" w:cs="Times New Roman" w:eastAsia="Times New Roman" w:hint="default"/>
        </w:rPr>
        <w:t>5</w:t>
      </w:r>
      <w:r>
        <w:rPr/>
        <w:t>）确认单独所发生的费用，以及按本公司份额确认共同经营发生的费用。 </w:t>
      </w:r>
      <w:r>
        <w:rPr>
          <w:spacing w:val="-3"/>
        </w:rPr>
        <w:t>本公司对合营企业投资的会计政策见本附注“</w:t>
      </w:r>
      <w:r>
        <w:rPr>
          <w:rFonts w:ascii="Times New Roman" w:hAnsi="Times New Roman" w:cs="Times New Roman" w:eastAsia="Times New Roman" w:hint="default"/>
          <w:spacing w:val="-3"/>
        </w:rPr>
        <w:t>16</w:t>
      </w:r>
      <w:r>
        <w:rPr>
          <w:spacing w:val="-3"/>
        </w:rPr>
        <w:t>、长期股权投资”。</w:t>
      </w:r>
    </w:p>
    <w:p>
      <w:pPr>
        <w:spacing w:after="0" w:line="300" w:lineRule="auto"/>
        <w:jc w:val="left"/>
        <w:sectPr>
          <w:pgSz w:w="11910" w:h="16840"/>
          <w:pgMar w:header="877" w:footer="980" w:top="1080" w:bottom="1160" w:left="980" w:right="0"/>
        </w:sectPr>
      </w:pPr>
    </w:p>
    <w:p>
      <w:pPr>
        <w:spacing w:line="240" w:lineRule="auto" w:before="11"/>
        <w:rPr>
          <w:rFonts w:ascii="宋体" w:hAnsi="宋体" w:cs="宋体" w:eastAsia="宋体" w:hint="default"/>
          <w:sz w:val="23"/>
          <w:szCs w:val="23"/>
        </w:rPr>
      </w:pPr>
    </w:p>
    <w:p>
      <w:pPr>
        <w:spacing w:line="312" w:lineRule="auto" w:before="44"/>
        <w:ind w:left="152" w:right="1116" w:firstLine="0"/>
        <w:jc w:val="left"/>
        <w:rPr>
          <w:rFonts w:ascii="宋体" w:hAnsi="宋体" w:cs="宋体" w:eastAsia="宋体" w:hint="default"/>
          <w:sz w:val="18"/>
          <w:szCs w:val="18"/>
        </w:rPr>
      </w:pPr>
      <w:bookmarkStart w:name="8、现金及现金等价物的确定标准" w:id="172"/>
      <w:bookmarkEnd w:id="172"/>
      <w:r>
        <w:rPr/>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、现金及现金等价物的确定标准</w:t>
      </w:r>
      <w:r>
        <w:rPr>
          <w:rFonts w:ascii="宋体" w:hAnsi="宋体" w:cs="宋体" w:eastAsia="宋体" w:hint="default"/>
          <w:b/>
          <w:bCs/>
          <w:w w:val="99"/>
          <w:sz w:val="18"/>
          <w:szCs w:val="18"/>
        </w:rPr>
        <w:t> </w:t>
      </w:r>
      <w:r>
        <w:rPr>
          <w:rFonts w:ascii="宋体" w:hAnsi="宋体" w:cs="宋体" w:eastAsia="宋体" w:hint="default"/>
          <w:spacing w:val="-2"/>
          <w:sz w:val="18"/>
          <w:szCs w:val="18"/>
        </w:rPr>
        <w:t>在编制现金流量表时，将本公司库存现金以及可以随时用于支付的存款确认为现金。将同时具备期限短（从购买日起三个月</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内到期）、流动性强、易于转换为已知现金、价值变动风险很小四个条件的投资，确定为现金等价物。</w:t>
      </w:r>
      <w:r>
        <w:rPr>
          <w:rFonts w:ascii="宋体" w:hAnsi="宋体" w:cs="宋体" w:eastAsia="宋体" w:hint="default"/>
          <w:sz w:val="18"/>
          <w:szCs w:val="18"/>
        </w:rPr>
        <w:t> </w:t>
      </w:r>
      <w:bookmarkStart w:name="9、外币业务和外币报表折算" w:id="173"/>
      <w:bookmarkEnd w:id="173"/>
      <w:r>
        <w:rPr>
          <w:rFonts w:ascii="宋体" w:hAnsi="宋体" w:cs="宋体" w:eastAsia="宋体" w:hint="default"/>
          <w:sz w:val="18"/>
          <w:szCs w:val="18"/>
        </w:rPr>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、外币业务和外币报表折算</w:t>
      </w:r>
      <w:r>
        <w:rPr>
          <w:rFonts w:ascii="宋体" w:hAnsi="宋体" w:cs="宋体" w:eastAsia="宋体" w:hint="default"/>
          <w:sz w:val="18"/>
          <w:szCs w:val="18"/>
        </w:rPr>
      </w:r>
    </w:p>
    <w:p>
      <w:pPr>
        <w:pStyle w:val="Heading5"/>
        <w:spacing w:line="240" w:lineRule="auto"/>
        <w:ind w:left="1070" w:right="1116"/>
        <w:jc w:val="left"/>
        <w:rPr>
          <w:b w:val="0"/>
          <w:bCs w:val="0"/>
        </w:rPr>
      </w:pPr>
      <w:r>
        <w:rPr>
          <w:rFonts w:ascii="宋体" w:hAnsi="宋体" w:cs="宋体" w:eastAsia="宋体" w:hint="default"/>
        </w:rPr>
        <w:t>1.</w:t>
      </w:r>
      <w:r>
        <w:rPr>
          <w:rFonts w:ascii="宋体" w:hAnsi="宋体" w:cs="宋体" w:eastAsia="宋体" w:hint="default"/>
          <w:spacing w:val="86"/>
        </w:rPr>
        <w:t> </w:t>
      </w:r>
      <w:r>
        <w:rPr/>
        <w:t>外币业务</w:t>
      </w:r>
      <w:r>
        <w:rPr>
          <w:b w:val="0"/>
          <w:bCs w:val="0"/>
        </w:rPr>
      </w:r>
    </w:p>
    <w:p>
      <w:pPr>
        <w:pStyle w:val="BodyText"/>
        <w:spacing w:line="316" w:lineRule="auto" w:before="76"/>
        <w:ind w:left="1430" w:right="1116"/>
        <w:jc w:val="left"/>
      </w:pPr>
      <w:r>
        <w:rPr/>
        <w:t>外币业务采用交易发生日的即期汇率作为折算汇率将外币金额折合成人民币记账。 资产负债表日外币货币性项目余额按资产负债表日即期汇率折算，由此产生的汇兑差额，除属于与购建符</w:t>
      </w:r>
      <w:r>
        <w:rPr>
          <w:spacing w:val="-19"/>
        </w:rPr>
        <w:t> </w:t>
      </w:r>
      <w:r>
        <w:rPr>
          <w:spacing w:val="-19"/>
        </w:rPr>
      </w:r>
      <w:r>
        <w:rPr/>
        <w:t>合资本化条件的资产相关的外币专门借款产生的汇兑差额按照借款费用资本化的原则处理外，均计入当期</w:t>
      </w:r>
      <w:r>
        <w:rPr>
          <w:spacing w:val="-19"/>
        </w:rPr>
        <w:t> </w:t>
      </w:r>
      <w:r>
        <w:rPr>
          <w:spacing w:val="-19"/>
        </w:rPr>
      </w:r>
      <w:r>
        <w:rPr/>
        <w:t>损益。</w:t>
      </w:r>
    </w:p>
    <w:p>
      <w:pPr>
        <w:spacing w:line="240" w:lineRule="auto" w:before="4"/>
        <w:rPr>
          <w:rFonts w:ascii="宋体" w:hAnsi="宋体" w:cs="宋体" w:eastAsia="宋体" w:hint="default"/>
          <w:sz w:val="25"/>
          <w:szCs w:val="25"/>
        </w:rPr>
      </w:pPr>
    </w:p>
    <w:p>
      <w:pPr>
        <w:pStyle w:val="BodyText"/>
        <w:spacing w:line="319" w:lineRule="auto"/>
        <w:ind w:left="1430" w:right="1116" w:hanging="360"/>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资产负债表中的资产和负债项目，采用资产负债表日的即期汇率折算；所有者权益项目除“未分配利润” </w:t>
      </w:r>
      <w:r>
        <w:rPr>
          <w:spacing w:val="-3"/>
        </w:rPr>
        <w:t>项目外，其他项目采用发生时的即期汇率折算。利润表中的收入和费用项目，采用交易发生日的即期汇率。</w:t>
      </w:r>
      <w:r>
        <w:rPr/>
        <w:t> 处置境外经营时，将与该境外经营相关的外币财务报表折算差额，自所有者权益项目转入处置当期损益。</w:t>
      </w:r>
    </w:p>
    <w:p>
      <w:pPr>
        <w:pStyle w:val="Heading5"/>
        <w:spacing w:line="240" w:lineRule="auto" w:before="19"/>
        <w:ind w:right="1116"/>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316" w:lineRule="auto" w:before="63"/>
        <w:ind w:left="1070" w:right="6260" w:hanging="204"/>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316" w:lineRule="auto" w:before="19"/>
        <w:ind w:left="1430" w:right="1116"/>
        <w:jc w:val="left"/>
      </w:pPr>
      <w:r>
        <w:rPr>
          <w:rFonts w:ascii="宋体" w:hAnsi="宋体" w:cs="宋体" w:eastAsia="宋体" w:hint="default"/>
          <w:b/>
          <w:bCs/>
        </w:rPr>
        <w:t>自</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日起适用的会计政策</w:t>
      </w:r>
      <w:r>
        <w:rPr>
          <w:rFonts w:ascii="宋体" w:hAnsi="宋体" w:cs="宋体" w:eastAsia="宋体" w:hint="default"/>
          <w:b/>
          <w:bCs/>
          <w:w w:val="99"/>
        </w:rPr>
        <w:t> </w:t>
      </w:r>
      <w:r>
        <w:rPr/>
        <w:t>根据本公司管理金融资产的业务模式和金融资产的合同现金流量特征，金融资产于初始确认时分类为：以</w:t>
      </w:r>
      <w:r>
        <w:rPr>
          <w:spacing w:val="-19"/>
        </w:rPr>
        <w:t> </w:t>
      </w:r>
      <w:r>
        <w:rPr>
          <w:spacing w:val="-19"/>
        </w:rPr>
      </w:r>
      <w:r>
        <w:rPr/>
        <w:t>摊余成本计量的金融资产、以公允价值计量且其变动计入其他综合收益的金融资产（债务工具）和以公允</w:t>
      </w:r>
      <w:r>
        <w:rPr>
          <w:spacing w:val="-19"/>
        </w:rPr>
        <w:t> </w:t>
      </w:r>
      <w:r>
        <w:rPr>
          <w:spacing w:val="-19"/>
        </w:rPr>
      </w:r>
      <w:r>
        <w:rPr/>
        <w:t>价值计量且其变动计入当期损益的金融资产。 业务模式是以收取合同现金流量为目标且合同现金流量仅为对本金和以未偿付本金金额为基础的利息的支</w:t>
      </w:r>
      <w:r>
        <w:rPr>
          <w:spacing w:val="-19"/>
        </w:rPr>
        <w:t> </w:t>
      </w:r>
      <w:r>
        <w:rPr>
          <w:spacing w:val="-19"/>
        </w:rPr>
      </w:r>
      <w:r>
        <w:rPr/>
        <w:t>付的，分类为以摊余成本计量的金融资产；业务模式既以收取合同现金流量又以出售该金融资产为目标且</w:t>
      </w:r>
      <w:r>
        <w:rPr>
          <w:spacing w:val="-19"/>
        </w:rPr>
        <w:t> </w:t>
      </w:r>
      <w:r>
        <w:rPr>
          <w:spacing w:val="-19"/>
        </w:rPr>
      </w:r>
      <w:r>
        <w:rPr/>
        <w:t>合同现金流量仅为对本金和以未偿付本金金额为基础的利息的支付的，分类为以公允价值计量且其变动计</w:t>
      </w:r>
      <w:r>
        <w:rPr>
          <w:spacing w:val="-19"/>
        </w:rPr>
        <w:t> </w:t>
      </w:r>
      <w:r>
        <w:rPr>
          <w:spacing w:val="-19"/>
        </w:rPr>
      </w:r>
      <w:r>
        <w:rPr>
          <w:spacing w:val="-3"/>
        </w:rPr>
        <w:t>入其他综合收益的金融资产（债务工具）；除此之外的其他金融资产，分类为以公允价值计量且其变动计入</w:t>
      </w:r>
      <w:r>
        <w:rPr>
          <w:spacing w:val="-50"/>
        </w:rPr>
        <w:t> </w:t>
      </w:r>
      <w:r>
        <w:rPr>
          <w:spacing w:val="-50"/>
        </w:rPr>
      </w:r>
      <w:r>
        <w:rPr/>
        <w:t>当期损益的金融资产。 对于非交易性权益工具投资，本公司在初始确认时确定是否将其指定为以公允价值计量且其变动计入其他</w:t>
      </w:r>
      <w:r>
        <w:rPr>
          <w:spacing w:val="-19"/>
        </w:rPr>
        <w:t> </w:t>
      </w:r>
      <w:r>
        <w:rPr>
          <w:spacing w:val="-19"/>
        </w:rPr>
      </w:r>
      <w:r>
        <w:rPr>
          <w:spacing w:val="-3"/>
        </w:rPr>
        <w:t>综合收益的金融资产（权益工具）。在初始确认时，为了能够消除或显著减少会计错配，可以将金融资产指</w:t>
      </w:r>
      <w:r>
        <w:rPr>
          <w:spacing w:val="-51"/>
        </w:rPr>
        <w:t> </w:t>
      </w:r>
      <w:r>
        <w:rPr>
          <w:spacing w:val="-51"/>
        </w:rPr>
      </w:r>
      <w:r>
        <w:rPr/>
        <w:t>定为以公允价值计量且其变动计入当期损益的金融资产。 金融负债于初始确认时分类为：以公允价值计量且其变动计入当期损益的金融负债和以摊余成本计量的金</w:t>
      </w:r>
      <w:r>
        <w:rPr>
          <w:spacing w:val="-19"/>
        </w:rPr>
        <w:t> </w:t>
      </w:r>
      <w:r>
        <w:rPr>
          <w:spacing w:val="-19"/>
        </w:rPr>
      </w:r>
      <w:r>
        <w:rPr/>
        <w:t>融负债。 符合以下条件之一的金融负债可在初始计量时指定为以公允价值计量且其变动计入当期损益的金融负债：</w:t>
      </w:r>
      <w:r>
        <w:rPr/>
        <w:t> </w:t>
      </w:r>
      <w:r>
        <w:rPr>
          <w:rFonts w:ascii="Times New Roman" w:hAnsi="Times New Roman" w:cs="Times New Roman" w:eastAsia="Times New Roman" w:hint="default"/>
        </w:rPr>
        <w:t>1</w:t>
      </w:r>
      <w:r>
        <w:rPr/>
        <w:t>）该项指定能够消除或显著减少会计错配。</w:t>
      </w:r>
    </w:p>
    <w:p>
      <w:pPr>
        <w:pStyle w:val="BodyText"/>
        <w:spacing w:line="309" w:lineRule="auto"/>
        <w:ind w:left="1430" w:right="1116"/>
        <w:jc w:val="left"/>
      </w:pPr>
      <w:r>
        <w:rPr>
          <w:rFonts w:ascii="Times New Roman" w:hAnsi="Times New Roman" w:cs="Times New Roman" w:eastAsia="Times New Roman" w:hint="default"/>
          <w:spacing w:val="-1"/>
        </w:rPr>
        <w:t>2</w:t>
      </w:r>
      <w:r>
        <w:rPr>
          <w:spacing w:val="-1"/>
        </w:rPr>
        <w:t>）根据正式书面文件载明的企业风险管理或投资策略，以公允价值为基础对金融负债组合或金融资产和金</w:t>
      </w:r>
      <w:r>
        <w:rPr>
          <w:spacing w:val="-52"/>
        </w:rPr>
        <w:t> </w:t>
      </w:r>
      <w:r>
        <w:rPr>
          <w:spacing w:val="-52"/>
        </w:rPr>
      </w:r>
      <w:r>
        <w:rPr/>
        <w:t>融负债组合进行管理和业绩评价，并在企业内部以此为基础向关键管理人员报告。 </w:t>
      </w:r>
      <w:r>
        <w:rPr>
          <w:rFonts w:ascii="Times New Roman" w:hAnsi="Times New Roman" w:cs="Times New Roman" w:eastAsia="Times New Roman" w:hint="default"/>
        </w:rPr>
        <w:t>3</w:t>
      </w:r>
      <w:r>
        <w:rPr/>
        <w:t>）该金融负债包含需单独分拆的嵌入衍生工具。</w:t>
      </w:r>
    </w:p>
    <w:p>
      <w:pPr>
        <w:spacing w:line="240" w:lineRule="auto" w:before="3"/>
        <w:rPr>
          <w:rFonts w:ascii="宋体" w:hAnsi="宋体" w:cs="宋体" w:eastAsia="宋体" w:hint="default"/>
          <w:sz w:val="24"/>
          <w:szCs w:val="24"/>
        </w:rPr>
      </w:pPr>
    </w:p>
    <w:p>
      <w:pPr>
        <w:pStyle w:val="BodyText"/>
        <w:spacing w:line="312" w:lineRule="auto"/>
        <w:ind w:left="1430" w:right="0"/>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99"/>
        </w:rPr>
        <w:t> </w:t>
      </w:r>
      <w:r>
        <w:rPr>
          <w:spacing w:val="-1"/>
        </w:rPr>
        <w:t>金融资产和金融负债于初始确认时分类为：以公允价值计量且其变动计入当期损益的金融资产或金融负债，</w:t>
      </w:r>
      <w:r>
        <w:rPr>
          <w:spacing w:val="-51"/>
        </w:rPr>
        <w:t> </w:t>
      </w:r>
      <w:r>
        <w:rPr>
          <w:spacing w:val="-51"/>
        </w:rPr>
      </w:r>
      <w:r>
        <w:rPr/>
        <w:t>包括交易性金融资产或金融负债和直接指定为以公允价值计量且其变动计入当期损益的金融资产或金融负</w:t>
      </w:r>
      <w:r>
        <w:rPr>
          <w:spacing w:val="-19"/>
        </w:rPr>
        <w:t> </w:t>
      </w:r>
      <w:r>
        <w:rPr>
          <w:spacing w:val="-19"/>
        </w:rPr>
      </w:r>
      <w:r>
        <w:rPr/>
        <w:t>债；持有至到期投资；应收款项；可供出售金融资产；其他金融负债等。</w:t>
      </w:r>
    </w:p>
    <w:p>
      <w:pPr>
        <w:spacing w:line="240" w:lineRule="auto" w:before="7"/>
        <w:rPr>
          <w:rFonts w:ascii="宋体" w:hAnsi="宋体" w:cs="宋体" w:eastAsia="宋体" w:hint="default"/>
          <w:sz w:val="25"/>
          <w:szCs w:val="25"/>
        </w:rPr>
      </w:pPr>
    </w:p>
    <w:p>
      <w:pPr>
        <w:pStyle w:val="Heading5"/>
        <w:spacing w:line="316" w:lineRule="auto"/>
        <w:ind w:left="1430" w:right="6767" w:hanging="360"/>
        <w:jc w:val="left"/>
        <w:rPr>
          <w:b w:val="0"/>
          <w:bCs w:val="0"/>
        </w:rPr>
      </w:pPr>
      <w:r>
        <w:rPr>
          <w:rFonts w:ascii="宋体" w:hAnsi="宋体" w:cs="宋体" w:eastAsia="宋体" w:hint="default"/>
        </w:rPr>
        <w:t>2.</w:t>
      </w:r>
      <w:r>
        <w:rPr>
          <w:rFonts w:ascii="宋体" w:hAnsi="宋体" w:cs="宋体" w:eastAsia="宋体" w:hint="default"/>
          <w:spacing w:val="86"/>
        </w:rPr>
        <w:t> </w:t>
      </w:r>
      <w:r>
        <w:rPr/>
        <w:t>金融工具的确认依据和计量方法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b/>
          <w:bCs/>
          <w:sz w:val="23"/>
          <w:szCs w:val="23"/>
        </w:rPr>
      </w:pPr>
    </w:p>
    <w:p>
      <w:pPr>
        <w:pStyle w:val="BodyText"/>
        <w:spacing w:line="314" w:lineRule="auto" w:before="44"/>
        <w:ind w:left="1430" w:right="1116"/>
        <w:jc w:val="left"/>
      </w:pPr>
      <w:r>
        <w:rPr/>
        <w:t>（</w:t>
      </w:r>
      <w:r>
        <w:rPr>
          <w:rFonts w:ascii="Times New Roman" w:hAnsi="Times New Roman" w:cs="Times New Roman" w:eastAsia="Times New Roman" w:hint="default"/>
        </w:rPr>
        <w:t>1</w:t>
      </w:r>
      <w:r>
        <w:rPr/>
        <w:t>）以摊余成本计量的金融资产 以摊余成本计量的金融资产包括应收票据、应收账款、其他应收款、长期应收款、债权投资等，按公允价</w:t>
      </w:r>
      <w:r>
        <w:rPr>
          <w:spacing w:val="-19"/>
        </w:rPr>
        <w:t> </w:t>
      </w:r>
      <w:r>
        <w:rPr>
          <w:spacing w:val="-19"/>
        </w:rPr>
      </w:r>
      <w:r>
        <w:rPr/>
        <w:t>值进行初始计量，相关交易费用计入初始确认金额；不包含重大融资成分的应收账款以及本公司决定不考</w:t>
      </w:r>
      <w:r>
        <w:rPr>
          <w:spacing w:val="-12"/>
        </w:rPr>
        <w:t> </w:t>
      </w:r>
      <w:r>
        <w:rPr>
          <w:spacing w:val="-12"/>
        </w:rPr>
      </w:r>
      <w:r>
        <w:rPr/>
        <w:t>虑不超过一年的融资成分的应收账款，以合同交易价格进行初始计量。 持有期间采用实际利率法计算的利息计入当期损益。 收回或处置时，将取得的价款与该金融资产账面价值之间的差额计入当期损益。</w:t>
      </w:r>
    </w:p>
    <w:p>
      <w:pPr>
        <w:pStyle w:val="BodyText"/>
        <w:spacing w:line="314" w:lineRule="auto" w:before="20"/>
        <w:ind w:left="1430" w:right="1116"/>
        <w:jc w:val="left"/>
      </w:pPr>
      <w:r>
        <w:rPr/>
        <w:t>（</w:t>
      </w:r>
      <w:r>
        <w:rPr>
          <w:rFonts w:ascii="Times New Roman" w:hAnsi="Times New Roman" w:cs="Times New Roman" w:eastAsia="Times New Roman" w:hint="default"/>
        </w:rPr>
        <w:t>2</w:t>
      </w:r>
      <w:r>
        <w:rPr/>
        <w:t>）以公允价值计量且其变动计入其他综合收益的金融资产（债务工具） </w:t>
      </w:r>
      <w:r>
        <w:rPr>
          <w:spacing w:val="-3"/>
        </w:rPr>
        <w:t>以公允价值计量且其变动计入其他综合收益的金融资产（债务工具）包括应收款项融资、其他债权投资等，</w:t>
      </w:r>
      <w:r>
        <w:rPr>
          <w:spacing w:val="-49"/>
        </w:rPr>
        <w:t> </w:t>
      </w:r>
      <w:r>
        <w:rPr>
          <w:spacing w:val="-49"/>
        </w:rPr>
      </w:r>
      <w:r>
        <w:rPr/>
        <w:t>按公允价值进行初始计量，相关交易费用计入初始确认金额。该金融资产按公允价值进行后续计量，公允</w:t>
      </w:r>
      <w:r>
        <w:rPr>
          <w:spacing w:val="-19"/>
        </w:rPr>
        <w:t> </w:t>
      </w:r>
      <w:r>
        <w:rPr>
          <w:spacing w:val="-19"/>
        </w:rPr>
      </w:r>
      <w:r>
        <w:rPr/>
        <w:t>价值变动除采用实际利率法计算的利息、减值损失或利得和汇兑损益之外，均计入其他综合收益。</w:t>
      </w:r>
      <w:r>
        <w:rPr/>
        <w:t> 终止确认时，之前计入其他综合收益的累计利得或损失从其他综合收益中转出，计入当期损益。</w:t>
      </w:r>
    </w:p>
    <w:p>
      <w:pPr>
        <w:spacing w:line="240" w:lineRule="auto" w:before="6"/>
        <w:rPr>
          <w:rFonts w:ascii="宋体" w:hAnsi="宋体" w:cs="宋体" w:eastAsia="宋体" w:hint="default"/>
          <w:sz w:val="25"/>
          <w:szCs w:val="25"/>
        </w:rPr>
      </w:pPr>
    </w:p>
    <w:p>
      <w:pPr>
        <w:pStyle w:val="BodyText"/>
        <w:spacing w:line="314" w:lineRule="auto"/>
        <w:ind w:left="1430" w:right="1116"/>
        <w:jc w:val="left"/>
      </w:pPr>
      <w:r>
        <w:rPr/>
        <w:t>（</w:t>
      </w:r>
      <w:r>
        <w:rPr>
          <w:rFonts w:ascii="Times New Roman" w:hAnsi="Times New Roman" w:cs="Times New Roman" w:eastAsia="Times New Roman" w:hint="default"/>
        </w:rPr>
        <w:t>3</w:t>
      </w:r>
      <w:r>
        <w:rPr/>
        <w:t>）以公允价值计量且其变动计入其他综合收益的金融资产（权益工具） 以公允价值计量且其变动计入其他综合收益的金融资产（权益工具）包括其他权益工具投资等，按公允价</w:t>
      </w:r>
      <w:r>
        <w:rPr>
          <w:spacing w:val="-19"/>
        </w:rPr>
        <w:t> </w:t>
      </w:r>
      <w:r>
        <w:rPr>
          <w:spacing w:val="-19"/>
        </w:rPr>
      </w:r>
      <w:r>
        <w:rPr/>
        <w:t>值进行初始计量，相关交易费用计入初始确认金额。该金融资产按公允价值进行后续计量，公允价值变动</w:t>
      </w:r>
      <w:r>
        <w:rPr>
          <w:spacing w:val="-19"/>
        </w:rPr>
        <w:t> </w:t>
      </w:r>
      <w:r>
        <w:rPr>
          <w:spacing w:val="-19"/>
        </w:rPr>
      </w:r>
      <w:r>
        <w:rPr/>
        <w:t>计入其他综合收益。取得的股利计入当期损益。 终止确认时，之前计入其他综合收益的累计利得或损失从其他综合收益中转出，计入留存收益。</w:t>
      </w:r>
    </w:p>
    <w:p>
      <w:pPr>
        <w:spacing w:line="240" w:lineRule="auto" w:before="6"/>
        <w:rPr>
          <w:rFonts w:ascii="宋体" w:hAnsi="宋体" w:cs="宋体" w:eastAsia="宋体" w:hint="default"/>
          <w:sz w:val="25"/>
          <w:szCs w:val="25"/>
        </w:rPr>
      </w:pPr>
    </w:p>
    <w:p>
      <w:pPr>
        <w:pStyle w:val="BodyText"/>
        <w:spacing w:line="312" w:lineRule="auto"/>
        <w:ind w:left="1430" w:right="1116"/>
        <w:jc w:val="left"/>
      </w:pPr>
      <w:r>
        <w:rPr/>
        <w:t>（</w:t>
      </w:r>
      <w:r>
        <w:rPr>
          <w:rFonts w:ascii="Times New Roman" w:hAnsi="Times New Roman" w:cs="Times New Roman" w:eastAsia="Times New Roman" w:hint="default"/>
        </w:rPr>
        <w:t>4</w:t>
      </w:r>
      <w:r>
        <w:rPr/>
        <w:t>）以公允价值计量且其变动计入当期损益的金融资产 以公允价值计量且其变动计入当期损益的金融资产包括交易性金融资产、衍生金融资产、其他非流动金融</w:t>
      </w:r>
      <w:r>
        <w:rPr>
          <w:spacing w:val="-19"/>
        </w:rPr>
        <w:t> </w:t>
      </w:r>
      <w:r>
        <w:rPr>
          <w:spacing w:val="-19"/>
        </w:rPr>
      </w:r>
      <w:r>
        <w:rPr/>
        <w:t>资产等，按公允价值进行初始计量，相关交易费用计入当期损益。该金融资产按公允价值进行后续计量，</w:t>
      </w:r>
      <w:r>
        <w:rPr>
          <w:spacing w:val="-19"/>
        </w:rPr>
        <w:t> </w:t>
      </w:r>
      <w:r>
        <w:rPr>
          <w:spacing w:val="-19"/>
        </w:rPr>
      </w:r>
      <w:r>
        <w:rPr/>
        <w:t>公允价值变动计入当期损益。</w:t>
      </w:r>
    </w:p>
    <w:p>
      <w:pPr>
        <w:spacing w:line="240" w:lineRule="auto" w:before="7"/>
        <w:rPr>
          <w:rFonts w:ascii="宋体" w:hAnsi="宋体" w:cs="宋体" w:eastAsia="宋体" w:hint="default"/>
          <w:sz w:val="25"/>
          <w:szCs w:val="25"/>
        </w:rPr>
      </w:pPr>
    </w:p>
    <w:p>
      <w:pPr>
        <w:pStyle w:val="BodyText"/>
        <w:spacing w:line="312" w:lineRule="auto"/>
        <w:ind w:left="1430" w:right="1116"/>
        <w:jc w:val="left"/>
      </w:pPr>
      <w:r>
        <w:rPr/>
        <w:t>（</w:t>
      </w:r>
      <w:r>
        <w:rPr>
          <w:rFonts w:ascii="Times New Roman" w:hAnsi="Times New Roman" w:cs="Times New Roman" w:eastAsia="Times New Roman" w:hint="default"/>
        </w:rPr>
        <w:t>5</w:t>
      </w:r>
      <w:r>
        <w:rPr/>
        <w:t>）以公允价值计量且其变动计入当期损益的金融负债 以公允价值计量且其变动计入当期损益的金融负债包括交易性金融负债、衍生金融负债等，按公允价值进</w:t>
      </w:r>
      <w:r>
        <w:rPr>
          <w:spacing w:val="-19"/>
        </w:rPr>
        <w:t> </w:t>
      </w:r>
      <w:r>
        <w:rPr>
          <w:spacing w:val="-19"/>
        </w:rPr>
      </w:r>
      <w:r>
        <w:rPr/>
        <w:t>行初始计量，相关交易费用计入当期损益。该金融负债按公允价值进行后续计量，公允价值变动计入当期</w:t>
      </w:r>
      <w:r>
        <w:rPr>
          <w:spacing w:val="-19"/>
        </w:rPr>
        <w:t> </w:t>
      </w:r>
      <w:r>
        <w:rPr>
          <w:spacing w:val="-19"/>
        </w:rPr>
      </w:r>
      <w:r>
        <w:rPr/>
        <w:t>损益。</w:t>
      </w:r>
    </w:p>
    <w:p>
      <w:pPr>
        <w:pStyle w:val="BodyText"/>
        <w:spacing w:line="240" w:lineRule="auto" w:before="22"/>
        <w:ind w:left="1430" w:right="1116"/>
        <w:jc w:val="left"/>
      </w:pPr>
      <w:r>
        <w:rPr/>
        <w:t>终止确认时，其账面价值与支付的对价之间的差额计入当期损益。</w:t>
      </w:r>
    </w:p>
    <w:p>
      <w:pPr>
        <w:pStyle w:val="BodyText"/>
        <w:spacing w:line="314" w:lineRule="auto" w:before="76"/>
        <w:ind w:left="1430" w:right="1116"/>
        <w:jc w:val="left"/>
      </w:pPr>
      <w:r>
        <w:rPr/>
        <w:t>（</w:t>
      </w:r>
      <w:r>
        <w:rPr>
          <w:rFonts w:ascii="Times New Roman" w:hAnsi="Times New Roman" w:cs="Times New Roman" w:eastAsia="Times New Roman" w:hint="default"/>
        </w:rPr>
        <w:t>6</w:t>
      </w:r>
      <w:r>
        <w:rPr/>
        <w:t>）以摊余成本计量的金融负债 以摊余成本计量的金融负债包括短期借款、应付票据、应付账款、其他应付款、长期借款、应付债券、长</w:t>
      </w:r>
      <w:r>
        <w:rPr>
          <w:spacing w:val="-19"/>
        </w:rPr>
        <w:t> </w:t>
      </w:r>
      <w:r>
        <w:rPr>
          <w:spacing w:val="-19"/>
        </w:rPr>
      </w:r>
      <w:r>
        <w:rPr/>
        <w:t>期应付款，按公允价值进行初始计量，相关交易费用计入初始确认金额。 持有期间采用实际利率法计算的利息计入当期损益。 终止确认时，将支付的对价与该金融负债账面价值之间的差额计入当期损益。</w:t>
      </w:r>
    </w:p>
    <w:p>
      <w:pPr>
        <w:spacing w:line="240" w:lineRule="auto" w:before="6"/>
        <w:rPr>
          <w:rFonts w:ascii="宋体" w:hAnsi="宋体" w:cs="宋体" w:eastAsia="宋体" w:hint="default"/>
          <w:sz w:val="25"/>
          <w:szCs w:val="25"/>
        </w:rPr>
      </w:pPr>
    </w:p>
    <w:p>
      <w:pPr>
        <w:pStyle w:val="Heading5"/>
        <w:spacing w:line="240" w:lineRule="auto"/>
        <w:ind w:left="1430" w:right="1116"/>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314" w:lineRule="auto" w:before="63"/>
        <w:ind w:left="1430" w:right="1116"/>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w:t>
      </w:r>
      <w:r>
        <w:rPr>
          <w:spacing w:val="-15"/>
        </w:rPr>
        <w:t> </w:t>
      </w:r>
      <w:r>
        <w:rPr>
          <w:spacing w:val="-15"/>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20"/>
        <w:ind w:left="1430" w:right="1116"/>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w:t>
      </w:r>
      <w:r>
        <w:rPr>
          <w:spacing w:val="-19"/>
        </w:rPr>
        <w:t> </w:t>
      </w:r>
      <w:r>
        <w:rPr>
          <w:spacing w:val="-19"/>
        </w:rPr>
      </w:r>
      <w:r>
        <w:rPr/>
        <w:t>存续期间或适用的更短期间内保持不变。</w:t>
      </w:r>
    </w:p>
    <w:p>
      <w:pPr>
        <w:spacing w:after="0" w:line="312" w:lineRule="auto"/>
        <w:jc w:val="left"/>
        <w:sectPr>
          <w:footerReference w:type="default" r:id="rId28"/>
          <w:pgSz w:w="11910" w:h="16840"/>
          <w:pgMar w:footer="980" w:header="877" w:top="1080" w:bottom="1160" w:left="980" w:right="0"/>
        </w:sectPr>
      </w:pPr>
    </w:p>
    <w:p>
      <w:pPr>
        <w:spacing w:line="240" w:lineRule="auto" w:before="8"/>
        <w:rPr>
          <w:rFonts w:ascii="宋体" w:hAnsi="宋体" w:cs="宋体" w:eastAsia="宋体" w:hint="default"/>
          <w:sz w:val="23"/>
          <w:szCs w:val="23"/>
        </w:rPr>
      </w:pPr>
    </w:p>
    <w:p>
      <w:pPr>
        <w:pStyle w:val="BodyText"/>
        <w:spacing w:line="240" w:lineRule="auto" w:before="44"/>
        <w:ind w:left="1430" w:right="1116"/>
        <w:jc w:val="left"/>
      </w:pPr>
      <w:r>
        <w:rPr/>
        <w:t>处置时，将所取得价款与该投资账面价值之间的差额计入投资收益。</w:t>
      </w:r>
    </w:p>
    <w:p>
      <w:pPr>
        <w:pStyle w:val="BodyText"/>
        <w:spacing w:line="314" w:lineRule="auto" w:before="77"/>
        <w:ind w:left="1430" w:right="1116"/>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w:t>
      </w:r>
      <w:r>
        <w:rPr>
          <w:spacing w:val="-19"/>
        </w:rPr>
        <w:t> </w:t>
      </w:r>
      <w:r>
        <w:rPr>
          <w:spacing w:val="-19"/>
        </w:rPr>
      </w:r>
      <w:r>
        <w:rPr/>
        <w:t>债务工具的债权，包括应收账款、其他应收款等，以向购货方应收的合同或协议价款作为初始确认金额；</w:t>
      </w:r>
      <w:r>
        <w:rPr>
          <w:spacing w:val="-19"/>
        </w:rPr>
        <w:t> </w:t>
      </w:r>
      <w:r>
        <w:rPr>
          <w:spacing w:val="-19"/>
        </w:rPr>
      </w:r>
      <w:r>
        <w:rPr/>
        <w:t>具有融资性质的，按其现值进行初始确认。 收回或处置时，将取得的价款与该应收款项账面价值之间的差额计入当期损益。</w:t>
      </w:r>
    </w:p>
    <w:p>
      <w:pPr>
        <w:pStyle w:val="BodyText"/>
        <w:spacing w:line="314" w:lineRule="auto" w:before="20"/>
        <w:ind w:left="1430" w:right="1116"/>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w:t>
      </w:r>
      <w:r>
        <w:rPr>
          <w:spacing w:val="-19"/>
        </w:rPr>
        <w:t> </w:t>
      </w:r>
      <w:r>
        <w:rPr>
          <w:spacing w:val="-19"/>
        </w:rPr>
      </w:r>
      <w:r>
        <w:rPr/>
        <w:t>费用之和作为初始确认金额。 持有期间将取得的利息或现金股利确认为投资收益。期末以公允价值计量且将公允价值变动计入其他综合</w:t>
      </w:r>
      <w:r>
        <w:rPr>
          <w:spacing w:val="-19"/>
        </w:rPr>
        <w:t> </w:t>
      </w:r>
      <w:r>
        <w:rPr>
          <w:spacing w:val="-19"/>
        </w:rPr>
      </w:r>
      <w:r>
        <w:rPr/>
        <w:t>收益。但是，在活跃市场中没有报价且其公允价值不能可靠计量的权益工具投资，以及与该权益工具挂钩</w:t>
      </w:r>
      <w:r>
        <w:rPr>
          <w:spacing w:val="-19"/>
        </w:rPr>
        <w:t> </w:t>
      </w:r>
      <w:r>
        <w:rPr>
          <w:spacing w:val="-19"/>
        </w:rPr>
      </w:r>
      <w:r>
        <w:rPr/>
        <w:t>并须通过交付该权益工具结算的衍生金融资产，按照成本计量。 处置时，将取得的价款与该金融资产账面价值之间的差额，计入投资损益；同时，将原直接计入其他综合</w:t>
      </w:r>
      <w:r>
        <w:rPr>
          <w:spacing w:val="-19"/>
        </w:rPr>
        <w:t> </w:t>
      </w:r>
      <w:r>
        <w:rPr>
          <w:spacing w:val="-19"/>
        </w:rPr>
      </w:r>
      <w:r>
        <w:rPr/>
        <w:t>收益的公允价值变动累计额对应处置部分的金额转出，计入当期损益。</w:t>
      </w:r>
    </w:p>
    <w:p>
      <w:pPr>
        <w:pStyle w:val="BodyText"/>
        <w:spacing w:line="300" w:lineRule="auto" w:before="20"/>
        <w:ind w:left="1430" w:right="2816"/>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16" w:lineRule="auto"/>
        <w:ind w:left="1430" w:right="1116"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公司发生金融资产转移时，如已将金融资产所有权上几乎所有的风险和报酬转移给转入方，则终止确认该 金融资产；如保留了金融资产所有权上几乎所有的风险和报酬的，则不终止确认该金融资产。 在判断金融资产转移是否满足上述金融资产终止确认条件时，采用实质重于形式的原则。 公司将金融资产转移区分为金融资产整体转移和部分转移。金融资产整体转移满足终止确认条件的，将下 列两项金额的差额计入当期损益：</w:t>
      </w:r>
    </w:p>
    <w:p>
      <w:pPr>
        <w:pStyle w:val="BodyText"/>
        <w:spacing w:line="240" w:lineRule="auto" w:before="19"/>
        <w:ind w:left="1430" w:right="1116"/>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1430" w:right="1116"/>
        <w:jc w:val="left"/>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）因转移而收到的对价，与原直接计入所有者权益的公允价值变动累计额（涉及转移的金融资产为以公</w:t>
      </w:r>
      <w:r>
        <w:rPr>
          <w:spacing w:val="-54"/>
        </w:rPr>
        <w:t> </w:t>
      </w:r>
      <w:r>
        <w:rPr>
          <w:spacing w:val="-54"/>
        </w:rPr>
      </w:r>
      <w:r>
        <w:rPr>
          <w:spacing w:val="-3"/>
        </w:rPr>
        <w:t>允价值计量且其变动计入其他综合收益的金融资产（债务工具）、可供出售金融资产的情形）之和。</w:t>
      </w:r>
    </w:p>
    <w:p>
      <w:pPr>
        <w:spacing w:line="240" w:lineRule="auto" w:before="3"/>
        <w:rPr>
          <w:rFonts w:ascii="宋体" w:hAnsi="宋体" w:cs="宋体" w:eastAsia="宋体" w:hint="default"/>
          <w:sz w:val="26"/>
          <w:szCs w:val="26"/>
        </w:rPr>
      </w:pPr>
    </w:p>
    <w:p>
      <w:pPr>
        <w:pStyle w:val="BodyText"/>
        <w:spacing w:line="316" w:lineRule="auto"/>
        <w:ind w:left="1430" w:right="1116"/>
        <w:jc w:val="left"/>
      </w:pPr>
      <w:r>
        <w:rPr/>
        <w:t>金融资产部分转移满足终止确认条件的，将所转移金融资产整体的账面价值，在终止确认部分和未终止确</w:t>
      </w:r>
      <w:r>
        <w:rPr>
          <w:spacing w:val="-19"/>
        </w:rPr>
        <w:t> </w:t>
      </w:r>
      <w:r>
        <w:rPr>
          <w:spacing w:val="-19"/>
        </w:rPr>
      </w:r>
      <w:r>
        <w:rPr/>
        <w:t>认部分之间，按照各自的相对公允价值进行分摊，并将下列两项金额的差额计入当期损益：</w:t>
      </w:r>
    </w:p>
    <w:p>
      <w:pPr>
        <w:pStyle w:val="BodyText"/>
        <w:spacing w:line="240" w:lineRule="auto" w:before="19"/>
        <w:ind w:left="1430" w:right="1116"/>
        <w:jc w:val="left"/>
      </w:pPr>
      <w:r>
        <w:rPr/>
        <w:t>（</w:t>
      </w:r>
      <w:r>
        <w:rPr>
          <w:rFonts w:ascii="Times New Roman" w:hAnsi="Times New Roman" w:cs="Times New Roman" w:eastAsia="Times New Roman" w:hint="default"/>
        </w:rPr>
        <w:t>1</w:t>
      </w:r>
      <w:r>
        <w:rPr/>
        <w:t>）终止确认部分的账面价值；</w:t>
      </w:r>
    </w:p>
    <w:p>
      <w:pPr>
        <w:pStyle w:val="BodyText"/>
        <w:spacing w:line="312" w:lineRule="auto" w:before="63"/>
        <w:ind w:left="1430" w:right="1118"/>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）终止确认部分的对价，与原直接计入所有者权益的公允价值变动累计额中对应终止确认部分的金额（涉</w:t>
      </w:r>
      <w:r>
        <w:rPr/>
        <w:t> </w:t>
      </w:r>
      <w:r>
        <w:rPr>
          <w:spacing w:val="-3"/>
        </w:rPr>
        <w:t>及转移的金融资产为以公允价值计量且其变动计入其他综合收益的金融资产（债务工具）、可供出售金融资</w:t>
      </w:r>
      <w:r>
        <w:rPr>
          <w:spacing w:val="-48"/>
        </w:rPr>
        <w:t> </w:t>
      </w:r>
      <w:r>
        <w:rPr>
          <w:spacing w:val="-48"/>
        </w:rPr>
      </w:r>
      <w:r>
        <w:rPr/>
        <w:t>产的情形）之和。 金融资产转移不满足终止确认条件的，继续确认该金融资产，所收到的对价确认为一项金融负债。</w:t>
      </w:r>
    </w:p>
    <w:p>
      <w:pPr>
        <w:spacing w:line="240" w:lineRule="auto" w:before="8"/>
        <w:rPr>
          <w:rFonts w:ascii="宋体" w:hAnsi="宋体" w:cs="宋体" w:eastAsia="宋体" w:hint="default"/>
          <w:sz w:val="25"/>
          <w:szCs w:val="25"/>
        </w:rPr>
      </w:pPr>
    </w:p>
    <w:p>
      <w:pPr>
        <w:pStyle w:val="BodyText"/>
        <w:spacing w:line="316" w:lineRule="auto"/>
        <w:ind w:left="1430" w:right="1116" w:hanging="360"/>
        <w:jc w:val="left"/>
      </w:pPr>
      <w:r>
        <w:rPr>
          <w:rFonts w:ascii="宋体" w:hAnsi="宋体" w:cs="宋体" w:eastAsia="宋体" w:hint="default"/>
          <w:b/>
          <w:bCs/>
        </w:rPr>
        <w:t>4.</w:t>
      </w:r>
      <w:r>
        <w:rPr>
          <w:rFonts w:ascii="宋体" w:hAnsi="宋体" w:cs="宋体" w:eastAsia="宋体" w:hint="default"/>
          <w:b/>
          <w:bCs/>
          <w:spacing w:val="87"/>
        </w:rPr>
        <w:t> </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t> 则终止确认现存金融负债，并同时确认新金融负债。 对现存金融负债全部或部分合同条款作出实质性修改的，则终止确认现存金融负债或其一部分，同时将修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w:t>
      </w:r>
    </w:p>
    <w:p>
      <w:pPr>
        <w:spacing w:after="0" w:line="316" w:lineRule="auto"/>
        <w:jc w:val="left"/>
        <w:sectPr>
          <w:footerReference w:type="default" r:id="rId29"/>
          <w:pgSz w:w="11910" w:h="16840"/>
          <w:pgMar w:footer="980" w:header="877" w:top="1080" w:bottom="1160" w:left="980" w:right="0"/>
          <w:pgNumType w:start="101"/>
        </w:sectPr>
      </w:pPr>
    </w:p>
    <w:p>
      <w:pPr>
        <w:spacing w:line="240" w:lineRule="auto" w:before="8"/>
        <w:rPr>
          <w:rFonts w:ascii="宋体" w:hAnsi="宋体" w:cs="宋体" w:eastAsia="宋体" w:hint="default"/>
          <w:sz w:val="23"/>
          <w:szCs w:val="23"/>
        </w:rPr>
      </w:pPr>
    </w:p>
    <w:p>
      <w:pPr>
        <w:pStyle w:val="BodyText"/>
        <w:spacing w:line="319" w:lineRule="auto" w:before="44"/>
        <w:ind w:left="1430" w:right="1116"/>
        <w:jc w:val="left"/>
      </w:pPr>
      <w:r>
        <w:rPr/>
        <w:t>债整体的账面价值进行分配。分配给终止确认部分的账面价值与支付的对价（包括转出的非现金资产或承</w:t>
      </w:r>
      <w:r>
        <w:rPr>
          <w:spacing w:val="-19"/>
        </w:rPr>
        <w:t> </w:t>
      </w:r>
      <w:r>
        <w:rPr>
          <w:spacing w:val="-19"/>
        </w:rPr>
      </w:r>
      <w:r>
        <w:rPr/>
        <w:t>担的新金融负债）之间的差额，计入当期损益。</w:t>
      </w:r>
    </w:p>
    <w:p>
      <w:pPr>
        <w:pStyle w:val="BodyText"/>
        <w:spacing w:line="316" w:lineRule="auto" w:before="17"/>
        <w:ind w:left="1430" w:right="1116" w:hanging="360"/>
        <w:jc w:val="left"/>
      </w:pPr>
      <w:r>
        <w:rPr>
          <w:rFonts w:ascii="宋体" w:hAnsi="宋体" w:cs="宋体" w:eastAsia="宋体" w:hint="default"/>
          <w:b/>
          <w:bCs/>
        </w:rPr>
        <w:t>5.</w:t>
      </w:r>
      <w:r>
        <w:rPr>
          <w:rFonts w:ascii="宋体" w:hAnsi="宋体" w:cs="宋体" w:eastAsia="宋体" w:hint="default"/>
          <w:b/>
          <w:bCs/>
          <w:spacing w:val="87"/>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spacing w:line="240" w:lineRule="auto" w:before="4"/>
        <w:rPr>
          <w:rFonts w:ascii="宋体" w:hAnsi="宋体" w:cs="宋体" w:eastAsia="宋体" w:hint="default"/>
          <w:sz w:val="25"/>
          <w:szCs w:val="25"/>
        </w:rPr>
      </w:pPr>
    </w:p>
    <w:p>
      <w:pPr>
        <w:pStyle w:val="Heading5"/>
        <w:spacing w:line="316" w:lineRule="auto"/>
        <w:ind w:left="1430" w:right="6227" w:hanging="360"/>
        <w:jc w:val="left"/>
        <w:rPr>
          <w:b w:val="0"/>
          <w:bCs w:val="0"/>
        </w:rPr>
      </w:pPr>
      <w:r>
        <w:rPr>
          <w:rFonts w:ascii="宋体" w:hAnsi="宋体" w:cs="宋体" w:eastAsia="宋体" w:hint="default"/>
        </w:rPr>
        <w:t>6.</w:t>
      </w:r>
      <w:r>
        <w:rPr>
          <w:rFonts w:ascii="宋体" w:hAnsi="宋体" w:cs="宋体" w:eastAsia="宋体" w:hint="default"/>
          <w:spacing w:val="84"/>
        </w:rPr>
        <w:t> </w:t>
      </w:r>
      <w:r>
        <w:rPr/>
        <w:t>金融资产减值的测试方法及会计处理方法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14" w:lineRule="auto"/>
        <w:ind w:left="1430" w:right="1034"/>
        <w:jc w:val="left"/>
      </w:pPr>
      <w:r>
        <w:rPr/>
        <w:t>本公司考虑所有合理且有依据的信息，包括前瞻性信息，以单项或组合的方式对以摊余成本计量的金融资</w:t>
      </w:r>
      <w:r>
        <w:rPr>
          <w:spacing w:val="-19"/>
        </w:rPr>
        <w:t> </w:t>
      </w:r>
      <w:r>
        <w:rPr>
          <w:spacing w:val="-19"/>
        </w:rPr>
      </w:r>
      <w:r>
        <w:rPr/>
        <w:t>产和以公允价值计量且其变动计入其他综合收益的金融资产（债务工具）的预期信用损失进行估计。预期</w:t>
      </w:r>
      <w:r>
        <w:rPr>
          <w:spacing w:val="-19"/>
        </w:rPr>
        <w:t> </w:t>
      </w:r>
      <w:r>
        <w:rPr>
          <w:spacing w:val="-19"/>
        </w:rPr>
      </w:r>
      <w:r>
        <w:rPr/>
        <w:t>信用损失的计量取决于金融资产自初始确认后是否发生信用风险显著增加。 如果该金融工具的信用风险自初始确认后已显著增加，本公司按照相当于该金融工具整个存续期内预期信</w:t>
      </w:r>
      <w:r>
        <w:rPr>
          <w:spacing w:val="-19"/>
        </w:rPr>
        <w:t> </w:t>
      </w:r>
      <w:r>
        <w:rPr>
          <w:spacing w:val="-19"/>
        </w:rPr>
      </w:r>
      <w:r>
        <w:rPr/>
        <w:t>用损失的金额计量其损失准备；如果该金融工具的信用风险自初始确认后并未显著增加，本公司按照相当</w:t>
      </w:r>
      <w:r>
        <w:rPr>
          <w:spacing w:val="-19"/>
        </w:rPr>
        <w:t> </w:t>
      </w:r>
      <w:r>
        <w:rPr>
          <w:spacing w:val="-19"/>
        </w:rPr>
      </w:r>
      <w:r>
        <w:rPr>
          <w:spacing w:val="-1"/>
        </w:rPr>
        <w:t>于该金融工具未来</w:t>
      </w:r>
      <w:r>
        <w:rPr>
          <w:rFonts w:ascii="Times New Roman" w:hAnsi="Times New Roman" w:cs="Times New Roman" w:eastAsia="Times New Roman" w:hint="default"/>
          <w:spacing w:val="-1"/>
        </w:rPr>
        <w:t>12</w:t>
      </w:r>
      <w:r>
        <w:rPr>
          <w:spacing w:val="-1"/>
        </w:rPr>
        <w:t>个月内预期信用损失的金额计量其损失准备。由此形成的损失准备的增加或转回金额，</w:t>
      </w:r>
      <w:r>
        <w:rPr>
          <w:spacing w:val="-51"/>
        </w:rPr>
        <w:t> </w:t>
      </w:r>
      <w:r>
        <w:rPr>
          <w:spacing w:val="-51"/>
        </w:rPr>
      </w:r>
      <w:r>
        <w:rPr/>
        <w:t>作为减值损失或利得计入当期损益。 通常逾期超过</w:t>
      </w:r>
      <w:r>
        <w:rPr>
          <w:rFonts w:ascii="Times New Roman" w:hAnsi="Times New Roman" w:cs="Times New Roman" w:eastAsia="Times New Roman" w:hint="default"/>
        </w:rPr>
        <w:t>30</w:t>
      </w:r>
      <w:r>
        <w:rPr/>
        <w:t>日，本公司即认为该金融工具的信用风险已显著增加，除非有确凿证据证明该金融工具的</w:t>
      </w:r>
      <w:r>
        <w:rPr>
          <w:spacing w:val="-20"/>
        </w:rPr>
        <w:t> </w:t>
      </w:r>
      <w:r>
        <w:rPr>
          <w:spacing w:val="-20"/>
        </w:rPr>
      </w:r>
      <w:r>
        <w:rPr/>
        <w:t>信用风险自初始确认后并未显著增加。 如果金融工具于资产负债表日的信用风险较低，本公司即认为该金融工具的信用风险自初始确认后并未显</w:t>
      </w:r>
      <w:r>
        <w:rPr>
          <w:spacing w:val="-19"/>
        </w:rPr>
        <w:t> </w:t>
      </w:r>
      <w:r>
        <w:rPr>
          <w:spacing w:val="-19"/>
        </w:rPr>
      </w:r>
      <w:r>
        <w:rPr/>
        <w:t>著增加。</w:t>
      </w:r>
    </w:p>
    <w:p>
      <w:pPr>
        <w:spacing w:line="240" w:lineRule="auto" w:before="6"/>
        <w:rPr>
          <w:rFonts w:ascii="宋体" w:hAnsi="宋体" w:cs="宋体" w:eastAsia="宋体" w:hint="default"/>
          <w:sz w:val="25"/>
          <w:szCs w:val="25"/>
        </w:rPr>
      </w:pPr>
    </w:p>
    <w:p>
      <w:pPr>
        <w:pStyle w:val="BodyText"/>
        <w:spacing w:line="319" w:lineRule="auto"/>
        <w:ind w:left="1430" w:right="1116"/>
        <w:jc w:val="left"/>
      </w:pPr>
      <w:r>
        <w:rPr/>
        <w:t>对于应收账款，无论是否包含重大融资成分，本公司始终按照相当于整个存续期内预期信用损失的金额计</w:t>
      </w:r>
      <w:r>
        <w:rPr>
          <w:spacing w:val="-19"/>
        </w:rPr>
        <w:t> </w:t>
      </w:r>
      <w:r>
        <w:rPr>
          <w:spacing w:val="-19"/>
        </w:rPr>
      </w:r>
      <w:r>
        <w:rPr/>
        <w:t>量其损失准备。</w:t>
      </w:r>
    </w:p>
    <w:p>
      <w:pPr>
        <w:spacing w:line="240" w:lineRule="auto" w:before="2"/>
        <w:rPr>
          <w:rFonts w:ascii="宋体" w:hAnsi="宋体" w:cs="宋体" w:eastAsia="宋体" w:hint="default"/>
          <w:sz w:val="25"/>
          <w:szCs w:val="25"/>
        </w:rPr>
      </w:pPr>
    </w:p>
    <w:p>
      <w:pPr>
        <w:pStyle w:val="BodyText"/>
        <w:spacing w:line="240" w:lineRule="auto"/>
        <w:ind w:left="1430" w:right="0"/>
        <w:jc w:val="left"/>
      </w:pPr>
      <w:r>
        <w:rPr/>
        <w:t>如果有客观证据表明某项金融资产已经发生信用减值，则本公司在单项基础上对该金融资产计提减值准备。</w:t>
      </w:r>
    </w:p>
    <w:p>
      <w:pPr>
        <w:spacing w:line="240" w:lineRule="auto" w:before="0"/>
        <w:rPr>
          <w:rFonts w:ascii="宋体" w:hAnsi="宋体" w:cs="宋体" w:eastAsia="宋体" w:hint="default"/>
          <w:sz w:val="18"/>
          <w:szCs w:val="18"/>
        </w:rPr>
      </w:pPr>
    </w:p>
    <w:p>
      <w:pPr>
        <w:pStyle w:val="BodyText"/>
        <w:spacing w:line="316" w:lineRule="auto" w:before="153"/>
        <w:ind w:left="1430" w:right="1116"/>
        <w:jc w:val="left"/>
      </w:pPr>
      <w:r>
        <w:rPr/>
        <w:t>对于租赁应收款、公司通过销售商品或提供劳务形成的长期应收款，本公司选择始终按照相当于整个存续</w:t>
      </w:r>
      <w:r>
        <w:rPr>
          <w:spacing w:val="-17"/>
        </w:rPr>
        <w:t> </w:t>
      </w:r>
      <w:r>
        <w:rPr>
          <w:spacing w:val="-17"/>
        </w:rPr>
      </w:r>
      <w:r>
        <w:rPr/>
        <w:t>期内预期信用损失的金额计量其损失准备。</w:t>
      </w:r>
    </w:p>
    <w:p>
      <w:pPr>
        <w:spacing w:line="240" w:lineRule="auto" w:before="4"/>
        <w:rPr>
          <w:rFonts w:ascii="宋体" w:hAnsi="宋体" w:cs="宋体" w:eastAsia="宋体" w:hint="default"/>
          <w:sz w:val="25"/>
          <w:szCs w:val="25"/>
        </w:rPr>
      </w:pPr>
    </w:p>
    <w:p>
      <w:pPr>
        <w:pStyle w:val="BodyText"/>
        <w:spacing w:line="309" w:lineRule="auto"/>
        <w:ind w:left="1430" w:right="1116"/>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99"/>
        </w:rPr>
        <w:t> </w:t>
      </w:r>
      <w:r>
        <w:rPr/>
        <w:t>除以公允价值计量且其变动计入当期损益的金融资产外，本公司于资产负债表日对金融资产的账面价值进</w:t>
      </w:r>
      <w:r>
        <w:rPr>
          <w:spacing w:val="-19"/>
        </w:rPr>
        <w:t> </w:t>
      </w:r>
      <w:r>
        <w:rPr>
          <w:spacing w:val="-19"/>
        </w:rPr>
      </w:r>
      <w:r>
        <w:rPr/>
        <w:t>行检查，如果有客观证据表明某项金融资产发生减值的，计提减值准备。</w:t>
      </w:r>
    </w:p>
    <w:p>
      <w:pPr>
        <w:pStyle w:val="BodyText"/>
        <w:spacing w:line="314" w:lineRule="auto" w:before="24"/>
        <w:ind w:left="1430" w:right="1116"/>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w:t>
      </w:r>
      <w:r>
        <w:rPr>
          <w:spacing w:val="-19"/>
        </w:rPr>
        <w:t> </w:t>
      </w:r>
      <w:r>
        <w:rPr>
          <w:spacing w:val="-19"/>
        </w:rPr>
      </w:r>
      <w:r>
        <w:rPr/>
        <w:t>属于非暂时性的，就认定其已发生减值，将原直接计入所有者权益的公允价值下降形成的累计损失一并转</w:t>
      </w:r>
      <w:r>
        <w:rPr>
          <w:spacing w:val="-11"/>
        </w:rPr>
        <w:t> </w:t>
      </w:r>
      <w:r>
        <w:rPr>
          <w:spacing w:val="-11"/>
        </w:rPr>
      </w:r>
      <w:r>
        <w:rPr/>
        <w:t>出，确认减值损失。 对于已确认减值损失的可供出售债务工具，在随后的会计期间公允价值已上升且客观上与确认原减值损失</w:t>
      </w:r>
      <w:r>
        <w:rPr>
          <w:spacing w:val="-19"/>
        </w:rPr>
        <w:t> </w:t>
      </w:r>
      <w:r>
        <w:rPr>
          <w:spacing w:val="-19"/>
        </w:rPr>
      </w:r>
      <w:r>
        <w:rPr/>
        <w:t>确认后发生的事项有关的，原确认的减值损失予以转回，计入当期损益。 可供出售权益工具投资发生的减值损失，不通过损益转回。</w:t>
      </w:r>
    </w:p>
    <w:p>
      <w:pPr>
        <w:spacing w:line="240" w:lineRule="auto" w:before="6"/>
        <w:rPr>
          <w:rFonts w:ascii="宋体" w:hAnsi="宋体" w:cs="宋体" w:eastAsia="宋体" w:hint="default"/>
          <w:sz w:val="25"/>
          <w:szCs w:val="25"/>
        </w:rPr>
      </w:pPr>
    </w:p>
    <w:p>
      <w:pPr>
        <w:pStyle w:val="BodyText"/>
        <w:spacing w:line="240" w:lineRule="auto"/>
        <w:ind w:left="1430" w:right="1116"/>
        <w:jc w:val="left"/>
      </w:pPr>
      <w:r>
        <w:rPr/>
        <w:t>（</w:t>
      </w:r>
      <w:r>
        <w:rPr>
          <w:rFonts w:ascii="Times New Roman" w:hAnsi="Times New Roman" w:cs="Times New Roman" w:eastAsia="Times New Roman" w:hint="default"/>
        </w:rPr>
        <w:t>2</w:t>
      </w:r>
      <w:r>
        <w:rPr/>
        <w:t>）应收款项坏账准备：</w:t>
      </w:r>
    </w:p>
    <w:p>
      <w:pPr>
        <w:pStyle w:val="BodyText"/>
        <w:spacing w:line="240" w:lineRule="auto" w:before="62"/>
        <w:ind w:left="1430" w:right="1116"/>
        <w:jc w:val="left"/>
      </w:pPr>
      <w:r>
        <w:rPr/>
        <w:t>①单项金额重大并单独计提坏账准备的应收款项：</w:t>
      </w:r>
    </w:p>
    <w:p>
      <w:pPr>
        <w:spacing w:after="0" w:line="240"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09" w:lineRule="auto" w:before="44"/>
        <w:ind w:left="1430" w:right="1116"/>
        <w:jc w:val="left"/>
      </w:pPr>
      <w:r>
        <w:rPr/>
        <w:t>单项金额重大的判断依据或金额标准： </w:t>
      </w:r>
      <w:r>
        <w:rPr>
          <w:spacing w:val="-1"/>
        </w:rPr>
        <w:t>单项金额重大的应收账款是指期末余额</w:t>
      </w:r>
      <w:r>
        <w:rPr>
          <w:rFonts w:ascii="Times New Roman" w:hAnsi="Times New Roman" w:cs="Times New Roman" w:eastAsia="Times New Roman" w:hint="default"/>
          <w:spacing w:val="-1"/>
        </w:rPr>
        <w:t>500</w:t>
      </w:r>
      <w:r>
        <w:rPr>
          <w:spacing w:val="-1"/>
        </w:rPr>
        <w:t>万元及以上的应收账款，单项金额重大的其他应收款是指期末余</w:t>
      </w:r>
      <w:r>
        <w:rPr>
          <w:spacing w:val="-50"/>
        </w:rPr>
        <w:t> </w:t>
      </w:r>
      <w:r>
        <w:rPr>
          <w:spacing w:val="-50"/>
        </w:rPr>
      </w:r>
      <w:r>
        <w:rPr/>
        <w:t>额</w:t>
      </w:r>
      <w:r>
        <w:rPr>
          <w:rFonts w:ascii="Times New Roman" w:hAnsi="Times New Roman" w:cs="Times New Roman" w:eastAsia="Times New Roman" w:hint="default"/>
        </w:rPr>
        <w:t>500</w:t>
      </w:r>
      <w:r>
        <w:rPr/>
        <w:t>万元及以上的其他应收款。</w:t>
      </w:r>
    </w:p>
    <w:p>
      <w:pPr>
        <w:pStyle w:val="BodyText"/>
        <w:spacing w:line="316" w:lineRule="auto" w:before="5"/>
        <w:ind w:left="1430" w:right="1116"/>
        <w:jc w:val="left"/>
      </w:pPr>
      <w:r>
        <w:rPr/>
        <w:t>单项金额重大并单独计提坏账准备的计提方法： 对单项金额重大的应收款项单独进行减值测试，如有客观证据表明其发生了减值的，根据其预计未来现金</w:t>
      </w:r>
      <w:r>
        <w:rPr>
          <w:spacing w:val="-19"/>
        </w:rPr>
        <w:t> </w:t>
      </w:r>
      <w:r>
        <w:rPr>
          <w:spacing w:val="-19"/>
        </w:rPr>
      </w:r>
      <w:r>
        <w:rPr/>
        <w:t>流量（不包括尚未发生的未来信用损失）按原实际利率折现的现值低于其账面价值的差额，确认为减值损</w:t>
      </w:r>
      <w:r>
        <w:rPr>
          <w:spacing w:val="-19"/>
        </w:rPr>
        <w:t> </w:t>
      </w:r>
      <w:r>
        <w:rPr>
          <w:spacing w:val="-19"/>
        </w:rPr>
      </w:r>
      <w:r>
        <w:rPr/>
        <w:t>失，计入当期损益。如无客观证据表明其发生了减值的，则并入正常信用风险组合采用账龄分析法计提坏</w:t>
      </w:r>
      <w:r>
        <w:rPr>
          <w:spacing w:val="-19"/>
        </w:rPr>
        <w:t> </w:t>
      </w:r>
      <w:r>
        <w:rPr>
          <w:spacing w:val="-19"/>
        </w:rPr>
      </w:r>
      <w:r>
        <w:rPr/>
        <w:t>账准备。</w:t>
      </w:r>
    </w:p>
    <w:p>
      <w:pPr>
        <w:spacing w:line="240" w:lineRule="auto" w:before="4"/>
        <w:rPr>
          <w:rFonts w:ascii="宋体" w:hAnsi="宋体" w:cs="宋体" w:eastAsia="宋体" w:hint="default"/>
          <w:sz w:val="25"/>
          <w:szCs w:val="25"/>
        </w:rPr>
      </w:pPr>
    </w:p>
    <w:p>
      <w:pPr>
        <w:pStyle w:val="BodyText"/>
        <w:spacing w:line="240" w:lineRule="auto"/>
        <w:ind w:left="1430" w:right="1116"/>
        <w:jc w:val="left"/>
      </w:pPr>
      <w:r>
        <w:rPr/>
        <w:t>②按信用风险特征组合计提坏账准备应收款项：</w:t>
      </w:r>
    </w:p>
    <w:p>
      <w:pPr>
        <w:spacing w:line="240" w:lineRule="auto" w:before="3"/>
        <w:rPr>
          <w:rFonts w:ascii="宋体" w:hAnsi="宋体" w:cs="宋体" w:eastAsia="宋体" w:hint="default"/>
          <w:sz w:val="5"/>
          <w:szCs w:val="5"/>
        </w:rPr>
      </w:pPr>
    </w:p>
    <w:tbl>
      <w:tblPr>
        <w:tblW w:w="0" w:type="auto"/>
        <w:jc w:val="left"/>
        <w:tblInd w:w="1314" w:type="dxa"/>
        <w:tblLayout w:type="fixed"/>
        <w:tblCellMar>
          <w:top w:w="0" w:type="dxa"/>
          <w:left w:w="0" w:type="dxa"/>
          <w:bottom w:w="0" w:type="dxa"/>
          <w:right w:w="0" w:type="dxa"/>
        </w:tblCellMar>
        <w:tblLook w:val="01E0"/>
      </w:tblPr>
      <w:tblGrid>
        <w:gridCol w:w="2019"/>
        <w:gridCol w:w="5233"/>
      </w:tblGrid>
      <w:tr>
        <w:trPr>
          <w:trHeight w:val="355" w:hRule="exact"/>
        </w:trPr>
        <w:tc>
          <w:tcPr>
            <w:tcW w:w="7252"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 w:right="5"/>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63" w:hRule="exact"/>
        </w:trPr>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5233"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8"/>
              <w:ind w:left="2" w:right="10"/>
              <w:jc w:val="left"/>
              <w:rPr>
                <w:rFonts w:ascii="宋体" w:hAnsi="宋体" w:cs="宋体" w:eastAsia="宋体" w:hint="default"/>
                <w:sz w:val="18"/>
                <w:szCs w:val="18"/>
              </w:rPr>
            </w:pPr>
            <w:r>
              <w:rPr>
                <w:rFonts w:ascii="宋体" w:hAnsi="宋体" w:cs="宋体" w:eastAsia="宋体" w:hint="default"/>
                <w:spacing w:val="-1"/>
                <w:sz w:val="18"/>
                <w:szCs w:val="18"/>
              </w:rPr>
              <w:t>主要包括项目保证金、员工备用金、合并范围内应收关联方单位款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项等可以确定收回的应收款项等。</w:t>
            </w:r>
          </w:p>
        </w:tc>
      </w:tr>
      <w:tr>
        <w:trPr>
          <w:trHeight w:val="665" w:hRule="exact"/>
        </w:trPr>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正常信用风险组合</w:t>
            </w:r>
          </w:p>
        </w:tc>
        <w:tc>
          <w:tcPr>
            <w:tcW w:w="523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8"/>
              <w:jc w:val="left"/>
              <w:rPr>
                <w:rFonts w:ascii="宋体" w:hAnsi="宋体" w:cs="宋体" w:eastAsia="宋体" w:hint="default"/>
                <w:sz w:val="18"/>
                <w:szCs w:val="18"/>
              </w:rPr>
            </w:pPr>
            <w:r>
              <w:rPr>
                <w:rFonts w:ascii="宋体" w:hAnsi="宋体" w:cs="宋体" w:eastAsia="宋体" w:hint="default"/>
                <w:spacing w:val="-1"/>
                <w:sz w:val="18"/>
                <w:szCs w:val="18"/>
              </w:rPr>
              <w:t>除上述无信用风险组合的应收款项外，无客观证据表明客户财务状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况和履约能力严重恶化的应收款项。</w:t>
            </w:r>
          </w:p>
        </w:tc>
      </w:tr>
      <w:tr>
        <w:trPr>
          <w:trHeight w:val="353" w:hRule="exact"/>
        </w:trPr>
        <w:tc>
          <w:tcPr>
            <w:tcW w:w="7252"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50" w:hRule="exact"/>
        </w:trPr>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52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如无客观证据表明其发生了减值的，不计提坏账准备。</w:t>
            </w:r>
          </w:p>
        </w:tc>
      </w:tr>
      <w:tr>
        <w:trPr>
          <w:trHeight w:val="353" w:hRule="exact"/>
        </w:trPr>
        <w:tc>
          <w:tcPr>
            <w:tcW w:w="2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正常信用风险组合</w:t>
            </w:r>
          </w:p>
        </w:tc>
        <w:tc>
          <w:tcPr>
            <w:tcW w:w="52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w:t>
            </w:r>
          </w:p>
        </w:tc>
      </w:tr>
    </w:tbl>
    <w:p>
      <w:pPr>
        <w:spacing w:line="240" w:lineRule="auto" w:before="1"/>
        <w:rPr>
          <w:rFonts w:ascii="宋体" w:hAnsi="宋体" w:cs="宋体" w:eastAsia="宋体" w:hint="default"/>
          <w:sz w:val="21"/>
          <w:szCs w:val="21"/>
        </w:rPr>
      </w:pPr>
    </w:p>
    <w:p>
      <w:pPr>
        <w:pStyle w:val="BodyText"/>
        <w:spacing w:line="316" w:lineRule="auto" w:before="44"/>
        <w:ind w:left="1430" w:right="1136"/>
        <w:jc w:val="both"/>
      </w:pPr>
      <w:r>
        <w:rPr/>
        <w:t>组合中，正常信用风险组合采用账龄分析法计提坏账准备，应收账款区分未逾期和逾期账龄分析计提，逾</w:t>
      </w:r>
      <w:r>
        <w:rPr>
          <w:spacing w:val="-19"/>
        </w:rPr>
        <w:t> </w:t>
      </w:r>
      <w:r>
        <w:rPr>
          <w:spacing w:val="-19"/>
        </w:rPr>
      </w:r>
      <w:r>
        <w:rPr/>
        <w:t>期账龄系根据合同约定收款日期确定；其他应收款按账龄分析计提，采用账龄分析法计提坏账准备的具体</w:t>
      </w:r>
      <w:r>
        <w:rPr>
          <w:spacing w:val="-19"/>
        </w:rPr>
        <w:t> </w:t>
      </w:r>
      <w:r>
        <w:rPr>
          <w:spacing w:val="-19"/>
        </w:rPr>
      </w:r>
      <w:r>
        <w:rPr/>
        <w:t>比例如下：</w:t>
      </w:r>
    </w:p>
    <w:tbl>
      <w:tblPr>
        <w:tblW w:w="0" w:type="auto"/>
        <w:jc w:val="left"/>
        <w:tblInd w:w="1314" w:type="dxa"/>
        <w:tblLayout w:type="fixed"/>
        <w:tblCellMar>
          <w:top w:w="0" w:type="dxa"/>
          <w:left w:w="0" w:type="dxa"/>
          <w:bottom w:w="0" w:type="dxa"/>
          <w:right w:w="0" w:type="dxa"/>
        </w:tblCellMar>
        <w:tblLook w:val="01E0"/>
      </w:tblPr>
      <w:tblGrid>
        <w:gridCol w:w="2012"/>
        <w:gridCol w:w="1747"/>
        <w:gridCol w:w="1611"/>
        <w:gridCol w:w="1968"/>
      </w:tblGrid>
      <w:tr>
        <w:trPr>
          <w:trHeight w:val="356" w:hRule="exact"/>
        </w:trPr>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应收账款计提比例</w:t>
            </w:r>
            <w:r>
              <w:rPr>
                <w:rFonts w:ascii="Times New Roman" w:hAnsi="Times New Roman" w:cs="Times New Roman" w:eastAsia="Times New Roman" w:hint="default"/>
                <w:spacing w:val="-1"/>
                <w:sz w:val="18"/>
                <w:szCs w:val="18"/>
              </w:rPr>
              <w:t>(%)</w:t>
            </w:r>
          </w:p>
        </w:tc>
        <w:tc>
          <w:tcPr>
            <w:tcW w:w="1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其他应收款计提比例</w:t>
            </w:r>
            <w:r>
              <w:rPr>
                <w:rFonts w:ascii="Times New Roman" w:hAnsi="Times New Roman" w:cs="Times New Roman" w:eastAsia="Times New Roman" w:hint="default"/>
                <w:spacing w:val="-1"/>
                <w:sz w:val="18"/>
                <w:szCs w:val="18"/>
              </w:rPr>
              <w:t>(%)</w:t>
            </w:r>
          </w:p>
        </w:tc>
      </w:tr>
      <w:tr>
        <w:trPr>
          <w:trHeight w:val="353"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年以内（含未逾期）</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30</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30</w:t>
            </w:r>
          </w:p>
        </w:tc>
      </w:tr>
      <w:tr>
        <w:trPr>
          <w:trHeight w:val="353"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50</w:t>
            </w:r>
          </w:p>
        </w:tc>
      </w:tr>
      <w:tr>
        <w:trPr>
          <w:trHeight w:val="350"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80</w:t>
            </w:r>
          </w:p>
        </w:tc>
      </w:tr>
      <w:tr>
        <w:trPr>
          <w:trHeight w:val="353" w:hRule="exact"/>
        </w:trPr>
        <w:tc>
          <w:tcPr>
            <w:tcW w:w="2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19" w:lineRule="auto" w:before="19"/>
        <w:ind w:left="1430" w:right="1116"/>
        <w:jc w:val="left"/>
      </w:pPr>
      <w:r>
        <w:rPr/>
        <w:t>③单项金额不重大但单独计提坏账准备的应收款项： 单项金额虽不重大但单项计提坏账准备的应收款项是指单项金额虽不重大但已涉及诉讼事项或已有客观证</w:t>
      </w:r>
      <w:r>
        <w:rPr>
          <w:spacing w:val="-19"/>
        </w:rPr>
        <w:t> </w:t>
      </w:r>
      <w:r>
        <w:rPr>
          <w:spacing w:val="-19"/>
        </w:rPr>
      </w:r>
      <w:r>
        <w:rPr/>
        <w:t>据表明很有可能形成损失的应收款项。 坏账准备的计提方法：对单项金额虽不重大但已涉及诉讼事项或已有客观证据表明很有可能形成损失的应</w:t>
      </w:r>
      <w:r>
        <w:rPr>
          <w:spacing w:val="-19"/>
        </w:rPr>
        <w:t> </w:t>
      </w:r>
      <w:r>
        <w:rPr>
          <w:spacing w:val="-19"/>
        </w:rPr>
      </w:r>
      <w:r>
        <w:rPr/>
        <w:t>收款项需单独进行减值测试，根据其预计未来现金流量（不包括尚未发生的未来信用损失）按原实际利率</w:t>
      </w:r>
      <w:r>
        <w:rPr>
          <w:spacing w:val="-19"/>
        </w:rPr>
        <w:t> </w:t>
      </w:r>
      <w:r>
        <w:rPr>
          <w:spacing w:val="-19"/>
        </w:rPr>
      </w:r>
      <w:r>
        <w:rPr/>
        <w:t>折现的现值低于其账面价值的差额，确认为减值损失，计入当期损益。</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08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5"/>
        <w:spacing w:line="240" w:lineRule="auto"/>
        <w:ind w:right="-19"/>
        <w:jc w:val="left"/>
        <w:rPr>
          <w:b w:val="0"/>
          <w:bCs w:val="0"/>
        </w:rPr>
      </w:pPr>
      <w:bookmarkStart w:name="11、存货" w:id="175"/>
      <w:bookmarkEnd w:id="175"/>
      <w:r>
        <w:rPr>
          <w:b w:val="0"/>
          <w:bCs w:val="0"/>
        </w:rPr>
      </w:r>
      <w:r>
        <w:rPr>
          <w:rFonts w:ascii="Times New Roman" w:hAnsi="Times New Roman" w:cs="Times New Roman" w:eastAsia="Times New Roman" w:hint="default"/>
        </w:rPr>
        <w:t>11</w:t>
      </w:r>
      <w:r>
        <w:rPr/>
        <w:t>、存货</w:t>
      </w:r>
      <w:r>
        <w:rPr>
          <w:b w:val="0"/>
          <w:bCs w:val="0"/>
        </w:rPr>
      </w:r>
    </w:p>
    <w:p>
      <w:pPr>
        <w:pStyle w:val="BodyText"/>
        <w:spacing w:line="300" w:lineRule="auto" w:before="44"/>
        <w:ind w:left="512" w:right="3897"/>
        <w:jc w:val="left"/>
      </w:pPr>
      <w:r>
        <w:rPr/>
        <w:br w:type="column"/>
      </w:r>
      <w:r>
        <w:rPr/>
        <w:t>（</w:t>
      </w:r>
      <w:r>
        <w:rPr>
          <w:rFonts w:ascii="Times New Roman" w:hAnsi="Times New Roman" w:cs="Times New Roman" w:eastAsia="Times New Roman" w:hint="default"/>
        </w:rPr>
        <w:t>3</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6"/>
          <w:szCs w:val="26"/>
        </w:rPr>
      </w:pPr>
    </w:p>
    <w:p>
      <w:pPr>
        <w:pStyle w:val="BodyText"/>
        <w:spacing w:line="316" w:lineRule="auto"/>
        <w:ind w:left="512" w:right="1737"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存货的分类</w:t>
      </w:r>
      <w:r>
        <w:rPr>
          <w:rFonts w:ascii="宋体" w:hAnsi="宋体" w:cs="宋体" w:eastAsia="宋体" w:hint="default"/>
          <w:b/>
          <w:bCs/>
          <w:w w:val="99"/>
        </w:rPr>
        <w:t> </w:t>
      </w:r>
      <w:r>
        <w:rPr/>
        <w:t>存货分类为：原材料、在产品、库存商品、发出商品、工程成本、运营维护成本、低值易耗品等。</w:t>
      </w:r>
    </w:p>
    <w:p>
      <w:pPr>
        <w:spacing w:line="240" w:lineRule="auto" w:before="4"/>
        <w:rPr>
          <w:rFonts w:ascii="宋体" w:hAnsi="宋体" w:cs="宋体" w:eastAsia="宋体" w:hint="default"/>
          <w:sz w:val="25"/>
          <w:szCs w:val="25"/>
        </w:rPr>
      </w:pPr>
    </w:p>
    <w:p>
      <w:pPr>
        <w:pStyle w:val="Heading5"/>
        <w:spacing w:line="240" w:lineRule="auto"/>
        <w:ind w:right="3897"/>
        <w:jc w:val="left"/>
        <w:rPr>
          <w:b w:val="0"/>
          <w:bCs w:val="0"/>
        </w:rPr>
      </w:pPr>
      <w:r>
        <w:rPr>
          <w:rFonts w:ascii="宋体" w:hAnsi="宋体" w:cs="宋体" w:eastAsia="宋体" w:hint="default"/>
        </w:rPr>
        <w:t>2.</w:t>
      </w:r>
      <w:r>
        <w:rPr>
          <w:rFonts w:ascii="宋体" w:hAnsi="宋体" w:cs="宋体" w:eastAsia="宋体" w:hint="default"/>
          <w:spacing w:val="86"/>
        </w:rPr>
        <w:t> </w:t>
      </w:r>
      <w:r>
        <w:rPr/>
        <w:t>发出存货的计价方法</w:t>
      </w:r>
      <w:r>
        <w:rPr>
          <w:b w:val="0"/>
          <w:bCs w:val="0"/>
        </w:rPr>
      </w:r>
    </w:p>
    <w:p>
      <w:pPr>
        <w:spacing w:after="0" w:line="240" w:lineRule="auto"/>
        <w:jc w:val="left"/>
        <w:sectPr>
          <w:type w:val="continuous"/>
          <w:pgSz w:w="11910" w:h="16840"/>
          <w:pgMar w:top="1060" w:bottom="1160" w:left="980" w:right="0"/>
          <w:cols w:num="2" w:equalWidth="0">
            <w:col w:w="876" w:space="41"/>
            <w:col w:w="10013"/>
          </w:cols>
        </w:sectPr>
      </w:pPr>
    </w:p>
    <w:p>
      <w:pPr>
        <w:spacing w:line="240" w:lineRule="auto" w:before="8"/>
        <w:rPr>
          <w:rFonts w:ascii="宋体" w:hAnsi="宋体" w:cs="宋体" w:eastAsia="宋体" w:hint="default"/>
          <w:b/>
          <w:bCs/>
          <w:sz w:val="23"/>
          <w:szCs w:val="23"/>
        </w:rPr>
      </w:pPr>
    </w:p>
    <w:p>
      <w:pPr>
        <w:pStyle w:val="BodyText"/>
        <w:spacing w:line="309" w:lineRule="auto" w:before="44"/>
        <w:ind w:left="1430" w:right="1130"/>
        <w:jc w:val="both"/>
      </w:pPr>
      <w:r>
        <w:rPr/>
        <w:t>存货按实际成本进行初始计量，工程成本按实际发出的硬件（外购设备）成本和可辨认直接费用计价，按</w:t>
      </w:r>
      <w:r>
        <w:rPr>
          <w:spacing w:val="-16"/>
        </w:rPr>
        <w:t> </w:t>
      </w:r>
      <w:r>
        <w:rPr>
          <w:spacing w:val="-16"/>
        </w:rPr>
      </w:r>
      <w:r>
        <w:rPr>
          <w:spacing w:val="-1"/>
        </w:rPr>
        <w:t>工程项目进行汇集和结转。存货发出区别不同情况予以确认：（</w:t>
      </w:r>
      <w:r>
        <w:rPr>
          <w:rFonts w:ascii="Times New Roman" w:hAnsi="Times New Roman" w:cs="Times New Roman" w:eastAsia="Times New Roman" w:hint="default"/>
          <w:spacing w:val="-1"/>
        </w:rPr>
        <w:t>1</w:t>
      </w:r>
      <w:r>
        <w:rPr>
          <w:spacing w:val="-1"/>
        </w:rPr>
        <w:t>）采购存货专门用于单项业务时，按个别</w:t>
      </w:r>
      <w:r>
        <w:rPr>
          <w:spacing w:val="-57"/>
        </w:rPr>
        <w:t> </w:t>
      </w:r>
      <w:r>
        <w:rPr>
          <w:spacing w:val="-57"/>
        </w:rPr>
      </w:r>
      <w:r>
        <w:rPr>
          <w:spacing w:val="-3"/>
        </w:rPr>
        <w:t>计价法确认；（</w:t>
      </w:r>
      <w:r>
        <w:rPr>
          <w:rFonts w:ascii="Times New Roman" w:hAnsi="Times New Roman" w:cs="Times New Roman" w:eastAsia="Times New Roman" w:hint="default"/>
          <w:spacing w:val="-3"/>
        </w:rPr>
        <w:t>2</w:t>
      </w:r>
      <w:r>
        <w:rPr>
          <w:spacing w:val="-3"/>
        </w:rPr>
        <w:t>）非为单项业务单独采购的存货，按加权平均法计价确认。</w:t>
      </w:r>
    </w:p>
    <w:p>
      <w:pPr>
        <w:spacing w:line="240" w:lineRule="auto" w:before="3"/>
        <w:rPr>
          <w:rFonts w:ascii="宋体" w:hAnsi="宋体" w:cs="宋体" w:eastAsia="宋体" w:hint="default"/>
          <w:sz w:val="24"/>
          <w:szCs w:val="24"/>
        </w:rPr>
      </w:pPr>
    </w:p>
    <w:p>
      <w:pPr>
        <w:pStyle w:val="BodyText"/>
        <w:spacing w:line="316" w:lineRule="auto"/>
        <w:ind w:left="1430" w:right="1116"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不同类别存货可变现净值的确定依据</w:t>
      </w:r>
      <w:r>
        <w:rPr>
          <w:rFonts w:ascii="宋体" w:hAnsi="宋体" w:cs="宋体" w:eastAsia="宋体" w:hint="default"/>
          <w:b/>
          <w:bCs/>
          <w:w w:val="99"/>
        </w:rPr>
        <w:t> </w:t>
      </w:r>
      <w:r>
        <w:rPr/>
        <w:t>可变现净值的确定：产成品、商品和用于出售的材料等直接用于出售的商品存货，以该存货的估计售价减 去估计的销售费用和相关税费后的金额，确定其可变现净值；需要经过加工的材料存货，以所生产的产品 </w:t>
      </w:r>
      <w:r>
        <w:rPr>
          <w:spacing w:val="-3"/>
        </w:rPr>
        <w:t>的估计售价减去至完工时估计将要发生的成本、估计的销售费用和相关税费后的金额，确定其可变现净值；</w:t>
      </w:r>
      <w:r>
        <w:rPr/>
        <w:t> 需要经过系统安装方可出售的自动化物流系统，以该项自动化物流系统估计售价减去估计将要发生的自动 化物流系统安装成本、估计的销售费用和相关税费后的金额，确定其可变现净值。 </w:t>
      </w:r>
      <w:r>
        <w:rPr>
          <w:spacing w:val="-3"/>
        </w:rPr>
        <w:t>存货跌价准备的计提方法：资产负债表日，按单个存货可变现净值低于账面价值的差额计提存货跌价准备，</w:t>
      </w:r>
      <w:r>
        <w:rPr/>
        <w:t> 计入当期损益，以后期间存货价值恢复的，在原已计提的存货跌价准备金额内转回，转回的金额计入当期 损益。确定存货的可变现净值时，以资产负债表日取得最可靠的证据估计的售价为基础并考虑持有存货的 目的，资产负债表日至财务报告批准报出日之间存货售价发生波动的，如有确凿证据表明其对资产负债表 日存货已经存在的情况提供了新的或进一步的证据，作为调整事项进行处理；否则，作为非调整事项。</w:t>
      </w:r>
    </w:p>
    <w:p>
      <w:pPr>
        <w:spacing w:line="240" w:lineRule="auto" w:before="4"/>
        <w:rPr>
          <w:rFonts w:ascii="宋体" w:hAnsi="宋体" w:cs="宋体" w:eastAsia="宋体" w:hint="default"/>
          <w:sz w:val="25"/>
          <w:szCs w:val="25"/>
        </w:rPr>
      </w:pPr>
    </w:p>
    <w:p>
      <w:pPr>
        <w:spacing w:line="316" w:lineRule="auto" w:before="0"/>
        <w:ind w:left="1430" w:right="8036" w:hanging="36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pacing w:val="87"/>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5.</w:t>
      </w:r>
      <w:r>
        <w:rPr>
          <w:rFonts w:ascii="宋体" w:hAnsi="宋体" w:cs="宋体" w:eastAsia="宋体" w:hint="default"/>
          <w:spacing w:val="85"/>
        </w:rPr>
        <w:t> </w:t>
      </w:r>
      <w:r>
        <w:rPr/>
        <w:t>低值易耗品和包装物的摊销方法</w:t>
      </w:r>
      <w:r>
        <w:rPr>
          <w:b w:val="0"/>
          <w:bCs w:val="0"/>
        </w:rPr>
      </w:r>
    </w:p>
    <w:p>
      <w:pPr>
        <w:pStyle w:val="BodyText"/>
        <w:spacing w:line="240" w:lineRule="auto" w:before="76"/>
        <w:ind w:left="1430" w:right="1116"/>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1430" w:right="1116"/>
        <w:jc w:val="left"/>
      </w:pPr>
      <w:r>
        <w:rPr/>
        <w:t>（</w:t>
      </w:r>
      <w:r>
        <w:rPr>
          <w:rFonts w:ascii="Times New Roman" w:hAnsi="Times New Roman" w:cs="Times New Roman" w:eastAsia="Times New Roman" w:hint="default"/>
        </w:rPr>
        <w:t>2</w:t>
      </w:r>
      <w:r>
        <w:rPr/>
        <w:t>）包装物采用一次转销法。</w:t>
      </w:r>
    </w:p>
    <w:p>
      <w:pPr>
        <w:pStyle w:val="Heading5"/>
        <w:spacing w:line="240" w:lineRule="auto" w:before="65"/>
        <w:ind w:right="1116"/>
        <w:jc w:val="left"/>
        <w:rPr>
          <w:b w:val="0"/>
          <w:bCs w:val="0"/>
        </w:rPr>
      </w:pPr>
      <w:bookmarkStart w:name="12、长期股权投资" w:id="176"/>
      <w:bookmarkEnd w:id="176"/>
      <w:r>
        <w:rPr>
          <w:b w:val="0"/>
          <w:bCs w:val="0"/>
        </w:rPr>
      </w:r>
      <w:r>
        <w:rPr>
          <w:rFonts w:ascii="Times New Roman" w:hAnsi="Times New Roman" w:cs="Times New Roman" w:eastAsia="Times New Roman" w:hint="default"/>
        </w:rPr>
        <w:t>12</w:t>
      </w:r>
      <w:r>
        <w:rPr/>
        <w:t>、长期股权投资</w:t>
      </w:r>
      <w:r>
        <w:rPr>
          <w:b w:val="0"/>
          <w:bCs w:val="0"/>
        </w:rPr>
      </w:r>
    </w:p>
    <w:p>
      <w:pPr>
        <w:pStyle w:val="BodyText"/>
        <w:spacing w:line="316" w:lineRule="auto" w:before="63"/>
        <w:ind w:left="1430" w:right="111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共同控制、重大影响的判断标准</w:t>
      </w:r>
      <w:r>
        <w:rPr>
          <w:rFonts w:ascii="宋体" w:hAnsi="宋体" w:cs="宋体" w:eastAsia="宋体" w:hint="default"/>
          <w:b/>
          <w:bCs/>
          <w:w w:val="99"/>
        </w:rPr>
        <w:t> </w:t>
      </w:r>
      <w:r>
        <w:rPr/>
        <w:t>共同控制，是指按照相关约定对某项安排所共有的控制，并且该安排的相关活动必须经过分享控制权的参 与方一致同意后才能决策。本公司与其他合营方一同对被投资单位实施共同控制且对被投资单位净资产享 有权利的，被投资单位为本公司的合营企业。 重大影响，是指对一个企业的财务和经营决策有参与决策的权力，但并不能够控制或者与其他方一起共同 控制这些政策的制定。本公司能够对被投资单位施加重大影响的，被投资单位为本公司联营企业。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2.</w:t>
      </w:r>
      <w:r>
        <w:rPr>
          <w:rFonts w:ascii="宋体" w:hAnsi="宋体" w:cs="宋体" w:eastAsia="宋体" w:hint="default"/>
          <w:spacing w:val="86"/>
        </w:rPr>
        <w:t> </w:t>
      </w:r>
      <w:r>
        <w:rPr/>
        <w:t>初始投资成本的确定</w:t>
      </w:r>
      <w:r>
        <w:rPr>
          <w:b w:val="0"/>
          <w:bCs w:val="0"/>
        </w:rPr>
      </w:r>
    </w:p>
    <w:p>
      <w:pPr>
        <w:pStyle w:val="BodyText"/>
        <w:spacing w:line="316" w:lineRule="auto" w:before="76"/>
        <w:ind w:left="1430" w:right="1116"/>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w:t>
      </w:r>
      <w:r>
        <w:rPr>
          <w:spacing w:val="-19"/>
        </w:rPr>
        <w:t> </w:t>
      </w:r>
      <w:r>
        <w:rPr>
          <w:spacing w:val="-19"/>
        </w:rPr>
      </w:r>
      <w:r>
        <w:rPr/>
        <w:t>并对价的，在合并日按照取得被合并方所有者权益在最终控制方合并财务报表中的账面价值的份额作为长</w:t>
      </w:r>
      <w:r>
        <w:rPr>
          <w:spacing w:val="-19"/>
        </w:rPr>
        <w:t> </w:t>
      </w:r>
      <w:r>
        <w:rPr>
          <w:spacing w:val="-19"/>
        </w:rPr>
      </w:r>
      <w:r>
        <w:rPr/>
        <w:t>期股权投资的初始投资成本。因追加投资等原因能够对同一控制下的被投资单位实施控制的，在合并日根</w:t>
      </w:r>
      <w:r>
        <w:rPr>
          <w:spacing w:val="-19"/>
        </w:rPr>
        <w:t> </w:t>
      </w:r>
      <w:r>
        <w:rPr>
          <w:spacing w:val="-19"/>
        </w:rPr>
      </w:r>
      <w:r>
        <w:rPr/>
        <w:t>据合并后应享有被合并方净资产在最终控制方合并财务报表中的账面价值的份额，确定长期股权投资的初</w:t>
      </w:r>
      <w:r>
        <w:rPr>
          <w:spacing w:val="-19"/>
        </w:rPr>
        <w:t> </w:t>
      </w:r>
      <w:r>
        <w:rPr>
          <w:spacing w:val="-19"/>
        </w:rPr>
      </w:r>
      <w:r>
        <w:rPr/>
        <w:t>始投资成本。合并日长期股权投资的初始投资成本，与达到合并前的长期股权投资账面价值加上合并日进</w:t>
      </w:r>
      <w:r>
        <w:rPr>
          <w:spacing w:val="-19"/>
        </w:rPr>
        <w:t> </w:t>
      </w:r>
      <w:r>
        <w:rPr>
          <w:spacing w:val="-19"/>
        </w:rPr>
      </w:r>
      <w:r>
        <w:rPr/>
        <w:t>一步取得股份新支付对价的账面价值之和的差额，调整股本溢价，股本溢价不足冲减的，冲减留存收益。 非同一控制下的企业合并：公司按照购买日确定的合并成本作为长期股权投资的初始投资成本。因追加投</w:t>
      </w:r>
      <w:r>
        <w:rPr>
          <w:spacing w:val="-19"/>
        </w:rPr>
        <w:t> </w:t>
      </w:r>
      <w:r>
        <w:rPr>
          <w:spacing w:val="-19"/>
        </w:rPr>
      </w:r>
      <w:r>
        <w:rPr/>
        <w:t>资等原因能够对非同一控制下的被投资单位实施控制的，按照原持有的股权投资账面价值加上新增投资成</w:t>
      </w:r>
      <w:r>
        <w:rPr>
          <w:spacing w:val="-19"/>
        </w:rPr>
        <w:t> </w:t>
      </w:r>
      <w:r>
        <w:rPr>
          <w:spacing w:val="-19"/>
        </w:rPr>
      </w:r>
      <w:r>
        <w:rPr/>
        <w:t>本之和，作为改按成本法核算的初始投资成本。</w:t>
      </w:r>
    </w:p>
    <w:p>
      <w:pPr>
        <w:pStyle w:val="BodyText"/>
        <w:spacing w:line="309" w:lineRule="auto" w:before="19"/>
        <w:ind w:left="1430" w:right="2096"/>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spacing w:after="0" w:line="309"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6" w:lineRule="auto" w:before="44"/>
        <w:ind w:left="1430" w:right="1116"/>
        <w:jc w:val="left"/>
      </w:pPr>
      <w:r>
        <w:rPr/>
        <w:t>在非货币性资产交换具有商业实质且换入资产和换出资产的公允价值均能够可靠计量的前提下，非货币性</w:t>
      </w:r>
      <w:r>
        <w:rPr>
          <w:spacing w:val="-17"/>
        </w:rPr>
        <w:t> </w:t>
      </w:r>
      <w:r>
        <w:rPr>
          <w:spacing w:val="-17"/>
        </w:rPr>
      </w:r>
      <w:r>
        <w:rPr/>
        <w:t>资产交换换入的长期股权投资以换出资产的公允价值和应支付的相关税费确定其初始投资成本，除非有确</w:t>
      </w:r>
      <w:r>
        <w:rPr>
          <w:spacing w:val="-19"/>
        </w:rPr>
        <w:t> </w:t>
      </w:r>
      <w:r>
        <w:rPr>
          <w:spacing w:val="-19"/>
        </w:rPr>
      </w:r>
      <w:r>
        <w:rPr/>
        <w:t>凿证据表明换入资产的公允价值更加可靠；不满足上述前提的非货币性资产交换，以换出资产的账面价值</w:t>
      </w:r>
      <w:r>
        <w:rPr>
          <w:spacing w:val="-19"/>
        </w:rPr>
        <w:t> </w:t>
      </w:r>
      <w:r>
        <w:rPr>
          <w:spacing w:val="-19"/>
        </w:rPr>
      </w:r>
      <w:r>
        <w:rPr/>
        <w:t>和应支付的相关税费作为换入长期股权投资的初始投资成本。 通过债务重组取得的长期股权投资，以所放弃债权的公允价值和可直接归属于该资产的税金等其他成本确</w:t>
      </w:r>
      <w:r>
        <w:rPr>
          <w:spacing w:val="-19"/>
        </w:rPr>
        <w:t> </w:t>
      </w:r>
      <w:r>
        <w:rPr>
          <w:spacing w:val="-19"/>
        </w:rPr>
      </w:r>
      <w:r>
        <w:rPr/>
        <w:t>定其入账价值，并将所放弃债权的公允价值与账面价值之间的差额，计入当期损益。</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3.</w:t>
      </w:r>
      <w:r>
        <w:rPr>
          <w:rFonts w:ascii="宋体" w:hAnsi="宋体" w:cs="宋体" w:eastAsia="宋体" w:hint="default"/>
          <w:spacing w:val="85"/>
        </w:rPr>
        <w:t> </w:t>
      </w:r>
      <w:r>
        <w:rPr/>
        <w:t>后续计量及损益确认方法</w:t>
      </w:r>
      <w:r>
        <w:rPr>
          <w:b w:val="0"/>
          <w:bCs w:val="0"/>
        </w:rPr>
      </w:r>
    </w:p>
    <w:p>
      <w:pPr>
        <w:pStyle w:val="BodyText"/>
        <w:spacing w:line="309" w:lineRule="auto" w:before="76"/>
        <w:ind w:left="1430" w:right="1116"/>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w:t>
      </w:r>
      <w:r>
        <w:rPr>
          <w:spacing w:val="-19"/>
        </w:rPr>
        <w:t> </w:t>
      </w:r>
      <w:r>
        <w:rPr>
          <w:spacing w:val="-19"/>
        </w:rPr>
      </w:r>
      <w:r>
        <w:rPr/>
        <w:t>尚未发放的现金股利或利润外，公司按照享有被投资单位宣告发放的现金股利或利润确认当期投资收益。</w:t>
      </w:r>
    </w:p>
    <w:p>
      <w:pPr>
        <w:pStyle w:val="BodyText"/>
        <w:spacing w:line="314" w:lineRule="auto" w:before="24"/>
        <w:ind w:left="1430" w:right="1106"/>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w:t>
      </w:r>
      <w:r>
        <w:rPr>
          <w:spacing w:val="-19"/>
        </w:rPr>
        <w:t> </w:t>
      </w:r>
      <w:r>
        <w:rPr>
          <w:spacing w:val="-19"/>
        </w:rPr>
      </w:r>
      <w:r>
        <w:rPr/>
        <w:t>辨认净资产公允价值份额的差额，不调整长期股权投资的初始投资成本；初始投资成本小于投资时应享有</w:t>
      </w:r>
      <w:r>
        <w:rPr>
          <w:spacing w:val="-19"/>
        </w:rPr>
        <w:t> </w:t>
      </w:r>
      <w:r>
        <w:rPr>
          <w:spacing w:val="-19"/>
        </w:rPr>
      </w:r>
      <w:r>
        <w:rPr/>
        <w:t>被投资单位可辨认净资产公允价值份额的差额，计入当期损益。 公司按照应享有或应分担的被投资单位实现的净损益和其他综合收益的份额，分别确认投资收益和其他综</w:t>
      </w:r>
      <w:r>
        <w:rPr>
          <w:spacing w:val="-19"/>
        </w:rPr>
        <w:t> </w:t>
      </w:r>
      <w:r>
        <w:rPr>
          <w:spacing w:val="-19"/>
        </w:rPr>
      </w:r>
      <w:r>
        <w:rPr/>
        <w:t>合收益，同时调整长期股权投资的账面价值；按照被投资单位宣告分派的利润或现金股利计算应享有的部</w:t>
      </w:r>
      <w:r>
        <w:rPr>
          <w:spacing w:val="-19"/>
        </w:rPr>
        <w:t> </w:t>
      </w:r>
      <w:r>
        <w:rPr>
          <w:spacing w:val="-19"/>
        </w:rPr>
      </w:r>
      <w:r>
        <w:rPr/>
        <w:t>分，相应减少长期股权投资的账面价值；对于被投资单位除净损益、其他综合收益和利润分配以外所有者</w:t>
      </w:r>
      <w:r>
        <w:rPr>
          <w:spacing w:val="-19"/>
        </w:rPr>
        <w:t> </w:t>
      </w:r>
      <w:r>
        <w:rPr>
          <w:spacing w:val="-19"/>
        </w:rPr>
      </w:r>
      <w:r>
        <w:rPr/>
        <w:t>权益的其他变动，调整长期股权投资的账面价值并计入所有者权益。 在确认应享有被投资单位净损益的份额时，以取得投资时被投资单位可辨认净资产的公允价值为基础，并</w:t>
      </w:r>
      <w:r>
        <w:rPr>
          <w:spacing w:val="-19"/>
        </w:rPr>
        <w:t> </w:t>
      </w:r>
      <w:r>
        <w:rPr>
          <w:spacing w:val="-19"/>
        </w:rPr>
      </w:r>
      <w:r>
        <w:rPr/>
        <w:t>按照公司的会计政策及会计期间，对被投资单位的净利润进行调整后确认。在持有投资期间，被投资单位</w:t>
      </w:r>
      <w:r>
        <w:rPr>
          <w:spacing w:val="-8"/>
        </w:rPr>
        <w:t> </w:t>
      </w:r>
      <w:r>
        <w:rPr>
          <w:spacing w:val="-8"/>
        </w:rPr>
      </w:r>
      <w:r>
        <w:rPr/>
        <w:t>编制合并财务报表的，以合并财务报表中的净利润、其他综合收益和其他所有者权益变动中归属于被投资</w:t>
      </w:r>
      <w:r>
        <w:rPr>
          <w:spacing w:val="-19"/>
        </w:rPr>
        <w:t> </w:t>
      </w:r>
      <w:r>
        <w:rPr>
          <w:spacing w:val="-19"/>
        </w:rPr>
      </w:r>
      <w:r>
        <w:rPr/>
        <w:t>单位的金额为基础进行核算。 公司与联营企业、合营企业之间发生的未实现内部交易损益按照应享有的比例计算归属于公司的部分，予</w:t>
      </w:r>
      <w:r>
        <w:rPr>
          <w:spacing w:val="-19"/>
        </w:rPr>
        <w:t> </w:t>
      </w:r>
      <w:r>
        <w:rPr>
          <w:spacing w:val="-19"/>
        </w:rPr>
      </w:r>
      <w:r>
        <w:rPr/>
        <w:t>以抵销，在此基础上确认投资收益。与被投资单位发生的未实现内部交易损失，属于资产减值损失的，全</w:t>
      </w:r>
      <w:r>
        <w:rPr>
          <w:spacing w:val="-19"/>
        </w:rPr>
        <w:t> </w:t>
      </w:r>
      <w:r>
        <w:rPr>
          <w:spacing w:val="-19"/>
        </w:rPr>
      </w:r>
      <w:r>
        <w:rPr>
          <w:spacing w:val="-4"/>
        </w:rPr>
        <w:t>额确认。公司与联营企业、合营企业之间发生投出或出售资产的交易，该资产构成业务的，按照本附注“</w:t>
      </w:r>
      <w:r>
        <w:rPr>
          <w:rFonts w:ascii="Times New Roman" w:hAnsi="Times New Roman" w:cs="Times New Roman" w:eastAsia="Times New Roman" w:hint="default"/>
          <w:spacing w:val="-4"/>
        </w:rPr>
        <w:t>5</w:t>
      </w:r>
      <w:r>
        <w:rPr>
          <w:spacing w:val="-4"/>
        </w:rPr>
        <w:t>、</w:t>
      </w:r>
      <w:r>
        <w:rPr>
          <w:spacing w:val="-87"/>
        </w:rPr>
        <w:t> </w:t>
      </w:r>
      <w:r>
        <w:rPr/>
        <w:t>同一控制下和非同一控制下企业合并的会计处理方法”和“</w:t>
      </w:r>
      <w:r>
        <w:rPr>
          <w:rFonts w:ascii="Times New Roman" w:hAnsi="Times New Roman" w:cs="Times New Roman" w:eastAsia="Times New Roman" w:hint="default"/>
        </w:rPr>
        <w:t>6</w:t>
      </w:r>
      <w:r>
        <w:rPr/>
        <w:t>、合并财务报表的编制方法”中披露的相关政 策进行会计处理。 在公司确认应分担被投资单位发生的亏损时，按照以下顺序进行处理：首先，冲减长期股权投资的账面价</w:t>
      </w:r>
      <w:r>
        <w:rPr>
          <w:spacing w:val="-19"/>
        </w:rPr>
        <w:t> </w:t>
      </w:r>
      <w:r>
        <w:rPr>
          <w:spacing w:val="-19"/>
        </w:rPr>
      </w:r>
      <w:r>
        <w:rPr/>
        <w:t>值。其次，长期股权投资的账面价值不足以冲减的，以其他实质上构成对被投资单位净投资的长期权益账</w:t>
      </w:r>
      <w:r>
        <w:rPr>
          <w:spacing w:val="-19"/>
        </w:rPr>
        <w:t> </w:t>
      </w:r>
      <w:r>
        <w:rPr>
          <w:spacing w:val="-19"/>
        </w:rPr>
      </w:r>
      <w:r>
        <w:rPr/>
        <w:t>面价值为限继续确认投资损失，冲减长期应收项目等的账面价值。最后，经过上述处理，按照投资合同或</w:t>
      </w:r>
      <w:r>
        <w:rPr>
          <w:spacing w:val="-19"/>
        </w:rPr>
        <w:t> </w:t>
      </w:r>
      <w:r>
        <w:rPr>
          <w:spacing w:val="-19"/>
        </w:rPr>
      </w:r>
      <w:r>
        <w:rPr/>
        <w:t>协议约定企业仍承担额外义务的，按预计承担的义务确认预计负债，计入当期投资损失。</w:t>
      </w:r>
    </w:p>
    <w:p>
      <w:pPr>
        <w:pStyle w:val="BodyText"/>
        <w:spacing w:line="300" w:lineRule="auto" w:before="20"/>
        <w:ind w:left="1430" w:right="3716"/>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1430" w:right="1116"/>
        <w:jc w:val="left"/>
      </w:pPr>
      <w:r>
        <w:rPr/>
        <w:t>采用权益法核算的长期股权投资，在处置该项投资时，采用与被投资单位直接处置相关资产或负债相同的</w:t>
      </w:r>
      <w:r>
        <w:rPr>
          <w:spacing w:val="-13"/>
        </w:rPr>
        <w:t> </w:t>
      </w:r>
      <w:r>
        <w:rPr>
          <w:spacing w:val="-13"/>
        </w:rPr>
      </w:r>
      <w:r>
        <w:rPr/>
        <w:t>基础，按相应比例对原计入其他综合收益的部分进行会计处理。因被投资单位除净损益、其他综合收益和</w:t>
      </w:r>
      <w:r>
        <w:rPr>
          <w:spacing w:val="-19"/>
        </w:rPr>
        <w:t> </w:t>
      </w:r>
      <w:r>
        <w:rPr>
          <w:spacing w:val="-19"/>
        </w:rPr>
      </w:r>
      <w:r>
        <w:rPr/>
        <w:t>利润分配以外的其他所有者权益变动而确认的所有者权益，按比例结转入当期损益，由于被投资方重新计</w:t>
      </w:r>
      <w:r>
        <w:rPr>
          <w:spacing w:val="-19"/>
        </w:rPr>
        <w:t> </w:t>
      </w:r>
      <w:r>
        <w:rPr>
          <w:spacing w:val="-19"/>
        </w:rPr>
      </w:r>
      <w:r>
        <w:rPr/>
        <w:t>量设定受益计划净负债或净资产变动而产生的其他综合收益除外。 因处置部分股权投资等原因丧失了对被投资单位的共同控制或重大影响的，处置后的剩余股权改按金融工</w:t>
      </w:r>
      <w:r>
        <w:rPr>
          <w:spacing w:val="-19"/>
        </w:rPr>
        <w:t> </w:t>
      </w:r>
      <w:r>
        <w:rPr>
          <w:spacing w:val="-19"/>
        </w:rPr>
      </w:r>
      <w:r>
        <w:rPr/>
        <w:t>具确认和计量准则核算，其在丧失共同控制或重大影响之日的公允价值与账面价值之间的差额计入当期损</w:t>
      </w:r>
      <w:r>
        <w:rPr>
          <w:spacing w:val="-19"/>
        </w:rPr>
        <w:t> </w:t>
      </w:r>
      <w:r>
        <w:rPr>
          <w:spacing w:val="-19"/>
        </w:rPr>
      </w:r>
      <w:r>
        <w:rPr/>
        <w:t>益。原股权投资因采用权益法核算而确认的其他综合收益，在终止采用权益法核算时采用与被投资单位直</w:t>
      </w:r>
      <w:r>
        <w:rPr>
          <w:spacing w:val="-19"/>
        </w:rPr>
        <w:t> </w:t>
      </w:r>
      <w:r>
        <w:rPr>
          <w:spacing w:val="-19"/>
        </w:rPr>
      </w:r>
      <w:r>
        <w:rPr/>
        <w:t>接处置相关资产或负债相同的基础进行会计处理。因被投资方除净损益、其他综合收益和利润分配以外的</w:t>
      </w:r>
      <w:r>
        <w:rPr>
          <w:spacing w:val="-19"/>
        </w:rPr>
        <w:t> </w:t>
      </w:r>
      <w:r>
        <w:rPr>
          <w:spacing w:val="-19"/>
        </w:rPr>
      </w:r>
      <w:r>
        <w:rPr/>
        <w:t>其他所有者权益变动而确认的所有者权益，在终止采用权益法核算时全部转入当期损益。 因处置部分股权投资、因其他投资方对子公司增资而导致本公司持股比例下降等原因丧失了对被投资单位</w:t>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6" w:lineRule="auto" w:before="44"/>
        <w:ind w:left="1430" w:right="1116"/>
        <w:jc w:val="left"/>
      </w:pPr>
      <w:r>
        <w:rPr/>
        <w:t>控制权的，在编制个别财务报表时，剩余股权能够对被投资单位实施共同控制或重大影响的，改按权益法</w:t>
      </w:r>
      <w:r>
        <w:rPr>
          <w:spacing w:val="-19"/>
        </w:rPr>
        <w:t> </w:t>
      </w:r>
      <w:r>
        <w:rPr>
          <w:spacing w:val="-19"/>
        </w:rPr>
      </w:r>
      <w:r>
        <w:rPr/>
        <w:t>核算，并对该剩余股权视同自取得时即采用权益法核算进行调整；剩余股权不能对被投资单位实施共同控</w:t>
      </w:r>
      <w:r>
        <w:rPr>
          <w:spacing w:val="-19"/>
        </w:rPr>
        <w:t> </w:t>
      </w:r>
      <w:r>
        <w:rPr>
          <w:spacing w:val="-19"/>
        </w:rPr>
      </w:r>
      <w:r>
        <w:rPr/>
        <w:t>制或施加重大影响的，改按金融工具确认和计量准则的有关规定进行会计处理，其在丧失控制之日的公允</w:t>
      </w:r>
      <w:r>
        <w:rPr>
          <w:spacing w:val="-19"/>
        </w:rPr>
        <w:t> </w:t>
      </w:r>
      <w:r>
        <w:rPr>
          <w:spacing w:val="-19"/>
        </w:rPr>
      </w:r>
      <w:r>
        <w:rPr/>
        <w:t>价值与账面价值间的差额计入当期损益。 处置的股权是因追加投资等原因通过企业合并取得的，在编制个别财务报表时，处置后的剩余股权采用成</w:t>
      </w:r>
      <w:r>
        <w:rPr>
          <w:spacing w:val="-19"/>
        </w:rPr>
        <w:t> </w:t>
      </w:r>
      <w:r>
        <w:rPr>
          <w:spacing w:val="-19"/>
        </w:rPr>
      </w:r>
      <w:r>
        <w:rPr/>
        <w:t>本法或权益法核算的，购买日之前持有的股权投资因采用权益法核算而确认的其他综合收益和其他所有者</w:t>
      </w:r>
      <w:r>
        <w:rPr>
          <w:spacing w:val="-9"/>
        </w:rPr>
        <w:t> </w:t>
      </w:r>
      <w:r>
        <w:rPr>
          <w:spacing w:val="-9"/>
        </w:rPr>
      </w:r>
      <w:r>
        <w:rPr/>
        <w:t>权益按比例结转；处置后的剩余股权改按金融工具确认和计量准则进行会计处理的，其他综合收益和其他</w:t>
      </w:r>
      <w:r>
        <w:rPr>
          <w:spacing w:val="-19"/>
        </w:rPr>
        <w:t> </w:t>
      </w:r>
      <w:r>
        <w:rPr>
          <w:spacing w:val="-19"/>
        </w:rPr>
      </w:r>
      <w:r>
        <w:rPr/>
        <w:t>所有者权益全部结转。</w:t>
      </w:r>
    </w:p>
    <w:p>
      <w:pPr>
        <w:spacing w:line="240" w:lineRule="auto" w:before="6"/>
        <w:rPr>
          <w:rFonts w:ascii="宋体" w:hAnsi="宋体" w:cs="宋体" w:eastAsia="宋体" w:hint="default"/>
          <w:sz w:val="25"/>
          <w:szCs w:val="25"/>
        </w:rPr>
      </w:pPr>
    </w:p>
    <w:p>
      <w:pPr>
        <w:spacing w:line="312" w:lineRule="auto" w:before="0"/>
        <w:ind w:left="152" w:right="8954" w:firstLine="0"/>
        <w:jc w:val="left"/>
        <w:rPr>
          <w:rFonts w:ascii="宋体" w:hAnsi="宋体" w:cs="宋体" w:eastAsia="宋体" w:hint="default"/>
          <w:sz w:val="18"/>
          <w:szCs w:val="18"/>
        </w:rPr>
      </w:pPr>
      <w:bookmarkStart w:name="13、投资性房地产" w:id="177"/>
      <w:bookmarkEnd w:id="177"/>
      <w:r>
        <w:rPr/>
      </w:r>
      <w:r>
        <w:rPr>
          <w:rFonts w:ascii="Times New Roman" w:hAnsi="Times New Roman" w:cs="Times New Roman" w:eastAsia="Times New Roman" w:hint="default"/>
          <w:b/>
          <w:bCs/>
          <w:sz w:val="18"/>
          <w:szCs w:val="18"/>
        </w:rPr>
        <w:t>13</w:t>
      </w:r>
      <w:r>
        <w:rPr>
          <w:rFonts w:ascii="宋体" w:hAnsi="宋体" w:cs="宋体" w:eastAsia="宋体" w:hint="default"/>
          <w:b/>
          <w:bCs/>
          <w:sz w:val="18"/>
          <w:szCs w:val="18"/>
        </w:rPr>
        <w:t>、投资性房地产</w:t>
      </w:r>
      <w:r>
        <w:rPr>
          <w:rFonts w:ascii="宋体" w:hAnsi="宋体" w:cs="宋体" w:eastAsia="宋体" w:hint="default"/>
          <w:b/>
          <w:bCs/>
          <w:w w:val="99"/>
          <w:sz w:val="18"/>
          <w:szCs w:val="18"/>
        </w:rPr>
        <w:t> </w:t>
      </w:r>
      <w:r>
        <w:rPr>
          <w:rFonts w:ascii="宋体" w:hAnsi="宋体" w:cs="宋体" w:eastAsia="宋体" w:hint="default"/>
          <w:sz w:val="18"/>
          <w:szCs w:val="18"/>
        </w:rPr>
        <w:t>投资性房地产计量模式 成本法计量 折旧或摊销方法</w:t>
      </w:r>
    </w:p>
    <w:p>
      <w:pPr>
        <w:pStyle w:val="BodyText"/>
        <w:spacing w:line="316" w:lineRule="auto" w:before="22"/>
        <w:ind w:left="866" w:right="1116"/>
        <w:jc w:val="left"/>
      </w:pPr>
      <w:r>
        <w:rPr>
          <w:spacing w:val="-2"/>
        </w:rPr>
        <w:t>投资性房地产是指为赚取租金或资本增值，或两者兼有而持有的房地产，包括已出租的土地使用权、持有并准备增</w:t>
      </w:r>
      <w:r>
        <w:rPr>
          <w:spacing w:val="-67"/>
        </w:rPr>
        <w:t> </w:t>
      </w:r>
      <w:r>
        <w:rPr>
          <w:spacing w:val="-67"/>
        </w:rPr>
      </w:r>
      <w:r>
        <w:rPr>
          <w:spacing w:val="-2"/>
        </w:rPr>
        <w:t>值后转让的土地使用权、已出租的建筑物（含自行建造或开发活动完成后用于出租的建筑物以及正在建造或开发过</w:t>
      </w:r>
      <w:r>
        <w:rPr>
          <w:spacing w:val="-68"/>
        </w:rPr>
        <w:t> </w:t>
      </w:r>
      <w:r>
        <w:rPr>
          <w:spacing w:val="-68"/>
        </w:rPr>
      </w:r>
      <w:r>
        <w:rPr>
          <w:spacing w:val="-7"/>
        </w:rPr>
        <w:t>程中将来用于出租的建筑物）。</w:t>
      </w:r>
      <w:r>
        <w:rPr>
          <w:spacing w:val="-84"/>
        </w:rPr>
        <w:t> </w:t>
      </w:r>
      <w:r>
        <w:rPr>
          <w:spacing w:val="-84"/>
        </w:rPr>
      </w:r>
      <w:r>
        <w:rPr>
          <w:spacing w:val="-2"/>
        </w:rPr>
        <w:t>本公司对现有投资性房地产采用成本模式计量。对按照成本模式计量的投资性房地产－出租用建筑物采用与本公司</w:t>
      </w:r>
      <w:r>
        <w:rPr>
          <w:spacing w:val="-66"/>
        </w:rPr>
        <w:t> </w:t>
      </w:r>
      <w:r>
        <w:rPr>
          <w:spacing w:val="-66"/>
        </w:rPr>
      </w:r>
      <w:r>
        <w:rPr/>
        <w:t>固定资产相同的折旧政策，出租用土地使用权按与无形资产相同的摊销政策执行。</w:t>
      </w:r>
    </w:p>
    <w:p>
      <w:pPr>
        <w:pStyle w:val="Heading5"/>
        <w:spacing w:line="240" w:lineRule="auto" w:before="21"/>
        <w:ind w:right="1116"/>
        <w:jc w:val="left"/>
        <w:rPr>
          <w:b w:val="0"/>
          <w:bCs w:val="0"/>
        </w:rPr>
      </w:pPr>
      <w:bookmarkStart w:name="14、固定资产" w:id="178"/>
      <w:bookmarkEnd w:id="178"/>
      <w:r>
        <w:rPr>
          <w:b w:val="0"/>
          <w:bCs w:val="0"/>
        </w:rPr>
      </w:r>
      <w:r>
        <w:rPr>
          <w:rFonts w:ascii="Times New Roman" w:hAnsi="Times New Roman" w:cs="Times New Roman" w:eastAsia="Times New Roman" w:hint="default"/>
        </w:rPr>
        <w:t>14</w:t>
      </w:r>
      <w:r>
        <w:rPr/>
        <w:t>、固定资产</w:t>
      </w:r>
      <w:r>
        <w:rPr>
          <w:b w:val="0"/>
          <w:bCs w:val="0"/>
        </w:rPr>
      </w:r>
    </w:p>
    <w:p>
      <w:pPr>
        <w:pStyle w:val="BodyText"/>
        <w:spacing w:line="309" w:lineRule="auto" w:before="63"/>
        <w:ind w:right="1116"/>
        <w:jc w:val="left"/>
      </w:pPr>
      <w:bookmarkStart w:name="（1）确认条件" w:id="179"/>
      <w:bookmarkEnd w:id="179"/>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w:t>
      </w:r>
    </w:p>
    <w:p>
      <w:pPr>
        <w:pStyle w:val="BodyText"/>
        <w:spacing w:line="240" w:lineRule="auto" w:before="24"/>
        <w:ind w:right="1116"/>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63"/>
        <w:ind w:right="1116"/>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18"/>
          <w:szCs w:val="18"/>
        </w:rPr>
      </w:pPr>
    </w:p>
    <w:p>
      <w:pPr>
        <w:pStyle w:val="Heading5"/>
        <w:spacing w:line="240" w:lineRule="auto" w:before="142"/>
        <w:ind w:right="1116"/>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3"/>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3.17</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23.75</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19.00</w:t>
            </w:r>
          </w:p>
        </w:tc>
      </w:tr>
    </w:tbl>
    <w:p>
      <w:pPr>
        <w:spacing w:line="300" w:lineRule="auto" w:before="10"/>
        <w:ind w:left="152" w:right="3914" w:firstLine="0"/>
        <w:jc w:val="left"/>
        <w:rPr>
          <w:rFonts w:ascii="宋体" w:hAnsi="宋体" w:cs="宋体" w:eastAsia="宋体" w:hint="default"/>
          <w:sz w:val="18"/>
          <w:szCs w:val="18"/>
        </w:rPr>
      </w:pPr>
      <w:bookmarkStart w:name="（3）融资租入固定资产的认定依据、计价和折旧方法" w:id="181"/>
      <w:bookmarkEnd w:id="181"/>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）融资租入固定资产的认定依据、计价和折旧方法</w:t>
      </w:r>
      <w:r>
        <w:rPr>
          <w:rFonts w:ascii="宋体" w:hAnsi="宋体" w:cs="宋体" w:eastAsia="宋体" w:hint="default"/>
          <w:b/>
          <w:bCs/>
          <w:w w:val="99"/>
          <w:sz w:val="18"/>
          <w:szCs w:val="18"/>
        </w:rPr>
        <w:t> </w:t>
      </w:r>
      <w:r>
        <w:rPr>
          <w:rFonts w:ascii="宋体" w:hAnsi="宋体" w:cs="宋体" w:eastAsia="宋体" w:hint="default"/>
          <w:sz w:val="18"/>
          <w:szCs w:val="18"/>
        </w:rPr>
        <w:t>公司与租赁方所签订的租赁协议条款中规定了下列条件之一的，确认为融资租入资产：</w:t>
      </w:r>
    </w:p>
    <w:p>
      <w:pPr>
        <w:pStyle w:val="BodyText"/>
        <w:spacing w:line="240" w:lineRule="auto" w:before="31"/>
        <w:ind w:right="1116"/>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63"/>
        <w:ind w:right="1116"/>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63"/>
        <w:ind w:right="1116"/>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09" w:lineRule="auto" w:before="63"/>
        <w:ind w:right="1116"/>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公司在承租开始日，将租赁资产公允价值与最低租赁付款额现值两者中较低者作为租入资产的入账价值，将最低租赁付款额</w:t>
      </w:r>
      <w:r>
        <w:rPr>
          <w:spacing w:val="-64"/>
        </w:rPr>
        <w:t> </w:t>
      </w:r>
      <w:r>
        <w:rPr>
          <w:spacing w:val="-64"/>
        </w:rPr>
      </w:r>
      <w:r>
        <w:rPr/>
        <w:t>作为长期应付款的入账价值，其差额作为未确认的融资费。</w:t>
      </w:r>
    </w:p>
    <w:p>
      <w:pPr>
        <w:spacing w:line="240" w:lineRule="auto" w:before="12"/>
        <w:rPr>
          <w:rFonts w:ascii="宋体" w:hAnsi="宋体" w:cs="宋体" w:eastAsia="宋体" w:hint="default"/>
          <w:sz w:val="25"/>
          <w:szCs w:val="25"/>
        </w:rPr>
      </w:pPr>
    </w:p>
    <w:p>
      <w:pPr>
        <w:pStyle w:val="Heading5"/>
        <w:spacing w:line="240" w:lineRule="auto"/>
        <w:ind w:right="1116"/>
        <w:jc w:val="left"/>
        <w:rPr>
          <w:b w:val="0"/>
          <w:bCs w:val="0"/>
        </w:rPr>
      </w:pPr>
      <w:bookmarkStart w:name="15、在建工程" w:id="182"/>
      <w:bookmarkEnd w:id="182"/>
      <w:r>
        <w:rPr>
          <w:b w:val="0"/>
          <w:bCs w:val="0"/>
        </w:rPr>
      </w:r>
      <w:r>
        <w:rPr>
          <w:rFonts w:ascii="Times New Roman" w:hAnsi="Times New Roman" w:cs="Times New Roman" w:eastAsia="Times New Roman" w:hint="default"/>
        </w:rPr>
        <w:t>15</w:t>
      </w:r>
      <w:r>
        <w:rPr/>
        <w:t>、在建工程</w:t>
      </w:r>
      <w:r>
        <w:rPr>
          <w:b w:val="0"/>
          <w:bCs w:val="0"/>
        </w:rPr>
      </w:r>
    </w:p>
    <w:p>
      <w:pPr>
        <w:pStyle w:val="BodyText"/>
        <w:spacing w:line="316" w:lineRule="auto" w:before="60"/>
        <w:ind w:left="866" w:right="1116"/>
        <w:jc w:val="left"/>
      </w:pPr>
      <w:r>
        <w:rPr>
          <w:spacing w:val="-2"/>
        </w:rPr>
        <w:t>在建工程项目按建造该项资产达到预定可使用状态前所发生的必要支出，作为固定资产的入账价值。所建造的固定</w:t>
      </w:r>
      <w:r>
        <w:rPr>
          <w:spacing w:val="-68"/>
        </w:rPr>
        <w:t> </w:t>
      </w:r>
      <w:r>
        <w:rPr>
          <w:spacing w:val="-68"/>
        </w:rPr>
      </w:r>
      <w:r>
        <w:rPr>
          <w:spacing w:val="-2"/>
        </w:rPr>
        <w:t>资产在工程已达到预定可使用状态，但尚未办理竣工决算的，自达到预定可使用状态之日起，根据工程预算、造价</w:t>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9" w:lineRule="auto" w:before="44"/>
        <w:ind w:left="866" w:right="1116"/>
        <w:jc w:val="left"/>
      </w:pPr>
      <w:r>
        <w:rPr>
          <w:spacing w:val="-2"/>
        </w:rPr>
        <w:t>或者工程实际成本等，按估计的价值转入固定资产，并按本公司固定资产折旧政策计提固定资产的折旧，待办理竣</w:t>
      </w:r>
      <w:r>
        <w:rPr>
          <w:spacing w:val="-67"/>
        </w:rPr>
        <w:t> </w:t>
      </w:r>
      <w:r>
        <w:rPr>
          <w:spacing w:val="-67"/>
        </w:rPr>
      </w:r>
      <w:r>
        <w:rPr/>
        <w:t>工决算后，再按实际成本调整原来的暂估价值，但不调整原已计提的折旧额。</w:t>
      </w:r>
    </w:p>
    <w:p>
      <w:pPr>
        <w:pStyle w:val="Heading5"/>
        <w:spacing w:line="240" w:lineRule="auto" w:before="19"/>
        <w:ind w:right="1116"/>
        <w:jc w:val="left"/>
        <w:rPr>
          <w:b w:val="0"/>
          <w:bCs w:val="0"/>
        </w:rPr>
      </w:pPr>
      <w:bookmarkStart w:name="16、借款费用" w:id="183"/>
      <w:bookmarkEnd w:id="183"/>
      <w:r>
        <w:rPr>
          <w:b w:val="0"/>
          <w:bCs w:val="0"/>
        </w:rPr>
      </w:r>
      <w:r>
        <w:rPr>
          <w:rFonts w:ascii="Times New Roman" w:hAnsi="Times New Roman" w:cs="Times New Roman" w:eastAsia="Times New Roman" w:hint="default"/>
        </w:rPr>
        <w:t>16</w:t>
      </w:r>
      <w:r>
        <w:rPr/>
        <w:t>、借款费用</w:t>
      </w:r>
      <w:r>
        <w:rPr>
          <w:b w:val="0"/>
          <w:bCs w:val="0"/>
        </w:rPr>
      </w:r>
    </w:p>
    <w:p>
      <w:pPr>
        <w:pStyle w:val="BodyText"/>
        <w:spacing w:line="316" w:lineRule="auto" w:before="63"/>
        <w:ind w:left="1430" w:right="111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公司发生的借款费用，可直接归属于符合资本化条件的资产的购建或者生产的，予以资本化，计入相关资 产成本；其他借款费用，在发生时根据其发生额确认为费用，计入当期损益。 符合资本化条件的资产，是指需要经过相当长时间的购建或者生产活动才能达到预定可使用或者可销售状 态的固定资产、投资性房地产和存货等资产。</w:t>
      </w:r>
    </w:p>
    <w:p>
      <w:pPr>
        <w:pStyle w:val="BodyText"/>
        <w:spacing w:line="240" w:lineRule="auto" w:before="19"/>
        <w:ind w:left="1430" w:right="1116"/>
        <w:jc w:val="left"/>
      </w:pPr>
      <w:r>
        <w:rPr/>
        <w:t>借款费用同时满足下列条件时开始资本化：</w:t>
      </w:r>
    </w:p>
    <w:p>
      <w:pPr>
        <w:pStyle w:val="BodyText"/>
        <w:spacing w:line="300" w:lineRule="auto" w:before="76"/>
        <w:ind w:left="1430" w:right="1116"/>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w:t>
      </w:r>
      <w:r>
        <w:rPr>
          <w:spacing w:val="-54"/>
        </w:rPr>
        <w:t> </w:t>
      </w:r>
      <w:r>
        <w:rPr>
          <w:spacing w:val="-54"/>
        </w:rPr>
      </w:r>
      <w:r>
        <w:rPr/>
        <w:t>资产或者承担带息债务形式发生的支出；</w:t>
      </w:r>
    </w:p>
    <w:p>
      <w:pPr>
        <w:pStyle w:val="BodyText"/>
        <w:spacing w:line="240" w:lineRule="auto" w:before="32"/>
        <w:ind w:left="1430" w:right="1116"/>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430" w:right="111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316" w:lineRule="auto" w:before="139"/>
        <w:ind w:left="1430" w:right="1116" w:hanging="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借款费用资本化期间</w:t>
      </w:r>
      <w:r>
        <w:rPr>
          <w:rFonts w:ascii="宋体" w:hAnsi="宋体" w:cs="宋体" w:eastAsia="宋体" w:hint="default"/>
          <w:b/>
          <w:bCs/>
          <w:w w:val="99"/>
          <w:sz w:val="18"/>
          <w:szCs w:val="18"/>
        </w:rPr>
        <w:t> </w:t>
      </w:r>
      <w:r>
        <w:rPr>
          <w:rFonts w:ascii="宋体" w:hAnsi="宋体" w:cs="宋体" w:eastAsia="宋体" w:hint="default"/>
          <w:sz w:val="18"/>
          <w:szCs w:val="18"/>
        </w:rPr>
        <w:t>资本化期间，指从借款费用开始资本化时点到停止资本化时点的期间，借款费用暂停资本化的期间不包括 在内。</w:t>
      </w:r>
    </w:p>
    <w:p>
      <w:pPr>
        <w:pStyle w:val="BodyText"/>
        <w:spacing w:line="316" w:lineRule="auto" w:before="19"/>
        <w:ind w:left="1430" w:right="1116"/>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w:t>
      </w:r>
      <w:r>
        <w:rPr>
          <w:spacing w:val="-19"/>
        </w:rPr>
        <w:t> </w:t>
      </w:r>
      <w:r>
        <w:rPr>
          <w:spacing w:val="-19"/>
        </w:rPr>
      </w:r>
      <w:r>
        <w:rPr/>
        <w:t>本化。 购建或者生产的资产的各部分分别完工，但必须等到整体完工后才可使用或可对外销售的，在该资产整体</w:t>
      </w:r>
      <w:r>
        <w:rPr>
          <w:spacing w:val="-19"/>
        </w:rPr>
        <w:t> </w:t>
      </w:r>
      <w:r>
        <w:rPr>
          <w:spacing w:val="-19"/>
        </w:rPr>
      </w:r>
      <w:r>
        <w:rPr/>
        <w:t>完工时停止借款费用资本化。</w:t>
      </w:r>
    </w:p>
    <w:p>
      <w:pPr>
        <w:spacing w:line="240" w:lineRule="auto" w:before="4"/>
        <w:rPr>
          <w:rFonts w:ascii="宋体" w:hAnsi="宋体" w:cs="宋体" w:eastAsia="宋体" w:hint="default"/>
          <w:sz w:val="25"/>
          <w:szCs w:val="25"/>
        </w:rPr>
      </w:pPr>
    </w:p>
    <w:p>
      <w:pPr>
        <w:pStyle w:val="BodyText"/>
        <w:spacing w:line="314" w:lineRule="auto"/>
        <w:ind w:left="1430" w:right="1116" w:hanging="360"/>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暂停资本化期间</w:t>
      </w:r>
      <w:r>
        <w:rPr>
          <w:rFonts w:ascii="宋体" w:hAnsi="宋体" w:cs="宋体" w:eastAsia="宋体" w:hint="default"/>
          <w:b/>
          <w:bCs/>
          <w:w w:val="99"/>
        </w:rPr>
        <w:t>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w:t>
      </w:r>
      <w:r>
        <w:rPr/>
        <w:t> 暂停资本化；该项中断如是所购建或生产的符合资本化条件的资产达到预定可使用状态或者可销售状态必 要的程序，则借款费用继续资本化。在中断期间发生的借款费用确认为当期损益，直至资产的购建或者生 产活动重新开始后借款费用继续资本化。</w:t>
      </w:r>
    </w:p>
    <w:p>
      <w:pPr>
        <w:spacing w:line="240" w:lineRule="auto" w:before="6"/>
        <w:rPr>
          <w:rFonts w:ascii="宋体" w:hAnsi="宋体" w:cs="宋体" w:eastAsia="宋体" w:hint="default"/>
          <w:sz w:val="25"/>
          <w:szCs w:val="25"/>
        </w:rPr>
      </w:pPr>
    </w:p>
    <w:p>
      <w:pPr>
        <w:pStyle w:val="BodyText"/>
        <w:spacing w:line="316" w:lineRule="auto"/>
        <w:ind w:left="1430" w:right="1116" w:hanging="360"/>
        <w:jc w:val="left"/>
      </w:pPr>
      <w:r>
        <w:rPr>
          <w:rFonts w:ascii="宋体" w:hAnsi="宋体" w:cs="宋体" w:eastAsia="宋体" w:hint="default"/>
          <w:b/>
          <w:bCs/>
        </w:rPr>
        <w:t>4.</w:t>
      </w:r>
      <w:r>
        <w:rPr>
          <w:rFonts w:ascii="宋体" w:hAnsi="宋体" w:cs="宋体" w:eastAsia="宋体" w:hint="default"/>
          <w:b/>
          <w:bCs/>
          <w:spacing w:val="87"/>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 对于为购建或者生产符合资本化条件的资产而占用的一般借款，根据累计资产支出超过专门借款部分的资 产支出加权平均数乘以所占用一般借款的资本化率，计算确定一般借款应予资本化的借款费用金额。资本 化率根据一般借款加权平均利率计算确定。</w:t>
      </w:r>
    </w:p>
    <w:p>
      <w:pPr>
        <w:spacing w:line="240" w:lineRule="auto" w:before="6"/>
        <w:rPr>
          <w:rFonts w:ascii="宋体" w:hAnsi="宋体" w:cs="宋体" w:eastAsia="宋体" w:hint="default"/>
          <w:sz w:val="25"/>
          <w:szCs w:val="25"/>
        </w:rPr>
      </w:pPr>
    </w:p>
    <w:p>
      <w:pPr>
        <w:pStyle w:val="Heading5"/>
        <w:spacing w:line="240" w:lineRule="auto"/>
        <w:ind w:right="1116"/>
        <w:jc w:val="left"/>
        <w:rPr>
          <w:b w:val="0"/>
          <w:bCs w:val="0"/>
        </w:rPr>
      </w:pPr>
      <w:bookmarkStart w:name="17、无形资产" w:id="184"/>
      <w:bookmarkEnd w:id="184"/>
      <w:r>
        <w:rPr>
          <w:b w:val="0"/>
          <w:bCs w:val="0"/>
        </w:rPr>
      </w:r>
      <w:r>
        <w:rPr>
          <w:rFonts w:ascii="Times New Roman" w:hAnsi="Times New Roman" w:cs="Times New Roman" w:eastAsia="Times New Roman" w:hint="default"/>
        </w:rPr>
        <w:t>17</w:t>
      </w:r>
      <w:r>
        <w:rPr/>
        <w:t>、无形资产</w:t>
      </w:r>
      <w:r>
        <w:rPr>
          <w:b w:val="0"/>
          <w:bCs w:val="0"/>
        </w:rPr>
      </w:r>
    </w:p>
    <w:p>
      <w:pPr>
        <w:pStyle w:val="Heading5"/>
        <w:spacing w:line="240" w:lineRule="auto" w:before="65"/>
        <w:ind w:right="1116"/>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Heading5"/>
        <w:spacing w:line="240" w:lineRule="auto" w:before="63"/>
        <w:ind w:left="1070" w:right="1116"/>
        <w:jc w:val="left"/>
        <w:rPr>
          <w:b w:val="0"/>
          <w:bCs w:val="0"/>
        </w:rPr>
      </w:pPr>
      <w:r>
        <w:rPr>
          <w:rFonts w:ascii="宋体" w:hAnsi="宋体" w:cs="宋体" w:eastAsia="宋体" w:hint="default"/>
        </w:rPr>
        <w:t>1.</w:t>
      </w:r>
      <w:r>
        <w:rPr>
          <w:rFonts w:ascii="宋体" w:hAnsi="宋体" w:cs="宋体" w:eastAsia="宋体" w:hint="default"/>
          <w:spacing w:val="86"/>
        </w:rPr>
        <w:t> </w:t>
      </w:r>
      <w:r>
        <w:rPr/>
        <w:t>无形资产的计价方法</w:t>
      </w:r>
      <w:r>
        <w:rPr>
          <w:b w:val="0"/>
          <w:bCs w:val="0"/>
        </w:rPr>
      </w:r>
    </w:p>
    <w:p>
      <w:pPr>
        <w:pStyle w:val="BodyText"/>
        <w:spacing w:line="309" w:lineRule="auto" w:before="76"/>
        <w:ind w:left="1430" w:right="1116"/>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w:t>
      </w:r>
      <w:r>
        <w:rPr>
          <w:spacing w:val="-19"/>
        </w:rPr>
        <w:t> </w:t>
      </w:r>
      <w:r>
        <w:rPr>
          <w:spacing w:val="-19"/>
        </w:rPr>
      </w:r>
      <w:r>
        <w:rPr/>
        <w:t>出。购买无形资产的价款超过正常信用条件延期支付，实质上具有融资性质的，无形资产的成本以购买价</w:t>
      </w:r>
    </w:p>
    <w:p>
      <w:pPr>
        <w:spacing w:after="0" w:line="309"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6" w:lineRule="auto" w:before="44"/>
        <w:ind w:left="1430" w:right="1116"/>
        <w:jc w:val="left"/>
      </w:pPr>
      <w:r>
        <w:rPr/>
        <w:t>款的现值为基础确定。 债务重组取得债务人用以抵债的无形资产，以所放弃债权的公允价值和可直接归属于使该资产达到预定用</w:t>
      </w:r>
      <w:r>
        <w:rPr>
          <w:spacing w:val="-19"/>
        </w:rPr>
        <w:t> </w:t>
      </w:r>
      <w:r>
        <w:rPr>
          <w:spacing w:val="-19"/>
        </w:rPr>
      </w:r>
      <w:r>
        <w:rPr/>
        <w:t>途所发生的税金等其他成本确定其入账价值，并将所放弃债权的公允价值与账面价值之间的差额，计入当</w:t>
      </w:r>
      <w:r>
        <w:rPr>
          <w:spacing w:val="-19"/>
        </w:rPr>
        <w:t> </w:t>
      </w:r>
      <w:r>
        <w:rPr>
          <w:spacing w:val="-19"/>
        </w:rPr>
      </w:r>
      <w:r>
        <w:rPr/>
        <w:t>期损益。 在非货币性资产交换具有商业实质且换入资产和换出资产的公允价值均能够可靠计量的前提下，非货币性</w:t>
      </w:r>
      <w:r>
        <w:rPr>
          <w:spacing w:val="-11"/>
        </w:rPr>
        <w:t> </w:t>
      </w:r>
      <w:r>
        <w:rPr>
          <w:spacing w:val="-11"/>
        </w:rPr>
      </w:r>
      <w:r>
        <w:rPr/>
        <w:t>资产交换换入的无形资产以换出资产的公允价值为基础确定其入账价值，除非有确凿证据表明换入资产的</w:t>
      </w:r>
      <w:r>
        <w:rPr>
          <w:spacing w:val="-19"/>
        </w:rPr>
        <w:t> </w:t>
      </w:r>
      <w:r>
        <w:rPr>
          <w:spacing w:val="-19"/>
        </w:rPr>
      </w:r>
      <w:r>
        <w:rPr/>
        <w:t>公允价值更加可靠；不满足上述前提的非货币性资产交换，以换出资产的账面价值和应支付的相关税费作</w:t>
      </w:r>
      <w:r>
        <w:rPr>
          <w:spacing w:val="-19"/>
        </w:rPr>
        <w:t> </w:t>
      </w:r>
      <w:r>
        <w:rPr>
          <w:spacing w:val="-19"/>
        </w:rPr>
      </w:r>
      <w:r>
        <w:rPr/>
        <w:t>为换入无形资产的成本，不确认损益。</w:t>
      </w:r>
    </w:p>
    <w:p>
      <w:pPr>
        <w:pStyle w:val="BodyText"/>
        <w:spacing w:line="300" w:lineRule="auto" w:before="19"/>
        <w:ind w:left="1430" w:right="6236"/>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430" w:right="1116"/>
        <w:jc w:val="left"/>
      </w:pPr>
      <w:r>
        <w:rPr/>
        <w:t>对于使用寿命有限的无形资产，在为企业带来经济利益的期限内按直线法摊销；无法预见无形资产为企业</w:t>
      </w:r>
      <w:r>
        <w:rPr>
          <w:spacing w:val="-19"/>
        </w:rPr>
        <w:t> </w:t>
      </w:r>
      <w:r>
        <w:rPr>
          <w:spacing w:val="-19"/>
        </w:rPr>
      </w:r>
      <w:r>
        <w:rPr/>
        <w:t>带来经济利益期限的，视为使用寿命不确定的无形资产，不予摊销。</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2.</w:t>
      </w:r>
      <w:r>
        <w:rPr>
          <w:rFonts w:ascii="宋体" w:hAnsi="宋体" w:cs="宋体" w:eastAsia="宋体" w:hint="default"/>
          <w:spacing w:val="85"/>
        </w:rPr>
        <w:t> </w:t>
      </w:r>
      <w:r>
        <w:rPr/>
        <w:t>使用寿命有限的无形资产的使用寿命估计情况</w:t>
      </w:r>
      <w:r>
        <w:rPr>
          <w:b w:val="0"/>
          <w:bCs w:val="0"/>
        </w:rPr>
      </w:r>
    </w:p>
    <w:p>
      <w:pPr>
        <w:spacing w:line="240" w:lineRule="auto" w:before="3"/>
        <w:rPr>
          <w:rFonts w:ascii="宋体" w:hAnsi="宋体" w:cs="宋体" w:eastAsia="宋体" w:hint="default"/>
          <w:b/>
          <w:bCs/>
          <w:sz w:val="5"/>
          <w:szCs w:val="5"/>
        </w:rPr>
      </w:pPr>
    </w:p>
    <w:tbl>
      <w:tblPr>
        <w:tblW w:w="0" w:type="auto"/>
        <w:jc w:val="left"/>
        <w:tblInd w:w="1314" w:type="dxa"/>
        <w:tblLayout w:type="fixed"/>
        <w:tblCellMar>
          <w:top w:w="0" w:type="dxa"/>
          <w:left w:w="0" w:type="dxa"/>
          <w:bottom w:w="0" w:type="dxa"/>
          <w:right w:w="0" w:type="dxa"/>
        </w:tblCellMar>
        <w:tblLook w:val="01E0"/>
      </w:tblPr>
      <w:tblGrid>
        <w:gridCol w:w="2201"/>
        <w:gridCol w:w="1742"/>
        <w:gridCol w:w="3308"/>
      </w:tblGrid>
      <w:tr>
        <w:trPr>
          <w:trHeight w:val="355" w:hRule="exact"/>
        </w:trPr>
        <w:tc>
          <w:tcPr>
            <w:tcW w:w="2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2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3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2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r>
              <w:rPr>
                <w:rFonts w:ascii="Times New Roman" w:hAnsi="Times New Roman" w:cs="Times New Roman" w:eastAsia="Times New Roman" w:hint="default"/>
                <w:sz w:val="18"/>
                <w:szCs w:val="18"/>
              </w:rPr>
              <w:t>30</w:t>
            </w:r>
            <w:r>
              <w:rPr>
                <w:rFonts w:ascii="宋体" w:hAnsi="宋体" w:cs="宋体" w:eastAsia="宋体" w:hint="default"/>
                <w:sz w:val="18"/>
                <w:szCs w:val="18"/>
              </w:rPr>
              <w:t>年</w:t>
            </w:r>
          </w:p>
        </w:tc>
        <w:tc>
          <w:tcPr>
            <w:tcW w:w="3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合同性权利期限</w:t>
            </w:r>
          </w:p>
        </w:tc>
      </w:tr>
      <w:tr>
        <w:trPr>
          <w:trHeight w:val="353" w:hRule="exact"/>
        </w:trPr>
        <w:tc>
          <w:tcPr>
            <w:tcW w:w="22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开发工具及办公软件</w:t>
            </w:r>
          </w:p>
        </w:tc>
        <w:tc>
          <w:tcPr>
            <w:tcW w:w="17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根据预计产生经济利益期限估计</w:t>
            </w:r>
          </w:p>
        </w:tc>
      </w:tr>
    </w:tbl>
    <w:p>
      <w:pPr>
        <w:pStyle w:val="BodyText"/>
        <w:spacing w:line="316" w:lineRule="auto" w:before="8"/>
        <w:ind w:left="1430" w:right="3536"/>
        <w:jc w:val="left"/>
      </w:pPr>
      <w:r>
        <w:rPr/>
        <w:t>每年度终了，对使用寿命有限的无形资产的使用寿命及摊销方法进行复核。 经复核，本年期末无形资产的使用寿命及摊销方法与以前估计未有不同。</w:t>
      </w:r>
    </w:p>
    <w:p>
      <w:pPr>
        <w:spacing w:line="240" w:lineRule="auto" w:before="6"/>
        <w:rPr>
          <w:rFonts w:ascii="宋体" w:hAnsi="宋体" w:cs="宋体" w:eastAsia="宋体" w:hint="default"/>
          <w:sz w:val="25"/>
          <w:szCs w:val="25"/>
        </w:rPr>
      </w:pPr>
    </w:p>
    <w:p>
      <w:pPr>
        <w:pStyle w:val="Heading5"/>
        <w:spacing w:line="240" w:lineRule="auto"/>
        <w:ind w:right="1116"/>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319" w:lineRule="auto" w:before="63"/>
        <w:ind w:left="1430" w:right="1736"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7"/>
        <w:ind w:left="1430" w:right="1116"/>
        <w:jc w:val="left"/>
      </w:pPr>
      <w:r>
        <w:rPr/>
        <w:t>开发阶段：在进行商业性生产或使用前，将研究成果或其他知识应用于某项计划或设计，以生产出新的或</w:t>
      </w:r>
      <w:r>
        <w:rPr>
          <w:spacing w:val="-19"/>
        </w:rPr>
        <w:t> </w:t>
      </w:r>
      <w:r>
        <w:rPr>
          <w:spacing w:val="-19"/>
        </w:rPr>
      </w:r>
      <w:r>
        <w:rPr/>
        <w:t>具有实质性改进的材料、装置、产品等活动的阶段。</w:t>
      </w:r>
    </w:p>
    <w:p>
      <w:pPr>
        <w:spacing w:line="240" w:lineRule="auto" w:before="4"/>
        <w:rPr>
          <w:rFonts w:ascii="宋体" w:hAnsi="宋体" w:cs="宋体" w:eastAsia="宋体" w:hint="default"/>
          <w:sz w:val="25"/>
          <w:szCs w:val="25"/>
        </w:rPr>
      </w:pPr>
    </w:p>
    <w:p>
      <w:pPr>
        <w:spacing w:line="316" w:lineRule="auto" w:before="0"/>
        <w:ind w:left="1430" w:right="3536" w:hanging="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19"/>
        <w:ind w:left="1430" w:right="111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1430" w:right="111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430" w:right="1116"/>
        <w:jc w:val="left"/>
      </w:pPr>
      <w:r>
        <w:rPr>
          <w:spacing w:val="-1"/>
        </w:rPr>
        <w:t>（</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w:t>
      </w:r>
      <w:r>
        <w:rPr>
          <w:spacing w:val="-52"/>
        </w:rPr>
        <w:t> </w:t>
      </w:r>
      <w:r>
        <w:rPr>
          <w:spacing w:val="-52"/>
        </w:rPr>
      </w:r>
      <w:r>
        <w:rPr/>
        <w:t>在市场，无形资产将在内部使用的，能够证明其有用性；</w:t>
      </w:r>
    </w:p>
    <w:p>
      <w:pPr>
        <w:pStyle w:val="BodyText"/>
        <w:spacing w:line="300" w:lineRule="auto" w:before="31"/>
        <w:ind w:left="1430" w:right="1116"/>
        <w:jc w:val="left"/>
      </w:pPr>
      <w:r>
        <w:rPr>
          <w:spacing w:val="-1"/>
        </w:rPr>
        <w:t>（</w:t>
      </w:r>
      <w:r>
        <w:rPr>
          <w:rFonts w:ascii="Times New Roman" w:hAnsi="Times New Roman" w:cs="Times New Roman" w:eastAsia="Times New Roman" w:hint="default"/>
          <w:spacing w:val="-1"/>
        </w:rPr>
        <w:t>4</w:t>
      </w:r>
      <w:r>
        <w:rPr>
          <w:spacing w:val="-1"/>
        </w:rPr>
        <w:t>）有足够的技术、财务资源和其他资源支持，以完成该无形资产的开发，并有能力使用或出售该无形资</w:t>
      </w:r>
      <w:r>
        <w:rPr>
          <w:spacing w:val="-54"/>
        </w:rPr>
        <w:t> </w:t>
      </w:r>
      <w:r>
        <w:rPr>
          <w:spacing w:val="-54"/>
        </w:rPr>
      </w:r>
      <w:r>
        <w:rPr/>
        <w:t>产；</w:t>
      </w:r>
    </w:p>
    <w:p>
      <w:pPr>
        <w:pStyle w:val="BodyText"/>
        <w:spacing w:line="309" w:lineRule="auto" w:before="32"/>
        <w:ind w:left="1430" w:right="1116"/>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w:t>
      </w:r>
      <w:r>
        <w:rPr>
          <w:spacing w:val="-19"/>
        </w:rPr>
        <w:t> </w:t>
      </w:r>
      <w:r>
        <w:rPr>
          <w:spacing w:val="-19"/>
        </w:rPr>
      </w:r>
      <w:r>
        <w:rPr/>
        <w:t>益。</w:t>
      </w:r>
    </w:p>
    <w:p>
      <w:pPr>
        <w:pStyle w:val="Heading5"/>
        <w:spacing w:line="240" w:lineRule="auto" w:before="26"/>
        <w:ind w:right="1116"/>
        <w:jc w:val="left"/>
        <w:rPr>
          <w:b w:val="0"/>
          <w:bCs w:val="0"/>
        </w:rPr>
      </w:pPr>
      <w:bookmarkStart w:name="18、长期资产减值" w:id="187"/>
      <w:bookmarkEnd w:id="187"/>
      <w:r>
        <w:rPr>
          <w:b w:val="0"/>
          <w:bCs w:val="0"/>
        </w:rPr>
      </w:r>
      <w:r>
        <w:rPr>
          <w:rFonts w:ascii="Times New Roman" w:hAnsi="Times New Roman" w:cs="Times New Roman" w:eastAsia="Times New Roman" w:hint="default"/>
        </w:rPr>
        <w:t>18</w:t>
      </w:r>
      <w:r>
        <w:rPr/>
        <w:t>、长期资产减值</w:t>
      </w:r>
      <w:r>
        <w:rPr>
          <w:b w:val="0"/>
          <w:bCs w:val="0"/>
        </w:rPr>
      </w:r>
    </w:p>
    <w:p>
      <w:pPr>
        <w:pStyle w:val="BodyText"/>
        <w:spacing w:line="316" w:lineRule="auto" w:before="60"/>
        <w:ind w:left="866" w:right="1040"/>
        <w:jc w:val="left"/>
      </w:pPr>
      <w:r>
        <w:rPr/>
        <w:t>长期股权投资、采用成本模式计量的投资性房地产、固定资产、在建工程、使用寿命有限的无形资产等长期资产，</w:t>
      </w:r>
      <w:r>
        <w:rPr>
          <w:spacing w:val="-77"/>
        </w:rPr>
        <w:t> </w:t>
      </w:r>
      <w:r>
        <w:rPr>
          <w:spacing w:val="-77"/>
        </w:rPr>
      </w:r>
      <w:r>
        <w:rPr>
          <w:spacing w:val="-2"/>
        </w:rPr>
        <w:t>于资产负债表日存在减值迹象的，进行减值测试。减值测试结果表明资产的可收回金额低于其账面价值的，按其差</w:t>
      </w:r>
      <w:r>
        <w:rPr>
          <w:spacing w:val="-69"/>
        </w:rPr>
        <w:t> </w:t>
      </w:r>
      <w:r>
        <w:rPr>
          <w:spacing w:val="-69"/>
        </w:rPr>
      </w:r>
      <w:r>
        <w:rPr>
          <w:spacing w:val="-2"/>
        </w:rPr>
        <w:t>额计提减值准备并计入减值损失。可收回金额为资产的公允价值减去处置费用后的净额与资产预计未来现金流量的</w:t>
      </w:r>
      <w:r>
        <w:rPr>
          <w:spacing w:val="-67"/>
        </w:rPr>
        <w:t> </w:t>
      </w:r>
      <w:r>
        <w:rPr>
          <w:spacing w:val="-67"/>
        </w:rPr>
      </w:r>
      <w:r>
        <w:rPr>
          <w:spacing w:val="-2"/>
        </w:rPr>
        <w:t>现值两者之间的较高者。资产减值准备按单项资产为基础计算并确认，如果难以对单项资产的可收回金额进行估计</w:t>
      </w:r>
      <w:r>
        <w:rPr>
          <w:spacing w:val="-68"/>
        </w:rPr>
        <w:t> </w:t>
      </w:r>
      <w:r>
        <w:rPr>
          <w:spacing w:val="-68"/>
        </w:rPr>
      </w:r>
      <w:r>
        <w:rPr/>
        <w:t>的，以该资产所属的资产组确定资产组的可收回金额。资产组是能够独立产生现金流入的最小资产组合。</w:t>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6" w:lineRule="auto" w:before="44"/>
        <w:ind w:left="866" w:right="1116"/>
        <w:jc w:val="left"/>
      </w:pPr>
      <w:r>
        <w:rPr/>
        <w:t>商誉、使用寿命不确定的无形资产、尚未达到可使用状态的无形资产至少在每年年度终了进行减值测试。 </w:t>
      </w:r>
      <w:r>
        <w:rPr>
          <w:spacing w:val="-2"/>
        </w:rPr>
        <w:t>本公司进行商誉减值测试，对于因企业合并形成的商誉的账面价值，自购买日起按照合理的方法分摊至相关的资产</w:t>
      </w:r>
      <w:r>
        <w:rPr>
          <w:spacing w:val="-68"/>
        </w:rPr>
        <w:t> </w:t>
      </w:r>
      <w:r>
        <w:rPr>
          <w:spacing w:val="-68"/>
        </w:rPr>
      </w:r>
      <w:r>
        <w:rPr>
          <w:spacing w:val="-2"/>
        </w:rPr>
        <w:t>组；难以分摊至相关的资产组的，将其分摊至相关的资产组组合。本公司在分摊商誉的账面价值时，根据相关资产</w:t>
      </w:r>
      <w:r>
        <w:rPr>
          <w:spacing w:val="-69"/>
        </w:rPr>
        <w:t> </w:t>
      </w:r>
      <w:r>
        <w:rPr>
          <w:spacing w:val="-69"/>
        </w:rPr>
      </w:r>
      <w:r>
        <w:rPr/>
        <w:t>组或资产组组合能够从企业合并的协同效应中获得的相对受益情况进行分摊，在此基础上进行商誉减值测试。 </w:t>
      </w:r>
      <w:r>
        <w:rPr>
          <w:spacing w:val="-2"/>
        </w:rPr>
        <w:t>在对包含商誉的相关资产组或者资产组组合进行减值测试时，如与商誉相关的资产组或者资产组组合存在减值迹象</w:t>
      </w:r>
      <w:r>
        <w:rPr>
          <w:spacing w:val="-67"/>
        </w:rPr>
        <w:t> </w:t>
      </w:r>
      <w:r>
        <w:rPr>
          <w:spacing w:val="-67"/>
        </w:rPr>
      </w:r>
      <w:r>
        <w:rPr>
          <w:spacing w:val="-2"/>
        </w:rPr>
        <w:t>的，先对不包含商誉的资产组或者资产组组合进行减值测试，计算可收回金额，并与相关账面价值相比较，确认相</w:t>
      </w:r>
      <w:r>
        <w:rPr>
          <w:spacing w:val="-70"/>
        </w:rPr>
        <w:t> </w:t>
      </w:r>
      <w:r>
        <w:rPr>
          <w:spacing w:val="-70"/>
        </w:rPr>
      </w:r>
      <w:r>
        <w:rPr>
          <w:spacing w:val="-2"/>
        </w:rPr>
        <w:t>应的减值损失。再对包含商誉的资产组或者资产组组合进行减值测试，比较这些相关资产组或者资产组组合的账面</w:t>
      </w:r>
      <w:r>
        <w:rPr>
          <w:spacing w:val="-68"/>
        </w:rPr>
        <w:t> </w:t>
      </w:r>
      <w:r>
        <w:rPr>
          <w:spacing w:val="-68"/>
        </w:rPr>
      </w:r>
      <w:r>
        <w:rPr>
          <w:spacing w:val="-2"/>
        </w:rPr>
        <w:t>价值（包括所分摊的商誉的账面价值部分）与其可收回金额，如相关资产组或者资产组组合的可收回金额低于其账</w:t>
      </w:r>
      <w:r>
        <w:rPr>
          <w:spacing w:val="-63"/>
        </w:rPr>
        <w:t> </w:t>
      </w:r>
      <w:r>
        <w:rPr>
          <w:spacing w:val="-63"/>
        </w:rPr>
      </w:r>
      <w:r>
        <w:rPr/>
        <w:t>面价值的，确认商誉的减值损失。上述资产减值损失一经确认，在以后会计期间不予转回。</w:t>
      </w:r>
    </w:p>
    <w:p>
      <w:pPr>
        <w:spacing w:line="240" w:lineRule="auto" w:before="6"/>
        <w:rPr>
          <w:rFonts w:ascii="宋体" w:hAnsi="宋体" w:cs="宋体" w:eastAsia="宋体" w:hint="default"/>
          <w:sz w:val="25"/>
          <w:szCs w:val="25"/>
        </w:rPr>
      </w:pPr>
    </w:p>
    <w:p>
      <w:pPr>
        <w:pStyle w:val="Heading5"/>
        <w:spacing w:line="240" w:lineRule="auto"/>
        <w:ind w:right="1116"/>
        <w:jc w:val="left"/>
        <w:rPr>
          <w:b w:val="0"/>
          <w:bCs w:val="0"/>
        </w:rPr>
      </w:pPr>
      <w:bookmarkStart w:name="19、长期待摊费用" w:id="188"/>
      <w:bookmarkEnd w:id="188"/>
      <w:r>
        <w:rPr>
          <w:b w:val="0"/>
          <w:bCs w:val="0"/>
        </w:rPr>
      </w:r>
      <w:r>
        <w:rPr>
          <w:rFonts w:ascii="Times New Roman" w:hAnsi="Times New Roman" w:cs="Times New Roman" w:eastAsia="Times New Roman" w:hint="default"/>
        </w:rPr>
        <w:t>19</w:t>
      </w:r>
      <w:r>
        <w:rPr/>
        <w:t>、长期待摊费用</w:t>
      </w:r>
      <w:r>
        <w:rPr>
          <w:b w:val="0"/>
          <w:bCs w:val="0"/>
        </w:rPr>
      </w:r>
    </w:p>
    <w:p>
      <w:pPr>
        <w:pStyle w:val="BodyText"/>
        <w:spacing w:line="319" w:lineRule="auto" w:before="63"/>
        <w:ind w:left="1070" w:right="3020" w:hanging="204"/>
        <w:jc w:val="left"/>
        <w:rPr>
          <w:rFonts w:ascii="宋体" w:hAnsi="宋体" w:cs="宋体" w:eastAsia="宋体" w:hint="default"/>
        </w:rPr>
      </w:pPr>
      <w:r>
        <w:rPr/>
        <w:t>长期待摊费用为已经发生但应由本期和以后各期负担的分摊期限在一年以上的各项费用。 </w:t>
      </w:r>
      <w:r>
        <w:rPr>
          <w:rFonts w:ascii="宋体" w:hAnsi="宋体" w:cs="宋体" w:eastAsia="宋体" w:hint="default"/>
          <w:b/>
          <w:bCs/>
        </w:rPr>
        <w:t>1.</w:t>
      </w:r>
      <w:r>
        <w:rPr>
          <w:rFonts w:ascii="宋体" w:hAnsi="宋体" w:cs="宋体" w:eastAsia="宋体" w:hint="default"/>
          <w:b/>
          <w:bCs/>
          <w:spacing w:val="86"/>
        </w:rPr>
        <w:t> </w:t>
      </w:r>
      <w:r>
        <w:rPr>
          <w:rFonts w:ascii="宋体" w:hAnsi="宋体" w:cs="宋体" w:eastAsia="宋体" w:hint="default"/>
          <w:b/>
          <w:bCs/>
        </w:rPr>
        <w:t>摊销方法</w:t>
      </w:r>
      <w:r>
        <w:rPr>
          <w:rFonts w:ascii="宋体" w:hAnsi="宋体" w:cs="宋体" w:eastAsia="宋体" w:hint="default"/>
        </w:rPr>
      </w:r>
    </w:p>
    <w:p>
      <w:pPr>
        <w:pStyle w:val="BodyText"/>
        <w:spacing w:line="240" w:lineRule="auto" w:before="17"/>
        <w:ind w:left="1430" w:right="1116"/>
        <w:jc w:val="left"/>
      </w:pPr>
      <w:r>
        <w:rPr/>
        <w:t>长期待摊费用在受益期内平均摊销。</w:t>
      </w:r>
    </w:p>
    <w:p>
      <w:pPr>
        <w:spacing w:line="240" w:lineRule="auto" w:before="0"/>
        <w:rPr>
          <w:rFonts w:ascii="宋体" w:hAnsi="宋体" w:cs="宋体" w:eastAsia="宋体" w:hint="default"/>
          <w:sz w:val="18"/>
          <w:szCs w:val="18"/>
        </w:rPr>
      </w:pPr>
    </w:p>
    <w:p>
      <w:pPr>
        <w:pStyle w:val="Heading5"/>
        <w:spacing w:line="240" w:lineRule="auto" w:before="153"/>
        <w:ind w:left="1070" w:right="1116"/>
        <w:jc w:val="left"/>
        <w:rPr>
          <w:b w:val="0"/>
          <w:bCs w:val="0"/>
        </w:rPr>
      </w:pPr>
      <w:r>
        <w:rPr>
          <w:rFonts w:ascii="宋体" w:hAnsi="宋体" w:cs="宋体" w:eastAsia="宋体" w:hint="default"/>
        </w:rPr>
        <w:t>2.</w:t>
      </w:r>
      <w:r>
        <w:rPr>
          <w:rFonts w:ascii="宋体" w:hAnsi="宋体" w:cs="宋体" w:eastAsia="宋体" w:hint="default"/>
          <w:spacing w:val="86"/>
        </w:rPr>
        <w:t> </w:t>
      </w:r>
      <w:r>
        <w:rPr/>
        <w:t>摊销年限</w:t>
      </w:r>
      <w:r>
        <w:rPr>
          <w:b w:val="0"/>
          <w:bCs w:val="0"/>
        </w:rPr>
      </w:r>
    </w:p>
    <w:p>
      <w:pPr>
        <w:pStyle w:val="BodyText"/>
        <w:spacing w:line="240" w:lineRule="auto" w:before="76"/>
        <w:ind w:left="1430" w:right="1116"/>
        <w:jc w:val="left"/>
      </w:pPr>
      <w:r>
        <w:rPr/>
        <w:t>不能确定受益期限的按不超过十年的期限平均摊销。</w:t>
      </w:r>
    </w:p>
    <w:p>
      <w:pPr>
        <w:pStyle w:val="Heading5"/>
        <w:spacing w:line="240" w:lineRule="auto" w:before="79"/>
        <w:ind w:right="1116"/>
        <w:jc w:val="left"/>
        <w:rPr>
          <w:b w:val="0"/>
          <w:bCs w:val="0"/>
        </w:rPr>
      </w:pPr>
      <w:bookmarkStart w:name="20、职工薪酬" w:id="189"/>
      <w:bookmarkEnd w:id="189"/>
      <w:r>
        <w:rPr>
          <w:b w:val="0"/>
          <w:bCs w:val="0"/>
        </w:rPr>
      </w:r>
      <w:r>
        <w:rPr>
          <w:rFonts w:ascii="Times New Roman" w:hAnsi="Times New Roman" w:cs="Times New Roman" w:eastAsia="Times New Roman" w:hint="default"/>
        </w:rPr>
        <w:t>20</w:t>
      </w:r>
      <w:r>
        <w:rPr/>
        <w:t>、职工薪酬</w:t>
      </w:r>
      <w:r>
        <w:rPr>
          <w:b w:val="0"/>
          <w:bCs w:val="0"/>
        </w:rPr>
      </w:r>
    </w:p>
    <w:p>
      <w:pPr>
        <w:pStyle w:val="Heading5"/>
        <w:spacing w:line="240" w:lineRule="auto" w:before="63"/>
        <w:ind w:right="1116"/>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16" w:lineRule="auto" w:before="63"/>
        <w:ind w:left="1430" w:right="1116"/>
        <w:jc w:val="left"/>
      </w:pPr>
      <w:r>
        <w:rPr/>
        <w:t>本公司在职工为本公司提供服务的会计期间，将实际发生的短期薪酬确认为负债，并计入当期损益或相关</w:t>
      </w:r>
      <w:r>
        <w:rPr>
          <w:spacing w:val="-19"/>
        </w:rPr>
        <w:t> </w:t>
      </w:r>
      <w:r>
        <w:rPr>
          <w:spacing w:val="-19"/>
        </w:rPr>
      </w:r>
      <w:r>
        <w:rPr/>
        <w:t>资产成本。 本公司为职工缴纳的社会保险费和住房公积金，以及按规定提取的工会经费和职工教育经费，在职工为本</w:t>
      </w:r>
      <w:r>
        <w:rPr>
          <w:spacing w:val="-19"/>
        </w:rPr>
        <w:t> </w:t>
      </w:r>
      <w:r>
        <w:rPr>
          <w:spacing w:val="-19"/>
        </w:rPr>
      </w:r>
      <w:r>
        <w:rPr/>
        <w:t>公司提供服务的会计期间，根据规定的计提基础和计提比例计算确定相应的职工薪酬金额。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5"/>
          <w:szCs w:val="25"/>
        </w:rPr>
      </w:pPr>
    </w:p>
    <w:p>
      <w:pPr>
        <w:pStyle w:val="Heading5"/>
        <w:spacing w:line="240" w:lineRule="auto"/>
        <w:ind w:right="1116"/>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12" w:lineRule="auto" w:before="60"/>
        <w:ind w:left="1430" w:right="0"/>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本公司按当地政府的相关规定为职工缴纳基本养老保险和失业保险，在职工为本公司提供服务的会计期间，</w:t>
      </w:r>
      <w:r>
        <w:rPr>
          <w:spacing w:val="-51"/>
        </w:rPr>
        <w:t> </w:t>
      </w:r>
      <w:r>
        <w:rPr>
          <w:spacing w:val="-51"/>
        </w:rPr>
      </w:r>
      <w:r>
        <w:rPr/>
        <w:t>按以当地规定的缴纳基数和比例计算应缴纳金额，确认为负债，并计入当期损益或相关资产成本。 </w:t>
      </w:r>
      <w:r>
        <w:rPr>
          <w:spacing w:val="-3"/>
        </w:rPr>
        <w:t>除基本养老保险外，本公司还依据国家企业年金制度的相关政策建立了企业年金缴费制度（补充养老保险）</w:t>
      </w:r>
    </w:p>
    <w:p>
      <w:pPr>
        <w:pStyle w:val="BodyText"/>
        <w:spacing w:line="300" w:lineRule="auto" w:before="22"/>
        <w:ind w:left="1430" w:right="1116"/>
        <w:jc w:val="left"/>
      </w:pPr>
      <w:r>
        <w:rPr>
          <w:rFonts w:ascii="Times New Roman" w:hAnsi="Times New Roman" w:cs="Times New Roman" w:eastAsia="Times New Roman" w:hint="default"/>
          <w:spacing w:val="-1"/>
        </w:rPr>
        <w:t>/</w:t>
      </w:r>
      <w:r>
        <w:rPr>
          <w:spacing w:val="-1"/>
        </w:rPr>
        <w:t>企业年金计划。本公司按职工工资总额的一定比例向当地社会保险机构缴费</w:t>
      </w:r>
      <w:r>
        <w:rPr>
          <w:rFonts w:ascii="Times New Roman" w:hAnsi="Times New Roman" w:cs="Times New Roman" w:eastAsia="Times New Roman" w:hint="default"/>
          <w:spacing w:val="-1"/>
        </w:rPr>
        <w:t>/</w:t>
      </w:r>
      <w:r>
        <w:rPr>
          <w:spacing w:val="-1"/>
        </w:rPr>
        <w:t>年金计划缴费，相应支出计入</w:t>
      </w:r>
      <w:r>
        <w:rPr>
          <w:spacing w:val="-62"/>
        </w:rPr>
        <w:t> </w:t>
      </w:r>
      <w:r>
        <w:rPr>
          <w:spacing w:val="-62"/>
        </w:rPr>
      </w:r>
      <w:r>
        <w:rPr/>
        <w:t>当期损益或相关资产成本。</w:t>
      </w:r>
    </w:p>
    <w:p>
      <w:pPr>
        <w:pStyle w:val="BodyText"/>
        <w:spacing w:line="316" w:lineRule="auto" w:before="31"/>
        <w:ind w:left="1430" w:right="1116"/>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w:t>
      </w:r>
      <w:r>
        <w:rPr>
          <w:spacing w:val="-19"/>
        </w:rPr>
        <w:t> </w:t>
      </w:r>
      <w:r>
        <w:rPr>
          <w:spacing w:val="-19"/>
        </w:rPr>
      </w:r>
      <w:r>
        <w:rPr/>
        <w:t>并计入当期损益或相关资产成本。 设定受益计划义务现值减去设定受益计划资产公允价值所形成的赤字或盈余确认为一项设定受益计划净负</w:t>
      </w:r>
      <w:r>
        <w:rPr>
          <w:spacing w:val="-19"/>
        </w:rPr>
        <w:t> </w:t>
      </w:r>
      <w:r>
        <w:rPr>
          <w:spacing w:val="-19"/>
        </w:rPr>
      </w:r>
      <w:r>
        <w:rPr/>
        <w:t>债或净资产。设定受益计划存在盈余的，本公司以设定受益计划的盈余和资产上限两项的孰低者计量设定</w:t>
      </w:r>
      <w:r>
        <w:rPr>
          <w:spacing w:val="-19"/>
        </w:rPr>
        <w:t> </w:t>
      </w:r>
      <w:r>
        <w:rPr>
          <w:spacing w:val="-19"/>
        </w:rPr>
      </w:r>
      <w:r>
        <w:rPr/>
        <w:t>受益计划净资产。 所有设定受益计划义务，包括预期在职工提供服务的年度报告期间结束后的十二个月内支付的义务，根据</w:t>
      </w:r>
      <w:r>
        <w:rPr>
          <w:spacing w:val="-19"/>
        </w:rPr>
        <w:t> </w:t>
      </w:r>
      <w:r>
        <w:rPr>
          <w:spacing w:val="-19"/>
        </w:rPr>
      </w:r>
      <w:r>
        <w:rPr/>
        <w:t>资产负债表日与设定受益计划义务期限和币种相匹配的国债或活跃市场上的高质量公司债券的市场收益率</w:t>
      </w:r>
      <w:r>
        <w:rPr>
          <w:spacing w:val="-19"/>
        </w:rPr>
        <w:t> </w:t>
      </w:r>
      <w:r>
        <w:rPr>
          <w:spacing w:val="-19"/>
        </w:rPr>
      </w:r>
      <w:r>
        <w:rPr/>
        <w:t>予以折现。 设定受益计划产生的服务成本和设定受益计划净负债或净资产的利息净额计入当期损益或相关资产成本；</w:t>
      </w:r>
      <w:r>
        <w:rPr>
          <w:spacing w:val="-19"/>
        </w:rPr>
        <w:t> </w:t>
      </w:r>
      <w:r>
        <w:rPr>
          <w:spacing w:val="-19"/>
        </w:rPr>
      </w:r>
      <w:r>
        <w:rPr/>
        <w:t>重新计量设定受益计划净负债或净资产所产生的变动计入其他综合收益，并且在后续会计期间不转回至损</w:t>
      </w:r>
      <w:r>
        <w:rPr>
          <w:spacing w:val="-17"/>
        </w:rPr>
        <w:t> </w:t>
      </w:r>
      <w:r>
        <w:rPr>
          <w:spacing w:val="-17"/>
        </w:rPr>
      </w:r>
      <w:r>
        <w:rPr/>
        <w:t>益，在原设定受益计划终止时在权益范围内将原计入其他综合收益的部分全部结转至未分配利润。</w:t>
      </w:r>
    </w:p>
    <w:p>
      <w:pPr>
        <w:spacing w:after="0" w:line="316"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19" w:lineRule="auto" w:before="44"/>
        <w:ind w:left="1430" w:right="1116"/>
        <w:jc w:val="left"/>
      </w:pPr>
      <w:r>
        <w:rPr/>
        <w:t>在设定受益计划结算时，按在结算日确定的设定受益计划义务现值和结算价格两者的差额，确认结算利得</w:t>
      </w:r>
      <w:r>
        <w:rPr>
          <w:spacing w:val="-19"/>
        </w:rPr>
        <w:t> </w:t>
      </w:r>
      <w:r>
        <w:rPr>
          <w:spacing w:val="-19"/>
        </w:rPr>
      </w:r>
      <w:r>
        <w:rPr/>
        <w:t>或损失。</w:t>
      </w:r>
    </w:p>
    <w:p>
      <w:pPr>
        <w:spacing w:line="240" w:lineRule="auto" w:before="4"/>
        <w:rPr>
          <w:rFonts w:ascii="宋体" w:hAnsi="宋体" w:cs="宋体" w:eastAsia="宋体" w:hint="default"/>
          <w:sz w:val="25"/>
          <w:szCs w:val="25"/>
        </w:rPr>
      </w:pPr>
    </w:p>
    <w:p>
      <w:pPr>
        <w:pStyle w:val="Heading5"/>
        <w:spacing w:line="240" w:lineRule="auto"/>
        <w:ind w:right="1116"/>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316" w:lineRule="auto" w:before="63"/>
        <w:ind w:left="1430" w:right="1116"/>
        <w:jc w:val="left"/>
      </w:pPr>
      <w:r>
        <w:rPr/>
        <w:t>本公司在不能单方面撤回因解除劳动关系计划或裁减建议所提供的辞退福利时，或确认与涉及支付辞退福</w:t>
      </w:r>
      <w:r>
        <w:rPr>
          <w:spacing w:val="-19"/>
        </w:rPr>
        <w:t> </w:t>
      </w:r>
      <w:r>
        <w:rPr>
          <w:spacing w:val="-19"/>
        </w:rPr>
      </w:r>
      <w:r>
        <w:rPr>
          <w:spacing w:val="-3"/>
        </w:rPr>
        <w:t>利的重组相关的成本或费用时（两者孰早），确认辞退福利产生的职工薪酬负债，并计入当期损益。</w:t>
      </w:r>
    </w:p>
    <w:p>
      <w:pPr>
        <w:pStyle w:val="Heading5"/>
        <w:spacing w:line="240" w:lineRule="auto" w:before="21"/>
        <w:ind w:right="1116"/>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pStyle w:val="Heading5"/>
        <w:spacing w:line="240" w:lineRule="auto" w:before="63"/>
        <w:ind w:right="1116"/>
        <w:jc w:val="left"/>
        <w:rPr>
          <w:b w:val="0"/>
          <w:bCs w:val="0"/>
        </w:rPr>
      </w:pPr>
      <w:bookmarkStart w:name="21、预计负债" w:id="194"/>
      <w:bookmarkEnd w:id="194"/>
      <w:r>
        <w:rPr>
          <w:b w:val="0"/>
          <w:bCs w:val="0"/>
        </w:rPr>
      </w:r>
      <w:r>
        <w:rPr>
          <w:rFonts w:ascii="Times New Roman" w:hAnsi="Times New Roman" w:cs="Times New Roman" w:eastAsia="Times New Roman" w:hint="default"/>
        </w:rPr>
        <w:t>21</w:t>
      </w:r>
      <w:r>
        <w:rPr/>
        <w:t>、预计负债</w:t>
      </w:r>
      <w:r>
        <w:rPr>
          <w:b w:val="0"/>
          <w:bCs w:val="0"/>
        </w:rPr>
      </w:r>
    </w:p>
    <w:p>
      <w:pPr>
        <w:pStyle w:val="BodyText"/>
        <w:spacing w:line="316" w:lineRule="auto" w:before="63"/>
        <w:ind w:left="866" w:right="1116"/>
        <w:jc w:val="left"/>
      </w:pPr>
      <w:r>
        <w:rPr>
          <w:spacing w:val="-2"/>
        </w:rPr>
        <w:t>本公司涉及诉讼、债务担保、亏损合同、重组事项时，如该等事项很可能需要未来以交付资产或提供劳务、其金额</w:t>
      </w:r>
      <w:r>
        <w:rPr>
          <w:spacing w:val="-70"/>
        </w:rPr>
        <w:t> </w:t>
      </w:r>
      <w:r>
        <w:rPr>
          <w:spacing w:val="-70"/>
        </w:rPr>
      </w:r>
      <w:r>
        <w:rPr/>
        <w:t>能够可靠计量的，确认为预计负债。</w:t>
      </w:r>
    </w:p>
    <w:p>
      <w:pPr>
        <w:spacing w:line="319" w:lineRule="auto" w:before="19"/>
        <w:ind w:left="1430" w:right="1116"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与诉讼、债务担保、亏损合同、重组事项等或有事项相关的义务同时满足下列条件时，本公司确认为预计 负债：</w:t>
      </w:r>
    </w:p>
    <w:p>
      <w:pPr>
        <w:pStyle w:val="BodyText"/>
        <w:spacing w:line="240" w:lineRule="auto" w:before="17"/>
        <w:ind w:left="1430" w:right="1116"/>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430" w:right="1116"/>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430" w:right="1116"/>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16" w:lineRule="auto" w:before="139"/>
        <w:ind w:left="1430" w:right="0" w:hanging="360"/>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本公司根据合同约定或以往年度质保费实际发生情况合理估计可能产生的质保费用，在质保期间对所交付 </w:t>
      </w:r>
      <w:r>
        <w:rPr>
          <w:spacing w:val="-1"/>
        </w:rPr>
        <w:t>的自动化物流系统项目按合同收入总额的一定比例计提预计负债，实际发生的质保费用在预计负债中列支，</w:t>
      </w:r>
      <w:r>
        <w:rPr/>
        <w:t> 不足部分计入实际发生当期损益，项目质保期满后结余的预提质保金予以冲回。 预计负债按照履行相关现时义务所需支出的最佳估计数进行初始计量，企业清偿预计负债所需支出全部或 部分预期由第三方补偿的，补偿金额只有在基本确定能够收到时才能作为资产单独确认。确认的补偿金额 不超过预计负债的账面价值。 本公司亏损合同产生的义务和因重组而承担的重组义务同时符合上述条件的，确认为预计负债。只有在承 诺出售部分业务（即签订约束性出售协议）时，才能确认因重组而承担了重组义务。</w:t>
      </w:r>
    </w:p>
    <w:p>
      <w:pPr>
        <w:spacing w:line="240" w:lineRule="auto" w:before="6"/>
        <w:rPr>
          <w:rFonts w:ascii="宋体" w:hAnsi="宋体" w:cs="宋体" w:eastAsia="宋体" w:hint="default"/>
          <w:sz w:val="25"/>
          <w:szCs w:val="25"/>
        </w:rPr>
      </w:pPr>
    </w:p>
    <w:p>
      <w:pPr>
        <w:pStyle w:val="Heading5"/>
        <w:spacing w:line="240" w:lineRule="auto"/>
        <w:ind w:right="1116"/>
        <w:jc w:val="left"/>
        <w:rPr>
          <w:b w:val="0"/>
          <w:bCs w:val="0"/>
        </w:rPr>
      </w:pPr>
      <w:bookmarkStart w:name="22、股份支付" w:id="195"/>
      <w:bookmarkEnd w:id="195"/>
      <w:r>
        <w:rPr>
          <w:b w:val="0"/>
          <w:bCs w:val="0"/>
        </w:rPr>
      </w:r>
      <w:r>
        <w:rPr>
          <w:rFonts w:ascii="Times New Roman" w:hAnsi="Times New Roman" w:cs="Times New Roman" w:eastAsia="Times New Roman" w:hint="default"/>
        </w:rPr>
        <w:t>22</w:t>
      </w:r>
      <w:r>
        <w:rPr/>
        <w:t>、股份支付</w:t>
      </w:r>
      <w:r>
        <w:rPr>
          <w:b w:val="0"/>
          <w:bCs w:val="0"/>
        </w:rPr>
      </w:r>
    </w:p>
    <w:p>
      <w:pPr>
        <w:pStyle w:val="BodyText"/>
        <w:spacing w:line="316" w:lineRule="auto" w:before="60"/>
        <w:ind w:left="866" w:right="1116"/>
        <w:jc w:val="left"/>
      </w:pPr>
      <w:r>
        <w:rPr/>
        <w:t>本公司的股份支付是为了获取职工或其他方提供服务而授予权益工具或者承担以权益工具为基础确定的负债的交</w:t>
      </w:r>
      <w:r>
        <w:rPr>
          <w:spacing w:val="1"/>
        </w:rPr>
        <w:t> </w:t>
      </w:r>
      <w:r>
        <w:rPr>
          <w:spacing w:val="1"/>
        </w:rPr>
      </w:r>
      <w:r>
        <w:rPr/>
        <w:t>易。本公司的股份支付分为以权益结算的股份支付和以现金结算的股份支付。</w:t>
      </w:r>
    </w:p>
    <w:p>
      <w:pPr>
        <w:pStyle w:val="BodyText"/>
        <w:spacing w:line="314" w:lineRule="auto" w:before="19"/>
        <w:ind w:left="1430" w:right="1118"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以权益结算的股份支付及权益工具</w:t>
      </w:r>
      <w:r>
        <w:rPr>
          <w:rFonts w:ascii="宋体" w:hAnsi="宋体" w:cs="宋体" w:eastAsia="宋体" w:hint="default"/>
          <w:b/>
          <w:bCs/>
          <w:w w:val="99"/>
        </w:rPr>
        <w:t> </w:t>
      </w:r>
      <w:r>
        <w:rPr/>
        <w:t>以权益结算的股份支付换取职工提供服务的，以授予职工权益工具的公允价值计量。本公司以限制性股票 进行股份支付的，职工出资认购股票，股票在达到解锁条件并解锁前不得上市流通或转让；如果最终股权 激励计划规定的解锁条件未能达到，则本公司按照事先约定的价格回购股票。本公司取得职工认购限制性</w:t>
      </w:r>
      <w:r>
        <w:rPr>
          <w:spacing w:val="2"/>
        </w:rPr>
        <w:t> </w:t>
      </w:r>
      <w:r>
        <w:rPr>
          <w:spacing w:val="-3"/>
        </w:rPr>
        <w:t>股票支付的款项时，按照取得的认股款确认股本和资本公积（股本溢价），同时就回购义务全额确认一项负</w:t>
      </w:r>
      <w:r>
        <w:rPr/>
        <w:t> 债并确认库存股。在等待期内每个资产负债表日，本公司根据最新取得的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w:t>
      </w:r>
      <w:r>
        <w:rPr>
          <w:rFonts w:ascii="Times New Roman" w:hAnsi="Times New Roman" w:cs="Times New Roman" w:eastAsia="Times New Roman" w:hint="default"/>
        </w:rPr>
        <w:t>[</w:t>
      </w:r>
      <w:r>
        <w:rPr/>
        <w:t>是否达 到规定业绩条件</w:t>
      </w:r>
      <w:r>
        <w:rPr>
          <w:rFonts w:ascii="Times New Roman" w:hAnsi="Times New Roman" w:cs="Times New Roman" w:eastAsia="Times New Roman" w:hint="default"/>
        </w:rPr>
        <w:t>]</w:t>
      </w:r>
      <w:r>
        <w:rPr/>
        <w:t>等后续信息对可行权权益工具数量作出最佳估计，以此为基础，按照授予日的公允价值， 将当期取得的服务计入相关成本或费用，相应增加资本公积。在可行权日之后不再对已确认的相关成本或 费用和所有者权益总额进行调整。但授予后立即可行权的，在授予日按照公允价值计入相关成本或费用， 相应增加资本公积。 对于最终未能行权的股份支付，不确认成本或费用，除非行权条件是市场条件或非可行权条件，此时无论 是否满足市场条件或非可行权条件，只要满足所有可行权条件中的非市场条件，即视为可行权。 如果修改了以权益结算的股份支付的条款，至少按照未修改条款的情况确认取得的服务。此外，任何增加 所授予权益工具公允价值的修改，或在修改日对职工有利的变更，均确认取得服务的增加。</w:t>
      </w:r>
    </w:p>
    <w:p>
      <w:pPr>
        <w:spacing w:after="0" w:line="314" w:lineRule="auto"/>
        <w:jc w:val="left"/>
        <w:sectPr>
          <w:footerReference w:type="default" r:id="rId30"/>
          <w:pgSz w:w="11910" w:h="16840"/>
          <w:pgMar w:footer="980" w:header="877" w:top="1080" w:bottom="1160" w:left="980" w:right="0"/>
          <w:pgNumType w:start="11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0" w:top="108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5"/>
        <w:spacing w:line="240" w:lineRule="auto"/>
        <w:ind w:right="-19"/>
        <w:jc w:val="left"/>
        <w:rPr>
          <w:b w:val="0"/>
          <w:bCs w:val="0"/>
        </w:rPr>
      </w:pPr>
      <w:bookmarkStart w:name="23、收入" w:id="196"/>
      <w:bookmarkEnd w:id="196"/>
      <w:r>
        <w:rPr>
          <w:b w:val="0"/>
          <w:bCs w:val="0"/>
        </w:rPr>
      </w:r>
      <w:r>
        <w:rPr>
          <w:rFonts w:ascii="Times New Roman" w:hAnsi="Times New Roman" w:cs="Times New Roman" w:eastAsia="Times New Roman" w:hint="default"/>
        </w:rPr>
        <w:t>23</w:t>
      </w:r>
      <w:r>
        <w:rPr/>
        <w:t>、收入</w:t>
      </w:r>
      <w:r>
        <w:rPr>
          <w:b w:val="0"/>
          <w:bCs w:val="0"/>
        </w:rPr>
      </w:r>
    </w:p>
    <w:p>
      <w:pPr>
        <w:pStyle w:val="BodyText"/>
        <w:spacing w:line="319" w:lineRule="auto" w:before="44"/>
        <w:ind w:right="1129"/>
        <w:jc w:val="both"/>
      </w:pPr>
      <w:r>
        <w:rPr/>
        <w:br w:type="column"/>
      </w:r>
      <w:r>
        <w:rPr/>
        <w:t>如果取消了以权益结算的股份支付，则于取消日作为加速行权处理，立即确认尚未确认的金额。职工或其</w:t>
      </w:r>
      <w:r>
        <w:rPr>
          <w:spacing w:val="-19"/>
        </w:rPr>
        <w:t> </w:t>
      </w:r>
      <w:r>
        <w:rPr>
          <w:spacing w:val="-19"/>
        </w:rPr>
      </w:r>
      <w:r>
        <w:rPr/>
        <w:t>他方能够选择满足非可行权条件但在等待期内未满足的，作为取消以权益结算的股份支付处理。但是，如</w:t>
      </w:r>
      <w:r>
        <w:rPr>
          <w:spacing w:val="-12"/>
        </w:rPr>
        <w:t> </w:t>
      </w:r>
      <w:r>
        <w:rPr>
          <w:spacing w:val="-12"/>
        </w:rPr>
      </w:r>
      <w:r>
        <w:rPr/>
        <w:t>果授予新的权益工具，并在新权益工具授予日认定所授予的新权益工具是用于替代被取消的权益工具的，</w:t>
      </w:r>
      <w:r>
        <w:rPr>
          <w:spacing w:val="-19"/>
        </w:rPr>
        <w:t> </w:t>
      </w:r>
      <w:r>
        <w:rPr>
          <w:spacing w:val="-19"/>
        </w:rPr>
      </w:r>
      <w:r>
        <w:rPr/>
        <w:t>则以与处理原权益工具条款和条件修改相同的方式，对所授予的替代权益工具进行处理。</w:t>
      </w:r>
    </w:p>
    <w:p>
      <w:pPr>
        <w:spacing w:after="0" w:line="319" w:lineRule="auto"/>
        <w:jc w:val="both"/>
        <w:sectPr>
          <w:type w:val="continuous"/>
          <w:pgSz w:w="11910" w:h="16840"/>
          <w:pgMar w:top="1060" w:bottom="1160" w:left="980" w:right="0"/>
          <w:cols w:num="2" w:equalWidth="0">
            <w:col w:w="876" w:space="401"/>
            <w:col w:w="9653"/>
          </w:cols>
        </w:sectPr>
      </w:pPr>
    </w:p>
    <w:p>
      <w:pPr>
        <w:pStyle w:val="BodyText"/>
        <w:spacing w:line="240" w:lineRule="auto" w:before="63"/>
        <w:ind w:left="0" w:right="1706"/>
        <w:jc w:val="center"/>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Heading5"/>
        <w:spacing w:line="240" w:lineRule="auto" w:before="63"/>
        <w:ind w:left="1070" w:right="1116"/>
        <w:jc w:val="left"/>
        <w:rPr>
          <w:b w:val="0"/>
          <w:bCs w:val="0"/>
        </w:rPr>
      </w:pPr>
      <w:r>
        <w:rPr>
          <w:rFonts w:ascii="宋体" w:hAnsi="宋体" w:cs="宋体" w:eastAsia="宋体" w:hint="default"/>
        </w:rPr>
        <w:t>1.</w:t>
      </w:r>
      <w:r>
        <w:rPr>
          <w:rFonts w:ascii="宋体" w:hAnsi="宋体" w:cs="宋体" w:eastAsia="宋体" w:hint="default"/>
          <w:spacing w:val="85"/>
        </w:rPr>
        <w:t> </w:t>
      </w:r>
      <w:r>
        <w:rPr/>
        <w:t>销售商品收入确认的一般原则：</w:t>
      </w:r>
      <w:r>
        <w:rPr>
          <w:b w:val="0"/>
          <w:bCs w:val="0"/>
        </w:rPr>
      </w:r>
    </w:p>
    <w:p>
      <w:pPr>
        <w:pStyle w:val="BodyText"/>
        <w:spacing w:line="312" w:lineRule="auto" w:before="76"/>
        <w:ind w:left="1430" w:right="1116"/>
        <w:jc w:val="left"/>
      </w:pPr>
      <w:r>
        <w:rPr/>
        <w:t>（</w:t>
      </w:r>
      <w:r>
        <w:rPr>
          <w:rFonts w:ascii="Times New Roman" w:hAnsi="Times New Roman" w:cs="Times New Roman" w:eastAsia="Times New Roman" w:hint="default"/>
        </w:rPr>
        <w:t>1</w:t>
      </w:r>
      <w:r>
        <w:rPr/>
        <w:t>）销售商品收入确认和计量的总体原则： 公司已将商品所有权上的主要风险和报酬转移给购买方；公司既没有保留与所有权相联系的继续管理权，</w:t>
      </w:r>
      <w:r>
        <w:rPr>
          <w:spacing w:val="-19"/>
        </w:rPr>
        <w:t> </w:t>
      </w:r>
      <w:r>
        <w:rPr>
          <w:spacing w:val="-19"/>
        </w:rPr>
      </w:r>
      <w:r>
        <w:rPr/>
        <w:t>也没有对已售出的商品实施有效控制；收入的金额能够可靠地计量；相关的经济利益很可能流入企业；相</w:t>
      </w:r>
      <w:r>
        <w:rPr>
          <w:spacing w:val="-15"/>
        </w:rPr>
        <w:t> </w:t>
      </w:r>
      <w:r>
        <w:rPr>
          <w:spacing w:val="-15"/>
        </w:rPr>
      </w:r>
      <w:r>
        <w:rPr/>
        <w:t>关的已发生或将发生的成本能够可靠地计量时，确认商品销售收入实现。</w:t>
      </w:r>
    </w:p>
    <w:p>
      <w:pPr>
        <w:pStyle w:val="BodyText"/>
        <w:spacing w:line="309" w:lineRule="auto" w:before="22"/>
        <w:ind w:left="1430" w:right="1116"/>
        <w:jc w:val="left"/>
      </w:pPr>
      <w:r>
        <w:rPr/>
        <w:t>（</w:t>
      </w:r>
      <w:r>
        <w:rPr>
          <w:rFonts w:ascii="Times New Roman" w:hAnsi="Times New Roman" w:cs="Times New Roman" w:eastAsia="Times New Roman" w:hint="default"/>
        </w:rPr>
        <w:t>2</w:t>
      </w:r>
      <w:r>
        <w:rPr/>
        <w:t>）本公司销售商品收入确认的确认标准及收入确认时间的具体判断标准 本公司销售商品收入主要有工业生产型物流系统、商业配送型物流系统、自动化物流系统备品备件，收入</w:t>
      </w:r>
      <w:r>
        <w:rPr>
          <w:spacing w:val="-19"/>
        </w:rPr>
        <w:t> </w:t>
      </w:r>
      <w:r>
        <w:rPr>
          <w:spacing w:val="-19"/>
        </w:rPr>
      </w:r>
      <w:r>
        <w:rPr/>
        <w:t>的具体确认原则为：</w:t>
      </w:r>
    </w:p>
    <w:p>
      <w:pPr>
        <w:pStyle w:val="BodyText"/>
        <w:spacing w:line="316" w:lineRule="auto" w:before="24"/>
        <w:ind w:left="1430" w:right="1116"/>
        <w:jc w:val="left"/>
      </w:pPr>
      <w:r>
        <w:rPr/>
        <w:t>①工业生产型物流系统 系统已按合同和技术协议的要求全部安装调试到位，并取得了购货方的初验证明，该物流系统已交付购货</w:t>
      </w:r>
      <w:r>
        <w:rPr>
          <w:spacing w:val="-19"/>
        </w:rPr>
        <w:t> </w:t>
      </w:r>
      <w:r>
        <w:rPr>
          <w:spacing w:val="-19"/>
        </w:rPr>
      </w:r>
      <w:r>
        <w:rPr/>
        <w:t>方进入商业运行时，予以确认收入。</w:t>
      </w:r>
    </w:p>
    <w:p>
      <w:pPr>
        <w:pStyle w:val="BodyText"/>
        <w:spacing w:line="316" w:lineRule="auto" w:before="19"/>
        <w:ind w:left="1430" w:right="1116"/>
        <w:jc w:val="left"/>
      </w:pPr>
      <w:r>
        <w:rPr/>
        <w:t>②商业配送型物流系统 系统已按合同和技术协议的要求全部安装调试到位，并取得了购货方的验收证明，该物流系统已交付购货</w:t>
      </w:r>
      <w:r>
        <w:rPr>
          <w:spacing w:val="-15"/>
        </w:rPr>
        <w:t> </w:t>
      </w:r>
      <w:r>
        <w:rPr>
          <w:spacing w:val="-15"/>
        </w:rPr>
      </w:r>
      <w:r>
        <w:rPr/>
        <w:t>方进入商业运行时，予以确认收入。</w:t>
      </w:r>
    </w:p>
    <w:p>
      <w:pPr>
        <w:pStyle w:val="BodyText"/>
        <w:spacing w:line="316" w:lineRule="auto" w:before="19"/>
        <w:ind w:left="1430" w:right="1116"/>
        <w:jc w:val="left"/>
      </w:pPr>
      <w:r>
        <w:rPr/>
        <w:t>③自动化物流系统备品备件 自动化物流系统备品、备件在产品已经发出并经购货方验收确认，收到价款或取得收取款项的证据时，予</w:t>
      </w:r>
      <w:r>
        <w:rPr>
          <w:spacing w:val="-19"/>
        </w:rPr>
        <w:t> </w:t>
      </w:r>
      <w:r>
        <w:rPr>
          <w:spacing w:val="-19"/>
        </w:rPr>
      </w:r>
      <w:r>
        <w:rPr/>
        <w:t>以确认收入。</w:t>
      </w:r>
    </w:p>
    <w:p>
      <w:pPr>
        <w:pStyle w:val="BodyText"/>
        <w:spacing w:line="314" w:lineRule="auto" w:before="19"/>
        <w:ind w:left="1430" w:right="1116"/>
        <w:jc w:val="left"/>
      </w:pPr>
      <w:r>
        <w:rPr/>
        <w:t>（</w:t>
      </w:r>
      <w:r>
        <w:rPr>
          <w:rFonts w:ascii="Times New Roman" w:hAnsi="Times New Roman" w:cs="Times New Roman" w:eastAsia="Times New Roman" w:hint="default"/>
        </w:rPr>
        <w:t>3</w:t>
      </w:r>
      <w:r>
        <w:rPr/>
        <w:t>）关于本公司销售商品收入相应的业务特点分析和介绍 本公司作为一家自动化物流系统综合解决方案提供商，自动化物流系统是公司的核心产品及收入的主要来</w:t>
      </w:r>
      <w:r>
        <w:rPr>
          <w:spacing w:val="-19"/>
        </w:rPr>
        <w:t> </w:t>
      </w:r>
      <w:r>
        <w:rPr>
          <w:spacing w:val="-19"/>
        </w:rPr>
      </w:r>
      <w:r>
        <w:rPr/>
        <w:t>源。自动化物流系统系对各种物流软硬件设备进行安装调试后的非标准化产品，该系统具有定制化、个性</w:t>
      </w:r>
      <w:r>
        <w:rPr>
          <w:spacing w:val="-19"/>
        </w:rPr>
        <w:t> </w:t>
      </w:r>
      <w:r>
        <w:rPr>
          <w:spacing w:val="-19"/>
        </w:rPr>
      </w:r>
      <w:r>
        <w:rPr/>
        <w:t>化等特点，整个自动化物流系统全部安装调试完毕且具备较稳定运行能力时，客户会组织相关部门进行初</w:t>
      </w:r>
      <w:r>
        <w:rPr>
          <w:spacing w:val="-13"/>
        </w:rPr>
        <w:t> </w:t>
      </w:r>
      <w:r>
        <w:rPr>
          <w:spacing w:val="-13"/>
        </w:rPr>
      </w:r>
      <w:r>
        <w:rPr/>
        <w:t>验并签署相关证明文件。在系统投入商业运行至终验阶段，公司为客户提供系统维护及现场操作指导等后</w:t>
      </w:r>
      <w:r>
        <w:rPr>
          <w:spacing w:val="-19"/>
        </w:rPr>
        <w:t> </w:t>
      </w:r>
      <w:r>
        <w:rPr>
          <w:spacing w:val="-19"/>
        </w:rPr>
      </w:r>
      <w:r>
        <w:rPr/>
        <w:t>续服务，发生的支出很少。</w:t>
      </w:r>
    </w:p>
    <w:p>
      <w:pPr>
        <w:spacing w:line="240" w:lineRule="auto" w:before="6"/>
        <w:rPr>
          <w:rFonts w:ascii="宋体" w:hAnsi="宋体" w:cs="宋体" w:eastAsia="宋体" w:hint="default"/>
          <w:sz w:val="25"/>
          <w:szCs w:val="25"/>
        </w:rPr>
      </w:pPr>
    </w:p>
    <w:p>
      <w:pPr>
        <w:spacing w:line="316" w:lineRule="auto" w:before="0"/>
        <w:ind w:left="1430" w:right="4616" w:hanging="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提供技术服务收入确认和计量原则</w:t>
      </w:r>
      <w:r>
        <w:rPr>
          <w:rFonts w:ascii="宋体" w:hAnsi="宋体" w:cs="宋体" w:eastAsia="宋体" w:hint="default"/>
          <w:b/>
          <w:bCs/>
          <w:w w:val="99"/>
          <w:sz w:val="18"/>
          <w:szCs w:val="18"/>
        </w:rPr>
        <w:t> </w:t>
      </w:r>
      <w:r>
        <w:rPr>
          <w:rFonts w:ascii="宋体" w:hAnsi="宋体" w:cs="宋体" w:eastAsia="宋体" w:hint="default"/>
          <w:sz w:val="18"/>
          <w:szCs w:val="18"/>
        </w:rPr>
        <w:t>本公司提供技术服务主要是自动化物流系统的运营维护服务。</w:t>
      </w:r>
    </w:p>
    <w:p>
      <w:pPr>
        <w:pStyle w:val="BodyText"/>
        <w:spacing w:line="316" w:lineRule="auto" w:before="19"/>
        <w:ind w:left="1430" w:right="1116"/>
        <w:jc w:val="left"/>
      </w:pPr>
      <w:r>
        <w:rPr/>
        <w:t>公司在已根据签订的技术服务合同内容约定提供了相应服务；收到价款或取得收取款项的证据；相关成本</w:t>
      </w:r>
      <w:r>
        <w:rPr>
          <w:spacing w:val="-19"/>
        </w:rPr>
        <w:t> </w:t>
      </w:r>
      <w:r>
        <w:rPr>
          <w:spacing w:val="-19"/>
        </w:rPr>
      </w:r>
      <w:r>
        <w:rPr/>
        <w:t>能够可靠地计量时，予以确认收入。合同明确约定服务成果需提交设备维护报告书并经客户验收确认的，</w:t>
      </w:r>
      <w:r>
        <w:rPr>
          <w:spacing w:val="-19"/>
        </w:rPr>
        <w:t> </w:t>
      </w:r>
      <w:r>
        <w:rPr>
          <w:spacing w:val="-19"/>
        </w:rPr>
      </w:r>
      <w:r>
        <w:rPr/>
        <w:t>在取得经客户验收确认后的设备维护报告书时确认收入。 合同明确约定服务期限的，在合同约定的服务期限内，按提供服务的进度或次数分期确认收入。</w:t>
      </w:r>
    </w:p>
    <w:p>
      <w:pPr>
        <w:spacing w:line="240" w:lineRule="auto" w:before="4"/>
        <w:rPr>
          <w:rFonts w:ascii="宋体" w:hAnsi="宋体" w:cs="宋体" w:eastAsia="宋体" w:hint="default"/>
          <w:sz w:val="25"/>
          <w:szCs w:val="25"/>
        </w:rPr>
      </w:pPr>
    </w:p>
    <w:p>
      <w:pPr>
        <w:spacing w:line="316" w:lineRule="auto" w:before="0"/>
        <w:ind w:left="1430" w:right="1116" w:hanging="36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87"/>
          <w:sz w:val="18"/>
          <w:szCs w:val="18"/>
        </w:rPr>
        <w:t> </w:t>
      </w:r>
      <w:r>
        <w:rPr>
          <w:rFonts w:ascii="宋体" w:hAnsi="宋体" w:cs="宋体" w:eastAsia="宋体" w:hint="default"/>
          <w:b/>
          <w:bCs/>
          <w:sz w:val="18"/>
          <w:szCs w:val="18"/>
        </w:rPr>
        <w:t>让渡资产使用权收入确认和计量原则</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 权收入金额：</w:t>
      </w:r>
    </w:p>
    <w:p>
      <w:pPr>
        <w:pStyle w:val="BodyText"/>
        <w:spacing w:line="240" w:lineRule="auto" w:before="19"/>
        <w:ind w:left="1430" w:right="111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1430" w:right="1116"/>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3"/>
          <w:szCs w:val="23"/>
        </w:rPr>
      </w:pPr>
    </w:p>
    <w:p>
      <w:pPr>
        <w:pStyle w:val="Heading5"/>
        <w:spacing w:line="240" w:lineRule="auto" w:before="44"/>
        <w:ind w:right="1116"/>
        <w:jc w:val="left"/>
        <w:rPr>
          <w:b w:val="0"/>
          <w:bCs w:val="0"/>
        </w:rPr>
      </w:pPr>
      <w:bookmarkStart w:name="24、政府补助" w:id="197"/>
      <w:bookmarkEnd w:id="197"/>
      <w:r>
        <w:rPr>
          <w:b w:val="0"/>
          <w:bCs w:val="0"/>
        </w:rPr>
      </w:r>
      <w:r>
        <w:rPr>
          <w:rFonts w:ascii="Times New Roman" w:hAnsi="Times New Roman" w:cs="Times New Roman" w:eastAsia="Times New Roman" w:hint="default"/>
        </w:rPr>
        <w:t>24</w:t>
      </w:r>
      <w:r>
        <w:rPr/>
        <w:t>、政府补助</w:t>
      </w:r>
      <w:r>
        <w:rPr>
          <w:b w:val="0"/>
          <w:bCs w:val="0"/>
        </w:rPr>
      </w:r>
    </w:p>
    <w:p>
      <w:pPr>
        <w:pStyle w:val="BodyText"/>
        <w:spacing w:line="316" w:lineRule="auto" w:before="63"/>
        <w:ind w:left="1430" w:right="1116" w:hanging="36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类型</w:t>
      </w:r>
      <w:r>
        <w:rPr>
          <w:rFonts w:ascii="宋体" w:hAnsi="宋体" w:cs="宋体" w:eastAsia="宋体" w:hint="default"/>
          <w:b/>
          <w:bCs/>
          <w:spacing w:val="-89"/>
        </w:rPr>
        <w:t> </w:t>
      </w:r>
      <w:r>
        <w:rPr/>
        <w:t>政府补助，是本公司从政府无偿取得的货币性资产与非货币性资产。分为与资产相关的政府补助和与收益 相关的政府补助。 与资产相关的政府补助，是指本公司取得的、用于购建或以其他方式形成长期资产的政府补助。与收益相 关的政府补助，是指除与资产相关的政府补助之外的政府补助。 本公司将政府补助划分为与资产相关的具体标准为：企业取得的用于购建或以其他方式形成长期资产的政 府补助。</w:t>
      </w:r>
    </w:p>
    <w:p>
      <w:pPr>
        <w:pStyle w:val="BodyText"/>
        <w:spacing w:line="316" w:lineRule="auto" w:before="19"/>
        <w:ind w:left="1430" w:right="3356"/>
        <w:jc w:val="left"/>
      </w:pPr>
      <w:r>
        <w:rPr/>
        <w:t>本公司将政府补助划分为与收益相关的具体标准为：除与资产相关的政府补助 之外的政府补助。</w:t>
      </w:r>
    </w:p>
    <w:p>
      <w:pPr>
        <w:pStyle w:val="BodyText"/>
        <w:spacing w:line="316" w:lineRule="auto" w:before="19"/>
        <w:ind w:left="1430" w:right="0"/>
        <w:jc w:val="left"/>
      </w:pPr>
      <w:r>
        <w:rPr>
          <w:spacing w:val="-1"/>
        </w:rPr>
        <w:t>对于政府文件未明确规定补助对象的，本公司将该政府补助划分为与资产相关或与收益相关的判断依据为：</w:t>
      </w:r>
      <w:r>
        <w:rPr>
          <w:spacing w:val="-51"/>
        </w:rPr>
        <w:t> </w:t>
      </w:r>
      <w:r>
        <w:rPr>
          <w:spacing w:val="-51"/>
        </w:rPr>
      </w:r>
      <w:r>
        <w:rPr/>
        <w:t>是否用于购建或以其他方式形成长期资产。</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2.</w:t>
      </w:r>
      <w:r>
        <w:rPr>
          <w:rFonts w:ascii="宋体" w:hAnsi="宋体" w:cs="宋体" w:eastAsia="宋体" w:hint="default"/>
          <w:spacing w:val="86"/>
        </w:rPr>
        <w:t> </w:t>
      </w:r>
      <w:r>
        <w:rPr/>
        <w:t>确认时点</w:t>
      </w:r>
      <w:r>
        <w:rPr>
          <w:b w:val="0"/>
          <w:bCs w:val="0"/>
        </w:rPr>
      </w:r>
    </w:p>
    <w:p>
      <w:pPr>
        <w:pStyle w:val="BodyText"/>
        <w:spacing w:line="316" w:lineRule="auto" w:before="76"/>
        <w:ind w:left="1430" w:right="1116"/>
        <w:jc w:val="left"/>
      </w:pPr>
      <w:r>
        <w:rPr/>
        <w:t>对期末有证据表明公司能够符合财政扶持政策规定的相关条件且预计能够收到财政扶持资金的，按应收金</w:t>
      </w:r>
      <w:r>
        <w:rPr>
          <w:spacing w:val="-16"/>
        </w:rPr>
        <w:t> </w:t>
      </w:r>
      <w:r>
        <w:rPr>
          <w:spacing w:val="-16"/>
        </w:rPr>
      </w:r>
      <w:r>
        <w:rPr/>
        <w:t>额确认政府补助。除此之外，政府补助均在实际收到时确认。</w:t>
      </w:r>
    </w:p>
    <w:p>
      <w:pPr>
        <w:spacing w:line="240" w:lineRule="auto" w:before="4"/>
        <w:rPr>
          <w:rFonts w:ascii="宋体" w:hAnsi="宋体" w:cs="宋体" w:eastAsia="宋体" w:hint="default"/>
          <w:sz w:val="25"/>
          <w:szCs w:val="25"/>
        </w:rPr>
      </w:pPr>
    </w:p>
    <w:p>
      <w:pPr>
        <w:pStyle w:val="Heading5"/>
        <w:spacing w:line="240" w:lineRule="auto"/>
        <w:ind w:left="1070" w:right="1116"/>
        <w:jc w:val="left"/>
        <w:rPr>
          <w:b w:val="0"/>
          <w:bCs w:val="0"/>
        </w:rPr>
      </w:pPr>
      <w:r>
        <w:rPr>
          <w:rFonts w:ascii="宋体" w:hAnsi="宋体" w:cs="宋体" w:eastAsia="宋体" w:hint="default"/>
        </w:rPr>
        <w:t>3.</w:t>
      </w:r>
      <w:r>
        <w:rPr>
          <w:rFonts w:ascii="宋体" w:hAnsi="宋体" w:cs="宋体" w:eastAsia="宋体" w:hint="default"/>
          <w:spacing w:val="86"/>
        </w:rPr>
        <w:t> </w:t>
      </w:r>
      <w:r>
        <w:rPr/>
        <w:t>会计处理</w:t>
      </w:r>
      <w:r>
        <w:rPr>
          <w:b w:val="0"/>
          <w:bCs w:val="0"/>
        </w:rPr>
      </w:r>
    </w:p>
    <w:p>
      <w:pPr>
        <w:pStyle w:val="BodyText"/>
        <w:spacing w:line="316" w:lineRule="auto" w:before="76"/>
        <w:ind w:left="1430" w:right="1116"/>
        <w:jc w:val="left"/>
      </w:pPr>
      <w:r>
        <w:rPr/>
        <w:t>与资产相关的政府补助，冲减相关资产账面价值或确认为递延收益。确认为递延收益的，在相关资产使用</w:t>
      </w:r>
      <w:r>
        <w:rPr>
          <w:spacing w:val="-19"/>
        </w:rPr>
        <w:t> </w:t>
      </w:r>
      <w:r>
        <w:rPr>
          <w:spacing w:val="-19"/>
        </w:rPr>
      </w:r>
      <w:r>
        <w:rPr/>
        <w:t>寿命内按照合理、系统的方法分期计入当期损益（与本公司日常活动相关的，计入其他收益；与本公司日</w:t>
      </w:r>
      <w:r>
        <w:rPr>
          <w:spacing w:val="-19"/>
        </w:rPr>
        <w:t> </w:t>
      </w:r>
      <w:r>
        <w:rPr>
          <w:spacing w:val="-19"/>
        </w:rPr>
      </w:r>
      <w:r>
        <w:rPr>
          <w:spacing w:val="-6"/>
        </w:rPr>
        <w:t>常活动无关的，计入营业外收入）；</w:t>
      </w:r>
      <w:r>
        <w:rPr>
          <w:spacing w:val="-86"/>
        </w:rPr>
        <w:t> </w:t>
      </w:r>
      <w:r>
        <w:rPr>
          <w:spacing w:val="-86"/>
        </w:rPr>
      </w:r>
      <w:r>
        <w:rPr/>
        <w:t>与收益相关的政府补助，用于补偿本公司以后期间的相关成本费用或损失的，确认为递延收益，并在确认</w:t>
      </w:r>
      <w:r>
        <w:rPr>
          <w:spacing w:val="-19"/>
        </w:rPr>
        <w:t> </w:t>
      </w:r>
      <w:r>
        <w:rPr>
          <w:spacing w:val="-19"/>
        </w:rPr>
      </w:r>
      <w:r>
        <w:rPr/>
        <w:t>相关成本费用或损失的期间，计入当期损益（与本公司日常活动相关的，计入其他收益；与本公司日常活</w:t>
      </w:r>
      <w:r>
        <w:rPr>
          <w:spacing w:val="-12"/>
        </w:rPr>
        <w:t> </w:t>
      </w:r>
      <w:r>
        <w:rPr>
          <w:spacing w:val="-12"/>
        </w:rPr>
      </w:r>
      <w:r>
        <w:rPr/>
        <w:t>动无关的，计入营业外收入）或冲减相关成本费用或损失；用于补偿本公司已发生的相关成本费用或损失</w:t>
      </w:r>
      <w:r>
        <w:rPr>
          <w:spacing w:val="-19"/>
        </w:rPr>
        <w:t> </w:t>
      </w:r>
      <w:r>
        <w:rPr>
          <w:spacing w:val="-19"/>
        </w:rPr>
      </w:r>
      <w:r>
        <w:rPr/>
        <w:t>的，直接计入当期损益（与本公司日常活动相关的，计入其他收益；与本公司日常活动无关的，计入营业</w:t>
      </w:r>
      <w:r>
        <w:rPr>
          <w:spacing w:val="-19"/>
        </w:rPr>
        <w:t> </w:t>
      </w:r>
      <w:r>
        <w:rPr>
          <w:spacing w:val="-19"/>
        </w:rPr>
      </w:r>
      <w:r>
        <w:rPr/>
        <w:t>外收入）或冲减相关成本费用或损失。 本公司取得的政策性优惠贷款贴息，区分以下两种情况，分别进行会计处理：</w:t>
      </w:r>
    </w:p>
    <w:p>
      <w:pPr>
        <w:pStyle w:val="BodyText"/>
        <w:spacing w:line="300" w:lineRule="auto" w:before="19"/>
        <w:ind w:left="1430" w:right="1116"/>
        <w:jc w:val="left"/>
      </w:pPr>
      <w:r>
        <w:rPr>
          <w:spacing w:val="-1"/>
        </w:rPr>
        <w:t>（</w:t>
      </w:r>
      <w:r>
        <w:rPr>
          <w:rFonts w:ascii="Times New Roman" w:hAnsi="Times New Roman" w:cs="Times New Roman" w:eastAsia="Times New Roman" w:hint="default"/>
          <w:spacing w:val="-1"/>
        </w:rPr>
        <w:t>1</w:t>
      </w:r>
      <w:r>
        <w:rPr>
          <w:spacing w:val="-1"/>
        </w:rPr>
        <w:t>）财政将贴息资金拨付给贷款银行，由贷款银行以政策性优惠利率向本公司提供贷款的，本公司以实际</w:t>
      </w:r>
      <w:r>
        <w:rPr>
          <w:spacing w:val="-54"/>
        </w:rPr>
        <w:t> </w:t>
      </w:r>
      <w:r>
        <w:rPr>
          <w:spacing w:val="-54"/>
        </w:rPr>
      </w:r>
      <w:r>
        <w:rPr/>
        <w:t>收到的借款金额作为借款的入账价值，按照借款本金和该政策性优惠利率计算相关借款费用。</w:t>
      </w:r>
    </w:p>
    <w:p>
      <w:pPr>
        <w:pStyle w:val="BodyText"/>
        <w:spacing w:line="240" w:lineRule="auto" w:before="31"/>
        <w:ind w:left="1430" w:right="1116"/>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BodyText"/>
        <w:spacing w:line="312" w:lineRule="auto" w:before="141"/>
        <w:ind w:left="866" w:right="1116" w:hanging="714"/>
        <w:jc w:val="left"/>
      </w:pPr>
      <w:bookmarkStart w:name="25、递延所得税资产/递延所得税负债" w:id="198"/>
      <w:bookmarkEnd w:id="198"/>
      <w:r>
        <w:rPr/>
      </w:r>
      <w:r>
        <w:rPr>
          <w:rFonts w:ascii="Times New Roman" w:hAnsi="Times New Roman" w:cs="Times New Roman" w:eastAsia="Times New Roman" w:hint="default"/>
          <w:b/>
          <w:bCs/>
        </w:rPr>
        <w:t>25</w:t>
      </w:r>
      <w:r>
        <w:rPr>
          <w:rFonts w:ascii="宋体" w:hAnsi="宋体" w:cs="宋体" w:eastAsia="宋体" w:hint="default"/>
          <w:b/>
          <w:bCs/>
        </w:rPr>
        <w:t>、递延所得税资产</w:t>
      </w:r>
      <w:r>
        <w:rPr>
          <w:rFonts w:ascii="Times New Roman" w:hAnsi="Times New Roman" w:cs="Times New Roman" w:eastAsia="Times New Roman" w:hint="default"/>
          <w:b/>
          <w:bCs/>
        </w:rPr>
        <w:t>/</w:t>
      </w:r>
      <w:r>
        <w:rPr>
          <w:rFonts w:ascii="宋体" w:hAnsi="宋体" w:cs="宋体" w:eastAsia="宋体" w:hint="default"/>
          <w:b/>
          <w:bCs/>
        </w:rPr>
        <w:t>递延所得税负债</w:t>
      </w:r>
      <w:r>
        <w:rPr>
          <w:rFonts w:ascii="宋体" w:hAnsi="宋体" w:cs="宋体" w:eastAsia="宋体" w:hint="default"/>
          <w:b/>
          <w:bCs/>
          <w:w w:val="99"/>
        </w:rPr>
        <w:t> </w:t>
      </w:r>
      <w:r>
        <w:rPr>
          <w:spacing w:val="-2"/>
        </w:rPr>
        <w:t>对于可抵扣暂时性差异确认递延所得税资产，以未来期间很可能取得的用来抵扣可抵扣暂时性差异的应纳税所得额</w:t>
      </w:r>
      <w:r>
        <w:rPr/>
        <w:t> </w:t>
      </w:r>
      <w:r>
        <w:rPr>
          <w:spacing w:val="-2"/>
        </w:rPr>
        <w:t>为限。对于能够结转以后年度的可抵扣亏损和税款抵减，以很可能获得用来抵扣可抵扣亏损和税款抵减的未来应纳</w:t>
      </w:r>
      <w:r>
        <w:rPr/>
        <w:t> 税所得额为限，确认相应的递延所得税资产。</w:t>
      </w:r>
    </w:p>
    <w:p>
      <w:pPr>
        <w:pStyle w:val="BodyText"/>
        <w:spacing w:line="316" w:lineRule="auto" w:before="23"/>
        <w:ind w:left="866" w:right="1116"/>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w:t>
      </w:r>
      <w:r>
        <w:rPr>
          <w:spacing w:val="-68"/>
        </w:rPr>
        <w:t> </w:t>
      </w:r>
      <w:r>
        <w:rPr>
          <w:spacing w:val="-68"/>
        </w:rPr>
      </w:r>
      <w:r>
        <w:rPr/>
        <w:t>计利润也不影响应纳税所得额（或可抵扣亏损）的其他交易或事项。 </w:t>
      </w:r>
      <w:r>
        <w:rPr>
          <w:spacing w:val="-2"/>
        </w:rPr>
        <w:t>当拥有以净额结算的法定权利，且意图以净额结算或取得资产、清偿负债同时进行时，当期所得税资产及当期所得</w:t>
      </w:r>
      <w:r>
        <w:rPr>
          <w:spacing w:val="-67"/>
        </w:rPr>
        <w:t> </w:t>
      </w:r>
      <w:r>
        <w:rPr>
          <w:spacing w:val="-67"/>
        </w:rPr>
      </w:r>
      <w:r>
        <w:rPr/>
        <w:t>税负债以抵销后的净额列报。 </w:t>
      </w:r>
      <w:r>
        <w:rPr>
          <w:spacing w:val="-2"/>
        </w:rPr>
        <w:t>当拥有以净额结算当期所得税资产及当期所得税负债的法定权利，且递延所得税资产及递延所得税负债是与同一税</w:t>
      </w:r>
      <w:r>
        <w:rPr>
          <w:spacing w:val="-67"/>
        </w:rPr>
        <w:t> </w:t>
      </w:r>
      <w:r>
        <w:rPr>
          <w:spacing w:val="-67"/>
        </w:rPr>
      </w:r>
      <w:r>
        <w:rPr>
          <w:spacing w:val="-2"/>
        </w:rPr>
        <w:t>收征管部门对同一纳税主体征收的所得税相关或者是对不同的纳税主体相关，但在未来每一具有重要性的递延所得</w:t>
      </w:r>
      <w:r>
        <w:rPr>
          <w:spacing w:val="-67"/>
        </w:rPr>
        <w:t> </w:t>
      </w:r>
      <w:r>
        <w:rPr>
          <w:spacing w:val="-67"/>
        </w:rPr>
      </w:r>
      <w:r>
        <w:rPr>
          <w:spacing w:val="-2"/>
        </w:rPr>
        <w:t>税资产及负债转回的期间内，涉及的纳税主体意图以净额结算当期所得税资产和负债或是同时取得资产、清偿负债</w:t>
      </w:r>
      <w:r>
        <w:rPr>
          <w:spacing w:val="-68"/>
        </w:rPr>
        <w:t> </w:t>
      </w:r>
      <w:r>
        <w:rPr>
          <w:spacing w:val="-68"/>
        </w:rPr>
      </w:r>
      <w:r>
        <w:rPr/>
        <w:t>时，递延所得税资产及递延所得税负债以抵销后的净额列报。</w:t>
      </w:r>
    </w:p>
    <w:p>
      <w:pPr>
        <w:spacing w:after="0" w:line="316" w:lineRule="auto"/>
        <w:jc w:val="left"/>
        <w:sectPr>
          <w:pgSz w:w="11910" w:h="16840"/>
          <w:pgMar w:header="877" w:footer="980" w:top="1080" w:bottom="1160" w:left="980" w:right="0"/>
        </w:sectPr>
      </w:pPr>
    </w:p>
    <w:p>
      <w:pPr>
        <w:spacing w:line="240" w:lineRule="auto" w:before="11"/>
        <w:rPr>
          <w:rFonts w:ascii="宋体" w:hAnsi="宋体" w:cs="宋体" w:eastAsia="宋体" w:hint="default"/>
          <w:sz w:val="23"/>
          <w:szCs w:val="23"/>
        </w:rPr>
      </w:pPr>
    </w:p>
    <w:p>
      <w:pPr>
        <w:pStyle w:val="Heading5"/>
        <w:spacing w:line="240" w:lineRule="auto" w:before="44"/>
        <w:ind w:right="1116"/>
        <w:jc w:val="left"/>
        <w:rPr>
          <w:b w:val="0"/>
          <w:bCs w:val="0"/>
        </w:rPr>
      </w:pPr>
      <w:bookmarkStart w:name="26、租赁" w:id="199"/>
      <w:bookmarkEnd w:id="199"/>
      <w:r>
        <w:rPr>
          <w:b w:val="0"/>
          <w:bCs w:val="0"/>
        </w:rPr>
      </w:r>
      <w:r>
        <w:rPr>
          <w:rFonts w:ascii="Times New Roman" w:hAnsi="Times New Roman" w:cs="Times New Roman" w:eastAsia="Times New Roman" w:hint="default"/>
        </w:rPr>
        <w:t>26</w:t>
      </w:r>
      <w:r>
        <w:rPr/>
        <w:t>、租赁</w:t>
      </w:r>
      <w:r>
        <w:rPr>
          <w:b w:val="0"/>
          <w:bCs w:val="0"/>
        </w:rPr>
      </w:r>
    </w:p>
    <w:p>
      <w:pPr>
        <w:pStyle w:val="Heading5"/>
        <w:spacing w:line="240" w:lineRule="auto" w:before="65"/>
        <w:ind w:right="1116"/>
        <w:jc w:val="left"/>
        <w:rPr>
          <w:b w:val="0"/>
          <w:bCs w:val="0"/>
        </w:rPr>
      </w:pPr>
      <w:bookmarkStart w:name="（1）经营租赁的会计处理方法" w:id="200"/>
      <w:bookmarkEnd w:id="20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00" w:lineRule="auto" w:before="60"/>
        <w:ind w:left="513" w:right="1116"/>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3" w:right="1116"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16"/>
        <w:jc w:val="left"/>
      </w:pPr>
      <w:r>
        <w:rPr/>
        <w:t>租赁期内分摊，计入当期费用。</w:t>
      </w:r>
    </w:p>
    <w:p>
      <w:pPr>
        <w:pStyle w:val="BodyText"/>
        <w:spacing w:line="300" w:lineRule="auto" w:before="76"/>
        <w:ind w:left="513" w:right="1116"/>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1116"/>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9" w:lineRule="auto" w:before="19"/>
        <w:ind w:right="1116"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4"/>
        <w:rPr>
          <w:rFonts w:ascii="宋体" w:hAnsi="宋体" w:cs="宋体" w:eastAsia="宋体" w:hint="default"/>
          <w:sz w:val="25"/>
          <w:szCs w:val="25"/>
        </w:rPr>
      </w:pPr>
    </w:p>
    <w:p>
      <w:pPr>
        <w:pStyle w:val="Heading5"/>
        <w:spacing w:line="240" w:lineRule="auto"/>
        <w:ind w:right="1116"/>
        <w:jc w:val="left"/>
        <w:rPr>
          <w:b w:val="0"/>
          <w:bCs w:val="0"/>
        </w:rPr>
      </w:pPr>
      <w:bookmarkStart w:name="27、其他重要的会计政策和会计估计" w:id="201"/>
      <w:bookmarkEnd w:id="201"/>
      <w:r>
        <w:rPr>
          <w:b w:val="0"/>
          <w:bCs w:val="0"/>
        </w:rPr>
      </w:r>
      <w:r>
        <w:rPr>
          <w:rFonts w:ascii="Times New Roman" w:hAnsi="Times New Roman" w:cs="Times New Roman" w:eastAsia="Times New Roman" w:hint="default"/>
        </w:rPr>
        <w:t>27</w:t>
      </w:r>
      <w:r>
        <w:rPr/>
        <w:t>、其他重要的会计政策和会计估计</w:t>
      </w:r>
      <w:r>
        <w:rPr>
          <w:b w:val="0"/>
          <w:bCs w:val="0"/>
        </w:rPr>
      </w:r>
    </w:p>
    <w:p>
      <w:pPr>
        <w:pStyle w:val="BodyText"/>
        <w:spacing w:line="316" w:lineRule="auto" w:before="63"/>
        <w:ind w:left="866" w:right="1116" w:firstLine="203"/>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终止经营</w:t>
      </w:r>
      <w:r>
        <w:rPr>
          <w:rFonts w:ascii="宋体" w:hAnsi="宋体" w:cs="宋体" w:eastAsia="宋体" w:hint="default"/>
          <w:b/>
          <w:bCs/>
          <w:w w:val="99"/>
        </w:rPr>
        <w:t> </w:t>
      </w:r>
      <w:r>
        <w:rPr>
          <w:spacing w:val="-2"/>
        </w:rPr>
        <w:t>终止经营是满足下列条件之一的、能够单独区分的组成部分，且该组成部分已被本公司处置或被本公司划归为持有</w:t>
      </w:r>
      <w:r>
        <w:rPr>
          <w:spacing w:val="-68"/>
        </w:rPr>
        <w:t> </w:t>
      </w:r>
      <w:r>
        <w:rPr>
          <w:spacing w:val="-68"/>
        </w:rPr>
      </w:r>
      <w:r>
        <w:rPr/>
        <w:t>待售类别：</w:t>
      </w:r>
    </w:p>
    <w:p>
      <w:pPr>
        <w:pStyle w:val="BodyText"/>
        <w:spacing w:line="240" w:lineRule="auto" w:before="19"/>
        <w:ind w:left="866" w:right="1116"/>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866" w:right="1116"/>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866" w:right="1116"/>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pStyle w:val="BodyText"/>
        <w:spacing w:line="319" w:lineRule="auto" w:before="139"/>
        <w:ind w:left="866" w:right="1034" w:firstLine="203"/>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回购本公司股份</w:t>
      </w:r>
      <w:r>
        <w:rPr>
          <w:rFonts w:ascii="宋体" w:hAnsi="宋体" w:cs="宋体" w:eastAsia="宋体" w:hint="default"/>
          <w:b/>
          <w:bCs/>
          <w:w w:val="99"/>
        </w:rPr>
        <w:t> </w:t>
      </w:r>
      <w:r>
        <w:rPr>
          <w:spacing w:val="-2"/>
        </w:rPr>
        <w:t>未达到限制性股票解锁条件而需回购的股票，按照应支付的金额，借记“其他应付款—限制性股票回购义务”等科</w:t>
      </w:r>
      <w:r>
        <w:rPr>
          <w:spacing w:val="-69"/>
        </w:rPr>
        <w:t> </w:t>
      </w:r>
      <w:r>
        <w:rPr>
          <w:spacing w:val="-69"/>
        </w:rPr>
      </w:r>
      <w:r>
        <w:rPr>
          <w:spacing w:val="-2"/>
        </w:rPr>
        <w:t>目，贷记“银行存款”等科目；同时，按照注销的限制性股票数量相对应的股本金额，借记“股本”科目，按照注</w:t>
      </w:r>
      <w:r>
        <w:rPr>
          <w:spacing w:val="-70"/>
        </w:rPr>
        <w:t> </w:t>
      </w:r>
      <w:r>
        <w:rPr>
          <w:spacing w:val="-70"/>
        </w:rPr>
      </w:r>
      <w:r>
        <w:rPr/>
        <w:t>销的限制性股票数量相对应的库存股的账面价值，贷记“库存股”科目，按其差额，借记“资本公积—股本溢价”</w:t>
      </w:r>
      <w:r>
        <w:rPr>
          <w:spacing w:val="-75"/>
        </w:rPr>
        <w:t> </w:t>
      </w:r>
      <w:r>
        <w:rPr>
          <w:spacing w:val="-75"/>
        </w:rPr>
      </w:r>
      <w:r>
        <w:rPr/>
        <w:t>科目。</w:t>
      </w:r>
    </w:p>
    <w:p>
      <w:pPr>
        <w:spacing w:line="240" w:lineRule="auto" w:before="2"/>
        <w:rPr>
          <w:rFonts w:ascii="宋体" w:hAnsi="宋体" w:cs="宋体" w:eastAsia="宋体" w:hint="default"/>
          <w:sz w:val="25"/>
          <w:szCs w:val="25"/>
        </w:rPr>
      </w:pPr>
    </w:p>
    <w:p>
      <w:pPr>
        <w:pStyle w:val="BodyText"/>
        <w:spacing w:line="316" w:lineRule="auto"/>
        <w:ind w:left="866" w:right="1116" w:firstLine="203"/>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关联方</w:t>
      </w:r>
      <w:r>
        <w:rPr>
          <w:rFonts w:ascii="宋体" w:hAnsi="宋体" w:cs="宋体" w:eastAsia="宋体" w:hint="default"/>
          <w:b/>
          <w:bCs/>
          <w:w w:val="99"/>
        </w:rPr>
        <w:t> </w:t>
      </w:r>
      <w:r>
        <w:rPr>
          <w:spacing w:val="-2"/>
        </w:rPr>
        <w:t>一方控制、共同控制另一方或对另一方施加重大影响，以及两方或两方以上同受一方控制、共同控制的，构成关联</w:t>
      </w:r>
      <w:r>
        <w:rPr>
          <w:spacing w:val="-70"/>
        </w:rPr>
        <w:t> </w:t>
      </w:r>
      <w:r>
        <w:rPr>
          <w:spacing w:val="-70"/>
        </w:rPr>
      </w:r>
      <w:r>
        <w:rPr/>
        <w:t>方。关联方可为个人或企业。仅仅同受国家控制而不存在其他关联方关系的企业，不构成本公司的关联方。 本公司的关联方包括但不限于：</w:t>
      </w:r>
    </w:p>
    <w:p>
      <w:pPr>
        <w:pStyle w:val="BodyText"/>
        <w:spacing w:line="240" w:lineRule="auto" w:before="19"/>
        <w:ind w:left="866" w:right="1116"/>
        <w:jc w:val="left"/>
      </w:pPr>
      <w:r>
        <w:rPr/>
        <w:t>（</w:t>
      </w:r>
      <w:r>
        <w:rPr>
          <w:rFonts w:ascii="Times New Roman" w:hAnsi="Times New Roman" w:cs="Times New Roman" w:eastAsia="Times New Roman" w:hint="default"/>
        </w:rPr>
        <w:t>1</w:t>
      </w:r>
      <w:r>
        <w:rPr/>
        <w:t>）本公司的母公司；</w:t>
      </w:r>
    </w:p>
    <w:p>
      <w:pPr>
        <w:pStyle w:val="BodyText"/>
        <w:spacing w:line="240" w:lineRule="auto" w:before="63"/>
        <w:ind w:left="866" w:right="1116"/>
        <w:jc w:val="left"/>
      </w:pPr>
      <w:r>
        <w:rPr/>
        <w:t>（</w:t>
      </w:r>
      <w:r>
        <w:rPr>
          <w:rFonts w:ascii="Times New Roman" w:hAnsi="Times New Roman" w:cs="Times New Roman" w:eastAsia="Times New Roman" w:hint="default"/>
        </w:rPr>
        <w:t>2</w:t>
      </w:r>
      <w:r>
        <w:rPr/>
        <w:t>）本公司的子公司；</w:t>
      </w:r>
    </w:p>
    <w:p>
      <w:pPr>
        <w:pStyle w:val="BodyText"/>
        <w:spacing w:line="240" w:lineRule="auto" w:before="63"/>
        <w:ind w:left="866" w:right="1116"/>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63"/>
        <w:ind w:left="866" w:right="1116"/>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63"/>
        <w:ind w:left="866" w:right="1116"/>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63"/>
        <w:ind w:left="866" w:right="1116"/>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63"/>
        <w:ind w:left="866" w:right="1116"/>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63"/>
        <w:ind w:left="866" w:right="1116"/>
        <w:jc w:val="left"/>
      </w:pPr>
      <w:r>
        <w:rPr/>
        <w:t>（</w:t>
      </w:r>
      <w:r>
        <w:rPr>
          <w:rFonts w:ascii="Times New Roman" w:hAnsi="Times New Roman" w:cs="Times New Roman" w:eastAsia="Times New Roman" w:hint="default"/>
        </w:rPr>
        <w:t>8</w:t>
      </w:r>
      <w:r>
        <w:rPr/>
        <w:t>）本公司的主要投资者个人及与其关系密切的家庭成员；</w:t>
      </w:r>
    </w:p>
    <w:p>
      <w:pPr>
        <w:pStyle w:val="BodyText"/>
        <w:spacing w:line="240" w:lineRule="auto" w:before="63"/>
        <w:ind w:left="866" w:right="1116"/>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40" w:lineRule="auto" w:before="63"/>
        <w:ind w:left="866" w:right="1116"/>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after="0" w:line="240" w:lineRule="auto"/>
        <w:jc w:val="left"/>
        <w:sectPr>
          <w:pgSz w:w="11910" w:h="16840"/>
          <w:pgMar w:header="877" w:footer="980" w:top="1080" w:bottom="1160" w:left="980" w:right="0"/>
        </w:sectPr>
      </w:pPr>
    </w:p>
    <w:p>
      <w:pPr>
        <w:spacing w:line="240" w:lineRule="auto" w:before="11"/>
        <w:rPr>
          <w:rFonts w:ascii="宋体" w:hAnsi="宋体" w:cs="宋体" w:eastAsia="宋体" w:hint="default"/>
          <w:sz w:val="23"/>
          <w:szCs w:val="23"/>
        </w:rPr>
      </w:pPr>
    </w:p>
    <w:p>
      <w:pPr>
        <w:pStyle w:val="Heading5"/>
        <w:spacing w:line="240" w:lineRule="auto" w:before="44"/>
        <w:ind w:right="1116"/>
        <w:jc w:val="left"/>
        <w:rPr>
          <w:b w:val="0"/>
          <w:bCs w:val="0"/>
        </w:rPr>
      </w:pPr>
      <w:bookmarkStart w:name="28、重要会计政策和会计估计变更" w:id="202"/>
      <w:bookmarkEnd w:id="202"/>
      <w:r>
        <w:rPr>
          <w:b w:val="0"/>
          <w:bCs w:val="0"/>
        </w:rPr>
      </w:r>
      <w:r>
        <w:rPr>
          <w:rFonts w:ascii="Times New Roman" w:hAnsi="Times New Roman" w:cs="Times New Roman" w:eastAsia="Times New Roman" w:hint="default"/>
        </w:rPr>
        <w:t>28</w:t>
      </w:r>
      <w:r>
        <w:rPr/>
        <w:t>、重要会计政策和会计估计变更</w:t>
      </w:r>
      <w:r>
        <w:rPr>
          <w:b w:val="0"/>
          <w:bCs w:val="0"/>
        </w:rPr>
      </w:r>
    </w:p>
    <w:p>
      <w:pPr>
        <w:pStyle w:val="Heading5"/>
        <w:spacing w:line="240" w:lineRule="auto" w:before="65"/>
        <w:ind w:right="1116"/>
        <w:jc w:val="left"/>
        <w:rPr>
          <w:b w:val="0"/>
          <w:bCs w:val="0"/>
        </w:rPr>
      </w:pPr>
      <w:bookmarkStart w:name="（1）重要会计政策变更" w:id="203"/>
      <w:bookmarkEnd w:id="203"/>
      <w:r>
        <w:rPr>
          <w:b w:val="0"/>
          <w:bCs w:val="0"/>
        </w:rPr>
      </w: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60"/>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57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
              <w:jc w:val="left"/>
              <w:rPr>
                <w:rFonts w:ascii="宋体" w:hAnsi="宋体" w:cs="宋体" w:eastAsia="宋体" w:hint="default"/>
                <w:sz w:val="18"/>
                <w:szCs w:val="18"/>
              </w:rPr>
            </w:pPr>
            <w:r>
              <w:rPr>
                <w:rFonts w:ascii="宋体" w:hAnsi="宋体" w:cs="宋体" w:eastAsia="宋体" w:hint="default"/>
                <w:sz w:val="18"/>
                <w:szCs w:val="18"/>
              </w:rPr>
              <w:t>资产负债表中“应收票据及应收账款” </w:t>
            </w:r>
            <w:r>
              <w:rPr>
                <w:rFonts w:ascii="宋体" w:hAnsi="宋体" w:cs="宋体" w:eastAsia="宋体" w:hint="default"/>
                <w:spacing w:val="-6"/>
                <w:sz w:val="18"/>
                <w:szCs w:val="18"/>
              </w:rPr>
              <w:t>拆分为“应收票据”和“应收账款”列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5"/>
                <w:sz w:val="18"/>
                <w:szCs w:val="18"/>
              </w:rPr>
              <w:t>示；“应付票据及应付账款”拆分为“应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付票据”和“应付账款”列示；比较数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13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年颁布了修</w:t>
            </w:r>
            <w:r>
              <w:rPr>
                <w:rFonts w:ascii="宋体" w:hAnsi="宋体" w:cs="宋体" w:eastAsia="宋体" w:hint="default"/>
                <w:spacing w:val="-3"/>
                <w:sz w:val="18"/>
                <w:szCs w:val="18"/>
              </w:rPr>
              <w:t>订</w:t>
            </w:r>
            <w:r>
              <w:rPr>
                <w:rFonts w:ascii="宋体" w:hAnsi="宋体" w:cs="宋体" w:eastAsia="宋体" w:hint="default"/>
                <w:sz w:val="18"/>
                <w:szCs w:val="18"/>
              </w:rPr>
              <w:t>后</w:t>
            </w:r>
            <w:r>
              <w:rPr>
                <w:rFonts w:ascii="宋体" w:hAnsi="宋体" w:cs="宋体" w:eastAsia="宋体" w:hint="default"/>
                <w:spacing w:val="-85"/>
                <w:sz w:val="18"/>
                <w:szCs w:val="18"/>
              </w:rPr>
              <w:t>的</w:t>
            </w:r>
            <w:r>
              <w:rPr>
                <w:rFonts w:ascii="宋体" w:hAnsi="宋体" w:cs="宋体" w:eastAsia="宋体" w:hint="default"/>
                <w:sz w:val="18"/>
                <w:szCs w:val="18"/>
              </w:rPr>
              <w:t>《企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号——金融工具确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认和计量</w:t>
            </w:r>
            <w:r>
              <w:rPr>
                <w:rFonts w:ascii="宋体" w:hAnsi="宋体" w:cs="宋体" w:eastAsia="宋体" w:hint="default"/>
                <w:spacing w:val="-92"/>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—金融资产转移</w:t>
            </w:r>
            <w:r>
              <w:rPr>
                <w:rFonts w:ascii="宋体" w:hAnsi="宋体" w:cs="宋体" w:eastAsia="宋体" w:hint="default"/>
                <w:spacing w:val="-92"/>
                <w:sz w:val="18"/>
                <w:szCs w:val="18"/>
              </w:rPr>
              <w:t>》、</w:t>
            </w:r>
            <w:r>
              <w:rPr>
                <w:rFonts w:ascii="宋体" w:hAnsi="宋体" w:cs="宋体" w:eastAsia="宋体" w:hint="default"/>
                <w:sz w:val="18"/>
                <w:szCs w:val="18"/>
              </w:rPr>
              <w:t>《企业会</w:t>
            </w:r>
            <w:r>
              <w:rPr>
                <w:rFonts w:ascii="宋体" w:hAnsi="宋体" w:cs="宋体" w:eastAsia="宋体" w:hint="default"/>
                <w:spacing w:val="2"/>
                <w:sz w:val="18"/>
                <w:szCs w:val="18"/>
              </w:rPr>
              <w:t>计</w:t>
            </w:r>
            <w:r>
              <w:rPr>
                <w:rFonts w:ascii="宋体" w:hAnsi="宋体" w:cs="宋体" w:eastAsia="宋体" w:hint="default"/>
                <w:sz w:val="18"/>
                <w:szCs w:val="18"/>
              </w:rPr>
              <w:t>准则第</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以</w:t>
            </w:r>
            <w:r>
              <w:rPr>
                <w:rFonts w:ascii="宋体" w:hAnsi="宋体" w:cs="宋体" w:eastAsia="宋体" w:hint="default"/>
                <w:spacing w:val="-44"/>
                <w:sz w:val="18"/>
                <w:szCs w:val="18"/>
              </w:rPr>
              <w:t>及</w:t>
            </w:r>
            <w:r>
              <w:rPr>
                <w:rFonts w:ascii="宋体" w:hAnsi="宋体" w:cs="宋体" w:eastAsia="宋体" w:hint="default"/>
                <w:sz w:val="18"/>
                <w:szCs w:val="18"/>
              </w:rPr>
              <w:t>《企业会计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  </w:t>
            </w:r>
            <w:r>
              <w:rPr>
                <w:rFonts w:ascii="宋体" w:hAnsi="宋体" w:cs="宋体" w:eastAsia="宋体" w:hint="default"/>
                <w:sz w:val="18"/>
                <w:szCs w:val="18"/>
              </w:rPr>
              <w:t>号——金融工具</w:t>
            </w:r>
            <w:r>
              <w:rPr>
                <w:rFonts w:ascii="宋体" w:hAnsi="宋体" w:cs="宋体" w:eastAsia="宋体" w:hint="default"/>
                <w:spacing w:val="-3"/>
                <w:sz w:val="18"/>
                <w:szCs w:val="18"/>
              </w:rPr>
              <w:t>列</w:t>
            </w: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。本</w:t>
            </w:r>
          </w:p>
          <w:p>
            <w:pPr>
              <w:pStyle w:val="TableParagraph"/>
              <w:spacing w:line="307"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公司自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日起施行前 </w:t>
            </w:r>
            <w:r>
              <w:rPr>
                <w:rFonts w:ascii="宋体" w:hAnsi="宋体" w:cs="宋体" w:eastAsia="宋体" w:hint="default"/>
                <w:spacing w:val="-5"/>
                <w:sz w:val="18"/>
                <w:szCs w:val="18"/>
              </w:rPr>
              <w:t>述准则，并根据前述准则关于衔接的规</w:t>
            </w:r>
            <w:r>
              <w:rPr>
                <w:rFonts w:ascii="宋体" w:hAnsi="宋体" w:cs="宋体" w:eastAsia="宋体" w:hint="default"/>
                <w:sz w:val="18"/>
                <w:szCs w:val="18"/>
              </w:rPr>
              <w:t> </w:t>
            </w:r>
            <w:r>
              <w:rPr>
                <w:rFonts w:ascii="宋体" w:hAnsi="宋体" w:cs="宋体" w:eastAsia="宋体" w:hint="default"/>
                <w:spacing w:val="-29"/>
                <w:sz w:val="18"/>
                <w:szCs w:val="18"/>
              </w:rPr>
              <w:t>定，于</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日对财务报表</w:t>
            </w:r>
            <w:r>
              <w:rPr>
                <w:rFonts w:ascii="宋体" w:hAnsi="宋体" w:cs="宋体" w:eastAsia="宋体" w:hint="default"/>
                <w:sz w:val="18"/>
                <w:szCs w:val="18"/>
              </w:rPr>
              <w:t> 进行了相应的调整。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left="1430" w:right="1132"/>
        <w:jc w:val="both"/>
      </w:pPr>
      <w:r>
        <w:rPr>
          <w:spacing w:val="-1"/>
        </w:rPr>
        <w:t>（</w:t>
      </w:r>
      <w:r>
        <w:rPr>
          <w:rFonts w:ascii="Times New Roman" w:hAnsi="Times New Roman" w:cs="Times New Roman" w:eastAsia="Times New Roman" w:hint="default"/>
          <w:spacing w:val="-1"/>
        </w:rPr>
        <w:t>1</w:t>
      </w:r>
      <w:r>
        <w:rPr>
          <w:spacing w:val="-1"/>
        </w:rPr>
        <w:t>）执行《财政部关于修订印发</w:t>
      </w:r>
      <w:r>
        <w:rPr>
          <w:rFonts w:ascii="Times New Roman" w:hAnsi="Times New Roman" w:cs="Times New Roman" w:eastAsia="Times New Roman" w:hint="default"/>
          <w:spacing w:val="-1"/>
        </w:rPr>
        <w:t>2019</w:t>
      </w:r>
      <w:r>
        <w:rPr>
          <w:spacing w:val="-1"/>
        </w:rPr>
        <w:t>年度一般企业财务报表格式的通知》和《关于修订印发合并财务报表</w:t>
      </w:r>
      <w:r>
        <w:rPr>
          <w:spacing w:val="-54"/>
        </w:rPr>
        <w:t> </w:t>
      </w:r>
      <w:r>
        <w:rPr>
          <w:spacing w:val="-54"/>
        </w:rPr>
      </w:r>
      <w:r>
        <w:rPr/>
        <w:t>格式（</w:t>
      </w:r>
      <w:r>
        <w:rPr>
          <w:rFonts w:ascii="Times New Roman" w:hAnsi="Times New Roman" w:cs="Times New Roman" w:eastAsia="Times New Roman" w:hint="default"/>
        </w:rPr>
        <w:t>2019</w:t>
      </w:r>
      <w:r>
        <w:rPr/>
        <w:t>版）的通知》</w:t>
      </w:r>
    </w:p>
    <w:p>
      <w:pPr>
        <w:pStyle w:val="BodyText"/>
        <w:spacing w:line="300" w:lineRule="auto" w:before="13"/>
        <w:ind w:left="1430" w:right="1130"/>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16"/>
        </w:rPr>
        <w:t> </w:t>
      </w:r>
      <w:r>
        <w:rPr/>
        <w:t>发布了《关于修订印发</w:t>
      </w:r>
      <w:r>
        <w:rPr>
          <w:rFonts w:ascii="Times New Roman" w:hAnsi="Times New Roman" w:cs="Times New Roman" w:eastAsia="Times New Roman" w:hint="default"/>
        </w:rPr>
        <w:t>2019</w:t>
      </w:r>
      <w:r>
        <w:rPr/>
        <w:t>年度一般企业财务报表格式的通 </w:t>
      </w:r>
      <w:r>
        <w:rPr>
          <w:spacing w:val="-4"/>
        </w:rPr>
        <w:t>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6</w:t>
      </w:r>
      <w:r>
        <w:rPr>
          <w:spacing w:val="-4"/>
        </w:rPr>
        <w:t>号）和《关于修订印发合并财务报表格式（</w:t>
      </w:r>
      <w:r>
        <w:rPr>
          <w:rFonts w:ascii="Times New Roman" w:hAnsi="Times New Roman" w:cs="Times New Roman" w:eastAsia="Times New Roman" w:hint="default"/>
          <w:spacing w:val="-4"/>
        </w:rPr>
        <w:t>2019</w:t>
      </w:r>
      <w:r>
        <w:rPr>
          <w:spacing w:val="-4"/>
        </w:rPr>
        <w:t>版）的通知》（财会（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spacing w:val="-4"/>
        </w:rPr>
        <w:t>号），</w:t>
      </w:r>
      <w:r>
        <w:rPr>
          <w:spacing w:val="-71"/>
        </w:rPr>
        <w:t> </w:t>
      </w:r>
      <w:r>
        <w:rPr>
          <w:spacing w:val="-71"/>
        </w:rPr>
      </w:r>
      <w:r>
        <w:rPr/>
        <w:t>对一般企业财务报表格式进行了修订。</w:t>
      </w:r>
      <w:r>
        <w:rPr>
          <w:spacing w:val="-18"/>
        </w:rPr>
        <w:t> </w:t>
      </w:r>
      <w:r>
        <w:rPr/>
        <w:t>本公司执行上述规定的主要影响如下：</w:t>
      </w:r>
    </w:p>
    <w:tbl>
      <w:tblPr>
        <w:tblW w:w="0" w:type="auto"/>
        <w:jc w:val="left"/>
        <w:tblInd w:w="145" w:type="dxa"/>
        <w:tblLayout w:type="fixed"/>
        <w:tblCellMar>
          <w:top w:w="0" w:type="dxa"/>
          <w:left w:w="0" w:type="dxa"/>
          <w:bottom w:w="0" w:type="dxa"/>
          <w:right w:w="0" w:type="dxa"/>
        </w:tblCellMar>
        <w:tblLook w:val="01E0"/>
      </w:tblPr>
      <w:tblGrid>
        <w:gridCol w:w="2653"/>
        <w:gridCol w:w="1256"/>
        <w:gridCol w:w="3204"/>
        <w:gridCol w:w="2929"/>
      </w:tblGrid>
      <w:tr>
        <w:trPr>
          <w:trHeight w:val="353" w:hRule="exact"/>
        </w:trPr>
        <w:tc>
          <w:tcPr>
            <w:tcW w:w="2653" w:type="dxa"/>
            <w:vMerge w:val="restart"/>
            <w:tcBorders>
              <w:top w:val="single" w:sz="6" w:space="0" w:color="000000"/>
              <w:left w:val="single" w:sz="6" w:space="0" w:color="000000"/>
              <w:right w:val="single" w:sz="6" w:space="0" w:color="000000"/>
            </w:tcBorders>
          </w:tcPr>
          <w:p>
            <w:pPr>
              <w:pStyle w:val="TableParagraph"/>
              <w:spacing w:line="240" w:lineRule="auto" w:before="17"/>
              <w:ind w:left="24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133"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88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53" w:hRule="exact"/>
        </w:trPr>
        <w:tc>
          <w:tcPr>
            <w:tcW w:w="2653" w:type="dxa"/>
            <w:vMerge/>
            <w:tcBorders>
              <w:left w:val="single" w:sz="6" w:space="0" w:color="000000"/>
              <w:bottom w:val="single" w:sz="12" w:space="0" w:color="000000"/>
              <w:right w:val="single" w:sz="6" w:space="0" w:color="000000"/>
            </w:tcBorders>
          </w:tcPr>
          <w:p>
            <w:pPr/>
          </w:p>
        </w:tc>
        <w:tc>
          <w:tcPr>
            <w:tcW w:w="1256" w:type="dxa"/>
            <w:vMerge/>
            <w:tcBorders>
              <w:left w:val="single" w:sz="6" w:space="0" w:color="000000"/>
              <w:bottom w:val="single" w:sz="12" w:space="0" w:color="000000"/>
              <w:right w:val="single" w:sz="6" w:space="0" w:color="000000"/>
            </w:tcBorders>
          </w:tcPr>
          <w:p>
            <w:pPr/>
          </w:p>
        </w:tc>
        <w:tc>
          <w:tcPr>
            <w:tcW w:w="32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29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161" w:hRule="exact"/>
        </w:trPr>
        <w:tc>
          <w:tcPr>
            <w:tcW w:w="2653"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8"/>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）资产负债表中“应收票据及 </w:t>
            </w:r>
            <w:r>
              <w:rPr>
                <w:rFonts w:ascii="宋体" w:hAnsi="宋体" w:cs="宋体" w:eastAsia="宋体" w:hint="default"/>
                <w:spacing w:val="-5"/>
                <w:sz w:val="18"/>
                <w:szCs w:val="18"/>
              </w:rPr>
              <w:t>应收账款”拆分为“应收票据”和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“应收账款”列示；“应付票据及</w:t>
            </w:r>
            <w:r>
              <w:rPr>
                <w:rFonts w:ascii="宋体" w:hAnsi="宋体" w:cs="宋体" w:eastAsia="宋体" w:hint="default"/>
                <w:sz w:val="18"/>
                <w:szCs w:val="18"/>
              </w:rPr>
              <w:t> </w:t>
            </w:r>
            <w:r>
              <w:rPr>
                <w:rFonts w:ascii="宋体" w:hAnsi="宋体" w:cs="宋体" w:eastAsia="宋体" w:hint="default"/>
                <w:spacing w:val="-5"/>
                <w:sz w:val="18"/>
                <w:szCs w:val="18"/>
              </w:rPr>
              <w:t>应付账款”拆分为“应付票据”和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“应付账款”列示；比较数据相应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调整。</w:t>
            </w:r>
          </w:p>
        </w:tc>
        <w:tc>
          <w:tcPr>
            <w:tcW w:w="12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56"/>
              <w:jc w:val="both"/>
              <w:rPr>
                <w:rFonts w:ascii="宋体" w:hAnsi="宋体" w:cs="宋体" w:eastAsia="宋体" w:hint="default"/>
                <w:sz w:val="18"/>
                <w:szCs w:val="18"/>
              </w:rPr>
            </w:pPr>
            <w:r>
              <w:rPr>
                <w:rFonts w:ascii="宋体" w:hAnsi="宋体" w:cs="宋体" w:eastAsia="宋体" w:hint="default"/>
                <w:sz w:val="18"/>
                <w:szCs w:val="18"/>
              </w:rPr>
              <w:t>第三届董事会 第二十一次会 议决议</w:t>
            </w:r>
          </w:p>
        </w:tc>
        <w:tc>
          <w:tcPr>
            <w:tcW w:w="3204" w:type="dxa"/>
            <w:tcBorders>
              <w:top w:val="single" w:sz="12" w:space="0" w:color="000000"/>
              <w:left w:val="single" w:sz="6" w:space="0" w:color="000000"/>
              <w:bottom w:val="single" w:sz="12" w:space="0" w:color="000000"/>
              <w:right w:val="single" w:sz="6" w:space="0" w:color="000000"/>
            </w:tcBorders>
          </w:tcPr>
          <w:p>
            <w:pPr>
              <w:pStyle w:val="TableParagraph"/>
              <w:spacing w:line="304" w:lineRule="auto" w:before="8"/>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应收票据及应收账款”拆分为“应收票 </w:t>
            </w:r>
            <w:r>
              <w:rPr>
                <w:rFonts w:ascii="宋体" w:hAnsi="宋体" w:cs="宋体" w:eastAsia="宋体" w:hint="default"/>
                <w:spacing w:val="-13"/>
                <w:sz w:val="18"/>
                <w:szCs w:val="18"/>
              </w:rPr>
              <w:t>据”和“应收账款”，“应收票据”上年年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末余额</w:t>
            </w:r>
            <w:r>
              <w:rPr>
                <w:rFonts w:ascii="Times New Roman" w:hAnsi="Times New Roman" w:cs="Times New Roman" w:eastAsia="Times New Roman" w:hint="default"/>
                <w:sz w:val="18"/>
                <w:szCs w:val="18"/>
              </w:rPr>
              <w:t>51,664,524.70</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 上年年末余额</w:t>
            </w:r>
            <w:r>
              <w:rPr>
                <w:rFonts w:ascii="Times New Roman" w:hAnsi="Times New Roman" w:cs="Times New Roman" w:eastAsia="Times New Roman" w:hint="default"/>
                <w:sz w:val="18"/>
                <w:szCs w:val="18"/>
              </w:rPr>
              <w:t>457,363,835.47</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应付票据及应付账款”拆分为“应付票 </w:t>
            </w:r>
            <w:r>
              <w:rPr>
                <w:rFonts w:ascii="宋体" w:hAnsi="宋体" w:cs="宋体" w:eastAsia="宋体" w:hint="default"/>
                <w:spacing w:val="-13"/>
                <w:sz w:val="18"/>
                <w:szCs w:val="18"/>
              </w:rPr>
              <w:t>据”和“应付账款”，“应付票据”上年年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末余额</w:t>
            </w:r>
            <w:r>
              <w:rPr>
                <w:rFonts w:ascii="Times New Roman" w:hAnsi="Times New Roman" w:cs="Times New Roman" w:eastAsia="Times New Roman" w:hint="default"/>
                <w:sz w:val="18"/>
                <w:szCs w:val="18"/>
              </w:rPr>
              <w:t>54,024,777.58</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上年年末余额</w:t>
            </w:r>
            <w:r>
              <w:rPr>
                <w:rFonts w:ascii="Times New Roman" w:hAnsi="Times New Roman" w:cs="Times New Roman" w:eastAsia="Times New Roman" w:hint="default"/>
                <w:sz w:val="18"/>
                <w:szCs w:val="18"/>
              </w:rPr>
              <w:t>204,919,402.71</w:t>
            </w:r>
            <w:r>
              <w:rPr>
                <w:rFonts w:ascii="宋体" w:hAnsi="宋体" w:cs="宋体" w:eastAsia="宋体" w:hint="default"/>
                <w:sz w:val="18"/>
                <w:szCs w:val="18"/>
              </w:rPr>
              <w:t>元。</w:t>
            </w:r>
          </w:p>
        </w:tc>
        <w:tc>
          <w:tcPr>
            <w:tcW w:w="2929" w:type="dxa"/>
            <w:tcBorders>
              <w:top w:val="single" w:sz="12" w:space="0" w:color="000000"/>
              <w:left w:val="single" w:sz="6" w:space="0" w:color="000000"/>
              <w:bottom w:val="single" w:sz="12" w:space="0" w:color="000000"/>
              <w:right w:val="nil" w:sz="6" w:space="0" w:color="auto"/>
            </w:tcBorders>
          </w:tcPr>
          <w:p>
            <w:pPr>
              <w:pStyle w:val="TableParagraph"/>
              <w:spacing w:line="307" w:lineRule="auto" w:before="8"/>
              <w:ind w:left="2"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应收票据及应收账款”拆分为“应收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票据”和“应收账款”，“应收票据”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51,664,524.70</w:t>
            </w:r>
            <w:r>
              <w:rPr>
                <w:rFonts w:ascii="宋体" w:hAnsi="宋体" w:cs="宋体" w:eastAsia="宋体" w:hint="default"/>
                <w:sz w:val="18"/>
                <w:szCs w:val="18"/>
              </w:rPr>
              <w:t>元，</w:t>
            </w:r>
            <w:r>
              <w:rPr>
                <w:rFonts w:ascii="宋体" w:hAnsi="宋体" w:cs="宋体" w:eastAsia="宋体" w:hint="default"/>
                <w:spacing w:val="-19"/>
                <w:sz w:val="18"/>
                <w:szCs w:val="18"/>
              </w:rPr>
              <w:t> </w:t>
            </w:r>
            <w:r>
              <w:rPr>
                <w:rFonts w:ascii="宋体" w:hAnsi="宋体" w:cs="宋体" w:eastAsia="宋体" w:hint="default"/>
                <w:sz w:val="18"/>
                <w:szCs w:val="18"/>
              </w:rPr>
              <w:t>“应</w:t>
            </w:r>
            <w:r>
              <w:rPr>
                <w:rFonts w:ascii="宋体" w:hAnsi="宋体" w:cs="宋体" w:eastAsia="宋体" w:hint="default"/>
                <w:sz w:val="18"/>
                <w:szCs w:val="18"/>
              </w:rPr>
              <w:t> </w:t>
            </w:r>
            <w:r>
              <w:rPr>
                <w:rFonts w:ascii="宋体" w:hAnsi="宋体" w:cs="宋体" w:eastAsia="宋体" w:hint="default"/>
                <w:spacing w:val="-1"/>
                <w:sz w:val="18"/>
                <w:szCs w:val="18"/>
              </w:rPr>
              <w:t>收账款”上年年末余额</w:t>
            </w:r>
            <w:r>
              <w:rPr>
                <w:rFonts w:ascii="Times New Roman" w:hAnsi="Times New Roman" w:cs="Times New Roman" w:eastAsia="Times New Roman" w:hint="default"/>
                <w:spacing w:val="-1"/>
                <w:sz w:val="18"/>
                <w:szCs w:val="18"/>
              </w:rPr>
              <w:t>453,206,311.50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元；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应付票据及应付账款”拆分为“应付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票据”和“应付账款”，“应付票据”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55,105,761.47</w:t>
            </w:r>
            <w:r>
              <w:rPr>
                <w:rFonts w:ascii="宋体" w:hAnsi="宋体" w:cs="宋体" w:eastAsia="宋体" w:hint="default"/>
                <w:sz w:val="18"/>
                <w:szCs w:val="18"/>
              </w:rPr>
              <w:t>元，</w:t>
            </w:r>
            <w:r>
              <w:rPr>
                <w:rFonts w:ascii="宋体" w:hAnsi="宋体" w:cs="宋体" w:eastAsia="宋体" w:hint="default"/>
                <w:spacing w:val="-19"/>
                <w:sz w:val="18"/>
                <w:szCs w:val="18"/>
              </w:rPr>
              <w:t> </w:t>
            </w:r>
            <w:r>
              <w:rPr>
                <w:rFonts w:ascii="宋体" w:hAnsi="宋体" w:cs="宋体" w:eastAsia="宋体" w:hint="default"/>
                <w:sz w:val="18"/>
                <w:szCs w:val="18"/>
              </w:rPr>
              <w:t>“应</w:t>
            </w:r>
            <w:r>
              <w:rPr>
                <w:rFonts w:ascii="宋体" w:hAnsi="宋体" w:cs="宋体" w:eastAsia="宋体" w:hint="default"/>
                <w:sz w:val="18"/>
                <w:szCs w:val="18"/>
              </w:rPr>
              <w:t> </w:t>
            </w:r>
            <w:r>
              <w:rPr>
                <w:rFonts w:ascii="宋体" w:hAnsi="宋体" w:cs="宋体" w:eastAsia="宋体" w:hint="default"/>
                <w:spacing w:val="-1"/>
                <w:sz w:val="18"/>
                <w:szCs w:val="18"/>
              </w:rPr>
              <w:t>付账款”上年年末余额</w:t>
            </w:r>
            <w:r>
              <w:rPr>
                <w:rFonts w:ascii="Times New Roman" w:hAnsi="Times New Roman" w:cs="Times New Roman" w:eastAsia="Times New Roman" w:hint="default"/>
                <w:spacing w:val="-1"/>
                <w:sz w:val="18"/>
                <w:szCs w:val="18"/>
              </w:rPr>
              <w:t>278,710,179.03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w:t>
            </w:r>
          </w:p>
        </w:tc>
      </w:tr>
    </w:tbl>
    <w:p>
      <w:pPr>
        <w:pStyle w:val="BodyText"/>
        <w:spacing w:line="307" w:lineRule="auto" w:before="32"/>
        <w:ind w:left="1413" w:right="1123" w:firstLine="16"/>
        <w:jc w:val="left"/>
      </w:pPr>
      <w:r>
        <w:rPr>
          <w:spacing w:val="-11"/>
        </w:rPr>
        <w:t>（</w:t>
      </w:r>
      <w:r>
        <w:rPr>
          <w:rFonts w:ascii="Times New Roman" w:hAnsi="Times New Roman" w:cs="Times New Roman" w:eastAsia="Times New Roman" w:hint="default"/>
          <w:spacing w:val="-11"/>
        </w:rPr>
        <w:t>2</w:t>
      </w:r>
      <w:r>
        <w:rPr>
          <w:spacing w:val="-11"/>
        </w:rPr>
        <w:t>）执行《企业会计准则第</w:t>
      </w:r>
      <w:r>
        <w:rPr>
          <w:rFonts w:ascii="Times New Roman" w:hAnsi="Times New Roman" w:cs="Times New Roman" w:eastAsia="Times New Roman" w:hint="default"/>
          <w:spacing w:val="-11"/>
        </w:rPr>
        <w:t>22</w:t>
      </w:r>
      <w:r>
        <w:rPr>
          <w:spacing w:val="-11"/>
        </w:rPr>
        <w:t>号——金融工具确认和计量》、《企业会计准则第</w:t>
      </w:r>
      <w:r>
        <w:rPr>
          <w:rFonts w:ascii="Times New Roman" w:hAnsi="Times New Roman" w:cs="Times New Roman" w:eastAsia="Times New Roman" w:hint="default"/>
          <w:spacing w:val="-11"/>
        </w:rPr>
        <w:t>23</w:t>
      </w:r>
      <w:r>
        <w:rPr>
          <w:spacing w:val="-11"/>
        </w:rPr>
        <w:t>号——金融资产转移》、《企</w:t>
      </w:r>
      <w:r>
        <w:rPr/>
        <w:t> </w:t>
      </w:r>
      <w:r>
        <w:rPr>
          <w:spacing w:val="-3"/>
        </w:rPr>
        <w:t>业会计准则第</w:t>
      </w:r>
      <w:r>
        <w:rPr>
          <w:rFonts w:ascii="Times New Roman" w:hAnsi="Times New Roman" w:cs="Times New Roman" w:eastAsia="Times New Roman" w:hint="default"/>
          <w:spacing w:val="-3"/>
        </w:rPr>
        <w:t>24</w:t>
      </w:r>
      <w:r>
        <w:rPr>
          <w:spacing w:val="-3"/>
        </w:rPr>
        <w:t>号——套期会计》和《企业会计准则第</w:t>
      </w:r>
      <w:r>
        <w:rPr>
          <w:rFonts w:ascii="Times New Roman" w:hAnsi="Times New Roman" w:cs="Times New Roman" w:eastAsia="Times New Roman" w:hint="default"/>
          <w:spacing w:val="-3"/>
        </w:rPr>
        <w:t>37</w:t>
      </w:r>
      <w:r>
        <w:rPr>
          <w:spacing w:val="-3"/>
        </w:rPr>
        <w:t>号——金融工具列报》（</w:t>
      </w:r>
      <w:r>
        <w:rPr>
          <w:rFonts w:ascii="Times New Roman" w:hAnsi="Times New Roman" w:cs="Times New Roman" w:eastAsia="Times New Roman" w:hint="default"/>
          <w:spacing w:val="-3"/>
        </w:rPr>
        <w:t>2017</w:t>
      </w:r>
      <w:r>
        <w:rPr>
          <w:spacing w:val="-3"/>
        </w:rPr>
        <w:t>年修订）</w:t>
      </w:r>
      <w:r>
        <w:rPr>
          <w:spacing w:val="-45"/>
        </w:rPr>
        <w:t> </w:t>
      </w:r>
      <w:r>
        <w:rPr>
          <w:spacing w:val="-45"/>
        </w:rPr>
      </w:r>
      <w:r>
        <w:rPr>
          <w:spacing w:val="-6"/>
        </w:rPr>
        <w:t>财政部于</w:t>
      </w:r>
      <w:r>
        <w:rPr>
          <w:rFonts w:ascii="Times New Roman" w:hAnsi="Times New Roman" w:cs="Times New Roman" w:eastAsia="Times New Roman" w:hint="default"/>
          <w:spacing w:val="-6"/>
        </w:rPr>
        <w:t>2017</w:t>
      </w:r>
      <w:r>
        <w:rPr>
          <w:spacing w:val="-6"/>
        </w:rPr>
        <w:t>年度修订了《企业会计准则第</w:t>
      </w:r>
      <w:r>
        <w:rPr>
          <w:rFonts w:ascii="Times New Roman" w:hAnsi="Times New Roman" w:cs="Times New Roman" w:eastAsia="Times New Roman" w:hint="default"/>
          <w:spacing w:val="-6"/>
        </w:rPr>
        <w:t>22</w:t>
      </w:r>
      <w:r>
        <w:rPr>
          <w:spacing w:val="-6"/>
        </w:rPr>
        <w:t>号——金融工具确认和计量》、《企业会计准则第</w:t>
      </w:r>
      <w:r>
        <w:rPr>
          <w:rFonts w:ascii="Times New Roman" w:hAnsi="Times New Roman" w:cs="Times New Roman" w:eastAsia="Times New Roman" w:hint="default"/>
          <w:spacing w:val="-6"/>
        </w:rPr>
        <w:t>23</w:t>
      </w:r>
      <w:r>
        <w:rPr>
          <w:spacing w:val="-6"/>
        </w:rPr>
        <w:t>号——金融</w:t>
      </w:r>
      <w:r>
        <w:rPr>
          <w:spacing w:val="-42"/>
        </w:rPr>
        <w:t> </w:t>
      </w:r>
      <w:r>
        <w:rPr>
          <w:spacing w:val="-6"/>
        </w:rPr>
        <w:t>资产转移》、《企业会计准则第</w:t>
      </w:r>
      <w:r>
        <w:rPr>
          <w:rFonts w:ascii="Times New Roman" w:hAnsi="Times New Roman" w:cs="Times New Roman" w:eastAsia="Times New Roman" w:hint="default"/>
          <w:spacing w:val="-6"/>
        </w:rPr>
        <w:t>24</w:t>
      </w:r>
      <w:r>
        <w:rPr>
          <w:spacing w:val="-6"/>
        </w:rPr>
        <w:t>号——套期会计》和《企业会计准则第</w:t>
      </w:r>
      <w:r>
        <w:rPr>
          <w:rFonts w:ascii="Times New Roman" w:hAnsi="Times New Roman" w:cs="Times New Roman" w:eastAsia="Times New Roman" w:hint="default"/>
          <w:spacing w:val="-6"/>
        </w:rPr>
        <w:t>37</w:t>
      </w:r>
      <w:r>
        <w:rPr>
          <w:spacing w:val="-6"/>
        </w:rPr>
        <w:t>号——金融工具列报》。修订后的</w:t>
      </w:r>
      <w:r>
        <w:rPr>
          <w:spacing w:val="-51"/>
        </w:rPr>
        <w:t> </w:t>
      </w:r>
      <w:r>
        <w:rPr>
          <w:spacing w:val="-51"/>
        </w:rPr>
      </w:r>
      <w:r>
        <w:rPr>
          <w:spacing w:val="-2"/>
        </w:rPr>
        <w:t>准则规定，对于首次执行日尚未终止确认的金融工具，之前的确认和计量与修订后的准则要求不一致的，应</w:t>
      </w:r>
      <w:r>
        <w:rPr>
          <w:spacing w:val="-77"/>
        </w:rPr>
        <w:t> </w:t>
      </w:r>
      <w:r>
        <w:rPr>
          <w:spacing w:val="-77"/>
        </w:rPr>
      </w:r>
      <w:r>
        <w:rPr>
          <w:spacing w:val="-2"/>
        </w:rPr>
        <w:t>当追溯调整。涉及前期比较财务报表数据与修订后的准则要求不一致的，无需调整。本公司将因追溯调整产</w:t>
      </w:r>
      <w:r>
        <w:rPr>
          <w:spacing w:val="-80"/>
        </w:rPr>
        <w:t> </w:t>
      </w:r>
      <w:r>
        <w:rPr>
          <w:spacing w:val="-80"/>
        </w:rPr>
      </w:r>
      <w:r>
        <w:rPr/>
        <w:t>生的累积影响数调整当年年初留存收益和其他综合收益。 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w:t>
      </w:r>
    </w:p>
    <w:p>
      <w:pPr>
        <w:spacing w:after="0" w:line="307"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240" w:lineRule="auto" w:before="44"/>
        <w:ind w:left="1430" w:right="1116"/>
        <w:jc w:val="left"/>
      </w:pPr>
      <w:r>
        <w:rPr/>
        <w:t>则的主要影响如下：</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2523"/>
        <w:gridCol w:w="1543"/>
        <w:gridCol w:w="1875"/>
        <w:gridCol w:w="1873"/>
      </w:tblGrid>
      <w:tr>
        <w:trPr>
          <w:trHeight w:val="356" w:hRule="exact"/>
        </w:trPr>
        <w:tc>
          <w:tcPr>
            <w:tcW w:w="2523" w:type="dxa"/>
            <w:vMerge w:val="restart"/>
            <w:tcBorders>
              <w:top w:val="single" w:sz="6" w:space="0" w:color="000000"/>
              <w:left w:val="single" w:sz="6" w:space="0" w:color="000000"/>
              <w:right w:val="single" w:sz="6" w:space="0" w:color="000000"/>
            </w:tcBorders>
          </w:tcPr>
          <w:p>
            <w:pPr>
              <w:pStyle w:val="TableParagraph"/>
              <w:spacing w:line="240" w:lineRule="auto" w:before="18"/>
              <w:ind w:left="17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43" w:type="dxa"/>
            <w:vMerge w:val="restart"/>
            <w:tcBorders>
              <w:top w:val="single" w:sz="6" w:space="0" w:color="000000"/>
              <w:left w:val="single" w:sz="6" w:space="0" w:color="000000"/>
              <w:right w:val="single" w:sz="6" w:space="0" w:color="000000"/>
            </w:tcBorders>
          </w:tcPr>
          <w:p>
            <w:pPr>
              <w:pStyle w:val="TableParagraph"/>
              <w:spacing w:line="240" w:lineRule="auto" w:before="18"/>
              <w:ind w:left="40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74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69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50" w:hRule="exact"/>
        </w:trPr>
        <w:tc>
          <w:tcPr>
            <w:tcW w:w="2523" w:type="dxa"/>
            <w:vMerge/>
            <w:tcBorders>
              <w:left w:val="single" w:sz="6" w:space="0" w:color="000000"/>
              <w:bottom w:val="single" w:sz="12" w:space="0" w:color="000000"/>
              <w:right w:val="single" w:sz="6" w:space="0" w:color="000000"/>
            </w:tcBorders>
          </w:tcPr>
          <w:p>
            <w:pPr/>
          </w:p>
        </w:tc>
        <w:tc>
          <w:tcPr>
            <w:tcW w:w="1543" w:type="dxa"/>
            <w:vMerge/>
            <w:tcBorders>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82" w:hRule="exact"/>
        </w:trPr>
        <w:tc>
          <w:tcPr>
            <w:tcW w:w="252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银行理财产品重分类为“交易性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6"/>
                <w:sz w:val="18"/>
                <w:szCs w:val="18"/>
              </w:rPr>
              <w:t>金融资产”。</w:t>
            </w:r>
          </w:p>
        </w:tc>
        <w:tc>
          <w:tcPr>
            <w:tcW w:w="154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 w:right="84"/>
              <w:jc w:val="left"/>
              <w:rPr>
                <w:rFonts w:ascii="宋体" w:hAnsi="宋体" w:cs="宋体" w:eastAsia="宋体" w:hint="default"/>
                <w:sz w:val="18"/>
                <w:szCs w:val="18"/>
              </w:rPr>
            </w:pPr>
            <w:r>
              <w:rPr>
                <w:rFonts w:ascii="宋体" w:hAnsi="宋体" w:cs="宋体" w:eastAsia="宋体" w:hint="default"/>
                <w:sz w:val="18"/>
                <w:szCs w:val="18"/>
              </w:rPr>
              <w:t>第三届董事会第十 八次会议决议</w:t>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110,000,000.00</w:t>
            </w:r>
            <w:r>
              <w:rPr>
                <w:rFonts w:ascii="宋体" w:hAnsi="宋体" w:cs="宋体" w:eastAsia="宋体" w:hint="default"/>
                <w:sz w:val="18"/>
                <w:szCs w:val="18"/>
              </w:rPr>
              <w:t>元</w:t>
            </w:r>
          </w:p>
        </w:tc>
        <w:tc>
          <w:tcPr>
            <w:tcW w:w="18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其他流动资产：减少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110,000,000.00</w:t>
            </w:r>
            <w:r>
              <w:rPr>
                <w:rFonts w:ascii="宋体" w:hAnsi="宋体" w:cs="宋体" w:eastAsia="宋体" w:hint="default"/>
                <w:sz w:val="18"/>
                <w:szCs w:val="18"/>
              </w:rPr>
              <w:t>元</w:t>
            </w:r>
          </w:p>
        </w:tc>
      </w:tr>
      <w:tr>
        <w:trPr>
          <w:trHeight w:val="1003" w:hRule="exact"/>
        </w:trPr>
        <w:tc>
          <w:tcPr>
            <w:tcW w:w="252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4"/>
              <w:ind w:left="2" w:right="0"/>
              <w:jc w:val="both"/>
              <w:rPr>
                <w:rFonts w:ascii="宋体" w:hAnsi="宋体" w:cs="宋体" w:eastAsia="宋体" w:hint="default"/>
                <w:sz w:val="18"/>
                <w:szCs w:val="18"/>
              </w:rPr>
            </w:pPr>
            <w:r>
              <w:rPr>
                <w:rFonts w:ascii="宋体" w:hAnsi="宋体" w:cs="宋体" w:eastAsia="宋体" w:hint="default"/>
                <w:spacing w:val="-14"/>
                <w:sz w:val="18"/>
                <w:szCs w:val="18"/>
              </w:rPr>
              <w:t>将部分“应收款项”重分类至“以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公允价值计量且其变动计入其</w:t>
            </w:r>
            <w:r>
              <w:rPr>
                <w:rFonts w:ascii="宋体" w:hAnsi="宋体" w:cs="宋体" w:eastAsia="宋体" w:hint="default"/>
                <w:sz w:val="18"/>
                <w:szCs w:val="18"/>
              </w:rPr>
              <w:t> </w:t>
            </w:r>
            <w:r>
              <w:rPr>
                <w:rFonts w:ascii="宋体" w:hAnsi="宋体" w:cs="宋体" w:eastAsia="宋体" w:hint="default"/>
                <w:spacing w:val="-2"/>
                <w:sz w:val="18"/>
                <w:szCs w:val="18"/>
              </w:rPr>
              <w:t>他综合收益的金融资产（债务工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1"/>
                <w:sz w:val="18"/>
                <w:szCs w:val="18"/>
              </w:rPr>
              <w:t>具）”</w:t>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 w:right="-10"/>
              <w:jc w:val="left"/>
              <w:rPr>
                <w:rFonts w:ascii="宋体" w:hAnsi="宋体" w:cs="宋体" w:eastAsia="宋体" w:hint="default"/>
                <w:sz w:val="18"/>
                <w:szCs w:val="18"/>
              </w:rPr>
            </w:pPr>
            <w:r>
              <w:rPr>
                <w:rFonts w:ascii="宋体" w:hAnsi="宋体" w:cs="宋体" w:eastAsia="宋体" w:hint="default"/>
                <w:spacing w:val="12"/>
                <w:sz w:val="18"/>
                <w:szCs w:val="18"/>
              </w:rPr>
              <w:t>第三届董事会第十 </w:t>
            </w:r>
            <w:r>
              <w:rPr>
                <w:rFonts w:ascii="宋体" w:hAnsi="宋体" w:cs="宋体" w:eastAsia="宋体" w:hint="default"/>
                <w:sz w:val="18"/>
                <w:szCs w:val="18"/>
              </w:rPr>
              <w:t>八次会议决议</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z w:val="18"/>
                <w:szCs w:val="18"/>
              </w:rPr>
              <w:t>应收票据：减少</w:t>
            </w:r>
          </w:p>
          <w:p>
            <w:pPr>
              <w:pStyle w:val="TableParagraph"/>
              <w:spacing w:line="245" w:lineRule="exact"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15,951,665.46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31" w:lineRule="exact"/>
              <w:ind w:left="4" w:right="0"/>
              <w:jc w:val="left"/>
              <w:rPr>
                <w:rFonts w:ascii="宋体" w:hAnsi="宋体" w:cs="宋体" w:eastAsia="宋体" w:hint="default"/>
                <w:sz w:val="18"/>
                <w:szCs w:val="18"/>
              </w:rPr>
            </w:pPr>
            <w:r>
              <w:rPr>
                <w:rFonts w:ascii="宋体" w:hAnsi="宋体" w:cs="宋体" w:eastAsia="宋体" w:hint="default"/>
                <w:sz w:val="18"/>
                <w:szCs w:val="18"/>
              </w:rPr>
              <w:t>应收款项融资：增加</w:t>
            </w:r>
          </w:p>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15,951,665.46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873" w:type="dxa"/>
            <w:tcBorders>
              <w:top w:val="single" w:sz="6" w:space="0" w:color="000000"/>
              <w:left w:val="single" w:sz="6" w:space="0" w:color="000000"/>
              <w:bottom w:val="single" w:sz="12" w:space="0" w:color="000000"/>
              <w:right w:val="nil" w:sz="6" w:space="0" w:color="auto"/>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z w:val="18"/>
                <w:szCs w:val="18"/>
              </w:rPr>
              <w:t>应收票据：减少</w:t>
            </w:r>
          </w:p>
          <w:p>
            <w:pPr>
              <w:pStyle w:val="TableParagraph"/>
              <w:spacing w:line="245" w:lineRule="exact"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15,951,665.46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31" w:lineRule="exact"/>
              <w:ind w:left="4" w:right="0"/>
              <w:jc w:val="left"/>
              <w:rPr>
                <w:rFonts w:ascii="宋体" w:hAnsi="宋体" w:cs="宋体" w:eastAsia="宋体" w:hint="default"/>
                <w:sz w:val="18"/>
                <w:szCs w:val="18"/>
              </w:rPr>
            </w:pPr>
            <w:r>
              <w:rPr>
                <w:rFonts w:ascii="宋体" w:hAnsi="宋体" w:cs="宋体" w:eastAsia="宋体" w:hint="default"/>
                <w:sz w:val="18"/>
                <w:szCs w:val="18"/>
              </w:rPr>
              <w:t>应收款项融资：增加</w:t>
            </w:r>
          </w:p>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15,951,665.46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21"/>
          <w:szCs w:val="21"/>
        </w:rPr>
      </w:pPr>
    </w:p>
    <w:p>
      <w:pPr>
        <w:pStyle w:val="BodyText"/>
        <w:spacing w:line="300" w:lineRule="auto" w:before="44"/>
        <w:ind w:left="1430" w:right="1116"/>
        <w:jc w:val="left"/>
      </w:pPr>
      <w:r>
        <w:rPr>
          <w:spacing w:val="-1"/>
        </w:rPr>
        <w:t>以按照财会〔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号和财会〔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16</w:t>
      </w:r>
      <w:r>
        <w:rPr>
          <w:spacing w:val="-1"/>
        </w:rPr>
        <w:t>号的规定调整后的上年年末余额为基础，各项金融资产和金融负</w:t>
      </w:r>
      <w:r>
        <w:rPr>
          <w:spacing w:val="-53"/>
        </w:rPr>
        <w:t> </w:t>
      </w:r>
      <w:r>
        <w:rPr>
          <w:spacing w:val="-53"/>
        </w:rPr>
      </w:r>
      <w:r>
        <w:rPr/>
        <w:t>债按照修订前后金融工具确认计量准则的规定进行分类和计量结果对比如下：</w:t>
      </w:r>
    </w:p>
    <w:p>
      <w:pPr>
        <w:spacing w:line="240" w:lineRule="auto" w:before="3"/>
        <w:rPr>
          <w:rFonts w:ascii="宋体" w:hAnsi="宋体" w:cs="宋体" w:eastAsia="宋体" w:hint="default"/>
          <w:sz w:val="26"/>
          <w:szCs w:val="26"/>
        </w:rPr>
      </w:pPr>
    </w:p>
    <w:p>
      <w:pPr>
        <w:pStyle w:val="Heading5"/>
        <w:spacing w:line="240" w:lineRule="auto"/>
        <w:ind w:left="1070" w:right="1116"/>
        <w:jc w:val="left"/>
        <w:rPr>
          <w:b w:val="0"/>
          <w:bCs w:val="0"/>
        </w:rPr>
      </w:pPr>
      <w:r>
        <w:rPr>
          <w:rFonts w:ascii="宋体" w:hAnsi="宋体" w:cs="宋体" w:eastAsia="宋体" w:hint="default"/>
        </w:rPr>
        <w:t>1.</w:t>
      </w:r>
      <w:r>
        <w:rPr>
          <w:rFonts w:ascii="宋体" w:hAnsi="宋体" w:cs="宋体" w:eastAsia="宋体" w:hint="default"/>
          <w:spacing w:val="89"/>
        </w:rPr>
        <w:t> </w:t>
      </w:r>
      <w:r>
        <w:rPr/>
        <w:t>合并</w:t>
      </w:r>
      <w:r>
        <w:rPr>
          <w:b w:val="0"/>
          <w:bCs w:val="0"/>
        </w:rPr>
      </w:r>
    </w:p>
    <w:p>
      <w:pPr>
        <w:spacing w:line="240" w:lineRule="auto" w:before="3"/>
        <w:rPr>
          <w:rFonts w:ascii="宋体" w:hAnsi="宋体" w:cs="宋体" w:eastAsia="宋体" w:hint="default"/>
          <w:b/>
          <w:bCs/>
          <w:sz w:val="5"/>
          <w:szCs w:val="5"/>
        </w:rPr>
      </w:pPr>
    </w:p>
    <w:tbl>
      <w:tblPr>
        <w:tblW w:w="0" w:type="auto"/>
        <w:jc w:val="left"/>
        <w:tblInd w:w="753" w:type="dxa"/>
        <w:tblLayout w:type="fixed"/>
        <w:tblCellMar>
          <w:top w:w="0" w:type="dxa"/>
          <w:left w:w="0" w:type="dxa"/>
          <w:bottom w:w="0" w:type="dxa"/>
          <w:right w:w="0" w:type="dxa"/>
        </w:tblCellMar>
        <w:tblLook w:val="01E0"/>
      </w:tblPr>
      <w:tblGrid>
        <w:gridCol w:w="1162"/>
        <w:gridCol w:w="1093"/>
        <w:gridCol w:w="1090"/>
        <w:gridCol w:w="1090"/>
        <w:gridCol w:w="2580"/>
        <w:gridCol w:w="1104"/>
        <w:gridCol w:w="1282"/>
      </w:tblGrid>
      <w:tr>
        <w:trPr>
          <w:trHeight w:val="379" w:hRule="exact"/>
        </w:trPr>
        <w:tc>
          <w:tcPr>
            <w:tcW w:w="334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034"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6056"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8"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89" w:hRule="exact"/>
        </w:trPr>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0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82" w:type="dxa"/>
            <w:vMerge w:val="restart"/>
            <w:tcBorders>
              <w:top w:val="single" w:sz="12" w:space="0" w:color="000000"/>
              <w:left w:val="nil" w:sz="6" w:space="0" w:color="auto"/>
              <w:right w:val="nil" w:sz="6" w:space="0" w:color="auto"/>
            </w:tcBorders>
          </w:tcPr>
          <w:p>
            <w:pPr/>
          </w:p>
        </w:tc>
      </w:tr>
      <w:tr>
        <w:trPr>
          <w:trHeight w:val="665" w:hRule="exact"/>
        </w:trPr>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284,313,470.2</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284,313,470.2</w:t>
            </w:r>
          </w:p>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5</w:t>
            </w:r>
          </w:p>
        </w:tc>
        <w:tc>
          <w:tcPr>
            <w:tcW w:w="1282" w:type="dxa"/>
            <w:vMerge/>
            <w:tcBorders>
              <w:left w:val="nil" w:sz="6" w:space="0" w:color="auto"/>
              <w:right w:val="nil" w:sz="6" w:space="0" w:color="auto"/>
            </w:tcBorders>
          </w:tcPr>
          <w:p>
            <w:pPr/>
          </w:p>
        </w:tc>
      </w:tr>
      <w:tr>
        <w:trPr>
          <w:trHeight w:val="391" w:hRule="exact"/>
        </w:trPr>
        <w:tc>
          <w:tcPr>
            <w:tcW w:w="1162"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93"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0" w:type="dxa"/>
            <w:vMerge w:val="restart"/>
            <w:tcBorders>
              <w:top w:val="single" w:sz="12" w:space="0" w:color="000000"/>
              <w:left w:val="single" w:sz="6" w:space="0" w:color="000000"/>
              <w:right w:val="single" w:sz="6" w:space="0" w:color="000000"/>
            </w:tcBorders>
          </w:tcPr>
          <w:p>
            <w:pPr>
              <w:pStyle w:val="TableParagraph"/>
              <w:spacing w:line="240" w:lineRule="auto" w:before="52"/>
              <w:ind w:left="40" w:right="0"/>
              <w:jc w:val="left"/>
              <w:rPr>
                <w:rFonts w:ascii="Times New Roman" w:hAnsi="Times New Roman" w:cs="Times New Roman" w:eastAsia="Times New Roman" w:hint="default"/>
                <w:sz w:val="18"/>
                <w:szCs w:val="18"/>
              </w:rPr>
            </w:pPr>
            <w:r>
              <w:rPr>
                <w:rFonts w:ascii="Times New Roman"/>
                <w:sz w:val="18"/>
              </w:rPr>
              <w:t>51,664,524.70</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36,943,750.96</w:t>
            </w:r>
          </w:p>
        </w:tc>
        <w:tc>
          <w:tcPr>
            <w:tcW w:w="1282" w:type="dxa"/>
            <w:vMerge/>
            <w:tcBorders>
              <w:left w:val="nil" w:sz="6" w:space="0" w:color="auto"/>
              <w:right w:val="nil" w:sz="6" w:space="0" w:color="auto"/>
            </w:tcBorders>
          </w:tcPr>
          <w:p>
            <w:pPr/>
          </w:p>
        </w:tc>
      </w:tr>
      <w:tr>
        <w:trPr>
          <w:trHeight w:val="665" w:hRule="exact"/>
        </w:trPr>
        <w:tc>
          <w:tcPr>
            <w:tcW w:w="1162" w:type="dxa"/>
            <w:vMerge/>
            <w:tcBorders>
              <w:left w:val="single" w:sz="6" w:space="0" w:color="000000"/>
              <w:bottom w:val="single" w:sz="12" w:space="0" w:color="000000"/>
              <w:right w:val="single" w:sz="6" w:space="0" w:color="000000"/>
            </w:tcBorders>
          </w:tcPr>
          <w:p>
            <w:pPr/>
          </w:p>
        </w:tc>
        <w:tc>
          <w:tcPr>
            <w:tcW w:w="1093" w:type="dxa"/>
            <w:vMerge/>
            <w:tcBorders>
              <w:left w:val="single" w:sz="6" w:space="0" w:color="000000"/>
              <w:bottom w:val="single" w:sz="12" w:space="0" w:color="000000"/>
              <w:right w:val="single" w:sz="6" w:space="0" w:color="000000"/>
            </w:tcBorders>
          </w:tcPr>
          <w:p>
            <w:pPr/>
          </w:p>
        </w:tc>
        <w:tc>
          <w:tcPr>
            <w:tcW w:w="1090" w:type="dxa"/>
            <w:vMerge/>
            <w:tcBorders>
              <w:left w:val="single" w:sz="6" w:space="0" w:color="000000"/>
              <w:bottom w:val="single" w:sz="12" w:space="0" w:color="000000"/>
              <w:right w:val="single" w:sz="6" w:space="0" w:color="000000"/>
            </w:tcBorders>
          </w:tcPr>
          <w:p>
            <w:pP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68"/>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1"/>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15,951,665.46</w:t>
            </w:r>
          </w:p>
        </w:tc>
        <w:tc>
          <w:tcPr>
            <w:tcW w:w="1282" w:type="dxa"/>
            <w:vMerge/>
            <w:tcBorders>
              <w:left w:val="nil" w:sz="6" w:space="0" w:color="auto"/>
              <w:right w:val="nil" w:sz="6" w:space="0" w:color="auto"/>
            </w:tcBorders>
          </w:tcPr>
          <w:p>
            <w:pPr/>
          </w:p>
        </w:tc>
      </w:tr>
      <w:tr>
        <w:trPr>
          <w:trHeight w:val="663" w:hRule="exact"/>
        </w:trPr>
        <w:tc>
          <w:tcPr>
            <w:tcW w:w="1162" w:type="dxa"/>
            <w:vMerge w:val="restart"/>
            <w:tcBorders>
              <w:top w:val="single" w:sz="12" w:space="0" w:color="000000"/>
              <w:left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93" w:type="dxa"/>
            <w:vMerge w:val="restart"/>
            <w:tcBorders>
              <w:top w:val="single" w:sz="12" w:space="0" w:color="000000"/>
              <w:left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0" w:type="dxa"/>
            <w:vMerge w:val="restart"/>
            <w:tcBorders>
              <w:top w:val="single" w:sz="12" w:space="0" w:color="000000"/>
              <w:left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457,363,835.4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463,491,663.4</w:t>
            </w:r>
          </w:p>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5</w:t>
            </w:r>
          </w:p>
        </w:tc>
        <w:tc>
          <w:tcPr>
            <w:tcW w:w="1282" w:type="dxa"/>
            <w:vMerge/>
            <w:tcBorders>
              <w:left w:val="nil" w:sz="6" w:space="0" w:color="auto"/>
              <w:right w:val="nil" w:sz="6" w:space="0" w:color="auto"/>
            </w:tcBorders>
          </w:tcPr>
          <w:p>
            <w:pPr/>
          </w:p>
        </w:tc>
      </w:tr>
      <w:tr>
        <w:trPr>
          <w:trHeight w:val="665" w:hRule="exact"/>
        </w:trPr>
        <w:tc>
          <w:tcPr>
            <w:tcW w:w="1162" w:type="dxa"/>
            <w:vMerge/>
            <w:tcBorders>
              <w:left w:val="single" w:sz="6" w:space="0" w:color="000000"/>
              <w:bottom w:val="single" w:sz="12" w:space="0" w:color="000000"/>
              <w:right w:val="single" w:sz="6" w:space="0" w:color="000000"/>
            </w:tcBorders>
          </w:tcPr>
          <w:p>
            <w:pPr/>
          </w:p>
        </w:tc>
        <w:tc>
          <w:tcPr>
            <w:tcW w:w="1093" w:type="dxa"/>
            <w:vMerge/>
            <w:tcBorders>
              <w:left w:val="single" w:sz="6" w:space="0" w:color="000000"/>
              <w:bottom w:val="single" w:sz="12" w:space="0" w:color="000000"/>
              <w:right w:val="single" w:sz="6" w:space="0" w:color="000000"/>
            </w:tcBorders>
          </w:tcPr>
          <w:p>
            <w:pPr/>
          </w:p>
        </w:tc>
        <w:tc>
          <w:tcPr>
            <w:tcW w:w="1090" w:type="dxa"/>
            <w:vMerge/>
            <w:tcBorders>
              <w:left w:val="single" w:sz="6" w:space="0" w:color="000000"/>
              <w:bottom w:val="single" w:sz="12" w:space="0" w:color="000000"/>
              <w:right w:val="single" w:sz="6" w:space="0" w:color="000000"/>
            </w:tcBorders>
          </w:tcPr>
          <w:p>
            <w:pP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68"/>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1"/>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p>
        </w:tc>
        <w:tc>
          <w:tcPr>
            <w:tcW w:w="1104" w:type="dxa"/>
            <w:tcBorders>
              <w:top w:val="single" w:sz="12" w:space="0" w:color="000000"/>
              <w:left w:val="single" w:sz="6" w:space="0" w:color="000000"/>
              <w:bottom w:val="single" w:sz="12" w:space="0" w:color="000000"/>
              <w:right w:val="nil" w:sz="6" w:space="0" w:color="auto"/>
            </w:tcBorders>
          </w:tcPr>
          <w:p>
            <w:pPr/>
          </w:p>
        </w:tc>
        <w:tc>
          <w:tcPr>
            <w:tcW w:w="1282" w:type="dxa"/>
            <w:vMerge/>
            <w:tcBorders>
              <w:left w:val="nil" w:sz="6" w:space="0" w:color="auto"/>
              <w:right w:val="nil" w:sz="6" w:space="0" w:color="auto"/>
            </w:tcBorders>
          </w:tcPr>
          <w:p>
            <w:pPr/>
          </w:p>
        </w:tc>
      </w:tr>
      <w:tr>
        <w:trPr>
          <w:trHeight w:val="391" w:hRule="exact"/>
        </w:trPr>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0" w:right="0"/>
              <w:jc w:val="center"/>
              <w:rPr>
                <w:rFonts w:ascii="Times New Roman" w:hAnsi="Times New Roman" w:cs="Times New Roman" w:eastAsia="Times New Roman" w:hint="default"/>
                <w:sz w:val="18"/>
                <w:szCs w:val="18"/>
              </w:rPr>
            </w:pPr>
            <w:r>
              <w:rPr>
                <w:rFonts w:ascii="Times New Roman"/>
                <w:sz w:val="18"/>
              </w:rPr>
              <w:t>38,914,920.68</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37,785,661.04</w:t>
            </w:r>
          </w:p>
        </w:tc>
        <w:tc>
          <w:tcPr>
            <w:tcW w:w="1282" w:type="dxa"/>
            <w:vMerge/>
            <w:tcBorders>
              <w:left w:val="nil" w:sz="6" w:space="0" w:color="auto"/>
              <w:right w:val="nil" w:sz="6" w:space="0" w:color="auto"/>
            </w:tcBorders>
          </w:tcPr>
          <w:p>
            <w:pPr/>
          </w:p>
        </w:tc>
      </w:tr>
      <w:tr>
        <w:trPr>
          <w:trHeight w:val="665" w:hRule="exact"/>
        </w:trPr>
        <w:tc>
          <w:tcPr>
            <w:tcW w:w="1162" w:type="dxa"/>
            <w:vMerge w:val="restart"/>
            <w:tcBorders>
              <w:top w:val="single" w:sz="12" w:space="0" w:color="000000"/>
              <w:left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93" w:type="dxa"/>
            <w:vMerge w:val="restart"/>
            <w:tcBorders>
              <w:top w:val="single" w:sz="12" w:space="0" w:color="000000"/>
              <w:left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0" w:type="dxa"/>
            <w:vMerge w:val="restart"/>
            <w:tcBorders>
              <w:top w:val="single" w:sz="12" w:space="0" w:color="000000"/>
              <w:left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123,983,795.6</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68"/>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4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110,000,000.0</w:t>
            </w:r>
          </w:p>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0</w:t>
            </w:r>
          </w:p>
        </w:tc>
        <w:tc>
          <w:tcPr>
            <w:tcW w:w="1282" w:type="dxa"/>
            <w:vMerge/>
            <w:tcBorders>
              <w:left w:val="nil" w:sz="6" w:space="0" w:color="auto"/>
              <w:right w:val="nil" w:sz="6" w:space="0" w:color="auto"/>
            </w:tcBorders>
          </w:tcPr>
          <w:p>
            <w:pPr/>
          </w:p>
        </w:tc>
      </w:tr>
      <w:tr>
        <w:trPr>
          <w:trHeight w:val="665" w:hRule="exact"/>
        </w:trPr>
        <w:tc>
          <w:tcPr>
            <w:tcW w:w="1162" w:type="dxa"/>
            <w:vMerge/>
            <w:tcBorders>
              <w:left w:val="single" w:sz="6" w:space="0" w:color="000000"/>
              <w:bottom w:val="single" w:sz="12" w:space="0" w:color="000000"/>
              <w:right w:val="single" w:sz="6" w:space="0" w:color="000000"/>
            </w:tcBorders>
          </w:tcPr>
          <w:p>
            <w:pPr/>
          </w:p>
        </w:tc>
        <w:tc>
          <w:tcPr>
            <w:tcW w:w="1093" w:type="dxa"/>
            <w:vMerge/>
            <w:tcBorders>
              <w:left w:val="single" w:sz="6" w:space="0" w:color="000000"/>
              <w:bottom w:val="single" w:sz="12" w:space="0" w:color="000000"/>
              <w:right w:val="single" w:sz="6" w:space="0" w:color="000000"/>
            </w:tcBorders>
          </w:tcPr>
          <w:p>
            <w:pPr/>
          </w:p>
        </w:tc>
        <w:tc>
          <w:tcPr>
            <w:tcW w:w="1090" w:type="dxa"/>
            <w:vMerge/>
            <w:tcBorders>
              <w:left w:val="single" w:sz="6" w:space="0" w:color="000000"/>
              <w:bottom w:val="single" w:sz="12" w:space="0" w:color="000000"/>
              <w:right w:val="single" w:sz="6" w:space="0" w:color="000000"/>
            </w:tcBorders>
          </w:tcPr>
          <w:p>
            <w:pP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68"/>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13,983,795.68</w:t>
            </w:r>
          </w:p>
        </w:tc>
        <w:tc>
          <w:tcPr>
            <w:tcW w:w="1282" w:type="dxa"/>
            <w:vMerge/>
            <w:tcBorders>
              <w:left w:val="nil" w:sz="6" w:space="0" w:color="auto"/>
              <w:bottom w:val="nil" w:sz="6" w:space="0" w:color="auto"/>
              <w:right w:val="nil" w:sz="6" w:space="0" w:color="auto"/>
            </w:tcBorders>
          </w:tcPr>
          <w:p>
            <w:pPr/>
          </w:p>
        </w:tc>
      </w:tr>
    </w:tbl>
    <w:p>
      <w:pPr>
        <w:pStyle w:val="Heading5"/>
        <w:spacing w:line="240" w:lineRule="auto" w:before="8"/>
        <w:ind w:left="1070" w:right="1116"/>
        <w:jc w:val="left"/>
        <w:rPr>
          <w:b w:val="0"/>
          <w:bCs w:val="0"/>
        </w:rPr>
      </w:pPr>
      <w:r>
        <w:rPr>
          <w:rFonts w:ascii="宋体" w:hAnsi="宋体" w:cs="宋体" w:eastAsia="宋体" w:hint="default"/>
        </w:rPr>
        <w:t>2.</w:t>
      </w:r>
      <w:r>
        <w:rPr>
          <w:rFonts w:ascii="宋体" w:hAnsi="宋体" w:cs="宋体" w:eastAsia="宋体" w:hint="default"/>
          <w:spacing w:val="87"/>
        </w:rPr>
        <w:t> </w:t>
      </w:r>
      <w:r>
        <w:rPr/>
        <w:t>母公司</w:t>
      </w:r>
      <w:r>
        <w:rPr>
          <w:b w:val="0"/>
          <w:bCs w:val="0"/>
        </w:rPr>
      </w:r>
    </w:p>
    <w:p>
      <w:pPr>
        <w:spacing w:line="240" w:lineRule="auto" w:before="3"/>
        <w:rPr>
          <w:rFonts w:ascii="宋体" w:hAnsi="宋体" w:cs="宋体" w:eastAsia="宋体" w:hint="default"/>
          <w:b/>
          <w:bCs/>
          <w:sz w:val="5"/>
          <w:szCs w:val="5"/>
        </w:rPr>
      </w:pPr>
    </w:p>
    <w:tbl>
      <w:tblPr>
        <w:tblW w:w="0" w:type="auto"/>
        <w:jc w:val="left"/>
        <w:tblInd w:w="753" w:type="dxa"/>
        <w:tblLayout w:type="fixed"/>
        <w:tblCellMar>
          <w:top w:w="0" w:type="dxa"/>
          <w:left w:w="0" w:type="dxa"/>
          <w:bottom w:w="0" w:type="dxa"/>
          <w:right w:w="0" w:type="dxa"/>
        </w:tblCellMar>
        <w:tblLook w:val="01E0"/>
      </w:tblPr>
      <w:tblGrid>
        <w:gridCol w:w="1073"/>
        <w:gridCol w:w="1201"/>
        <w:gridCol w:w="1099"/>
        <w:gridCol w:w="1102"/>
        <w:gridCol w:w="2607"/>
        <w:gridCol w:w="1316"/>
        <w:gridCol w:w="1063"/>
      </w:tblGrid>
      <w:tr>
        <w:trPr>
          <w:trHeight w:val="457" w:hRule="exact"/>
        </w:trPr>
        <w:tc>
          <w:tcPr>
            <w:tcW w:w="337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048"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6087"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6"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94" w:hRule="exact"/>
        </w:trPr>
        <w:tc>
          <w:tcPr>
            <w:tcW w:w="1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vMerge w:val="restart"/>
            <w:tcBorders>
              <w:top w:val="single" w:sz="12" w:space="0" w:color="000000"/>
              <w:left w:val="nil" w:sz="6" w:space="0" w:color="auto"/>
              <w:right w:val="nil" w:sz="6" w:space="0" w:color="auto"/>
            </w:tcBorders>
          </w:tcPr>
          <w:p>
            <w:pPr/>
          </w:p>
        </w:tc>
      </w:tr>
      <w:tr>
        <w:trPr>
          <w:trHeight w:val="662" w:hRule="exact"/>
        </w:trPr>
        <w:tc>
          <w:tcPr>
            <w:tcW w:w="1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237,558,574.0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w:t>
            </w: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237,558,574.04</w:t>
            </w:r>
          </w:p>
        </w:tc>
        <w:tc>
          <w:tcPr>
            <w:tcW w:w="1063" w:type="dxa"/>
            <w:vMerge/>
            <w:tcBorders>
              <w:left w:val="nil" w:sz="6" w:space="0" w:color="auto"/>
              <w:right w:val="nil" w:sz="6" w:space="0" w:color="auto"/>
            </w:tcBorders>
          </w:tcPr>
          <w:p>
            <w:pPr/>
          </w:p>
        </w:tc>
      </w:tr>
      <w:tr>
        <w:trPr>
          <w:trHeight w:val="494" w:hRule="exact"/>
        </w:trPr>
        <w:tc>
          <w:tcPr>
            <w:tcW w:w="1073"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01" w:type="dxa"/>
            <w:vMerge w:val="restart"/>
            <w:tcBorders>
              <w:top w:val="single" w:sz="12" w:space="0" w:color="000000"/>
              <w:left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9" w:type="dxa"/>
            <w:vMerge w:val="restart"/>
            <w:tcBorders>
              <w:top w:val="single" w:sz="12" w:space="0" w:color="000000"/>
              <w:left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18"/>
                <w:szCs w:val="18"/>
              </w:rPr>
            </w:pPr>
            <w:r>
              <w:rPr>
                <w:rFonts w:ascii="Times New Roman"/>
                <w:sz w:val="18"/>
              </w:rPr>
              <w:t>51,664,524.70</w:t>
            </w: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36,943,750.96</w:t>
            </w:r>
          </w:p>
        </w:tc>
        <w:tc>
          <w:tcPr>
            <w:tcW w:w="1063" w:type="dxa"/>
            <w:vMerge/>
            <w:tcBorders>
              <w:left w:val="nil" w:sz="6" w:space="0" w:color="auto"/>
              <w:right w:val="nil" w:sz="6" w:space="0" w:color="auto"/>
            </w:tcBorders>
          </w:tcPr>
          <w:p>
            <w:pPr/>
          </w:p>
        </w:tc>
      </w:tr>
      <w:tr>
        <w:trPr>
          <w:trHeight w:val="665" w:hRule="exact"/>
        </w:trPr>
        <w:tc>
          <w:tcPr>
            <w:tcW w:w="1073" w:type="dxa"/>
            <w:vMerge/>
            <w:tcBorders>
              <w:left w:val="single" w:sz="6" w:space="0" w:color="000000"/>
              <w:bottom w:val="single" w:sz="12" w:space="0" w:color="000000"/>
              <w:right w:val="single" w:sz="6" w:space="0" w:color="000000"/>
            </w:tcBorders>
          </w:tcPr>
          <w:p>
            <w:pPr/>
          </w:p>
        </w:tc>
        <w:tc>
          <w:tcPr>
            <w:tcW w:w="1201" w:type="dxa"/>
            <w:vMerge/>
            <w:tcBorders>
              <w:left w:val="single" w:sz="6" w:space="0" w:color="000000"/>
              <w:bottom w:val="single" w:sz="12" w:space="0" w:color="000000"/>
              <w:right w:val="single" w:sz="6" w:space="0" w:color="000000"/>
            </w:tcBorders>
          </w:tcPr>
          <w:p>
            <w:pPr/>
          </w:p>
        </w:tc>
        <w:tc>
          <w:tcPr>
            <w:tcW w:w="1099" w:type="dxa"/>
            <w:vMerge/>
            <w:tcBorders>
              <w:left w:val="single" w:sz="6" w:space="0" w:color="000000"/>
              <w:bottom w:val="single" w:sz="12" w:space="0" w:color="000000"/>
              <w:right w:val="single" w:sz="6" w:space="0" w:color="000000"/>
            </w:tcBorders>
          </w:tcPr>
          <w:p>
            <w:pP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15,951,665.46</w:t>
            </w:r>
          </w:p>
        </w:tc>
        <w:tc>
          <w:tcPr>
            <w:tcW w:w="1063" w:type="dxa"/>
            <w:vMerge/>
            <w:tcBorders>
              <w:left w:val="nil" w:sz="6" w:space="0" w:color="auto"/>
              <w:bottom w:val="nil" w:sz="6" w:space="0" w:color="auto"/>
              <w:right w:val="nil" w:sz="6" w:space="0" w:color="auto"/>
            </w:tcBorders>
          </w:tcPr>
          <w:p>
            <w:pPr/>
          </w:p>
        </w:tc>
      </w:tr>
    </w:tbl>
    <w:p>
      <w:pPr>
        <w:spacing w:after="0"/>
        <w:sectPr>
          <w:pgSz w:w="11910" w:h="16840"/>
          <w:pgMar w:header="877" w:footer="980" w:top="1080" w:bottom="1160" w:left="980" w:right="0"/>
        </w:sectPr>
      </w:pPr>
    </w:p>
    <w:p>
      <w:pPr>
        <w:spacing w:line="240" w:lineRule="auto" w:before="5"/>
        <w:rPr>
          <w:rFonts w:ascii="宋体" w:hAnsi="宋体" w:cs="宋体" w:eastAsia="宋体" w:hint="default"/>
          <w:b/>
          <w:bCs/>
          <w:sz w:val="26"/>
          <w:szCs w:val="26"/>
        </w:rPr>
      </w:pPr>
    </w:p>
    <w:tbl>
      <w:tblPr>
        <w:tblW w:w="0" w:type="auto"/>
        <w:jc w:val="left"/>
        <w:tblInd w:w="753" w:type="dxa"/>
        <w:tblLayout w:type="fixed"/>
        <w:tblCellMar>
          <w:top w:w="0" w:type="dxa"/>
          <w:left w:w="0" w:type="dxa"/>
          <w:bottom w:w="0" w:type="dxa"/>
          <w:right w:w="0" w:type="dxa"/>
        </w:tblCellMar>
        <w:tblLook w:val="01E0"/>
      </w:tblPr>
      <w:tblGrid>
        <w:gridCol w:w="1073"/>
        <w:gridCol w:w="1201"/>
        <w:gridCol w:w="1099"/>
        <w:gridCol w:w="1102"/>
        <w:gridCol w:w="2607"/>
        <w:gridCol w:w="1316"/>
      </w:tblGrid>
      <w:tr>
        <w:trPr>
          <w:trHeight w:val="632" w:hRule="exact"/>
        </w:trPr>
        <w:tc>
          <w:tcPr>
            <w:tcW w:w="1073"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9"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453,206,311.5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459,334,139.48</w:t>
            </w:r>
          </w:p>
        </w:tc>
      </w:tr>
      <w:tr>
        <w:trPr>
          <w:trHeight w:val="665" w:hRule="exact"/>
        </w:trPr>
        <w:tc>
          <w:tcPr>
            <w:tcW w:w="1073" w:type="dxa"/>
            <w:vMerge/>
            <w:tcBorders>
              <w:left w:val="single" w:sz="6" w:space="0" w:color="000000"/>
              <w:bottom w:val="single" w:sz="12" w:space="0" w:color="000000"/>
              <w:right w:val="single" w:sz="6" w:space="0" w:color="000000"/>
            </w:tcBorders>
          </w:tcPr>
          <w:p>
            <w:pPr/>
          </w:p>
        </w:tc>
        <w:tc>
          <w:tcPr>
            <w:tcW w:w="1201" w:type="dxa"/>
            <w:vMerge/>
            <w:tcBorders>
              <w:left w:val="single" w:sz="6" w:space="0" w:color="000000"/>
              <w:bottom w:val="single" w:sz="12" w:space="0" w:color="000000"/>
              <w:right w:val="single" w:sz="6" w:space="0" w:color="000000"/>
            </w:tcBorders>
          </w:tcPr>
          <w:p>
            <w:pPr/>
          </w:p>
        </w:tc>
        <w:tc>
          <w:tcPr>
            <w:tcW w:w="1099" w:type="dxa"/>
            <w:vMerge/>
            <w:tcBorders>
              <w:left w:val="single" w:sz="6" w:space="0" w:color="000000"/>
              <w:bottom w:val="single" w:sz="12" w:space="0" w:color="000000"/>
              <w:right w:val="single" w:sz="6" w:space="0" w:color="000000"/>
            </w:tcBorders>
          </w:tcPr>
          <w:p>
            <w:pP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 他综合收益</w:t>
            </w:r>
          </w:p>
        </w:tc>
        <w:tc>
          <w:tcPr>
            <w:tcW w:w="1316" w:type="dxa"/>
            <w:tcBorders>
              <w:top w:val="single" w:sz="12" w:space="0" w:color="000000"/>
              <w:left w:val="single" w:sz="6" w:space="0" w:color="000000"/>
              <w:bottom w:val="single" w:sz="12" w:space="0" w:color="000000"/>
              <w:right w:val="nil" w:sz="6" w:space="0" w:color="auto"/>
            </w:tcBorders>
          </w:tcPr>
          <w:p>
            <w:pPr/>
          </w:p>
        </w:tc>
      </w:tr>
      <w:tr>
        <w:trPr>
          <w:trHeight w:val="629" w:hRule="exact"/>
        </w:trPr>
        <w:tc>
          <w:tcPr>
            <w:tcW w:w="1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 w:right="0"/>
              <w:jc w:val="left"/>
              <w:rPr>
                <w:rFonts w:ascii="Times New Roman" w:hAnsi="Times New Roman" w:cs="Times New Roman" w:eastAsia="Times New Roman" w:hint="default"/>
                <w:sz w:val="18"/>
                <w:szCs w:val="18"/>
              </w:rPr>
            </w:pPr>
            <w:r>
              <w:rPr>
                <w:rFonts w:ascii="Times New Roman"/>
                <w:sz w:val="18"/>
              </w:rPr>
              <w:t>38,279,144.55</w:t>
            </w: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37,149,884.91</w:t>
            </w:r>
          </w:p>
        </w:tc>
      </w:tr>
      <w:tr>
        <w:trPr>
          <w:trHeight w:val="662" w:hRule="exact"/>
        </w:trPr>
        <w:tc>
          <w:tcPr>
            <w:tcW w:w="1073" w:type="dxa"/>
            <w:vMerge w:val="restart"/>
            <w:tcBorders>
              <w:top w:val="single" w:sz="12" w:space="0" w:color="000000"/>
              <w:left w:val="single" w:sz="6" w:space="0" w:color="000000"/>
              <w:right w:val="single" w:sz="6" w:space="0" w:color="000000"/>
            </w:tcBorders>
          </w:tcPr>
          <w:p>
            <w:pPr>
              <w:pStyle w:val="TableParagraph"/>
              <w:spacing w:line="316" w:lineRule="auto" w:before="8"/>
              <w:ind w:left="2" w:right="153"/>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201" w:type="dxa"/>
            <w:vMerge w:val="restart"/>
            <w:tcBorders>
              <w:top w:val="single" w:sz="12" w:space="0" w:color="000000"/>
              <w:left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99" w:type="dxa"/>
            <w:vMerge w:val="restart"/>
            <w:tcBorders>
              <w:top w:val="single" w:sz="12" w:space="0" w:color="000000"/>
              <w:left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120,486,374.5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w:t>
            </w: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交易性金融资 产</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6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679" w:hRule="exact"/>
        </w:trPr>
        <w:tc>
          <w:tcPr>
            <w:tcW w:w="1073" w:type="dxa"/>
            <w:vMerge/>
            <w:tcBorders>
              <w:left w:val="single" w:sz="6" w:space="0" w:color="000000"/>
              <w:bottom w:val="single" w:sz="12" w:space="0" w:color="000000"/>
              <w:right w:val="single" w:sz="6" w:space="0" w:color="000000"/>
            </w:tcBorders>
          </w:tcPr>
          <w:p>
            <w:pPr/>
          </w:p>
        </w:tc>
        <w:tc>
          <w:tcPr>
            <w:tcW w:w="1201" w:type="dxa"/>
            <w:vMerge/>
            <w:tcBorders>
              <w:left w:val="single" w:sz="6" w:space="0" w:color="000000"/>
              <w:bottom w:val="single" w:sz="12" w:space="0" w:color="000000"/>
              <w:right w:val="single" w:sz="6" w:space="0" w:color="000000"/>
            </w:tcBorders>
          </w:tcPr>
          <w:p>
            <w:pPr/>
          </w:p>
        </w:tc>
        <w:tc>
          <w:tcPr>
            <w:tcW w:w="1099" w:type="dxa"/>
            <w:vMerge/>
            <w:tcBorders>
              <w:left w:val="single" w:sz="6" w:space="0" w:color="000000"/>
              <w:bottom w:val="single" w:sz="12" w:space="0" w:color="000000"/>
              <w:right w:val="single" w:sz="6" w:space="0" w:color="000000"/>
            </w:tcBorders>
          </w:tcPr>
          <w:p>
            <w:pPr/>
          </w:p>
        </w:tc>
        <w:tc>
          <w:tcPr>
            <w:tcW w:w="1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10,486,374.59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pStyle w:val="Heading3"/>
        <w:spacing w:line="240" w:lineRule="auto" w:before="36"/>
        <w:ind w:right="0"/>
        <w:jc w:val="left"/>
        <w:rPr>
          <w:b w:val="0"/>
          <w:bCs w:val="0"/>
        </w:rPr>
      </w:pPr>
      <w:bookmarkStart w:name="（2）2019年起执行新金融工具准则、新收入准则或新租赁准则调整执行当年年初财务" w:id="204"/>
      <w:bookmarkEnd w:id="204"/>
      <w:r>
        <w:rPr>
          <w:b w:val="0"/>
          <w:bCs w:val="0"/>
        </w:rPr>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pStyle w:val="BodyText"/>
        <w:spacing w:line="300" w:lineRule="auto" w:before="44"/>
        <w:ind w:right="9134"/>
        <w:jc w:val="left"/>
      </w:pPr>
      <w:r>
        <w:rPr>
          <w:rFonts w:ascii="Times New Roman" w:hAnsi="Times New Roman" w:cs="Times New Roman" w:eastAsia="Times New Roman" w:hint="default"/>
        </w:rPr>
        <w:t>√ </w:t>
      </w:r>
      <w:r>
        <w:rPr/>
        <w:t>适用 □</w:t>
      </w:r>
      <w:r>
        <w:rPr>
          <w:spacing w:val="3"/>
        </w:rPr>
        <w:t> </w:t>
      </w:r>
      <w:r>
        <w:rPr/>
        <w:t>不适用</w:t>
      </w:r>
      <w:r>
        <w:rPr/>
        <w:t> 合并资产负债表</w:t>
      </w:r>
    </w:p>
    <w:p>
      <w:pPr>
        <w:pStyle w:val="BodyText"/>
        <w:spacing w:line="240" w:lineRule="auto" w:before="31"/>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284,313,470.25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284,313,470.25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94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51,664,524.70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36,943,750.96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-14,720,773.74</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457,363,835.47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463,491,663.45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6,127,827.98</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44,744,163.71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44,744,163.71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38,914,920.68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37,785,661.04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-1,129,259.64</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216,398,418.26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216,398,418.26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123,983,795.68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13,983,795.68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1,217,383,128.75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1,223,612,588.81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6,229,460.06</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51,628,016.06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51,628,016.06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15,817,136.49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15,817,136.49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85,200,416.16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85,200,416.16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112,208,415.07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112,208,415.07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13,068,555.33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13,068,555.33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381,339.68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381,339.68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15,628,409.51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14,693,990.50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-934,419.01</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293,932,288.30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292,997,869.29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-934,419.01</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1,511,315,417.05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1,516,610,458.10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54,024,777.58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54,024,777.58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204,919,402.71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204,919,402.71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355,907,321.95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355,907,321.95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14,665,030.78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14,665,030.78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4,274,458.04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4,274,458.04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61,024,417.13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61,024,417.13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9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23,426,839.77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23,426,839.77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718,242,247.96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718,242,247.96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15,941,535.30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15,941,535.30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8,150,000.00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422,180.91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422,180.91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24,513,716.21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24,513,716.21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742,755,964.17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742,755,964.17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277,253,280.00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277,253,280.00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226,318,905.12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226,318,905.12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39,872,448.00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39,872,448.00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-107,531.14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-107,531.14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45,010,590.08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45,010,590.08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259,956,656.82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265,251,697.87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63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768,559,452.88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773,854,493.93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768,559,452.88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773,854,493.93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1,511,315,417.05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1,516,610,458.10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44"/>
        <w:ind w:right="1116"/>
        <w:jc w:val="left"/>
      </w:pPr>
      <w:r>
        <w:rPr/>
        <w:t>调整情况说明</w:t>
      </w:r>
    </w:p>
    <w:p>
      <w:pPr>
        <w:pStyle w:val="BodyText"/>
        <w:spacing w:line="300" w:lineRule="auto" w:before="77"/>
        <w:ind w:left="866" w:right="1116"/>
        <w:jc w:val="left"/>
      </w:pPr>
      <w:r>
        <w:rPr/>
        <w:t>首次执行新金融工具准则调整</w:t>
      </w:r>
      <w:r>
        <w:rPr>
          <w:rFonts w:ascii="Times New Roman" w:hAnsi="Times New Roman" w:cs="Times New Roman" w:eastAsia="Times New Roman" w:hint="default"/>
        </w:rPr>
        <w:t>2019</w:t>
      </w:r>
      <w:r>
        <w:rPr/>
        <w:t>年年初财务报表情况如下：</w:t>
      </w:r>
      <w:r>
        <w:rPr>
          <w:spacing w:val="-86"/>
        </w:rPr>
        <w:t> </w:t>
      </w:r>
      <w:r>
        <w:rPr>
          <w:rFonts w:ascii="Times New Roman" w:hAnsi="Times New Roman" w:cs="Times New Roman" w:eastAsia="Times New Roman" w:hint="default"/>
        </w:rPr>
        <w:t>1</w:t>
      </w:r>
      <w:r>
        <w:rPr/>
        <w:t>、银行理财产品</w:t>
      </w:r>
      <w:r>
        <w:rPr>
          <w:rFonts w:ascii="Times New Roman" w:hAnsi="Times New Roman" w:cs="Times New Roman" w:eastAsia="Times New Roman" w:hint="default"/>
        </w:rPr>
        <w:t>110,000,000.00</w:t>
      </w:r>
      <w:r>
        <w:rPr/>
        <w:t>元，调减“其他流动资产”</w:t>
      </w:r>
      <w:r>
        <w:rPr>
          <w:rFonts w:ascii="Times New Roman" w:hAnsi="Times New Roman" w:cs="Times New Roman" w:eastAsia="Times New Roman" w:hint="default"/>
        </w:rPr>
        <w:t>110,000,000.00</w:t>
      </w:r>
      <w:r>
        <w:rPr/>
        <w:t>元，调增交易性金融资产</w:t>
      </w:r>
      <w:r>
        <w:rPr>
          <w:rFonts w:ascii="Times New Roman" w:hAnsi="Times New Roman" w:cs="Times New Roman" w:eastAsia="Times New Roman" w:hint="default"/>
        </w:rPr>
        <w:t>110,000,000.00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w:t>
      </w:r>
    </w:p>
    <w:p>
      <w:pPr>
        <w:pStyle w:val="BodyText"/>
        <w:spacing w:line="240" w:lineRule="auto" w:before="31"/>
        <w:ind w:left="866" w:right="1116"/>
        <w:jc w:val="left"/>
      </w:pPr>
      <w:r>
        <w:rPr>
          <w:rFonts w:ascii="Times New Roman" w:hAnsi="Times New Roman" w:cs="Times New Roman" w:eastAsia="Times New Roman" w:hint="default"/>
          <w:spacing w:val="7"/>
        </w:rPr>
        <w:t>2</w:t>
      </w:r>
      <w:r>
        <w:rPr>
          <w:spacing w:val="7"/>
        </w:rPr>
        <w:t>、调减应收账款坏账准备</w:t>
      </w:r>
      <w:r>
        <w:rPr>
          <w:rFonts w:ascii="Times New Roman" w:hAnsi="Times New Roman" w:cs="Times New Roman" w:eastAsia="Times New Roman" w:hint="default"/>
          <w:spacing w:val="7"/>
        </w:rPr>
        <w:t>6,127,827.98</w:t>
      </w:r>
      <w:r>
        <w:rPr>
          <w:spacing w:val="7"/>
        </w:rPr>
        <w:t>元，调增其他应收款坏账准备</w:t>
      </w:r>
      <w:r>
        <w:rPr>
          <w:rFonts w:ascii="Times New Roman" w:hAnsi="Times New Roman" w:cs="Times New Roman" w:eastAsia="Times New Roman" w:hint="default"/>
          <w:spacing w:val="7"/>
        </w:rPr>
        <w:t>1,129,259.64</w:t>
      </w:r>
      <w:r>
        <w:rPr>
          <w:spacing w:val="7"/>
        </w:rPr>
        <w:t>元，调减应收票据坏账准备</w:t>
      </w:r>
      <w:r>
        <w:rPr/>
      </w:r>
    </w:p>
    <w:p>
      <w:pPr>
        <w:pStyle w:val="BodyText"/>
        <w:spacing w:line="240" w:lineRule="auto" w:before="63"/>
        <w:ind w:left="866" w:right="1116"/>
        <w:jc w:val="left"/>
      </w:pPr>
      <w:r>
        <w:rPr>
          <w:rFonts w:ascii="Times New Roman" w:hAnsi="Times New Roman" w:cs="Times New Roman" w:eastAsia="Times New Roman" w:hint="default"/>
        </w:rPr>
        <w:t>1,230,891.72</w:t>
      </w:r>
      <w:r>
        <w:rPr/>
        <w:t>元，调减递延所得税资产</w:t>
      </w:r>
      <w:r>
        <w:rPr>
          <w:rFonts w:ascii="Times New Roman" w:hAnsi="Times New Roman" w:cs="Times New Roman" w:eastAsia="Times New Roman" w:hint="default"/>
        </w:rPr>
        <w:t>934,419.01</w:t>
      </w:r>
      <w:r>
        <w:rPr/>
        <w:t>元，调增年初未分配利润</w:t>
      </w:r>
      <w:r>
        <w:rPr>
          <w:rFonts w:ascii="Times New Roman" w:hAnsi="Times New Roman" w:cs="Times New Roman" w:eastAsia="Times New Roman" w:hint="default"/>
        </w:rPr>
        <w:t>5,295,041.05</w:t>
      </w:r>
      <w:r>
        <w:rPr/>
        <w:t>元。</w:t>
      </w:r>
    </w:p>
    <w:p>
      <w:pPr>
        <w:pStyle w:val="BodyText"/>
        <w:spacing w:line="240" w:lineRule="auto" w:before="63"/>
        <w:ind w:left="866" w:right="1116"/>
        <w:jc w:val="left"/>
      </w:pPr>
      <w:r>
        <w:rPr>
          <w:rFonts w:ascii="Times New Roman" w:hAnsi="Times New Roman" w:cs="Times New Roman" w:eastAsia="Times New Roman" w:hint="default"/>
        </w:rPr>
        <w:t>3</w:t>
      </w:r>
      <w:r>
        <w:rPr/>
        <w:t>、调减应收票据</w:t>
      </w:r>
      <w:r>
        <w:rPr>
          <w:rFonts w:ascii="Times New Roman" w:hAnsi="Times New Roman" w:cs="Times New Roman" w:eastAsia="Times New Roman" w:hint="default"/>
        </w:rPr>
        <w:t>15,951,665.46</w:t>
      </w:r>
      <w:r>
        <w:rPr/>
        <w:t>元，调增应收款项融资</w:t>
      </w:r>
      <w:r>
        <w:rPr>
          <w:rFonts w:ascii="Times New Roman" w:hAnsi="Times New Roman" w:cs="Times New Roman" w:eastAsia="Times New Roman" w:hint="default"/>
        </w:rPr>
        <w:t>15,951,665.46</w:t>
      </w:r>
      <w:r>
        <w:rPr/>
        <w:t>元。</w:t>
      </w:r>
    </w:p>
    <w:p>
      <w:pPr>
        <w:spacing w:line="240" w:lineRule="auto" w:before="3"/>
        <w:rPr>
          <w:rFonts w:ascii="宋体" w:hAnsi="宋体" w:cs="宋体" w:eastAsia="宋体" w:hint="default"/>
          <w:sz w:val="25"/>
          <w:szCs w:val="25"/>
        </w:rPr>
      </w:pPr>
    </w:p>
    <w:p>
      <w:pPr>
        <w:pStyle w:val="BodyText"/>
        <w:spacing w:line="240" w:lineRule="auto" w:before="44"/>
        <w:ind w:right="1116"/>
        <w:jc w:val="left"/>
      </w:pPr>
      <w:r>
        <w:rPr/>
        <w:t>母公司资产负债表</w:t>
      </w:r>
    </w:p>
    <w:p>
      <w:pPr>
        <w:pStyle w:val="BodyText"/>
        <w:spacing w:line="240" w:lineRule="auto" w:before="76"/>
        <w:ind w:left="0" w:right="1131"/>
        <w:jc w:val="right"/>
      </w:pP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237,558,574.04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237,558,574.04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94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51,664,524.70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36,943,750.96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-14,720,773.74</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453,206,311.50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459,334,139.48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6,127,827.98</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38,968,092.38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38,968,092.38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38,279,144.55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37,149,884.91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-1,129,259.64</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223,019,168.25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223,019,168.25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120,486,374.59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10,486,374.59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1,163,182,190.01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1,169,411,650.07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6,229,460.06</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127,216,045.79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127,216,045.79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44,099,761.39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44,099,761.39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55,419,868.70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55,419,868.70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2"/>
                <w:sz w:val="18"/>
              </w:rPr>
              <w:t>112,211,434.78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112,211,434.78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12,541,160.72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12,541,160.72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381,339.68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381,339.68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11,862,138.57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10,927,719.56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-934,419.01</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363,731,749.63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362,797,330.62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-934,419.01</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1,526,913,939.64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1,532,208,980.69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55,105,761.47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55,105,761.47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278,710,179.03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278,710,179.03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351,588,426.27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351,588,426.27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8,886,925.24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8,886,925.24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2,999,191.39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2,999,191.39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56,282,209.04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56,282,209.04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22,805,812.45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22,805,812.45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776,378,504.89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776,378,504.89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14,329,272.16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14,329,272.16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8,150,000.00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8,150,000.00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980" w:header="877" w:top="108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238,585.11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238,585.11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22,717,857.27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22,717,857.27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799,096,362.16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799,096,362.16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277,253,280.00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277,253,280.00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221,862,833.43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221,862,833.43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39,872,448.00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39,872,448.00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39,522.47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39,522.47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45,010,590.08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45,010,590.08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223,523,799.50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228,818,840.55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727,817,577.48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733,112,618.53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5,295,041.05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1,526,913,939.64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1,532,208,980.69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5,295,041.05</w:t>
            </w:r>
          </w:p>
        </w:tc>
      </w:tr>
    </w:tbl>
    <w:p>
      <w:pPr>
        <w:pStyle w:val="BodyText"/>
        <w:spacing w:line="240" w:lineRule="auto" w:before="8"/>
        <w:ind w:right="1116"/>
        <w:jc w:val="left"/>
      </w:pPr>
      <w:r>
        <w:rPr/>
        <w:t>调整情况说明</w:t>
      </w:r>
    </w:p>
    <w:p>
      <w:pPr>
        <w:pStyle w:val="BodyText"/>
        <w:spacing w:line="316" w:lineRule="auto" w:before="76"/>
        <w:ind w:left="866" w:right="5180"/>
        <w:jc w:val="left"/>
      </w:pPr>
      <w:r>
        <w:rPr/>
        <w:t>各项目调整情况的说明： 首次执行新金融工具准则调整</w:t>
      </w:r>
      <w:r>
        <w:rPr>
          <w:rFonts w:ascii="Times New Roman" w:hAnsi="Times New Roman" w:cs="Times New Roman" w:eastAsia="Times New Roman" w:hint="default"/>
        </w:rPr>
        <w:t>2019</w:t>
      </w:r>
      <w:r>
        <w:rPr/>
        <w:t>年年初财务报表情况如下：</w:t>
      </w:r>
    </w:p>
    <w:p>
      <w:pPr>
        <w:pStyle w:val="BodyText"/>
        <w:spacing w:line="248" w:lineRule="exact"/>
        <w:ind w:left="866" w:right="0"/>
        <w:jc w:val="left"/>
      </w:pPr>
      <w:r>
        <w:rPr>
          <w:rFonts w:ascii="Times New Roman" w:hAnsi="Times New Roman" w:cs="Times New Roman" w:eastAsia="Times New Roman" w:hint="default"/>
        </w:rPr>
        <w:t>1</w:t>
      </w:r>
      <w:r>
        <w:rPr/>
        <w:t>、银行理财产品</w:t>
      </w:r>
      <w:r>
        <w:rPr>
          <w:rFonts w:ascii="Times New Roman" w:hAnsi="Times New Roman" w:cs="Times New Roman" w:eastAsia="Times New Roman" w:hint="default"/>
        </w:rPr>
        <w:t>110,000,000</w:t>
      </w:r>
      <w:r>
        <w:rPr/>
        <w:t>元，调减“其他流动资产”</w:t>
      </w:r>
      <w:r>
        <w:rPr>
          <w:rFonts w:ascii="Times New Roman" w:hAnsi="Times New Roman" w:cs="Times New Roman" w:eastAsia="Times New Roman" w:hint="default"/>
        </w:rPr>
        <w:t>110,000,000.00</w:t>
      </w:r>
      <w:r>
        <w:rPr/>
        <w:t>元，调增交易性金融资产</w:t>
      </w:r>
      <w:r>
        <w:rPr>
          <w:rFonts w:ascii="Times New Roman" w:hAnsi="Times New Roman" w:cs="Times New Roman" w:eastAsia="Times New Roman" w:hint="default"/>
        </w:rPr>
        <w:t>110,000,000.00</w:t>
      </w:r>
      <w:r>
        <w:rPr/>
        <w:t>元；</w:t>
      </w:r>
    </w:p>
    <w:p>
      <w:pPr>
        <w:pStyle w:val="BodyText"/>
        <w:spacing w:line="240" w:lineRule="auto" w:before="63"/>
        <w:ind w:left="866" w:right="1116"/>
        <w:jc w:val="left"/>
      </w:pPr>
      <w:r>
        <w:rPr>
          <w:rFonts w:ascii="Times New Roman" w:hAnsi="Times New Roman" w:cs="Times New Roman" w:eastAsia="Times New Roman" w:hint="default"/>
          <w:spacing w:val="7"/>
        </w:rPr>
        <w:t>2</w:t>
      </w:r>
      <w:r>
        <w:rPr>
          <w:spacing w:val="7"/>
        </w:rPr>
        <w:t>、调减应收账款坏账准备</w:t>
      </w:r>
      <w:r>
        <w:rPr>
          <w:rFonts w:ascii="Times New Roman" w:hAnsi="Times New Roman" w:cs="Times New Roman" w:eastAsia="Times New Roman" w:hint="default"/>
          <w:spacing w:val="7"/>
        </w:rPr>
        <w:t>6,127,827.98</w:t>
      </w:r>
      <w:r>
        <w:rPr>
          <w:spacing w:val="7"/>
        </w:rPr>
        <w:t>元，调增其他应收款坏账准备</w:t>
      </w:r>
      <w:r>
        <w:rPr>
          <w:rFonts w:ascii="Times New Roman" w:hAnsi="Times New Roman" w:cs="Times New Roman" w:eastAsia="Times New Roman" w:hint="default"/>
          <w:spacing w:val="7"/>
        </w:rPr>
        <w:t>1,129,259.64</w:t>
      </w:r>
      <w:r>
        <w:rPr>
          <w:spacing w:val="7"/>
        </w:rPr>
        <w:t>元，调减应收票据坏账准备</w:t>
      </w:r>
      <w:r>
        <w:rPr/>
      </w:r>
    </w:p>
    <w:p>
      <w:pPr>
        <w:pStyle w:val="BodyText"/>
        <w:spacing w:line="240" w:lineRule="auto" w:before="63"/>
        <w:ind w:left="866" w:right="1116"/>
        <w:jc w:val="left"/>
      </w:pPr>
      <w:r>
        <w:rPr>
          <w:rFonts w:ascii="Times New Roman" w:hAnsi="Times New Roman" w:cs="Times New Roman" w:eastAsia="Times New Roman" w:hint="default"/>
        </w:rPr>
        <w:t>1,230,891.72</w:t>
      </w:r>
      <w:r>
        <w:rPr/>
        <w:t>元，调减递延所得税资产</w:t>
      </w:r>
      <w:r>
        <w:rPr>
          <w:rFonts w:ascii="Times New Roman" w:hAnsi="Times New Roman" w:cs="Times New Roman" w:eastAsia="Times New Roman" w:hint="default"/>
        </w:rPr>
        <w:t>934,419.01</w:t>
      </w:r>
      <w:r>
        <w:rPr/>
        <w:t>元，调增年初未分配利润</w:t>
      </w:r>
      <w:r>
        <w:rPr>
          <w:rFonts w:ascii="Times New Roman" w:hAnsi="Times New Roman" w:cs="Times New Roman" w:eastAsia="Times New Roman" w:hint="default"/>
        </w:rPr>
        <w:t>5,295,041.05</w:t>
      </w:r>
      <w:r>
        <w:rPr/>
        <w:t>元。</w:t>
      </w:r>
    </w:p>
    <w:p>
      <w:pPr>
        <w:pStyle w:val="BodyText"/>
        <w:spacing w:line="240" w:lineRule="auto" w:before="63"/>
        <w:ind w:left="866" w:right="1116"/>
        <w:jc w:val="left"/>
      </w:pPr>
      <w:r>
        <w:rPr>
          <w:rFonts w:ascii="Times New Roman" w:hAnsi="Times New Roman" w:cs="Times New Roman" w:eastAsia="Times New Roman" w:hint="default"/>
        </w:rPr>
        <w:t>3</w:t>
      </w:r>
      <w:r>
        <w:rPr/>
        <w:t>、调减应收票据</w:t>
      </w:r>
      <w:r>
        <w:rPr>
          <w:rFonts w:ascii="Times New Roman" w:hAnsi="Times New Roman" w:cs="Times New Roman" w:eastAsia="Times New Roman" w:hint="default"/>
        </w:rPr>
        <w:t>15,951,665.46</w:t>
      </w:r>
      <w:r>
        <w:rPr/>
        <w:t>元，调增应收款项融资</w:t>
      </w:r>
      <w:r>
        <w:rPr>
          <w:rFonts w:ascii="Times New Roman" w:hAnsi="Times New Roman" w:cs="Times New Roman" w:eastAsia="Times New Roman" w:hint="default"/>
        </w:rPr>
        <w:t>15,951,665.46</w:t>
      </w:r>
      <w:r>
        <w:rPr/>
        <w:t>元。</w:t>
      </w:r>
    </w:p>
    <w:p>
      <w:pPr>
        <w:spacing w:line="240" w:lineRule="auto" w:before="2"/>
        <w:rPr>
          <w:rFonts w:ascii="宋体" w:hAnsi="宋体" w:cs="宋体" w:eastAsia="宋体" w:hint="default"/>
          <w:sz w:val="25"/>
          <w:szCs w:val="25"/>
        </w:rPr>
      </w:pPr>
    </w:p>
    <w:p>
      <w:pPr>
        <w:pStyle w:val="Heading2"/>
        <w:spacing w:line="240" w:lineRule="auto"/>
        <w:ind w:right="1116"/>
        <w:jc w:val="left"/>
        <w:rPr>
          <w:b w:val="0"/>
          <w:bCs w:val="0"/>
        </w:rPr>
      </w:pPr>
      <w:bookmarkStart w:name="六、税项" w:id="205"/>
      <w:bookmarkEnd w:id="205"/>
      <w:r>
        <w:rPr>
          <w:b w:val="0"/>
          <w:bCs w:val="0"/>
        </w:rPr>
      </w:r>
      <w:r>
        <w:rPr/>
        <w:t>六、税项</w:t>
      </w:r>
      <w:r>
        <w:rPr>
          <w:b w:val="0"/>
          <w:bCs w:val="0"/>
        </w:rPr>
      </w:r>
    </w:p>
    <w:p>
      <w:pPr>
        <w:pStyle w:val="Heading3"/>
        <w:spacing w:line="240" w:lineRule="auto" w:before="25"/>
        <w:ind w:right="1116"/>
        <w:jc w:val="left"/>
        <w:rPr>
          <w:b w:val="0"/>
          <w:bCs w:val="0"/>
        </w:rPr>
      </w:pPr>
      <w:bookmarkStart w:name="1、主要税种及税率" w:id="206"/>
      <w:bookmarkEnd w:id="20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5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按实际缴纳的增值税、营业税计缴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8"/>
        <w:ind w:right="1116"/>
        <w:jc w:val="left"/>
      </w:pPr>
      <w:r>
        <w:rPr/>
        <w:t>存在不同企业所得税税率纳税主体的，披露情况说明</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深圳市今天国际软件技术有限公司安徽分公司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深圳市今天国际软件技术有限公司江苏分公司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深圳市今天国际软件技术有限公司新疆分公司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深圳市今天国际物流技术股份有限公司厦门分公司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深圳市今天国际物流技术股份有限公司安徽办事处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w:t>
            </w:r>
          </w:p>
        </w:tc>
      </w:tr>
    </w:tbl>
    <w:p>
      <w:pPr>
        <w:pStyle w:val="Heading3"/>
        <w:spacing w:line="278" w:lineRule="exact"/>
        <w:ind w:right="1116"/>
        <w:jc w:val="left"/>
        <w:rPr>
          <w:b w:val="0"/>
          <w:bCs w:val="0"/>
        </w:rPr>
      </w:pPr>
      <w:bookmarkStart w:name="2、税收优惠" w:id="207"/>
      <w:bookmarkEnd w:id="207"/>
      <w:r>
        <w:rPr>
          <w:b w:val="0"/>
          <w:bCs w:val="0"/>
        </w:rPr>
      </w:r>
      <w:r>
        <w:rPr>
          <w:rFonts w:ascii="Times New Roman" w:hAnsi="Times New Roman" w:cs="Times New Roman" w:eastAsia="Times New Roman" w:hint="default"/>
        </w:rPr>
        <w:t>2</w:t>
      </w:r>
      <w:r>
        <w:rPr/>
        <w:t>、税收优惠</w:t>
      </w:r>
      <w:r>
        <w:rPr>
          <w:b w:val="0"/>
          <w:bCs w:val="0"/>
        </w:rPr>
      </w:r>
    </w:p>
    <w:p>
      <w:pPr>
        <w:pStyle w:val="BodyText"/>
        <w:spacing w:line="307" w:lineRule="auto" w:before="44"/>
        <w:ind w:left="866" w:right="0"/>
        <w:jc w:val="left"/>
      </w:pPr>
      <w:r>
        <w:rPr>
          <w:rFonts w:ascii="Times New Roman" w:hAnsi="Times New Roman" w:cs="Times New Roman" w:eastAsia="Times New Roman" w:hint="default"/>
        </w:rPr>
        <w:t>1</w:t>
      </w:r>
      <w:r>
        <w:rPr/>
        <w:t>、根据财政部、国家税务总局财税</w:t>
      </w:r>
      <w:r>
        <w:rPr>
          <w:rFonts w:ascii="Times New Roman" w:hAnsi="Times New Roman" w:cs="Times New Roman" w:eastAsia="Times New Roman" w:hint="default"/>
        </w:rPr>
        <w:t>[2011]100</w:t>
      </w:r>
      <w:r>
        <w:rPr/>
        <w:t>号《关于软件产品增值税政策的通知》规定，自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日起，对 增值税一般纳税人销售其自行开发生产的软件产品，按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w:t>
      </w:r>
      <w:r>
        <w:rPr>
          <w:spacing w:val="-18"/>
        </w:rPr>
        <w:t> </w:t>
      </w:r>
      <w:r>
        <w:rPr/>
        <w:t>分实行即征即退政策。</w:t>
      </w:r>
      <w:r>
        <w:rPr/>
        <w:t> </w:t>
      </w:r>
      <w:r>
        <w:rPr>
          <w:rFonts w:ascii="Times New Roman" w:hAnsi="Times New Roman" w:cs="Times New Roman" w:eastAsia="Times New Roman" w:hint="default"/>
          <w:spacing w:val="-3"/>
          <w:w w:val="99"/>
        </w:rPr>
        <w:t>2</w:t>
      </w:r>
      <w:r>
        <w:rPr>
          <w:spacing w:val="-3"/>
          <w:w w:val="99"/>
        </w:rPr>
        <w:t>、本公司被认定为“高新技术企业”，于</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11</w:t>
      </w:r>
      <w:r>
        <w:rPr>
          <w:spacing w:val="-3"/>
          <w:w w:val="99"/>
        </w:rPr>
        <w:t>月</w:t>
      </w:r>
      <w:r>
        <w:rPr>
          <w:rFonts w:ascii="Times New Roman" w:hAnsi="Times New Roman" w:cs="Times New Roman" w:eastAsia="Times New Roman" w:hint="default"/>
          <w:spacing w:val="-3"/>
          <w:w w:val="99"/>
        </w:rPr>
        <w:t>9</w:t>
      </w:r>
      <w:r>
        <w:rPr>
          <w:spacing w:val="-3"/>
          <w:w w:val="99"/>
        </w:rPr>
        <w:t>日取得编号为</w:t>
      </w:r>
      <w:r>
        <w:rPr>
          <w:rFonts w:ascii="Times New Roman" w:hAnsi="Times New Roman" w:cs="Times New Roman" w:eastAsia="Times New Roman" w:hint="default"/>
          <w:spacing w:val="-3"/>
          <w:w w:val="99"/>
        </w:rPr>
        <w:t>GR201844203847</w:t>
      </w:r>
      <w:r>
        <w:rPr>
          <w:spacing w:val="-3"/>
          <w:w w:val="99"/>
        </w:rPr>
        <w:t>的高新技术企业认证，认定有</w:t>
      </w:r>
      <w:r>
        <w:rPr>
          <w:spacing w:val="-68"/>
          <w:w w:val="99"/>
        </w:rPr>
        <w:t> </w:t>
      </w:r>
      <w:r>
        <w:rPr>
          <w:spacing w:val="-68"/>
          <w:w w:val="99"/>
        </w:rPr>
      </w:r>
      <w:r>
        <w:rPr>
          <w:spacing w:val="-2"/>
        </w:rPr>
        <w:t>效期为三年。根据《中华人民共和国企业所得税法》第二十八条及其实施条例第九十三条规定，深圳市罗湖地方税</w:t>
      </w:r>
      <w:r>
        <w:rPr>
          <w:spacing w:val="-70"/>
        </w:rPr>
        <w:t> </w:t>
      </w:r>
      <w:r>
        <w:rPr>
          <w:spacing w:val="-70"/>
        </w:rPr>
      </w:r>
      <w:r>
        <w:rPr/>
        <w:t>务局同意本公司实际执行高新技术企业的优惠企业所得税率</w:t>
      </w:r>
      <w:r>
        <w:rPr>
          <w:rFonts w:ascii="Times New Roman" w:hAnsi="Times New Roman" w:cs="Times New Roman" w:eastAsia="Times New Roman" w:hint="default"/>
        </w:rPr>
        <w:t>15%</w:t>
      </w:r>
      <w:r>
        <w:rPr/>
        <w:t>。 </w:t>
      </w:r>
      <w:r>
        <w:rPr>
          <w:rFonts w:ascii="Times New Roman" w:hAnsi="Times New Roman" w:cs="Times New Roman" w:eastAsia="Times New Roman" w:hint="default"/>
          <w:spacing w:val="-2"/>
        </w:rPr>
        <w:t>3</w:t>
      </w:r>
      <w:r>
        <w:rPr>
          <w:spacing w:val="-2"/>
        </w:rPr>
        <w:t>、根据《国家税务总局关于软件和集成电路企业认定管理有关问题的公告》（国家税务总局公告</w:t>
      </w:r>
      <w:r>
        <w:rPr>
          <w:rFonts w:ascii="Times New Roman" w:hAnsi="Times New Roman" w:cs="Times New Roman" w:eastAsia="Times New Roman" w:hint="default"/>
          <w:spacing w:val="-2"/>
        </w:rPr>
        <w:t>2012</w:t>
      </w:r>
      <w:r>
        <w:rPr>
          <w:spacing w:val="-2"/>
        </w:rPr>
        <w:t>年第</w:t>
      </w:r>
      <w:r>
        <w:rPr>
          <w:rFonts w:ascii="Times New Roman" w:hAnsi="Times New Roman" w:cs="Times New Roman" w:eastAsia="Times New Roman" w:hint="default"/>
          <w:spacing w:val="-2"/>
        </w:rPr>
        <w:t>19</w:t>
      </w:r>
      <w:r>
        <w:rPr>
          <w:spacing w:val="-2"/>
        </w:rPr>
        <w:t>号）；</w:t>
      </w:r>
    </w:p>
    <w:p>
      <w:pPr>
        <w:pStyle w:val="BodyText"/>
        <w:spacing w:line="300" w:lineRule="auto" w:before="7"/>
        <w:ind w:left="866" w:right="1115"/>
        <w:jc w:val="left"/>
      </w:pPr>
      <w:r>
        <w:rPr/>
        <w:t>《国家税务总局关于执</w:t>
      </w:r>
      <w:r>
        <w:rPr>
          <w:spacing w:val="2"/>
        </w:rPr>
        <w:t>行</w:t>
      </w:r>
      <w:r>
        <w:rPr/>
        <w:t>软</w:t>
      </w:r>
      <w:r>
        <w:rPr>
          <w:spacing w:val="2"/>
        </w:rPr>
        <w:t>件</w:t>
      </w:r>
      <w:r>
        <w:rPr/>
        <w:t>企业所得税优惠政策有</w:t>
      </w:r>
      <w:r>
        <w:rPr>
          <w:spacing w:val="2"/>
        </w:rPr>
        <w:t>关</w:t>
      </w:r>
      <w:r>
        <w:rPr/>
        <w:t>问</w:t>
      </w:r>
      <w:r>
        <w:rPr>
          <w:spacing w:val="2"/>
        </w:rPr>
        <w:t>题</w:t>
      </w:r>
      <w:r>
        <w:rPr/>
        <w:t>的公告</w:t>
      </w:r>
      <w:r>
        <w:rPr>
          <w:spacing w:val="-89"/>
        </w:rPr>
        <w:t>》</w:t>
      </w:r>
      <w:r>
        <w:rPr/>
        <w:t>（国家税务总局公</w:t>
      </w:r>
      <w:r>
        <w:rPr>
          <w:spacing w:val="1"/>
        </w:rPr>
        <w:t>告</w:t>
      </w:r>
      <w:r>
        <w:rPr>
          <w:rFonts w:ascii="Times New Roman" w:hAnsi="Times New Roman" w:cs="Times New Roman" w:eastAsia="Times New Roman" w:hint="default"/>
          <w:spacing w:val="1"/>
        </w:rPr>
        <w:t>2013</w:t>
      </w:r>
      <w:r>
        <w:rPr/>
        <w:t>年第</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t>号</w:t>
      </w:r>
      <w:r>
        <w:rPr>
          <w:spacing w:val="-89"/>
        </w:rPr>
        <w:t>）；</w:t>
      </w:r>
      <w:r>
        <w:rPr/>
        <w:t>《工业和</w:t>
      </w:r>
      <w:r>
        <w:rPr/>
        <w:t> </w:t>
      </w:r>
      <w:r>
        <w:rPr>
          <w:spacing w:val="2"/>
        </w:rPr>
        <w:t>信息化</w:t>
      </w:r>
      <w:r>
        <w:rPr/>
        <w:t>部</w:t>
      </w:r>
      <w:r>
        <w:rPr>
          <w:spacing w:val="-14"/>
        </w:rPr>
        <w:t> </w:t>
      </w:r>
      <w:r>
        <w:rPr>
          <w:spacing w:val="2"/>
        </w:rPr>
        <w:t>国家发展和改革</w:t>
      </w:r>
      <w:r>
        <w:rPr>
          <w:spacing w:val="4"/>
        </w:rPr>
        <w:t>委员</w:t>
      </w:r>
      <w:r>
        <w:rPr/>
        <w:t>会</w:t>
      </w:r>
      <w:r>
        <w:rPr>
          <w:spacing w:val="-13"/>
        </w:rPr>
        <w:t> </w:t>
      </w:r>
      <w:r>
        <w:rPr>
          <w:spacing w:val="2"/>
        </w:rPr>
        <w:t>财政</w:t>
      </w:r>
      <w:r>
        <w:rPr/>
        <w:t>部</w:t>
      </w:r>
      <w:r>
        <w:rPr>
          <w:spacing w:val="-14"/>
        </w:rPr>
        <w:t> </w:t>
      </w:r>
      <w:r>
        <w:rPr>
          <w:spacing w:val="2"/>
        </w:rPr>
        <w:t>国家税务总局</w:t>
      </w:r>
      <w:r>
        <w:rPr>
          <w:spacing w:val="4"/>
        </w:rPr>
        <w:t>关于</w:t>
      </w:r>
      <w:r>
        <w:rPr>
          <w:spacing w:val="2"/>
        </w:rPr>
        <w:t>印</w:t>
      </w:r>
      <w:r>
        <w:rPr>
          <w:spacing w:val="4"/>
        </w:rPr>
        <w:t>发</w:t>
      </w:r>
      <w:r>
        <w:rPr>
          <w:rFonts w:ascii="Times New Roman" w:hAnsi="Times New Roman" w:cs="Times New Roman" w:eastAsia="Times New Roman" w:hint="default"/>
          <w:spacing w:val="1"/>
        </w:rPr>
        <w:t>&lt;</w:t>
      </w:r>
      <w:r>
        <w:rPr>
          <w:spacing w:val="2"/>
        </w:rPr>
        <w:t>软件企业认定管</w:t>
      </w:r>
      <w:r>
        <w:rPr>
          <w:spacing w:val="4"/>
        </w:rPr>
        <w:t>理</w:t>
      </w:r>
      <w:r>
        <w:rPr>
          <w:spacing w:val="2"/>
        </w:rPr>
        <w:t>办</w:t>
      </w:r>
      <w:r>
        <w:rPr>
          <w:spacing w:val="3"/>
        </w:rPr>
        <w:t>法</w:t>
      </w:r>
      <w:r>
        <w:rPr>
          <w:rFonts w:ascii="Times New Roman" w:hAnsi="Times New Roman" w:cs="Times New Roman" w:eastAsia="Times New Roman" w:hint="default"/>
          <w:spacing w:val="4"/>
        </w:rPr>
        <w:t>&gt;</w:t>
      </w:r>
      <w:r>
        <w:rPr>
          <w:spacing w:val="2"/>
        </w:rPr>
        <w:t>的通知</w:t>
      </w:r>
      <w:r>
        <w:rPr>
          <w:spacing w:val="-87"/>
        </w:rPr>
        <w:t>》</w:t>
      </w:r>
      <w:r>
        <w:rPr>
          <w:spacing w:val="2"/>
        </w:rPr>
        <w:t>（工信部联</w:t>
      </w:r>
      <w:r>
        <w:rPr/>
        <w:t>软</w:t>
      </w:r>
    </w:p>
    <w:p>
      <w:pPr>
        <w:pStyle w:val="BodyText"/>
        <w:spacing w:line="302" w:lineRule="auto" w:before="13"/>
        <w:ind w:left="866" w:right="1124"/>
        <w:jc w:val="left"/>
      </w:pPr>
      <w:r>
        <w:rPr>
          <w:spacing w:val="-15"/>
        </w:rPr>
        <w:t>〔</w:t>
      </w:r>
      <w:r>
        <w:rPr>
          <w:rFonts w:ascii="Times New Roman" w:hAnsi="Times New Roman" w:cs="Times New Roman" w:eastAsia="Times New Roman" w:hint="default"/>
          <w:spacing w:val="-15"/>
        </w:rPr>
        <w:t>2013</w:t>
      </w:r>
      <w:r>
        <w:rPr>
          <w:spacing w:val="-15"/>
        </w:rPr>
        <w:t>〕</w:t>
      </w:r>
      <w:r>
        <w:rPr>
          <w:rFonts w:ascii="Times New Roman" w:hAnsi="Times New Roman" w:cs="Times New Roman" w:eastAsia="Times New Roman" w:hint="default"/>
          <w:spacing w:val="-15"/>
        </w:rPr>
        <w:t>64</w:t>
      </w:r>
      <w:r>
        <w:rPr>
          <w:spacing w:val="-15"/>
        </w:rPr>
        <w:t>号）；《财政部</w:t>
      </w:r>
      <w:r>
        <w:rPr>
          <w:spacing w:val="-12"/>
        </w:rPr>
        <w:t> </w:t>
      </w:r>
      <w:r>
        <w:rPr>
          <w:spacing w:val="-3"/>
        </w:rPr>
        <w:t>国家税务总局关于进一步鼓励软件产业和集成电路产业发展企业所得税政策的通知》（财</w:t>
      </w:r>
      <w:r>
        <w:rPr/>
        <w:t> 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号）第三条，深圳市国家税务局于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日向本公司之子公司深圳市今天国际软件技术有限公</w:t>
      </w:r>
      <w:r>
        <w:rPr>
          <w:spacing w:val="-84"/>
        </w:rPr>
        <w:t> </w:t>
      </w:r>
      <w:r>
        <w:rPr>
          <w:spacing w:val="-84"/>
        </w:rPr>
      </w:r>
      <w:r>
        <w:rPr>
          <w:spacing w:val="-1"/>
        </w:rPr>
        <w:t>司出具了深国税罗减免备案</w:t>
      </w:r>
      <w:r>
        <w:rPr>
          <w:rFonts w:ascii="Times New Roman" w:hAnsi="Times New Roman" w:cs="Times New Roman" w:eastAsia="Times New Roman" w:hint="default"/>
          <w:spacing w:val="-1"/>
        </w:rPr>
        <w:t>[2016]0003</w:t>
      </w:r>
      <w:r>
        <w:rPr>
          <w:spacing w:val="-1"/>
        </w:rPr>
        <w:t>号的企业所得税优惠事项备案通知书，同意本公司之子公司深圳市今天国际</w:t>
      </w:r>
      <w:r>
        <w:rPr>
          <w:spacing w:val="-57"/>
        </w:rPr>
        <w:t> </w:t>
      </w:r>
      <w:r>
        <w:rPr>
          <w:spacing w:val="-57"/>
        </w:rPr>
      </w:r>
      <w:r>
        <w:rPr>
          <w:spacing w:val="-2"/>
        </w:rPr>
        <w:t>软件技术有限公司定期减免企业所得税，享受优惠期间自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日。本公司之子公司深圳市</w:t>
      </w:r>
      <w:r>
        <w:rPr>
          <w:spacing w:val="-57"/>
        </w:rPr>
        <w:t> </w:t>
      </w:r>
      <w:r>
        <w:rPr>
          <w:spacing w:val="-57"/>
        </w:rPr>
      </w:r>
      <w:r>
        <w:rPr/>
        <w:t>今天国际软件技术有限公司</w:t>
      </w:r>
      <w:r>
        <w:rPr>
          <w:rFonts w:ascii="Times New Roman" w:hAnsi="Times New Roman" w:cs="Times New Roman" w:eastAsia="Times New Roman" w:hint="default"/>
        </w:rPr>
        <w:t>2019</w:t>
      </w:r>
      <w:r>
        <w:rPr/>
        <w:t>年度所得税税率为</w:t>
      </w:r>
      <w:r>
        <w:rPr>
          <w:rFonts w:ascii="Times New Roman" w:hAnsi="Times New Roman" w:cs="Times New Roman" w:eastAsia="Times New Roman" w:hint="default"/>
        </w:rPr>
        <w:t>12.5%</w:t>
      </w:r>
      <w:r>
        <w:rPr/>
        <w:t>。 </w:t>
      </w:r>
      <w:r>
        <w:rPr>
          <w:rFonts w:ascii="Times New Roman" w:hAnsi="Times New Roman" w:cs="Times New Roman" w:eastAsia="Times New Roman" w:hint="default"/>
          <w:spacing w:val="-4"/>
        </w:rPr>
        <w:t>4</w:t>
      </w:r>
      <w:r>
        <w:rPr>
          <w:spacing w:val="-4"/>
        </w:rPr>
        <w:t>、本公司之子公司深圳市今天国际智能机器人有限公司被认定为“高新技术企业”，于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日取得编号为</w:t>
      </w:r>
      <w:r>
        <w:rPr>
          <w:spacing w:val="-37"/>
        </w:rPr>
        <w:t> </w:t>
      </w:r>
      <w:r>
        <w:rPr>
          <w:rFonts w:ascii="Times New Roman" w:hAnsi="Times New Roman" w:cs="Times New Roman" w:eastAsia="Times New Roman" w:hint="default"/>
        </w:rPr>
        <w:t>GR201844205355</w:t>
      </w:r>
      <w:r>
        <w:rPr/>
        <w:t>的高新技术企业认证，认定有效期为三年。根据《中华人民共和国企业所得税法》第二十八条及</w:t>
      </w:r>
      <w:r>
        <w:rPr>
          <w:spacing w:val="-69"/>
        </w:rPr>
        <w:t> </w:t>
      </w:r>
      <w:r>
        <w:rPr>
          <w:spacing w:val="-69"/>
        </w:rPr>
      </w:r>
      <w:r>
        <w:rPr>
          <w:spacing w:val="-2"/>
        </w:rPr>
        <w:t>其实施条例第九十三条规定，深圳市罗湖地方税务局同意本公司之子公司深圳市今天国际智能机器人有限公司实际</w:t>
      </w:r>
      <w:r>
        <w:rPr>
          <w:spacing w:val="-67"/>
        </w:rPr>
        <w:t> </w:t>
      </w:r>
      <w:r>
        <w:rPr>
          <w:spacing w:val="-67"/>
        </w:rPr>
      </w:r>
      <w:r>
        <w:rPr/>
        <w:t>执行高新技术企业的优惠企业所得税率</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24"/>
          <w:szCs w:val="24"/>
        </w:rPr>
      </w:pPr>
    </w:p>
    <w:p>
      <w:pPr>
        <w:pStyle w:val="BodyText"/>
        <w:spacing w:line="300" w:lineRule="auto"/>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报告期内公司享受的税收优惠政策，请见本节</w:t>
      </w:r>
      <w:r>
        <w:rPr>
          <w:rFonts w:ascii="Times New Roman" w:hAnsi="Times New Roman" w:cs="Times New Roman" w:eastAsia="Times New Roman" w:hint="default"/>
        </w:rPr>
        <w:t>“2</w:t>
      </w:r>
      <w:r>
        <w:rPr/>
        <w:t>、税收优惠</w:t>
      </w:r>
      <w:r>
        <w:rPr>
          <w:rFonts w:ascii="Times New Roman" w:hAnsi="Times New Roman" w:cs="Times New Roman" w:eastAsia="Times New Roman" w:hint="default"/>
        </w:rPr>
        <w:t>”</w:t>
      </w:r>
      <w:r>
        <w:rPr/>
        <w:t>。</w:t>
      </w:r>
    </w:p>
    <w:p>
      <w:pPr>
        <w:pStyle w:val="Heading2"/>
        <w:spacing w:line="281" w:lineRule="exact"/>
        <w:ind w:right="1116"/>
        <w:jc w:val="left"/>
        <w:rPr>
          <w:b w:val="0"/>
          <w:bCs w:val="0"/>
        </w:rPr>
      </w:pPr>
      <w:bookmarkStart w:name="七、合并财务报表项目注释" w:id="208"/>
      <w:bookmarkEnd w:id="208"/>
      <w:r>
        <w:rPr>
          <w:b w:val="0"/>
          <w:bCs w:val="0"/>
        </w:rPr>
      </w:r>
      <w:r>
        <w:rPr/>
        <w:t>七、合并财务报表项目注释</w:t>
      </w:r>
      <w:r>
        <w:rPr>
          <w:b w:val="0"/>
          <w:bCs w:val="0"/>
        </w:rPr>
      </w:r>
    </w:p>
    <w:p>
      <w:pPr>
        <w:pStyle w:val="Heading3"/>
        <w:spacing w:line="240" w:lineRule="auto" w:before="23"/>
        <w:ind w:right="1116"/>
        <w:jc w:val="left"/>
        <w:rPr>
          <w:b w:val="0"/>
          <w:bCs w:val="0"/>
        </w:rPr>
      </w:pPr>
      <w:bookmarkStart w:name="1、货币资金" w:id="209"/>
      <w:bookmarkEnd w:id="209"/>
      <w:r>
        <w:rPr>
          <w:b w:val="0"/>
          <w:bCs w:val="0"/>
        </w:rPr>
      </w:r>
      <w:r>
        <w:rPr>
          <w:rFonts w:ascii="Times New Roman" w:hAnsi="Times New Roman" w:cs="Times New Roman" w:eastAsia="Times New Roman" w:hint="default"/>
        </w:rPr>
        <w:t>1</w:t>
      </w:r>
      <w:r>
        <w:rPr/>
        <w:t>、货币资金</w:t>
      </w:r>
      <w:r>
        <w:rPr>
          <w:b w:val="0"/>
          <w:bCs w:val="0"/>
        </w:rPr>
      </w: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151,171.21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201,048.76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439,107,682.06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256,886,811.36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33,699,505.69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27,225,610.13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472,958,358.96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284,313,470.25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6,793,806.66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6,765,042.06</w:t>
            </w:r>
          </w:p>
        </w:tc>
      </w:tr>
    </w:tbl>
    <w:p>
      <w:pPr>
        <w:pStyle w:val="BodyText"/>
        <w:spacing w:line="240" w:lineRule="auto" w:before="8"/>
        <w:ind w:right="1116"/>
        <w:jc w:val="left"/>
      </w:pPr>
      <w:r>
        <w:rPr/>
        <w:t>其他说明</w:t>
      </w:r>
    </w:p>
    <w:p>
      <w:pPr>
        <w:pStyle w:val="BodyText"/>
        <w:spacing w:line="240" w:lineRule="auto" w:before="76"/>
        <w:ind w:left="866" w:right="1116"/>
        <w:jc w:val="left"/>
      </w:pPr>
      <w:r>
        <w:rPr/>
        <w:pict>
          <v:shape style="position:absolute;margin-left:87.024002pt;margin-top:32.911755pt;width:393.004592pt;height:5.07pt;mso-position-horizontal-relative:page;mso-position-vertical-relative:paragraph;z-index:-917344" type="#_x0000_t75" stroked="false">
            <v:imagedata r:id="rId32" o:title=""/>
          </v:shape>
        </w:pict>
      </w:r>
      <w:r>
        <w:rPr/>
        <w:pict>
          <v:shape style="position:absolute;margin-left:87.024002pt;margin-top:51.391693pt;width:390.67447pt;height:5.04pt;mso-position-horizontal-relative:page;mso-position-vertical-relative:paragraph;z-index:-917320" type="#_x0000_t75" stroked="false">
            <v:imagedata r:id="rId33" o:title=""/>
          </v:shape>
        </w:pict>
      </w:r>
      <w:r>
        <w:rPr/>
        <w:pict>
          <v:shape style="position:absolute;margin-left:87.024002pt;margin-top:69.871696pt;width:392.999913pt;height:5.07pt;mso-position-horizontal-relative:page;mso-position-vertical-relative:paragraph;z-index:-917296" type="#_x0000_t75" stroked="false">
            <v:imagedata r:id="rId32" o:title=""/>
          </v:shape>
        </w:pict>
      </w:r>
      <w:r>
        <w:rPr/>
        <w:pict>
          <v:shape style="position:absolute;margin-left:87.024002pt;margin-top:88.347755pt;width:393.004592pt;height:5.07pt;mso-position-horizontal-relative:page;mso-position-vertical-relative:paragraph;z-index:-917272" type="#_x0000_t75" stroked="false">
            <v:imagedata r:id="rId32" o:title=""/>
          </v:shape>
        </w:pict>
      </w:r>
      <w:r>
        <w:rPr/>
        <w:pict>
          <v:group style="position:absolute;margin-left:86.304001pt;margin-top:106.827698pt;width:391.4pt;height:5.2pt;mso-position-horizontal-relative:page;mso-position-vertical-relative:paragraph;z-index:-917248" coordorigin="1726,2137" coordsize="7828,104">
            <v:shape style="position:absolute;left:1726;top:2230;width:3346;height:10" type="#_x0000_t75" stroked="false">
              <v:imagedata r:id="rId34" o:title=""/>
            </v:shape>
            <v:shape style="position:absolute;left:5082;top:2137;width:4472;height:103" type="#_x0000_t75" stroked="false">
              <v:imagedata r:id="rId35" o:title=""/>
            </v:shape>
            <w10:wrap type="none"/>
          </v:group>
        </w:pict>
      </w:r>
      <w:r>
        <w:rPr/>
        <w:t>其中因抵押、质押或冻结等对使用有限制，以及放在境外且资金汇回受到限制的货币资金明细如下：</w:t>
      </w:r>
    </w:p>
    <w:p>
      <w:pPr>
        <w:spacing w:line="240" w:lineRule="auto" w:before="3"/>
        <w:rPr>
          <w:rFonts w:ascii="宋体" w:hAnsi="宋体" w:cs="宋体" w:eastAsia="宋体" w:hint="default"/>
          <w:sz w:val="5"/>
          <w:szCs w:val="5"/>
        </w:rPr>
      </w:pPr>
    </w:p>
    <w:tbl>
      <w:tblPr>
        <w:tblW w:w="0" w:type="auto"/>
        <w:jc w:val="left"/>
        <w:tblInd w:w="760" w:type="dxa"/>
        <w:tblLayout w:type="fixed"/>
        <w:tblCellMar>
          <w:top w:w="0" w:type="dxa"/>
          <w:left w:w="0" w:type="dxa"/>
          <w:bottom w:w="0" w:type="dxa"/>
          <w:right w:w="0" w:type="dxa"/>
        </w:tblCellMar>
        <w:tblLook w:val="01E0"/>
      </w:tblPr>
      <w:tblGrid>
        <w:gridCol w:w="3337"/>
        <w:gridCol w:w="2237"/>
        <w:gridCol w:w="2240"/>
      </w:tblGrid>
      <w:tr>
        <w:trPr>
          <w:trHeight w:val="337" w:hRule="exact"/>
        </w:trPr>
        <w:tc>
          <w:tcPr>
            <w:tcW w:w="3337" w:type="dxa"/>
            <w:tcBorders>
              <w:top w:val="single" w:sz="4" w:space="0" w:color="000000"/>
              <w:left w:val="nil" w:sz="6" w:space="0" w:color="auto"/>
              <w:bottom w:val="nil" w:sz="6" w:space="0" w:color="auto"/>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4" w:space="0" w:color="000000"/>
              <w:left w:val="single" w:sz="4" w:space="0" w:color="000000"/>
              <w:bottom w:val="nil" w:sz="6" w:space="0" w:color="auto"/>
              <w:right w:val="nil" w:sz="6" w:space="0" w:color="auto"/>
            </w:tcBorders>
          </w:tcPr>
          <w:p>
            <w:pPr>
              <w:pStyle w:val="TableParagraph"/>
              <w:spacing w:line="240" w:lineRule="auto" w:before="97"/>
              <w:ind w:left="57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 w:hRule="exact"/>
        </w:trPr>
        <w:tc>
          <w:tcPr>
            <w:tcW w:w="3337" w:type="dxa"/>
            <w:tcBorders>
              <w:top w:val="nil" w:sz="6" w:space="0" w:color="auto"/>
              <w:left w:val="nil" w:sz="6" w:space="0" w:color="auto"/>
              <w:bottom w:val="nil" w:sz="6" w:space="0" w:color="auto"/>
              <w:right w:val="single" w:sz="4" w:space="0" w:color="000000"/>
            </w:tcBorders>
          </w:tcPr>
          <w:p>
            <w:pPr/>
          </w:p>
        </w:tc>
        <w:tc>
          <w:tcPr>
            <w:tcW w:w="2237" w:type="dxa"/>
            <w:tcBorders>
              <w:top w:val="nil" w:sz="6" w:space="0" w:color="auto"/>
              <w:left w:val="single" w:sz="4" w:space="0" w:color="000000"/>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52" w:hRule="exact"/>
        </w:trPr>
        <w:tc>
          <w:tcPr>
            <w:tcW w:w="333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19,247,721.14</w:t>
            </w:r>
          </w:p>
        </w:tc>
        <w:tc>
          <w:tcPr>
            <w:tcW w:w="2240"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17,605,453.94</w:t>
            </w:r>
          </w:p>
        </w:tc>
      </w:tr>
      <w:tr>
        <w:trPr>
          <w:trHeight w:val="18" w:hRule="exact"/>
        </w:trPr>
        <w:tc>
          <w:tcPr>
            <w:tcW w:w="3337"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52" w:hRule="exact"/>
        </w:trPr>
        <w:tc>
          <w:tcPr>
            <w:tcW w:w="333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7,714,681.56</w:t>
            </w:r>
          </w:p>
        </w:tc>
        <w:tc>
          <w:tcPr>
            <w:tcW w:w="2240"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3,575,209.56</w:t>
            </w:r>
          </w:p>
        </w:tc>
      </w:tr>
      <w:tr>
        <w:trPr>
          <w:trHeight w:val="18" w:hRule="exact"/>
        </w:trPr>
        <w:tc>
          <w:tcPr>
            <w:tcW w:w="3337"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52" w:hRule="exact"/>
        </w:trPr>
        <w:tc>
          <w:tcPr>
            <w:tcW w:w="333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6,737,102.99</w:t>
            </w:r>
          </w:p>
        </w:tc>
        <w:tc>
          <w:tcPr>
            <w:tcW w:w="2240"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5,514,357.52</w:t>
            </w:r>
          </w:p>
        </w:tc>
      </w:tr>
      <w:tr>
        <w:trPr>
          <w:trHeight w:val="18" w:hRule="exact"/>
        </w:trPr>
        <w:tc>
          <w:tcPr>
            <w:tcW w:w="3337"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54" w:hRule="exact"/>
        </w:trPr>
        <w:tc>
          <w:tcPr>
            <w:tcW w:w="3337"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2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6,793,806.66</w:t>
            </w:r>
          </w:p>
        </w:tc>
        <w:tc>
          <w:tcPr>
            <w:tcW w:w="2240"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6,765,042.06</w:t>
            </w:r>
          </w:p>
        </w:tc>
      </w:tr>
      <w:tr>
        <w:trPr>
          <w:trHeight w:val="18" w:hRule="exact"/>
        </w:trPr>
        <w:tc>
          <w:tcPr>
            <w:tcW w:w="3337" w:type="dxa"/>
            <w:tcBorders>
              <w:top w:val="nil" w:sz="6" w:space="0" w:color="auto"/>
              <w:left w:val="nil" w:sz="6" w:space="0" w:color="auto"/>
              <w:bottom w:val="nil" w:sz="6" w:space="0" w:color="auto"/>
              <w:right w:val="single" w:sz="4" w:space="0" w:color="000000"/>
            </w:tcBorders>
          </w:tcPr>
          <w:p>
            <w:pPr/>
          </w:p>
        </w:tc>
        <w:tc>
          <w:tcPr>
            <w:tcW w:w="2237" w:type="dxa"/>
            <w:tcBorders>
              <w:top w:val="nil" w:sz="6" w:space="0" w:color="auto"/>
              <w:left w:val="single" w:sz="4" w:space="0" w:color="000000"/>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746" w:type="dxa"/>
        <w:tblLayout w:type="fixed"/>
        <w:tblCellMar>
          <w:top w:w="0" w:type="dxa"/>
          <w:left w:w="0" w:type="dxa"/>
          <w:bottom w:w="0" w:type="dxa"/>
          <w:right w:w="0" w:type="dxa"/>
        </w:tblCellMar>
        <w:tblLook w:val="01E0"/>
      </w:tblPr>
      <w:tblGrid>
        <w:gridCol w:w="3351"/>
        <w:gridCol w:w="2237"/>
        <w:gridCol w:w="2240"/>
      </w:tblGrid>
      <w:tr>
        <w:trPr>
          <w:trHeight w:val="274" w:hRule="exact"/>
        </w:trPr>
        <w:tc>
          <w:tcPr>
            <w:tcW w:w="3351" w:type="dxa"/>
            <w:vMerge w:val="restart"/>
            <w:tcBorders>
              <w:top w:val="single" w:sz="4" w:space="0" w:color="000000"/>
              <w:left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nil" w:sz="6" w:space="0" w:color="auto"/>
              <w:right w:val="single" w:sz="4" w:space="0" w:color="000000"/>
            </w:tcBorders>
          </w:tcPr>
          <w:p>
            <w:pPr>
              <w:pStyle w:val="TableParagraph"/>
              <w:spacing w:line="212" w:lineRule="exact"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4" w:space="0" w:color="000000"/>
              <w:left w:val="single" w:sz="4" w:space="0" w:color="000000"/>
              <w:bottom w:val="nil" w:sz="6" w:space="0" w:color="auto"/>
              <w:right w:val="nil" w:sz="6" w:space="0" w:color="auto"/>
            </w:tcBorders>
          </w:tcPr>
          <w:p>
            <w:pPr>
              <w:pStyle w:val="TableParagraph"/>
              <w:spacing w:line="212" w:lineRule="exact" w:before="97"/>
              <w:ind w:left="57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64" w:hRule="exact"/>
        </w:trPr>
        <w:tc>
          <w:tcPr>
            <w:tcW w:w="3351" w:type="dxa"/>
            <w:vMerge/>
            <w:tcBorders>
              <w:left w:val="nil" w:sz="6" w:space="0" w:color="auto"/>
              <w:right w:val="single" w:sz="4" w:space="0" w:color="000000"/>
            </w:tcBorders>
          </w:tcPr>
          <w:p>
            <w:pPr/>
          </w:p>
        </w:tc>
        <w:tc>
          <w:tcPr>
            <w:tcW w:w="2237" w:type="dxa"/>
            <w:tcBorders>
              <w:top w:val="nil" w:sz="6" w:space="0" w:color="auto"/>
              <w:left w:val="single" w:sz="4" w:space="0" w:color="000000"/>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7" w:hRule="exact"/>
        </w:trPr>
        <w:tc>
          <w:tcPr>
            <w:tcW w:w="3351" w:type="dxa"/>
            <w:vMerge/>
            <w:tcBorders>
              <w:left w:val="nil" w:sz="6" w:space="0" w:color="auto"/>
              <w:bottom w:val="nil" w:sz="6" w:space="0" w:color="auto"/>
              <w:right w:val="single" w:sz="4" w:space="0" w:color="000000"/>
            </w:tcBorders>
          </w:tcPr>
          <w:p>
            <w:pPr/>
          </w:p>
        </w:tc>
        <w:tc>
          <w:tcPr>
            <w:tcW w:w="2237" w:type="dxa"/>
            <w:tcBorders>
              <w:top w:val="nil" w:sz="6" w:space="0" w:color="auto"/>
              <w:left w:val="single" w:sz="4" w:space="0" w:color="000000"/>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70" w:hRule="exact"/>
        </w:trPr>
        <w:tc>
          <w:tcPr>
            <w:tcW w:w="3351"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诉讼事项冻结款</w:t>
            </w:r>
          </w:p>
        </w:tc>
        <w:tc>
          <w:tcPr>
            <w:tcW w:w="2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170,051.20</w:t>
            </w:r>
          </w:p>
        </w:tc>
        <w:tc>
          <w:tcPr>
            <w:tcW w:w="2240" w:type="dxa"/>
            <w:tcBorders>
              <w:top w:val="nil" w:sz="6" w:space="0" w:color="auto"/>
              <w:left w:val="single" w:sz="4" w:space="0" w:color="000000"/>
              <w:bottom w:val="nil" w:sz="6" w:space="0" w:color="auto"/>
              <w:right w:val="nil" w:sz="6" w:space="0" w:color="auto"/>
            </w:tcBorders>
          </w:tcPr>
          <w:p>
            <w:pPr/>
          </w:p>
        </w:tc>
      </w:tr>
      <w:tr>
        <w:trPr>
          <w:trHeight w:val="377" w:hRule="exact"/>
        </w:trPr>
        <w:tc>
          <w:tcPr>
            <w:tcW w:w="3351" w:type="dxa"/>
            <w:tcBorders>
              <w:top w:val="nil" w:sz="6" w:space="0" w:color="auto"/>
              <w:left w:val="nil" w:sz="6" w:space="0" w:color="auto"/>
              <w:bottom w:val="single" w:sz="12" w:space="0" w:color="000000"/>
              <w:right w:val="single" w:sz="4" w:space="0" w:color="000000"/>
            </w:tcBorders>
          </w:tcPr>
          <w:p>
            <w:pPr>
              <w:pStyle w:val="TableParagraph"/>
              <w:spacing w:line="240" w:lineRule="auto" w:before="9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40,663,363.55</w:t>
            </w:r>
          </w:p>
        </w:tc>
        <w:tc>
          <w:tcPr>
            <w:tcW w:w="2240" w:type="dxa"/>
            <w:tcBorders>
              <w:top w:val="nil" w:sz="6" w:space="0" w:color="auto"/>
              <w:left w:val="single" w:sz="4" w:space="0" w:color="000000"/>
              <w:bottom w:val="single" w:sz="12" w:space="0" w:color="000000"/>
              <w:right w:val="nil" w:sz="6" w:space="0" w:color="auto"/>
            </w:tcBorders>
          </w:tcPr>
          <w:p>
            <w:pPr>
              <w:pStyle w:val="TableParagraph"/>
              <w:spacing w:line="240" w:lineRule="auto" w:before="151"/>
              <w:ind w:left="1094" w:right="0"/>
              <w:jc w:val="left"/>
              <w:rPr>
                <w:rFonts w:ascii="Times New Roman" w:hAnsi="Times New Roman" w:cs="Times New Roman" w:eastAsia="Times New Roman" w:hint="default"/>
                <w:sz w:val="18"/>
                <w:szCs w:val="18"/>
              </w:rPr>
            </w:pPr>
            <w:r>
              <w:rPr>
                <w:rFonts w:ascii="Times New Roman"/>
                <w:sz w:val="18"/>
              </w:rPr>
              <w:t>33,460,063.08</w:t>
            </w:r>
          </w:p>
        </w:tc>
      </w:tr>
    </w:tbl>
    <w:p>
      <w:pPr>
        <w:spacing w:line="240" w:lineRule="auto" w:before="1"/>
        <w:rPr>
          <w:rFonts w:ascii="宋体" w:hAnsi="宋体" w:cs="宋体" w:eastAsia="宋体" w:hint="default"/>
          <w:sz w:val="21"/>
          <w:szCs w:val="21"/>
        </w:rPr>
      </w:pPr>
    </w:p>
    <w:p>
      <w:pPr>
        <w:pStyle w:val="BodyText"/>
        <w:spacing w:line="300" w:lineRule="auto" w:before="44"/>
        <w:ind w:left="866" w:right="1128"/>
        <w:jc w:val="both"/>
      </w:pPr>
      <w:r>
        <w:rPr/>
        <w:pict>
          <v:shape style="position:absolute;margin-left:87.024002pt;margin-top:-56.908295pt;width:391.44656pt;height:5.07pt;mso-position-horizontal-relative:page;mso-position-vertical-relative:paragraph;z-index:-917224" type="#_x0000_t75" stroked="false">
            <v:imagedata r:id="rId36" o:title=""/>
          </v:shape>
        </w:pict>
      </w:r>
      <w:r>
        <w:rPr/>
        <w:pict>
          <v:shape style="position:absolute;margin-left:87.024002pt;margin-top:-38.408237pt;width:390.679121pt;height:5.04pt;mso-position-horizontal-relative:page;mso-position-vertical-relative:paragraph;z-index:-917200" type="#_x0000_t75" stroked="false">
            <v:imagedata r:id="rId33" o:title=""/>
          </v:shape>
        </w:pict>
      </w:r>
      <w:r>
        <w:rPr>
          <w:spacing w:val="-1"/>
        </w:rPr>
        <w:t>（</w:t>
      </w:r>
      <w:r>
        <w:rPr>
          <w:rFonts w:ascii="Times New Roman" w:hAnsi="Times New Roman" w:cs="Times New Roman" w:eastAsia="Times New Roman" w:hint="default"/>
          <w:spacing w:val="-1"/>
        </w:rPr>
        <w:t>1</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日，本公司存放于境外且资金汇回受到限制的货币资金折算人民币</w:t>
      </w:r>
      <w:r>
        <w:rPr>
          <w:rFonts w:ascii="Times New Roman" w:hAnsi="Times New Roman" w:cs="Times New Roman" w:eastAsia="Times New Roman" w:hint="default"/>
          <w:spacing w:val="-1"/>
        </w:rPr>
        <w:t>6,793,806.66</w:t>
      </w:r>
      <w:r>
        <w:rPr>
          <w:spacing w:val="-1"/>
        </w:rPr>
        <w:t>元，均为本</w:t>
      </w:r>
      <w:r>
        <w:rPr>
          <w:spacing w:val="-68"/>
        </w:rPr>
        <w:t> </w:t>
      </w:r>
      <w:r>
        <w:rPr>
          <w:spacing w:val="-68"/>
        </w:rPr>
      </w:r>
      <w:r>
        <w:rPr/>
        <w:t>公司之香港子公司今天国际物流科技有限公司的银行存款。</w:t>
      </w:r>
    </w:p>
    <w:p>
      <w:pPr>
        <w:pStyle w:val="BodyText"/>
        <w:spacing w:line="300" w:lineRule="auto" w:before="31"/>
        <w:ind w:left="866" w:right="1132"/>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日，其他货币资金人民币</w:t>
      </w:r>
      <w:r>
        <w:rPr>
          <w:rFonts w:ascii="Times New Roman" w:hAnsi="Times New Roman" w:cs="Times New Roman" w:eastAsia="Times New Roman" w:hint="default"/>
        </w:rPr>
        <w:t>33,699,505.69</w:t>
      </w:r>
      <w:r>
        <w:rPr/>
        <w:t>元为本公司存入银行的的保函保证金、信用证保证</w:t>
      </w:r>
      <w:r>
        <w:rPr>
          <w:spacing w:val="-44"/>
        </w:rPr>
        <w:t> </w:t>
      </w:r>
      <w:r>
        <w:rPr>
          <w:spacing w:val="-44"/>
        </w:rPr>
      </w:r>
      <w:r>
        <w:rPr/>
        <w:t>金以及银行承兑汇票保证金存款。</w:t>
      </w:r>
    </w:p>
    <w:p>
      <w:pPr>
        <w:pStyle w:val="Heading4"/>
        <w:spacing w:line="256" w:lineRule="auto" w:before="11"/>
        <w:ind w:left="866" w:right="1128"/>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日，本公司供应商宁波振东光电有限公司因买卖合同纠纷向浙江省余姚市人民</w:t>
      </w:r>
      <w:r>
        <w:rPr>
          <w:spacing w:val="-10"/>
        </w:rPr>
        <w:t> </w:t>
      </w:r>
      <w:r>
        <w:rPr>
          <w:spacing w:val="-10"/>
        </w:rPr>
      </w:r>
      <w:r>
        <w:rPr>
          <w:spacing w:val="-2"/>
        </w:rPr>
        <w:t>法院申请财产保全，请求冻结本公司银行存款</w:t>
      </w:r>
      <w:r>
        <w:rPr>
          <w:rFonts w:ascii="Times New Roman" w:hAnsi="Times New Roman" w:cs="Times New Roman" w:eastAsia="Times New Roman" w:hint="default"/>
          <w:spacing w:val="-2"/>
        </w:rPr>
        <w:t>170,051.20</w:t>
      </w:r>
      <w:r>
        <w:rPr>
          <w:spacing w:val="-2"/>
        </w:rPr>
        <w:t>元，若金额不足，则查封、冻结、扣押本</w:t>
      </w:r>
      <w:r>
        <w:rPr>
          <w:spacing w:val="-21"/>
        </w:rPr>
        <w:t> </w:t>
      </w:r>
      <w:r>
        <w:rPr>
          <w:spacing w:val="-21"/>
        </w:rPr>
      </w:r>
      <w:r>
        <w:rPr>
          <w:spacing w:val="-6"/>
        </w:rPr>
        <w:t>公司名下同等价值的其他财产；</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19</w:t>
      </w:r>
      <w:r>
        <w:rPr>
          <w:spacing w:val="-6"/>
        </w:rPr>
        <w:t>日浙江省余姚市人民法院作出（</w:t>
      </w:r>
      <w:r>
        <w:rPr>
          <w:rFonts w:ascii="Times New Roman" w:hAnsi="Times New Roman" w:cs="Times New Roman" w:eastAsia="Times New Roman" w:hint="default"/>
          <w:spacing w:val="-6"/>
        </w:rPr>
        <w:t>2019</w:t>
      </w:r>
      <w:r>
        <w:rPr>
          <w:spacing w:val="-6"/>
        </w:rPr>
        <w:t>）浙</w:t>
      </w:r>
      <w:r>
        <w:rPr>
          <w:rFonts w:ascii="Times New Roman" w:hAnsi="Times New Roman" w:cs="Times New Roman" w:eastAsia="Times New Roman" w:hint="default"/>
          <w:spacing w:val="-6"/>
        </w:rPr>
        <w:t>0281</w:t>
      </w:r>
      <w:r>
        <w:rPr>
          <w:spacing w:val="-6"/>
        </w:rPr>
        <w:t>民初</w:t>
      </w:r>
      <w:r>
        <w:rPr>
          <w:rFonts w:ascii="Times New Roman" w:hAnsi="Times New Roman" w:cs="Times New Roman" w:eastAsia="Times New Roman" w:hint="default"/>
          <w:spacing w:val="-6"/>
        </w:rPr>
        <w:t>4577</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5"/>
          <w:w w:val="100"/>
        </w:rPr>
        <w:t>号《民事裁定书》，裁定冻结本公司银行存款</w:t>
      </w:r>
      <w:r>
        <w:rPr>
          <w:rFonts w:ascii="Times New Roman" w:hAnsi="Times New Roman" w:cs="Times New Roman" w:eastAsia="Times New Roman" w:hint="default"/>
          <w:spacing w:val="-5"/>
          <w:w w:val="100"/>
        </w:rPr>
        <w:t>170,051.20</w:t>
      </w:r>
      <w:r>
        <w:rPr>
          <w:spacing w:val="-5"/>
          <w:w w:val="100"/>
        </w:rPr>
        <w:t>元。</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080" w:bottom="1160" w:left="980" w:right="0"/>
        </w:sectPr>
      </w:pPr>
    </w:p>
    <w:p>
      <w:pPr>
        <w:pStyle w:val="Heading3"/>
        <w:spacing w:line="240" w:lineRule="auto" w:before="36"/>
        <w:ind w:right="-6"/>
        <w:jc w:val="left"/>
        <w:rPr>
          <w:b w:val="0"/>
          <w:bCs w:val="0"/>
        </w:rPr>
      </w:pPr>
      <w:bookmarkStart w:name="2、应收票据" w:id="210"/>
      <w:bookmarkEnd w:id="210"/>
      <w:r>
        <w:rPr>
          <w:b w:val="0"/>
          <w:bCs w:val="0"/>
        </w:rPr>
      </w:r>
      <w:r>
        <w:rPr>
          <w:rFonts w:ascii="Times New Roman" w:hAnsi="Times New Roman" w:cs="Times New Roman" w:eastAsia="Times New Roman" w:hint="default"/>
        </w:rPr>
        <w:t>2</w:t>
      </w:r>
      <w:r>
        <w:rPr/>
        <w:t>、应收票据</w:t>
      </w:r>
      <w:r>
        <w:rPr>
          <w:b w:val="0"/>
          <w:bCs w:val="0"/>
        </w:rPr>
      </w:r>
    </w:p>
    <w:p>
      <w:pPr>
        <w:pStyle w:val="Heading3"/>
        <w:spacing w:line="240" w:lineRule="auto" w:before="23"/>
        <w:ind w:right="-6"/>
        <w:jc w:val="left"/>
        <w:rPr>
          <w:b w:val="0"/>
          <w:bCs w:val="0"/>
        </w:rPr>
      </w:pPr>
      <w:bookmarkStart w:name="（1）应收票据分类列示" w:id="211"/>
      <w:bookmarkEnd w:id="211"/>
      <w:r>
        <w:rPr>
          <w:b w:val="0"/>
          <w:bCs w:val="0"/>
        </w:rPr>
      </w:r>
      <w:r>
        <w:rPr>
          <w:spacing w:val="-1"/>
        </w:rPr>
        <w:t>（</w:t>
      </w:r>
      <w:r>
        <w:rPr>
          <w:rFonts w:ascii="Times New Roman" w:hAnsi="Times New Roman" w:cs="Times New Roman" w:eastAsia="Times New Roman" w:hint="default"/>
          <w:spacing w:val="-1"/>
        </w:rPr>
        <w:t>1</w:t>
      </w:r>
      <w:r>
        <w:rPr>
          <w:spacing w:val="-1"/>
        </w:rPr>
        <w:t>）应收票据分类列示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12,660,687.18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5,958,479.24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44,364,872.86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30,985,271.72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57,025,560.04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36,943,750.96</w:t>
            </w:r>
          </w:p>
        </w:tc>
      </w:tr>
    </w:tbl>
    <w:p>
      <w:pPr>
        <w:pStyle w:val="BodyText"/>
        <w:spacing w:line="240" w:lineRule="auto" w:before="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64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799"/>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57,509,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931.88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484,37</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1.84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57,025,</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560.04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37,278,</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879.24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335,128.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36,943,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750.96</w:t>
            </w:r>
          </w:p>
        </w:tc>
      </w:tr>
      <w:tr>
        <w:trPr>
          <w:trHeight w:val="32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99"/>
              <w:jc w:val="righ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687.18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22.01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687.18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5,958,4</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79.24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15.98%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5,958,4</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79.24</w:t>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244.70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77.99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484,37</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1.84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44,364,</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872.86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84.02%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335,128.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30,985,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271.72</w:t>
            </w:r>
          </w:p>
        </w:tc>
      </w:tr>
      <w:tr>
        <w:trPr>
          <w:trHeight w:val="63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57,509,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931.88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484,37</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1.84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57,025,</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560.04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37,278,</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879.24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335,128.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36,943,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750.96</w:t>
            </w:r>
          </w:p>
        </w:tc>
      </w:tr>
    </w:tbl>
    <w:p>
      <w:pPr>
        <w:pStyle w:val="BodyText"/>
        <w:spacing w:line="240" w:lineRule="auto" w:before="8"/>
        <w:ind w:right="1116"/>
        <w:jc w:val="left"/>
      </w:pPr>
      <w:r>
        <w:rPr/>
        <w:t>按单项计提坏账准备：</w:t>
      </w:r>
    </w:p>
    <w:p>
      <w:pPr>
        <w:pStyle w:val="BodyText"/>
        <w:spacing w:line="240" w:lineRule="auto" w:before="76"/>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2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8"/>
        <w:ind w:right="1116"/>
        <w:jc w:val="left"/>
        <w:rPr>
          <w:rFonts w:ascii="Times New Roman" w:hAnsi="Times New Roman" w:cs="Times New Roman" w:eastAsia="Times New Roman" w:hint="default"/>
        </w:rPr>
      </w:pPr>
      <w:r>
        <w:rPr/>
        <w:t>按组合计提坏账准备：</w:t>
      </w:r>
      <w:r>
        <w:rPr>
          <w:spacing w:val="1"/>
        </w:rPr>
        <w:t> </w:t>
      </w:r>
      <w:r>
        <w:rPr>
          <w:rFonts w:ascii="Times New Roman" w:hAnsi="Times New Roman" w:cs="Times New Roman" w:eastAsia="Times New Roman" w:hint="default"/>
        </w:rPr>
        <w:t>0</w:t>
      </w:r>
    </w:p>
    <w:p>
      <w:pPr>
        <w:pStyle w:val="BodyText"/>
        <w:spacing w:line="240" w:lineRule="auto" w:before="63"/>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32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12,660,687.18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12,660,687.18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80" w:bottom="1160" w:left="980" w:right="0"/>
        </w:sectPr>
      </w:pPr>
    </w:p>
    <w:p>
      <w:pPr>
        <w:pStyle w:val="BodyText"/>
        <w:spacing w:line="309" w:lineRule="auto" w:before="8"/>
        <w:ind w:right="-18"/>
        <w:jc w:val="left"/>
        <w:rPr>
          <w:rFonts w:ascii="Times New Roman" w:hAnsi="Times New Roman" w:cs="Times New Roman" w:eastAsia="Times New Roman" w:hint="default"/>
        </w:rPr>
      </w:pPr>
      <w:r>
        <w:rPr/>
        <w:t>确定该组合依据的说明： 组合</w:t>
      </w:r>
      <w:r>
        <w:rPr>
          <w:rFonts w:ascii="Times New Roman" w:hAnsi="Times New Roman" w:cs="Times New Roman" w:eastAsia="Times New Roman" w:hint="default"/>
        </w:rPr>
        <w:t>1</w:t>
      </w:r>
      <w:r>
        <w:rPr/>
        <w:t>，是信用风险较低的银行承兑汇票，具体包括开票行为国有银行和已上市商业银行的银行承兑汇票。 按组合计提坏账准备：</w:t>
      </w:r>
      <w:r>
        <w:rPr>
          <w:rFonts w:ascii="Times New Roman" w:hAnsi="Times New Roman" w:cs="Times New Roman" w:eastAsia="Times New Roman" w:hint="default"/>
        </w:rPr>
        <w:t>484,371.84</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8525" w:space="304"/>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44,849,244.70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484,371.84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1.08%</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44,849,244.70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484,371.84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2" w:lineRule="auto" w:before="8"/>
        <w:ind w:right="1124"/>
        <w:jc w:val="left"/>
      </w:pPr>
      <w:r>
        <w:rPr/>
        <w:t>确定该组合依据的说明： 组合</w:t>
      </w:r>
      <w:r>
        <w:rPr>
          <w:rFonts w:ascii="Times New Roman" w:hAnsi="Times New Roman" w:cs="Times New Roman" w:eastAsia="Times New Roman" w:hint="default"/>
        </w:rPr>
        <w:t>2</w:t>
      </w:r>
      <w:r>
        <w:rPr/>
        <w:t>，包括商业承兑汇票和信用风险较高的银行承兑汇票，后者指开票行不属于国有银行和已上市商业银行的单位开具的 银行承兑汇票。 如是按照预期信用损失一般模型计提应收票据坏账准备，请参照其他应收款的披露方式披露坏账准备的相关信息：</w:t>
      </w:r>
    </w:p>
    <w:p>
      <w:pPr>
        <w:pStyle w:val="BodyText"/>
        <w:spacing w:line="240" w:lineRule="auto" w:before="22"/>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2）本期计提、收回或转回的坏账准备情况" w:id="212"/>
      <w:bookmarkEnd w:id="2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44"/>
        <w:ind w:right="1116"/>
        <w:jc w:val="left"/>
      </w:pPr>
      <w:r>
        <w:rPr/>
        <w:t>本期计提坏账准备情况：</w:t>
      </w:r>
    </w:p>
    <w:p>
      <w:pPr>
        <w:pStyle w:val="BodyText"/>
        <w:spacing w:line="240" w:lineRule="auto" w:before="76"/>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335,128.28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149,243.56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484,371.84</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335,128.28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149,243.56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484,371.84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0"/>
        <w:jc w:val="left"/>
      </w:pPr>
      <w:r>
        <w:rPr/>
        <w:t>其中本期坏账准备收回或转回金额重要的：</w:t>
      </w:r>
    </w:p>
    <w:p>
      <w:pPr>
        <w:pStyle w:val="BodyText"/>
        <w:spacing w:line="240" w:lineRule="auto" w:before="77"/>
        <w:ind w:right="0"/>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0"/>
        <w:jc w:val="left"/>
        <w:rPr>
          <w:b w:val="0"/>
          <w:bCs w:val="0"/>
        </w:rPr>
      </w:pPr>
      <w:bookmarkStart w:name="（3）期末公司已背书或贴现且在资产负债表日尚未到期的应收票据" w:id="213"/>
      <w:bookmarkEnd w:id="213"/>
      <w:r>
        <w:rPr>
          <w:b w:val="0"/>
          <w:bCs w:val="0"/>
        </w:rPr>
      </w:r>
      <w:r>
        <w:rPr>
          <w:spacing w:val="-1"/>
        </w:rPr>
        <w:t>（</w:t>
      </w:r>
      <w:r>
        <w:rPr>
          <w:rFonts w:ascii="Times New Roman" w:hAnsi="Times New Roman" w:cs="Times New Roman" w:eastAsia="Times New Roman" w:hint="default"/>
          <w:spacing w:val="-1"/>
        </w:rPr>
        <w:t>3</w:t>
      </w:r>
      <w:r>
        <w:rPr>
          <w:spacing w:val="-1"/>
        </w:rPr>
        <w:t>）期末公司已背书或贴现且在资产负债表日尚未到期的应收票据</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75" w:space="2454"/>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10,908,687.18</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10,908,687.18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6"/>
        <w:jc w:val="left"/>
        <w:rPr>
          <w:b w:val="0"/>
          <w:bCs w:val="0"/>
        </w:rPr>
      </w:pPr>
      <w:bookmarkStart w:name="3、应收账款" w:id="214"/>
      <w:bookmarkEnd w:id="214"/>
      <w:r>
        <w:rPr>
          <w:b w:val="0"/>
          <w:bCs w:val="0"/>
        </w:rPr>
      </w:r>
      <w:r>
        <w:rPr>
          <w:rFonts w:ascii="Times New Roman" w:hAnsi="Times New Roman" w:cs="Times New Roman" w:eastAsia="Times New Roman" w:hint="default"/>
        </w:rPr>
        <w:t>3</w:t>
      </w:r>
      <w:r>
        <w:rPr/>
        <w:t>、应收账款</w:t>
      </w:r>
      <w:r>
        <w:rPr>
          <w:b w:val="0"/>
          <w:bCs w:val="0"/>
        </w:rPr>
      </w:r>
    </w:p>
    <w:p>
      <w:pPr>
        <w:pStyle w:val="Heading3"/>
        <w:spacing w:line="240" w:lineRule="auto" w:before="21"/>
        <w:ind w:right="-6"/>
        <w:jc w:val="left"/>
        <w:rPr>
          <w:b w:val="0"/>
          <w:bCs w:val="0"/>
        </w:rPr>
      </w:pPr>
      <w:bookmarkStart w:name="（1）应收账款分类披露" w:id="215"/>
      <w:bookmarkEnd w:id="215"/>
      <w:r>
        <w:rPr>
          <w:b w:val="0"/>
          <w:bCs w:val="0"/>
        </w:rPr>
      </w: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64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513,20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8,014.1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32,849,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151.10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Times New Roman" w:hAnsi="Times New Roman" w:cs="Times New Roman" w:eastAsia="Times New Roman" w:hint="default"/>
                <w:sz w:val="18"/>
                <w:szCs w:val="18"/>
              </w:rPr>
            </w:pPr>
            <w:r>
              <w:rPr>
                <w:rFonts w:ascii="Times New Roman"/>
                <w:sz w:val="18"/>
              </w:rPr>
              <w:t>6.40%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480,35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8,863.0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485,23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3,222.5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21,741,</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559.13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1" w:right="0"/>
              <w:jc w:val="left"/>
              <w:rPr>
                <w:rFonts w:ascii="Times New Roman" w:hAnsi="Times New Roman" w:cs="Times New Roman" w:eastAsia="Times New Roman" w:hint="default"/>
                <w:sz w:val="18"/>
                <w:szCs w:val="18"/>
              </w:rPr>
            </w:pPr>
            <w:r>
              <w:rPr>
                <w:rFonts w:ascii="Times New Roman"/>
                <w:sz w:val="18"/>
              </w:rPr>
              <w:t>4.48%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463,491,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663.45</w:t>
            </w:r>
          </w:p>
        </w:tc>
      </w:tr>
      <w:tr>
        <w:trPr>
          <w:trHeight w:val="32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94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4" w:lineRule="auto"/>
              <w:ind w:left="103" w:right="75"/>
              <w:jc w:val="left"/>
              <w:rPr>
                <w:rFonts w:ascii="宋体" w:hAnsi="宋体" w:cs="宋体" w:eastAsia="宋体" w:hint="default"/>
                <w:sz w:val="18"/>
                <w:szCs w:val="18"/>
              </w:rPr>
            </w:pPr>
            <w:r>
              <w:rPr>
                <w:rFonts w:ascii="宋体" w:hAnsi="宋体" w:cs="宋体" w:eastAsia="宋体" w:hint="default"/>
                <w:spacing w:val="22"/>
                <w:sz w:val="18"/>
                <w:szCs w:val="18"/>
              </w:rPr>
              <w:t>信用期内应收账</w:t>
            </w:r>
            <w:r>
              <w:rPr>
                <w:rFonts w:ascii="宋体" w:hAnsi="宋体" w:cs="宋体" w:eastAsia="宋体" w:hint="default"/>
                <w:spacing w:val="-64"/>
                <w:sz w:val="18"/>
                <w:szCs w:val="18"/>
              </w:rPr>
              <w:t> </w:t>
            </w:r>
            <w:r>
              <w:rPr>
                <w:rFonts w:ascii="宋体" w:hAnsi="宋体" w:cs="宋体" w:eastAsia="宋体" w:hint="default"/>
                <w:sz w:val="18"/>
                <w:szCs w:val="18"/>
              </w:rPr>
              <w:t>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366,03</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2,684.6</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47" w:right="0"/>
              <w:jc w:val="center"/>
              <w:rPr>
                <w:rFonts w:ascii="Times New Roman" w:hAnsi="Times New Roman" w:cs="Times New Roman" w:eastAsia="Times New Roman" w:hint="default"/>
                <w:sz w:val="18"/>
                <w:szCs w:val="18"/>
              </w:rPr>
            </w:pPr>
            <w:r>
              <w:rPr>
                <w:rFonts w:ascii="Times New Roman"/>
                <w:sz w:val="18"/>
              </w:rPr>
              <w:t>71.32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11,347,</w:t>
            </w:r>
          </w:p>
          <w:p>
            <w:pPr>
              <w:pStyle w:val="TableParagraph"/>
              <w:spacing w:line="240" w:lineRule="auto" w:before="33"/>
              <w:ind w:left="155" w:right="0"/>
              <w:jc w:val="left"/>
              <w:rPr>
                <w:rFonts w:ascii="Times New Roman" w:hAnsi="Times New Roman" w:cs="Times New Roman" w:eastAsia="Times New Roman" w:hint="default"/>
                <w:sz w:val="18"/>
                <w:szCs w:val="18"/>
              </w:rPr>
            </w:pPr>
            <w:r>
              <w:rPr>
                <w:rFonts w:ascii="Times New Roman"/>
                <w:sz w:val="18"/>
              </w:rPr>
              <w:t>013.22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pacing w:val="-1"/>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354,68</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5,671.4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2"/>
                <w:sz w:val="18"/>
              </w:rPr>
              <w:t>391,11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9,482.4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80.60%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12,124,</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703.95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378,994,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778.49</w:t>
            </w:r>
          </w:p>
        </w:tc>
      </w:tr>
      <w:tr>
        <w:trPr>
          <w:trHeight w:val="730"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101"/>
              <w:jc w:val="left"/>
              <w:rPr>
                <w:rFonts w:ascii="宋体" w:hAnsi="宋体" w:cs="宋体" w:eastAsia="宋体" w:hint="default"/>
                <w:sz w:val="18"/>
                <w:szCs w:val="18"/>
              </w:rPr>
            </w:pPr>
            <w:r>
              <w:rPr>
                <w:rFonts w:ascii="宋体" w:hAnsi="宋体" w:cs="宋体" w:eastAsia="宋体" w:hint="default"/>
                <w:spacing w:val="-3"/>
                <w:sz w:val="18"/>
                <w:szCs w:val="18"/>
              </w:rPr>
              <w:t>逾期应收账款（逾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147,17</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5,329.5</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7" w:right="0"/>
              <w:jc w:val="center"/>
              <w:rPr>
                <w:rFonts w:ascii="Times New Roman" w:hAnsi="Times New Roman" w:cs="Times New Roman" w:eastAsia="Times New Roman" w:hint="default"/>
                <w:sz w:val="18"/>
                <w:szCs w:val="18"/>
              </w:rPr>
            </w:pPr>
            <w:r>
              <w:rPr>
                <w:rFonts w:ascii="Times New Roman"/>
                <w:sz w:val="18"/>
              </w:rPr>
              <w:t>28.68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0" w:right="0"/>
              <w:jc w:val="left"/>
              <w:rPr>
                <w:rFonts w:ascii="Times New Roman" w:hAnsi="Times New Roman" w:cs="Times New Roman" w:eastAsia="Times New Roman" w:hint="default"/>
                <w:sz w:val="18"/>
                <w:szCs w:val="18"/>
              </w:rPr>
            </w:pPr>
            <w:r>
              <w:rPr>
                <w:rFonts w:ascii="Times New Roman"/>
                <w:sz w:val="18"/>
              </w:rPr>
              <w:t>21,502,</w:t>
            </w:r>
          </w:p>
          <w:p>
            <w:pPr>
              <w:pStyle w:val="TableParagraph"/>
              <w:spacing w:line="240" w:lineRule="auto" w:before="33"/>
              <w:ind w:left="155" w:right="0"/>
              <w:jc w:val="left"/>
              <w:rPr>
                <w:rFonts w:ascii="Times New Roman" w:hAnsi="Times New Roman" w:cs="Times New Roman" w:eastAsia="Times New Roman" w:hint="default"/>
                <w:sz w:val="18"/>
                <w:szCs w:val="18"/>
              </w:rPr>
            </w:pPr>
            <w:r>
              <w:rPr>
                <w:rFonts w:ascii="Times New Roman"/>
                <w:sz w:val="18"/>
              </w:rPr>
              <w:t>137.88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125,67</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3,191.6</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9" w:right="0"/>
              <w:jc w:val="left"/>
              <w:rPr>
                <w:rFonts w:ascii="Times New Roman" w:hAnsi="Times New Roman" w:cs="Times New Roman" w:eastAsia="Times New Roman" w:hint="default"/>
                <w:sz w:val="18"/>
                <w:szCs w:val="18"/>
              </w:rPr>
            </w:pPr>
            <w:r>
              <w:rPr>
                <w:rFonts w:ascii="Times New Roman"/>
                <w:sz w:val="18"/>
              </w:rPr>
              <w:t>94,113,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740.14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 w:right="0"/>
              <w:jc w:val="center"/>
              <w:rPr>
                <w:rFonts w:ascii="Times New Roman" w:hAnsi="Times New Roman" w:cs="Times New Roman" w:eastAsia="Times New Roman" w:hint="default"/>
                <w:sz w:val="18"/>
                <w:szCs w:val="18"/>
              </w:rPr>
            </w:pPr>
            <w:r>
              <w:rPr>
                <w:rFonts w:ascii="Times New Roman"/>
                <w:sz w:val="18"/>
              </w:rPr>
              <w:t>9,616,8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55.18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87" w:right="0"/>
              <w:jc w:val="left"/>
              <w:rPr>
                <w:rFonts w:ascii="Times New Roman" w:hAnsi="Times New Roman" w:cs="Times New Roman" w:eastAsia="Times New Roman" w:hint="default"/>
                <w:sz w:val="18"/>
                <w:szCs w:val="18"/>
              </w:rPr>
            </w:pPr>
            <w:r>
              <w:rPr>
                <w:rFonts w:ascii="Times New Roman"/>
                <w:sz w:val="18"/>
              </w:rPr>
              <w:t>84,496,8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84.96</w:t>
            </w:r>
          </w:p>
        </w:tc>
      </w:tr>
      <w:tr>
        <w:trPr>
          <w:trHeight w:val="94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513,20</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8,014.1</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57"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32,849,</w:t>
            </w:r>
          </w:p>
          <w:p>
            <w:pPr>
              <w:pStyle w:val="TableParagraph"/>
              <w:spacing w:line="240" w:lineRule="auto" w:before="33"/>
              <w:ind w:left="155" w:right="0"/>
              <w:jc w:val="left"/>
              <w:rPr>
                <w:rFonts w:ascii="Times New Roman" w:hAnsi="Times New Roman" w:cs="Times New Roman" w:eastAsia="Times New Roman" w:hint="default"/>
                <w:sz w:val="18"/>
                <w:szCs w:val="18"/>
              </w:rPr>
            </w:pPr>
            <w:r>
              <w:rPr>
                <w:rFonts w:ascii="Times New Roman"/>
                <w:sz w:val="18"/>
              </w:rPr>
              <w:t>151.10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pacing w:val="-1"/>
                <w:sz w:val="18"/>
              </w:rPr>
              <w:t>6.40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480,35</w:t>
            </w:r>
          </w:p>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8,863.0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485,23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3,222.5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21,741,</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559.13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463,491,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663.45</w:t>
            </w:r>
          </w:p>
        </w:tc>
      </w:tr>
    </w:tbl>
    <w:p>
      <w:pPr>
        <w:pStyle w:val="BodyText"/>
        <w:spacing w:line="240" w:lineRule="auto" w:before="8"/>
        <w:ind w:right="1116"/>
        <w:jc w:val="left"/>
        <w:rPr>
          <w:rFonts w:ascii="Times New Roman" w:hAnsi="Times New Roman" w:cs="Times New Roman" w:eastAsia="Times New Roman" w:hint="default"/>
        </w:rPr>
      </w:pPr>
      <w:r>
        <w:rPr/>
        <w:t>按组合计提坏账准备：</w:t>
      </w:r>
      <w:r>
        <w:rPr>
          <w:spacing w:val="-4"/>
        </w:rPr>
        <w:t> </w:t>
      </w:r>
      <w:r>
        <w:rPr>
          <w:rFonts w:ascii="Times New Roman" w:hAnsi="Times New Roman" w:cs="Times New Roman" w:eastAsia="Times New Roman" w:hint="default"/>
        </w:rPr>
        <w:t>32,849,151.10</w:t>
      </w:r>
    </w:p>
    <w:p>
      <w:pPr>
        <w:pStyle w:val="BodyText"/>
        <w:spacing w:line="240" w:lineRule="auto" w:before="63"/>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5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信用期内应收账款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366,032,684.65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pacing w:val="-1"/>
                <w:sz w:val="18"/>
              </w:rPr>
              <w:t>11,347,013.22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18"/>
                <w:szCs w:val="18"/>
              </w:rPr>
            </w:pPr>
            <w:r>
              <w:rPr>
                <w:rFonts w:ascii="Times New Roman"/>
                <w:sz w:val="18"/>
              </w:rPr>
              <w:t>3.10%</w:t>
            </w:r>
          </w:p>
        </w:tc>
      </w:tr>
      <w:tr>
        <w:trPr>
          <w:trHeight w:val="49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逾期应收账款（逾期账龄组</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147,175,329.53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21,502,137.88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14.61%</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513,208,014.18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32,849,151.10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6.40%</w:t>
            </w:r>
          </w:p>
        </w:tc>
      </w:tr>
    </w:tbl>
    <w:p>
      <w:pPr>
        <w:pStyle w:val="BodyText"/>
        <w:spacing w:line="240" w:lineRule="auto" w:before="8"/>
        <w:ind w:right="1116"/>
        <w:jc w:val="left"/>
      </w:pPr>
      <w:r>
        <w:rPr/>
        <w:t>如是按照预期信用损失一般模型计提应收账款坏账准备，请参照其他应收款的披露方式披露坏账准备的相关信息：</w:t>
      </w:r>
    </w:p>
    <w:p>
      <w:pPr>
        <w:pStyle w:val="BodyText"/>
        <w:spacing w:line="300" w:lineRule="auto" w:before="76"/>
        <w:ind w:right="9134"/>
        <w:jc w:val="left"/>
      </w:pPr>
      <w:r>
        <w:rPr>
          <w:rFonts w:ascii="Times New Roman" w:hAnsi="Times New Roman" w:cs="Times New Roman" w:eastAsia="Times New Roman" w:hint="default"/>
        </w:rPr>
        <w:t>□ </w:t>
      </w:r>
      <w:r>
        <w:rPr/>
        <w:t>适用 √</w:t>
      </w:r>
      <w:r>
        <w:rPr>
          <w:spacing w:val="1"/>
        </w:rPr>
        <w:t> </w:t>
      </w:r>
      <w:r>
        <w:rPr/>
        <w:t>不适用</w:t>
      </w:r>
      <w:r>
        <w:rPr>
          <w:w w:val="99"/>
        </w:rPr>
        <w:t> </w:t>
      </w:r>
      <w:r>
        <w:rPr/>
        <w:t>按账龄披露</w:t>
      </w:r>
    </w:p>
    <w:p>
      <w:pPr>
        <w:pStyle w:val="BodyText"/>
        <w:spacing w:line="240" w:lineRule="auto" w:before="31"/>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1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信用期内应收款项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366,032,684.65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逾期应收款项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147,175,329.53</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113,155,329.98</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3,268,781.05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17,885,768.60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12,865,449.90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8,816,686.90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3,342,117.00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706,646.00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513,208,014.18</w:t>
            </w:r>
          </w:p>
        </w:tc>
      </w:tr>
    </w:tbl>
    <w:p>
      <w:pPr>
        <w:pStyle w:val="BodyText"/>
        <w:spacing w:line="240" w:lineRule="auto" w:before="8"/>
        <w:ind w:right="1116"/>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Heading3"/>
        <w:spacing w:line="240" w:lineRule="auto" w:before="42"/>
        <w:ind w:right="1116"/>
        <w:jc w:val="left"/>
        <w:rPr>
          <w:b w:val="0"/>
          <w:bCs w:val="0"/>
        </w:rPr>
      </w:pPr>
      <w:bookmarkStart w:name="（2）本期计提、收回或转回的坏账准备情况" w:id="216"/>
      <w:bookmarkEnd w:id="21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42"/>
        <w:ind w:right="1116"/>
        <w:jc w:val="left"/>
      </w:pPr>
      <w:r>
        <w:rPr/>
        <w:t>本期计提坏账准备情况：</w:t>
      </w:r>
    </w:p>
    <w:p>
      <w:pPr>
        <w:pStyle w:val="BodyText"/>
        <w:spacing w:line="240" w:lineRule="auto" w:before="76"/>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21,741,559.13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12,367,073.97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1,259,482.00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32,849,151.10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21,741,559.13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12,367,073.97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1,259,482.00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32,849,151.10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BodyText"/>
        <w:spacing w:line="240" w:lineRule="auto" w:before="8"/>
        <w:ind w:right="-20"/>
        <w:jc w:val="left"/>
      </w:pPr>
      <w:r>
        <w:rPr/>
        <w:t>其中本期坏账准备收回或转回金额重要的：无</w:t>
      </w:r>
    </w:p>
    <w:p>
      <w:pPr>
        <w:pStyle w:val="Heading3"/>
        <w:spacing w:line="240" w:lineRule="auto" w:before="56"/>
        <w:ind w:right="-20"/>
        <w:jc w:val="left"/>
        <w:rPr>
          <w:b w:val="0"/>
          <w:bCs w:val="0"/>
        </w:rPr>
      </w:pPr>
      <w:bookmarkStart w:name="（3）本期实际核销的应收账款情况" w:id="217"/>
      <w:bookmarkEnd w:id="21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753" w:space="50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1,259,482.00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0" w:top="1080" w:bottom="1160" w:left="980" w:right="0"/>
        </w:sectPr>
      </w:pPr>
    </w:p>
    <w:p>
      <w:pPr>
        <w:pStyle w:val="BodyText"/>
        <w:spacing w:line="240" w:lineRule="auto" w:before="44"/>
        <w:ind w:right="0"/>
        <w:jc w:val="left"/>
      </w:pPr>
      <w:r>
        <w:rPr/>
        <w:t>其中重要的应收账款核销情况：无</w:t>
      </w:r>
    </w:p>
    <w:p>
      <w:pPr>
        <w:pStyle w:val="Heading3"/>
        <w:spacing w:line="240" w:lineRule="auto" w:before="56"/>
        <w:ind w:right="0"/>
        <w:jc w:val="left"/>
        <w:rPr>
          <w:b w:val="0"/>
          <w:bCs w:val="0"/>
        </w:rPr>
      </w:pPr>
      <w:bookmarkStart w:name="（4）按欠款方归集的期末余额前五名的应收账款情况" w:id="218"/>
      <w:bookmarkEnd w:id="218"/>
      <w:r>
        <w:rPr>
          <w:b w:val="0"/>
          <w:bCs w:val="0"/>
        </w:rPr>
      </w:r>
      <w:r>
        <w:rPr>
          <w:spacing w:val="-1"/>
        </w:rPr>
        <w:t>（</w:t>
      </w:r>
      <w:r>
        <w:rPr>
          <w:rFonts w:ascii="Times New Roman" w:hAnsi="Times New Roman" w:cs="Times New Roman" w:eastAsia="Times New Roman" w:hint="default"/>
          <w:spacing w:val="-1"/>
        </w:rPr>
        <w:t>4</w:t>
      </w:r>
      <w:r>
        <w:rPr>
          <w:spacing w:val="-1"/>
        </w:rPr>
        <w:t>）按欠款方归集的期末余额前五名的应收账款情况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08" w:space="3722"/>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安徽中烟工业有限责 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71,610,396.66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13.95%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2,747,265.72</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深圳华美板材有限公 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52,140,157.20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10.16%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7,355,148.63</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湖北中烟工业有限责 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39,225,364.96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2,732,833.96</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西安众迪锂电池有限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38,772,068.97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1,201,934.14</w:t>
            </w:r>
          </w:p>
        </w:tc>
      </w:tr>
      <w:tr>
        <w:trPr>
          <w:trHeight w:val="63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贵州中烟工业有限责 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27,022,113.23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1,290,890.07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228,770,101.02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44.57%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15,328,072.52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0"/>
        </w:sectPr>
      </w:pPr>
    </w:p>
    <w:p>
      <w:pPr>
        <w:pStyle w:val="Heading3"/>
        <w:spacing w:line="278" w:lineRule="exact"/>
        <w:ind w:right="-16"/>
        <w:jc w:val="left"/>
        <w:rPr>
          <w:b w:val="0"/>
          <w:bCs w:val="0"/>
        </w:rPr>
      </w:pPr>
      <w:bookmarkStart w:name="4、应收款项融资" w:id="219"/>
      <w:bookmarkEnd w:id="219"/>
      <w:r>
        <w:rPr>
          <w:b w:val="0"/>
          <w:bCs w:val="0"/>
        </w:rPr>
      </w:r>
      <w:r>
        <w:rPr>
          <w:rFonts w:ascii="Times New Roman" w:hAnsi="Times New Roman" w:cs="Times New Roman" w:eastAsia="Times New Roman" w:hint="default"/>
        </w:rPr>
        <w:t>4</w:t>
      </w:r>
      <w:r>
        <w:rPr/>
        <w:t>、应收款项融资</w:t>
      </w:r>
      <w:r>
        <w:rPr>
          <w:b w:val="0"/>
          <w:bCs w:val="0"/>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37" w:space="7092"/>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427,828.53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427,828.53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15,951,665.46</w:t>
            </w:r>
          </w:p>
        </w:tc>
      </w:tr>
    </w:tbl>
    <w:p>
      <w:pPr>
        <w:pStyle w:val="BodyText"/>
        <w:spacing w:line="240" w:lineRule="auto" w:before="8"/>
        <w:ind w:right="1116"/>
        <w:jc w:val="left"/>
      </w:pPr>
      <w:r>
        <w:rPr/>
        <w:t>应收款项融资本期增减变动及公允价值变动情况</w:t>
      </w:r>
    </w:p>
    <w:p>
      <w:pPr>
        <w:pStyle w:val="BodyText"/>
        <w:spacing w:line="240" w:lineRule="auto" w:before="76"/>
        <w:ind w:right="111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020"/>
        <w:gridCol w:w="1262"/>
        <w:gridCol w:w="1249"/>
        <w:gridCol w:w="1265"/>
        <w:gridCol w:w="1263"/>
        <w:gridCol w:w="1246"/>
        <w:gridCol w:w="2309"/>
      </w:tblGrid>
      <w:tr>
        <w:trPr>
          <w:trHeight w:val="668" w:hRule="exact"/>
        </w:trPr>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319"/>
              <w:jc w:val="right"/>
              <w:rPr>
                <w:rFonts w:ascii="宋体" w:hAnsi="宋体" w:cs="宋体" w:eastAsia="宋体" w:hint="default"/>
                <w:sz w:val="18"/>
                <w:szCs w:val="18"/>
              </w:rPr>
            </w:pPr>
            <w:r>
              <w:rPr>
                <w:rFonts w:ascii="宋体" w:hAnsi="宋体" w:cs="宋体" w:eastAsia="宋体" w:hint="default"/>
                <w:sz w:val="18"/>
                <w:szCs w:val="18"/>
              </w:rPr>
              <w:t>项目</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6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5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84"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6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8"/>
              <w:ind w:left="696" w:right="72" w:hanging="630"/>
              <w:jc w:val="left"/>
              <w:rPr>
                <w:rFonts w:ascii="宋体" w:hAnsi="宋体" w:cs="宋体" w:eastAsia="宋体" w:hint="default"/>
                <w:sz w:val="18"/>
                <w:szCs w:val="18"/>
              </w:rPr>
            </w:pPr>
            <w:r>
              <w:rPr>
                <w:rFonts w:ascii="宋体" w:hAnsi="宋体" w:cs="宋体" w:eastAsia="宋体" w:hint="default"/>
                <w:sz w:val="18"/>
                <w:szCs w:val="18"/>
              </w:rPr>
              <w:t>累计在其他综合收益中确认 的损失准备</w:t>
            </w:r>
          </w:p>
        </w:tc>
      </w:tr>
      <w:tr>
        <w:trPr>
          <w:trHeight w:val="350" w:hRule="exact"/>
        </w:trPr>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79"/>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Times New Roman"/>
                <w:sz w:val="18"/>
              </w:rPr>
              <w:t>15,951,665.46</w:t>
            </w:r>
          </w:p>
        </w:tc>
        <w:tc>
          <w:tcPr>
            <w:tcW w:w="1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427,828.53</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15,951,665.46</w:t>
            </w:r>
          </w:p>
        </w:tc>
        <w:tc>
          <w:tcPr>
            <w:tcW w:w="1263" w:type="dxa"/>
            <w:tcBorders>
              <w:top w:val="single" w:sz="12" w:space="0" w:color="000000"/>
              <w:left w:val="single" w:sz="6" w:space="0" w:color="000000"/>
              <w:bottom w:val="single" w:sz="12" w:space="0" w:color="000000"/>
              <w:right w:val="single" w:sz="6" w:space="0" w:color="000000"/>
            </w:tcBorders>
          </w:tcPr>
          <w:p>
            <w:pP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427,828.53</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19"/>
              <w:jc w:val="righ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11" w:right="0"/>
              <w:jc w:val="left"/>
              <w:rPr>
                <w:rFonts w:ascii="Times New Roman" w:hAnsi="Times New Roman" w:cs="Times New Roman" w:eastAsia="Times New Roman" w:hint="default"/>
                <w:sz w:val="18"/>
                <w:szCs w:val="18"/>
              </w:rPr>
            </w:pPr>
            <w:r>
              <w:rPr>
                <w:rFonts w:ascii="Times New Roman"/>
                <w:sz w:val="18"/>
              </w:rPr>
              <w:t>15,951,665.46</w:t>
            </w:r>
          </w:p>
        </w:tc>
        <w:tc>
          <w:tcPr>
            <w:tcW w:w="12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427,828.53</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15,951,665.46</w:t>
            </w:r>
          </w:p>
        </w:tc>
        <w:tc>
          <w:tcPr>
            <w:tcW w:w="1263" w:type="dxa"/>
            <w:tcBorders>
              <w:top w:val="single" w:sz="12" w:space="0" w:color="000000"/>
              <w:left w:val="single" w:sz="6" w:space="0" w:color="000000"/>
              <w:bottom w:val="single" w:sz="12" w:space="0" w:color="000000"/>
              <w:right w:val="single" w:sz="6" w:space="0" w:color="000000"/>
            </w:tcBorders>
          </w:tcPr>
          <w:p>
            <w:pP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427,828.53</w:t>
            </w:r>
          </w:p>
        </w:tc>
        <w:tc>
          <w:tcPr>
            <w:tcW w:w="23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21"/>
          <w:szCs w:val="21"/>
        </w:rPr>
      </w:pPr>
    </w:p>
    <w:p>
      <w:pPr>
        <w:pStyle w:val="BodyText"/>
        <w:spacing w:line="240" w:lineRule="auto" w:before="44"/>
        <w:ind w:right="1116"/>
        <w:jc w:val="left"/>
      </w:pPr>
      <w:r>
        <w:rPr/>
        <w:t>如是按照预期信用损失一般模型计提应收款项融资减值准备，请参照其他应收款的披露方式披露减值准备的相关信息：</w:t>
      </w:r>
    </w:p>
    <w:p>
      <w:pPr>
        <w:pStyle w:val="BodyText"/>
        <w:spacing w:line="240" w:lineRule="auto" w:before="76"/>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5、预付款项" w:id="220"/>
      <w:bookmarkEnd w:id="220"/>
      <w:r>
        <w:rPr>
          <w:b w:val="0"/>
          <w:bCs w:val="0"/>
        </w:rPr>
      </w:r>
      <w:r>
        <w:rPr>
          <w:rFonts w:ascii="Times New Roman" w:hAnsi="Times New Roman" w:cs="Times New Roman" w:eastAsia="Times New Roman" w:hint="default"/>
        </w:rPr>
        <w:t>5</w:t>
      </w:r>
      <w:r>
        <w:rPr/>
        <w:t>、预付款项</w:t>
      </w:r>
      <w:r>
        <w:rPr>
          <w:b w:val="0"/>
          <w:bCs w:val="0"/>
        </w:rPr>
      </w:r>
    </w:p>
    <w:p>
      <w:pPr>
        <w:pStyle w:val="Heading3"/>
        <w:spacing w:line="240" w:lineRule="auto" w:before="23"/>
        <w:ind w:right="1116"/>
        <w:jc w:val="left"/>
        <w:rPr>
          <w:b w:val="0"/>
          <w:bCs w:val="0"/>
        </w:rPr>
      </w:pPr>
      <w:bookmarkStart w:name="（1）预付款项按账龄列示" w:id="221"/>
      <w:bookmarkEnd w:id="221"/>
      <w:r>
        <w:rPr>
          <w:b w:val="0"/>
          <w:bCs w:val="0"/>
        </w:rPr>
      </w:r>
      <w:r>
        <w:rPr/>
        <w:t>（</w:t>
      </w:r>
      <w:r>
        <w:rPr>
          <w:rFonts w:ascii="Times New Roman" w:hAnsi="Times New Roman" w:cs="Times New Roman" w:eastAsia="Times New Roman" w:hint="default"/>
        </w:rPr>
        <w:t>1</w:t>
      </w:r>
      <w:r>
        <w:rPr/>
        <w:t>）预付款项按账龄列示</w:t>
      </w:r>
      <w:r>
        <w:rPr>
          <w:b w:val="0"/>
          <w:bCs w:val="0"/>
        </w:rPr>
      </w: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31,570,176.76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40,745,486.70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91.06%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2,455,669.57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1,326,345.66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502,536.83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116,515.80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0.26%</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110,604.90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2,555,815.55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5.71%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34,638,988.06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44,744,163.71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8"/>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公司报告期末不存在账龄超过</w:t>
      </w:r>
      <w:r>
        <w:rPr>
          <w:rFonts w:ascii="Times New Roman" w:hAnsi="Times New Roman" w:cs="Times New Roman" w:eastAsia="Times New Roman" w:hint="default"/>
        </w:rPr>
        <w:t>1</w:t>
      </w:r>
      <w:r>
        <w:rPr/>
        <w:t>年且金额重要的预付款项。</w:t>
      </w:r>
    </w:p>
    <w:p>
      <w:pPr>
        <w:spacing w:after="0" w:line="300" w:lineRule="auto"/>
        <w:jc w:val="left"/>
        <w:sectPr>
          <w:type w:val="continuous"/>
          <w:pgSz w:w="11910" w:h="16840"/>
          <w:pgMar w:top="1060" w:bottom="1160" w:left="980" w:right="0"/>
        </w:sectPr>
      </w:pPr>
    </w:p>
    <w:p>
      <w:pPr>
        <w:spacing w:line="240" w:lineRule="auto" w:before="9"/>
        <w:rPr>
          <w:rFonts w:ascii="宋体" w:hAnsi="宋体" w:cs="宋体" w:eastAsia="宋体" w:hint="default"/>
          <w:sz w:val="22"/>
          <w:szCs w:val="22"/>
        </w:rPr>
      </w:pPr>
    </w:p>
    <w:p>
      <w:pPr>
        <w:spacing w:line="278" w:lineRule="auto" w:before="36"/>
        <w:ind w:left="152" w:right="1244" w:firstLine="0"/>
        <w:jc w:val="left"/>
        <w:rPr>
          <w:rFonts w:ascii="宋体" w:hAnsi="宋体" w:cs="宋体" w:eastAsia="宋体" w:hint="default"/>
          <w:sz w:val="21"/>
          <w:szCs w:val="21"/>
        </w:rPr>
      </w:pPr>
      <w:bookmarkStart w:name="（2）按预付对象归集的期末余额前五名的预付款情况"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z w:val="18"/>
          <w:szCs w:val="18"/>
        </w:rPr>
        <w:t>按预付对象集中度归集的期末余额前五名预付款项汇总金额</w:t>
      </w:r>
      <w:r>
        <w:rPr>
          <w:rFonts w:ascii="Times New Roman" w:hAnsi="Times New Roman" w:cs="Times New Roman" w:eastAsia="Times New Roman" w:hint="default"/>
          <w:sz w:val="18"/>
          <w:szCs w:val="18"/>
        </w:rPr>
        <w:t>19,845,501.67</w:t>
      </w:r>
      <w:r>
        <w:rPr>
          <w:rFonts w:ascii="宋体" w:hAnsi="宋体" w:cs="宋体" w:eastAsia="宋体" w:hint="default"/>
          <w:sz w:val="18"/>
          <w:szCs w:val="18"/>
        </w:rPr>
        <w:t>元，占预付款项期末余额合计数的比例</w:t>
      </w:r>
      <w:r>
        <w:rPr>
          <w:rFonts w:ascii="Times New Roman" w:hAnsi="Times New Roman" w:cs="Times New Roman" w:eastAsia="Times New Roman" w:hint="default"/>
          <w:sz w:val="18"/>
          <w:szCs w:val="18"/>
        </w:rPr>
        <w:t>57.29%</w:t>
      </w:r>
      <w:r>
        <w:rPr>
          <w:rFonts w:ascii="宋体" w:hAnsi="宋体" w:cs="宋体" w:eastAsia="宋体" w:hint="default"/>
          <w:sz w:val="18"/>
          <w:szCs w:val="18"/>
        </w:rPr>
        <w:t>。 </w:t>
      </w:r>
      <w:bookmarkStart w:name="6、其他应收款" w:id="223"/>
      <w:bookmarkEnd w:id="223"/>
      <w:r>
        <w:rPr>
          <w:rFonts w:ascii="宋体" w:hAnsi="宋体" w:cs="宋体" w:eastAsia="宋体" w:hint="default"/>
          <w:sz w:val="18"/>
          <w:szCs w:val="18"/>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4"/>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37,402,869.80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37,785,661.04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37,402,869.80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37,785,661.04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2"/>
        <w:jc w:val="left"/>
        <w:rPr>
          <w:b w:val="0"/>
          <w:bCs w:val="0"/>
        </w:rPr>
      </w:pPr>
      <w:bookmarkStart w:name="（1）其他应收款" w:id="224"/>
      <w:bookmarkEnd w:id="224"/>
      <w:r>
        <w:rPr>
          <w:b w:val="0"/>
          <w:bCs w:val="0"/>
        </w:rPr>
      </w:r>
      <w:r>
        <w:rPr/>
        <w:t>（</w:t>
      </w:r>
      <w:r>
        <w:rPr>
          <w:rFonts w:ascii="Times New Roman" w:hAnsi="Times New Roman" w:cs="Times New Roman" w:eastAsia="Times New Roman" w:hint="default"/>
        </w:rPr>
        <w:t>1</w:t>
      </w:r>
      <w:r>
        <w:rPr/>
        <w:t>）其他应收款</w:t>
      </w:r>
      <w:r>
        <w:rPr>
          <w:b w:val="0"/>
          <w:bCs w:val="0"/>
        </w:rPr>
      </w:r>
    </w:p>
    <w:p>
      <w:pPr>
        <w:pStyle w:val="Heading3"/>
        <w:spacing w:line="240" w:lineRule="auto" w:before="21"/>
        <w:ind w:right="-2"/>
        <w:jc w:val="left"/>
        <w:rPr>
          <w:b w:val="0"/>
          <w:bCs w:val="0"/>
        </w:rPr>
      </w:pPr>
      <w:bookmarkStart w:name="1）其他应收款按款项性质分类情况" w:id="225"/>
      <w:bookmarkEnd w:id="225"/>
      <w:r>
        <w:rPr>
          <w:b w:val="0"/>
          <w:bCs w:val="0"/>
        </w:rPr>
      </w:r>
      <w:r>
        <w:rPr>
          <w:rFonts w:ascii="Times New Roman" w:hAnsi="Times New Roman" w:cs="Times New Roman" w:eastAsia="Times New Roman" w:hint="default"/>
          <w:spacing w:val="-1"/>
        </w:rPr>
        <w:t>1</w:t>
      </w:r>
      <w:r>
        <w:rPr>
          <w:spacing w:val="-1"/>
        </w:rPr>
        <w:t>）其他应收款按款项性质分类情况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422" w:space="5407"/>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33,598,577.87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33,280,209.79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1,453,578.79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1,318,408.26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5,594,553.29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6,539,733.44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40,646,709.95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41,138,351.49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8"/>
        <w:jc w:val="left"/>
        <w:rPr>
          <w:b w:val="0"/>
          <w:bCs w:val="0"/>
        </w:rPr>
      </w:pPr>
      <w:bookmarkStart w:name="2）坏账准备计提情况" w:id="226"/>
      <w:bookmarkEnd w:id="226"/>
      <w:r>
        <w:rPr>
          <w:b w:val="0"/>
          <w:bCs w:val="0"/>
        </w:rPr>
      </w:r>
      <w:r>
        <w:rPr>
          <w:rFonts w:ascii="Times New Roman" w:hAnsi="Times New Roman" w:cs="Times New Roman" w:eastAsia="Times New Roman" w:hint="default"/>
          <w:spacing w:val="-1"/>
        </w:rPr>
        <w:t>2</w:t>
      </w:r>
      <w:r>
        <w:rPr>
          <w:spacing w:val="-1"/>
        </w:rPr>
        <w:t>）坏账准备计提情况</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57" w:space="6672"/>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32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3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1,544,227.67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646,173.78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1,162,289.00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3,352,690.45</w:t>
            </w: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-646,173.78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646,173.78</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537,323.48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369,993.18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907,316.66</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1,016,166.96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1,016,166.96</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2,081,551.15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1,162,289.00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3,243,840.15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损失准备本期变动金额重大的账面余额变动情况</w:t>
      </w:r>
    </w:p>
    <w:p>
      <w:pPr>
        <w:pStyle w:val="BodyText"/>
        <w:spacing w:line="300" w:lineRule="auto" w:before="76"/>
        <w:ind w:right="1486"/>
        <w:jc w:val="left"/>
      </w:pPr>
      <w:r>
        <w:rPr>
          <w:rFonts w:ascii="Times New Roman" w:hAnsi="Times New Roman" w:cs="Times New Roman" w:eastAsia="Times New Roman" w:hint="default"/>
        </w:rPr>
        <w:t>□ </w:t>
      </w:r>
      <w:r>
        <w:rPr/>
        <w:t>适用 √</w:t>
      </w:r>
      <w:r>
        <w:rPr>
          <w:spacing w:val="1"/>
        </w:rPr>
        <w:t> </w:t>
      </w:r>
      <w:r>
        <w:rPr/>
        <w:t>不适用</w:t>
      </w:r>
      <w:r>
        <w:rPr>
          <w:w w:val="99"/>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1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9,969,843.55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9,969,843.55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27,795,066.11</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956,322.90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1,925,477.39</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1,248,539.39</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72,699.00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604,239.00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40,646,709.95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080" w:bottom="1160" w:left="980" w:right="0"/>
        </w:sectPr>
      </w:pPr>
    </w:p>
    <w:p>
      <w:pPr>
        <w:pStyle w:val="Heading3"/>
        <w:spacing w:line="240" w:lineRule="auto" w:before="36"/>
        <w:ind w:right="0"/>
        <w:jc w:val="left"/>
        <w:rPr>
          <w:b w:val="0"/>
          <w:bCs w:val="0"/>
        </w:rPr>
      </w:pPr>
      <w:bookmarkStart w:name="3）本期计提、收回或转回的坏账准备情况" w:id="227"/>
      <w:bookmarkEnd w:id="227"/>
      <w:r>
        <w:rPr>
          <w:b w:val="0"/>
          <w:bCs w:val="0"/>
        </w:rPr>
      </w:r>
      <w:r>
        <w:rPr>
          <w:rFonts w:ascii="Times New Roman" w:hAnsi="Times New Roman" w:cs="Times New Roman" w:eastAsia="Times New Roman" w:hint="default"/>
          <w:spacing w:val="-1"/>
        </w:rPr>
        <w:t>3</w:t>
      </w:r>
      <w:r>
        <w:rPr>
          <w:spacing w:val="-1"/>
        </w:rPr>
        <w:t>）本期计提、收回或转回的坏账准备情况</w:t>
      </w:r>
      <w:r>
        <w:rPr>
          <w:b w:val="0"/>
          <w:bCs w:val="0"/>
          <w:spacing w:val="-1"/>
        </w:rPr>
      </w:r>
    </w:p>
    <w:p>
      <w:pPr>
        <w:pStyle w:val="BodyText"/>
        <w:spacing w:line="240" w:lineRule="auto" w:before="44"/>
        <w:ind w:right="0"/>
        <w:jc w:val="left"/>
      </w:pPr>
      <w:r>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056" w:space="477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16"/>
        <w:gridCol w:w="1292"/>
        <w:gridCol w:w="1145"/>
        <w:gridCol w:w="1332"/>
        <w:gridCol w:w="1332"/>
        <w:gridCol w:w="1325"/>
        <w:gridCol w:w="1726"/>
      </w:tblGrid>
      <w:tr>
        <w:trPr>
          <w:trHeight w:val="32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3,352,690.45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center"/>
              <w:rPr>
                <w:rFonts w:ascii="Times New Roman" w:hAnsi="Times New Roman" w:cs="Times New Roman" w:eastAsia="Times New Roman" w:hint="default"/>
                <w:sz w:val="18"/>
                <w:szCs w:val="18"/>
              </w:rPr>
            </w:pPr>
            <w:r>
              <w:rPr>
                <w:rFonts w:ascii="Times New Roman"/>
                <w:sz w:val="18"/>
              </w:rPr>
              <w:t>907,316.66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1,016,166.96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3,243,840.15</w:t>
            </w:r>
          </w:p>
        </w:tc>
      </w:tr>
      <w:tr>
        <w:trPr>
          <w:trHeight w:val="322"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3,352,690.45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center"/>
              <w:rPr>
                <w:rFonts w:ascii="Times New Roman" w:hAnsi="Times New Roman" w:cs="Times New Roman" w:eastAsia="Times New Roman" w:hint="default"/>
                <w:sz w:val="18"/>
                <w:szCs w:val="18"/>
              </w:rPr>
            </w:pPr>
            <w:r>
              <w:rPr>
                <w:rFonts w:ascii="Times New Roman"/>
                <w:sz w:val="18"/>
              </w:rPr>
              <w:t>907,316.66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1,016,166.96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3,243,840.15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其中本期坏账准备转回或收回金额重要的：无</w:t>
      </w:r>
    </w:p>
    <w:p>
      <w:pPr>
        <w:pStyle w:val="Heading3"/>
        <w:spacing w:line="240" w:lineRule="auto" w:before="56"/>
        <w:ind w:right="-20"/>
        <w:jc w:val="left"/>
        <w:rPr>
          <w:b w:val="0"/>
          <w:bCs w:val="0"/>
        </w:rPr>
      </w:pPr>
      <w:bookmarkStart w:name="4）本期实际核销的其他应收款情况" w:id="228"/>
      <w:bookmarkEnd w:id="22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753" w:space="50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1,016,166.96</w:t>
            </w:r>
          </w:p>
        </w:tc>
      </w:tr>
    </w:tbl>
    <w:p>
      <w:pPr>
        <w:pStyle w:val="BodyText"/>
        <w:spacing w:line="240" w:lineRule="auto" w:before="8"/>
        <w:ind w:right="1116"/>
        <w:jc w:val="left"/>
      </w:pPr>
      <w:r>
        <w:rPr/>
        <w:t>其中重要的其他应收款核销情况：无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980" w:right="0"/>
        </w:sectPr>
      </w:pPr>
    </w:p>
    <w:p>
      <w:pPr>
        <w:spacing w:line="307" w:lineRule="auto" w:before="44"/>
        <w:ind w:left="152" w:right="-20" w:firstLine="0"/>
        <w:jc w:val="left"/>
        <w:rPr>
          <w:rFonts w:ascii="宋体" w:hAnsi="宋体" w:cs="宋体" w:eastAsia="宋体" w:hint="default"/>
          <w:sz w:val="21"/>
          <w:szCs w:val="21"/>
        </w:rPr>
      </w:pPr>
      <w:r>
        <w:rPr>
          <w:rFonts w:ascii="宋体" w:hAnsi="宋体" w:cs="宋体" w:eastAsia="宋体" w:hint="default"/>
          <w:sz w:val="18"/>
          <w:szCs w:val="18"/>
        </w:rPr>
        <w:t>其他应收款核销说明： 报告期内无核销因关联交易产生的其他应收款，实际核销的其他应收款均为零星的应收尾款。 </w:t>
      </w:r>
      <w:bookmarkStart w:name="5）按欠款方归集的期末余额前五名的其他应收款情况" w:id="229"/>
      <w:bookmarkEnd w:id="229"/>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33" w:space="129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94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94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华润万家生活超 </w:t>
            </w:r>
            <w:r>
              <w:rPr>
                <w:rFonts w:ascii="宋体" w:hAnsi="宋体" w:cs="宋体" w:eastAsia="宋体" w:hint="default"/>
                <w:spacing w:val="-8"/>
                <w:sz w:val="18"/>
                <w:szCs w:val="18"/>
              </w:rPr>
              <w:t>市（东莞）有限公</w:t>
            </w:r>
            <w:r>
              <w:rPr>
                <w:rFonts w:ascii="宋体" w:hAnsi="宋体" w:cs="宋体" w:eastAsia="宋体" w:hint="default"/>
                <w:sz w:val="18"/>
                <w:szCs w:val="18"/>
              </w:rPr>
              <w:t>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18,136,789.00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44.62%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973,945.57</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9"/>
              <w:jc w:val="left"/>
              <w:rPr>
                <w:rFonts w:ascii="宋体" w:hAnsi="宋体" w:cs="宋体" w:eastAsia="宋体" w:hint="default"/>
                <w:sz w:val="18"/>
                <w:szCs w:val="18"/>
              </w:rPr>
            </w:pPr>
            <w:r>
              <w:rPr>
                <w:rFonts w:ascii="宋体" w:hAnsi="宋体" w:cs="宋体" w:eastAsia="宋体" w:hint="default"/>
                <w:sz w:val="18"/>
                <w:szCs w:val="18"/>
              </w:rPr>
              <w:t>陕西中烟工业有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6,191,636.18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412,961.34</w:t>
            </w:r>
          </w:p>
        </w:tc>
      </w:tr>
      <w:tr>
        <w:trPr>
          <w:trHeight w:val="63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9"/>
              <w:jc w:val="left"/>
              <w:rPr>
                <w:rFonts w:ascii="宋体" w:hAnsi="宋体" w:cs="宋体" w:eastAsia="宋体" w:hint="default"/>
                <w:sz w:val="18"/>
                <w:szCs w:val="18"/>
              </w:rPr>
            </w:pPr>
            <w:r>
              <w:rPr>
                <w:rFonts w:ascii="宋体" w:hAnsi="宋体" w:cs="宋体" w:eastAsia="宋体" w:hint="default"/>
                <w:sz w:val="18"/>
                <w:szCs w:val="18"/>
              </w:rPr>
              <w:t>苏州鼎虎科技有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758,500.00</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9"/>
              <w:jc w:val="left"/>
              <w:rPr>
                <w:rFonts w:ascii="宋体" w:hAnsi="宋体" w:cs="宋体" w:eastAsia="宋体" w:hint="default"/>
                <w:sz w:val="18"/>
                <w:szCs w:val="18"/>
              </w:rPr>
            </w:pPr>
            <w:r>
              <w:rPr>
                <w:rFonts w:ascii="宋体" w:hAnsi="宋体" w:cs="宋体" w:eastAsia="宋体" w:hint="default"/>
                <w:sz w:val="18"/>
                <w:szCs w:val="18"/>
              </w:rPr>
              <w:t>安徽中烟工业有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941,994.86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16,296.51</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9"/>
              <w:jc w:val="left"/>
              <w:rPr>
                <w:rFonts w:ascii="宋体" w:hAnsi="宋体" w:cs="宋体" w:eastAsia="宋体" w:hint="default"/>
                <w:sz w:val="18"/>
                <w:szCs w:val="18"/>
              </w:rPr>
            </w:pPr>
            <w:r>
              <w:rPr>
                <w:rFonts w:ascii="宋体" w:hAnsi="宋体" w:cs="宋体" w:eastAsia="宋体" w:hint="default"/>
                <w:sz w:val="18"/>
                <w:szCs w:val="18"/>
              </w:rPr>
              <w:t>河南中烟工业有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877,341.43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16,672.18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29,181,761.47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71.79%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2,178,375.60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20"/>
        <w:jc w:val="left"/>
        <w:rPr>
          <w:b w:val="0"/>
          <w:bCs w:val="0"/>
        </w:rPr>
      </w:pPr>
      <w:bookmarkStart w:name="7、存货" w:id="230"/>
      <w:bookmarkEnd w:id="230"/>
      <w:r>
        <w:rPr>
          <w:b w:val="0"/>
          <w:bCs w:val="0"/>
        </w:rPr>
      </w:r>
      <w:r>
        <w:rPr>
          <w:rFonts w:ascii="Times New Roman" w:hAnsi="Times New Roman" w:cs="Times New Roman" w:eastAsia="Times New Roman" w:hint="default"/>
        </w:rPr>
        <w:t>7</w:t>
      </w:r>
      <w:r>
        <w:rPr/>
        <w:t>、存货</w:t>
      </w:r>
      <w:r>
        <w:rPr>
          <w:b w:val="0"/>
          <w:bCs w:val="0"/>
        </w:rPr>
      </w:r>
    </w:p>
    <w:p>
      <w:pPr>
        <w:pStyle w:val="BodyText"/>
        <w:spacing w:line="240" w:lineRule="auto" w:before="44"/>
        <w:ind w:right="-20"/>
        <w:jc w:val="left"/>
      </w:pPr>
      <w:r>
        <w:rPr/>
        <w:t>是否已执行新收入准则</w:t>
      </w:r>
    </w:p>
    <w:p>
      <w:pPr>
        <w:pStyle w:val="BodyText"/>
        <w:spacing w:line="240" w:lineRule="auto" w:before="77"/>
        <w:ind w:right="-20"/>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20"/>
        <w:jc w:val="left"/>
        <w:rPr>
          <w:b w:val="0"/>
          <w:bCs w:val="0"/>
        </w:rPr>
      </w:pPr>
      <w:bookmarkStart w:name="（1）存货分类" w:id="231"/>
      <w:bookmarkEnd w:id="23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401,268.54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401,268.54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315,540.11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315,540.11</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6,632.48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6,632.48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6,632.48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6,632.48</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23,383.92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23,383.92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29,122.58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29,122.58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275,074,995.81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275,074,995.81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199,266,449.51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199,266,449.51</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6,015,355.23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6,015,355.23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4,909,045.24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4,909,045.24</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运营维护成本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13,797,243.75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13,797,243.75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11,871,628.34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11,871,628.34</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295,318,879.73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295,318,879.73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216,398,418.26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216,398,418.26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20"/>
        <w:jc w:val="left"/>
        <w:rPr>
          <w:b w:val="0"/>
          <w:bCs w:val="0"/>
        </w:rPr>
      </w:pPr>
      <w:bookmarkStart w:name="8、其他流动资产" w:id="232"/>
      <w:bookmarkEnd w:id="232"/>
      <w:r>
        <w:rPr>
          <w:b w:val="0"/>
          <w:bCs w:val="0"/>
        </w:rPr>
      </w:r>
      <w:r>
        <w:rPr>
          <w:rFonts w:ascii="Times New Roman" w:hAnsi="Times New Roman" w:cs="Times New Roman" w:eastAsia="Times New Roman" w:hint="default"/>
        </w:rPr>
        <w:t>8</w:t>
      </w:r>
      <w:r>
        <w:rPr/>
        <w:t>、其他流动资产</w:t>
      </w:r>
      <w:r>
        <w:rPr>
          <w:b w:val="0"/>
          <w:bCs w:val="0"/>
        </w:rPr>
      </w:r>
    </w:p>
    <w:p>
      <w:pPr>
        <w:pStyle w:val="BodyText"/>
        <w:spacing w:line="240" w:lineRule="auto" w:before="42"/>
        <w:ind w:right="-20"/>
        <w:jc w:val="left"/>
      </w:pPr>
      <w:r>
        <w:rPr/>
        <w:t>是否已执行新收入准则</w:t>
      </w:r>
    </w:p>
    <w:p>
      <w:pPr>
        <w:pStyle w:val="BodyText"/>
        <w:spacing w:line="240" w:lineRule="auto" w:before="76"/>
        <w:ind w:right="-20"/>
        <w:jc w:val="left"/>
      </w:pPr>
      <w:r>
        <w:rPr>
          <w:rFonts w:ascii="Times New Roman" w:hAnsi="Times New Roman" w:cs="Times New Roman" w:eastAsia="Times New Roman" w:hint="default"/>
        </w:rPr>
        <w:t>□  </w:t>
      </w:r>
      <w:r>
        <w:rPr/>
        <w:t>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应交税金借方余额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29,134,453.29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13,983,795.68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486,121.45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发行可转换债券手续费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965094.34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30,585,669.08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13,983,795.68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16"/>
        <w:jc w:val="left"/>
      </w:pPr>
      <w:r>
        <w:rPr/>
        <w:t>其他说明：</w:t>
      </w:r>
    </w:p>
    <w:p>
      <w:pPr>
        <w:pStyle w:val="Heading3"/>
        <w:spacing w:line="240" w:lineRule="auto" w:before="56"/>
        <w:ind w:right="-16"/>
        <w:jc w:val="left"/>
        <w:rPr>
          <w:b w:val="0"/>
          <w:bCs w:val="0"/>
        </w:rPr>
      </w:pPr>
      <w:bookmarkStart w:name="9、长期股权投资" w:id="233"/>
      <w:bookmarkEnd w:id="233"/>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37" w:space="7092"/>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2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25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深圳市 旭龙昇 电子有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3" w:right="0"/>
              <w:jc w:val="left"/>
              <w:rPr>
                <w:rFonts w:ascii="Times New Roman" w:hAnsi="Times New Roman" w:cs="Times New Roman" w:eastAsia="Times New Roman" w:hint="default"/>
                <w:sz w:val="18"/>
                <w:szCs w:val="18"/>
              </w:rPr>
            </w:pPr>
            <w:r>
              <w:rPr>
                <w:rFonts w:ascii="Times New Roman"/>
                <w:sz w:val="18"/>
              </w:rPr>
              <w:t>41,991,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334.13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 w:right="0"/>
              <w:jc w:val="center"/>
              <w:rPr>
                <w:rFonts w:ascii="Times New Roman" w:hAnsi="Times New Roman" w:cs="Times New Roman" w:eastAsia="Times New Roman" w:hint="default"/>
                <w:sz w:val="18"/>
                <w:szCs w:val="18"/>
              </w:rPr>
            </w:pPr>
            <w:r>
              <w:rPr>
                <w:rFonts w:ascii="Times New Roman"/>
                <w:sz w:val="18"/>
              </w:rPr>
              <w:t>4,134,3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46,188,</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623.74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深圳市 科佛科 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9,636,6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81.93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Times New Roman" w:hAnsi="Times New Roman" w:cs="Times New Roman" w:eastAsia="Times New Roman" w:hint="default"/>
                <w:sz w:val="18"/>
                <w:szCs w:val="18"/>
              </w:rPr>
            </w:pPr>
            <w:r>
              <w:rPr>
                <w:rFonts w:ascii="Times New Roman"/>
                <w:sz w:val="18"/>
              </w:rPr>
              <w:t>-748,13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 w:right="0"/>
              <w:jc w:val="center"/>
              <w:rPr>
                <w:rFonts w:ascii="Times New Roman" w:hAnsi="Times New Roman" w:cs="Times New Roman" w:eastAsia="Times New Roman" w:hint="default"/>
                <w:sz w:val="18"/>
                <w:szCs w:val="18"/>
              </w:rPr>
            </w:pPr>
            <w:r>
              <w:rPr>
                <w:rFonts w:ascii="Times New Roman"/>
                <w:sz w:val="18"/>
              </w:rPr>
              <w:t>8,888,5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51,628,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016.06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3,386,1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55,077,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173.97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51,628,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016.06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3,386,1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55,077,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173.97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00" w:lineRule="auto" w:before="8"/>
        <w:ind w:right="-17"/>
        <w:jc w:val="left"/>
        <w:rPr>
          <w:rFonts w:ascii="宋体" w:hAnsi="宋体" w:cs="宋体" w:eastAsia="宋体" w:hint="default"/>
          <w:sz w:val="21"/>
          <w:szCs w:val="21"/>
        </w:rPr>
      </w:pPr>
      <w:r>
        <w:rPr/>
        <w:t>其他说明： 本公司持有深圳市旭龙昇电子有限公司</w:t>
      </w:r>
      <w:r>
        <w:rPr>
          <w:rFonts w:ascii="Times New Roman" w:hAnsi="Times New Roman" w:cs="Times New Roman" w:eastAsia="Times New Roman" w:hint="default"/>
        </w:rPr>
        <w:t>33%</w:t>
      </w:r>
      <w:r>
        <w:rPr/>
        <w:t>股权，投资成本</w:t>
      </w:r>
      <w:r>
        <w:rPr>
          <w:rFonts w:ascii="Times New Roman" w:hAnsi="Times New Roman" w:cs="Times New Roman" w:eastAsia="Times New Roman" w:hint="default"/>
        </w:rPr>
        <w:t>34,731,499.62</w:t>
      </w:r>
      <w:r>
        <w:rPr/>
        <w:t>元，本公司按权益法核算。 本公司持有深圳市科佛科技有限公司</w:t>
      </w:r>
      <w:r>
        <w:rPr>
          <w:rFonts w:ascii="Times New Roman" w:hAnsi="Times New Roman" w:cs="Times New Roman" w:eastAsia="Times New Roman" w:hint="default"/>
        </w:rPr>
        <w:t>23.125%</w:t>
      </w:r>
      <w:r>
        <w:rPr/>
        <w:t>股权，投资成本</w:t>
      </w:r>
      <w:r>
        <w:rPr>
          <w:rFonts w:ascii="Times New Roman" w:hAnsi="Times New Roman" w:cs="Times New Roman" w:eastAsia="Times New Roman" w:hint="default"/>
        </w:rPr>
        <w:t>9,000,000.00</w:t>
      </w:r>
      <w:r>
        <w:rPr/>
        <w:t>元，本公司按权益法核算。 </w:t>
      </w:r>
      <w:bookmarkStart w:name="10、投资性房地产" w:id="234"/>
      <w:bookmarkEnd w:id="23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Heading3"/>
        <w:spacing w:line="256" w:lineRule="exact"/>
        <w:ind w:right="-17"/>
        <w:jc w:val="left"/>
        <w:rPr>
          <w:b w:val="0"/>
          <w:bCs w:val="0"/>
        </w:rPr>
      </w:pPr>
      <w:bookmarkStart w:name="（1）采用成本计量模式的投资性房地产" w:id="235"/>
      <w:bookmarkEnd w:id="23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42"/>
        <w:ind w:right="-17"/>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8046" w:space="783"/>
            <w:col w:w="2101"/>
          </w:cols>
        </w:sectPr>
      </w:pP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20,308,155.68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15,909,104.89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15,909,104.89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01" w:firstLine="32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15,909,104.89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15,909,104.89</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36,217,260.57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36,217,260.57</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4,491,019.19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4,491,019.19</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1,724,967.19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1,724,967.19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736,722.18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736,722.18</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75"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 产累计折旧转入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988,245.01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988,245.01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6,215,986.38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6,215,986.38</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30,001,274.19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30,001,274.19</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15,817,136.49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15,817,136.49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2"/>
        <w:jc w:val="left"/>
        <w:rPr>
          <w:b w:val="0"/>
          <w:bCs w:val="0"/>
        </w:rPr>
      </w:pPr>
      <w:bookmarkStart w:name="11、固定资产" w:id="236"/>
      <w:bookmarkEnd w:id="236"/>
      <w:r>
        <w:rPr>
          <w:b w:val="0"/>
          <w:bCs w:val="0"/>
        </w:rPr>
      </w:r>
      <w:r>
        <w:rPr>
          <w:rFonts w:ascii="Times New Roman" w:hAnsi="Times New Roman" w:cs="Times New Roman" w:eastAsia="Times New Roman" w:hint="default"/>
          <w:spacing w:val="-1"/>
        </w:rPr>
        <w:t>11</w:t>
      </w:r>
      <w:r>
        <w:rPr>
          <w:spacing w:val="-1"/>
        </w:rPr>
        <w:t>、固定资产</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58" w:right="0"/>
              <w:jc w:val="left"/>
              <w:rPr>
                <w:rFonts w:ascii="Times New Roman" w:hAnsi="Times New Roman" w:cs="Times New Roman" w:eastAsia="Times New Roman" w:hint="default"/>
                <w:sz w:val="18"/>
                <w:szCs w:val="18"/>
              </w:rPr>
            </w:pPr>
            <w:r>
              <w:rPr>
                <w:rFonts w:ascii="Times New Roman"/>
                <w:sz w:val="18"/>
              </w:rPr>
              <w:t>199,712,993.11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42" w:right="0"/>
              <w:jc w:val="left"/>
              <w:rPr>
                <w:rFonts w:ascii="Times New Roman" w:hAnsi="Times New Roman" w:cs="Times New Roman" w:eastAsia="Times New Roman" w:hint="default"/>
                <w:sz w:val="18"/>
                <w:szCs w:val="18"/>
              </w:rPr>
            </w:pPr>
            <w:r>
              <w:rPr>
                <w:rFonts w:ascii="Times New Roman"/>
                <w:sz w:val="18"/>
              </w:rPr>
              <w:t>85,200,416.16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58" w:right="0"/>
              <w:jc w:val="left"/>
              <w:rPr>
                <w:rFonts w:ascii="Times New Roman" w:hAnsi="Times New Roman" w:cs="Times New Roman" w:eastAsia="Times New Roman" w:hint="default"/>
                <w:sz w:val="18"/>
                <w:szCs w:val="18"/>
              </w:rPr>
            </w:pPr>
            <w:r>
              <w:rPr>
                <w:rFonts w:ascii="Times New Roman"/>
                <w:sz w:val="18"/>
              </w:rPr>
              <w:t>199,712,993.11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42" w:right="0"/>
              <w:jc w:val="left"/>
              <w:rPr>
                <w:rFonts w:ascii="Times New Roman" w:hAnsi="Times New Roman" w:cs="Times New Roman" w:eastAsia="Times New Roman" w:hint="default"/>
                <w:sz w:val="18"/>
                <w:szCs w:val="18"/>
              </w:rPr>
            </w:pPr>
            <w:r>
              <w:rPr>
                <w:rFonts w:ascii="Times New Roman"/>
                <w:sz w:val="18"/>
              </w:rPr>
              <w:t>85,200,416.16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9" w:lineRule="exact"/>
        <w:ind w:right="-16"/>
        <w:jc w:val="left"/>
        <w:rPr>
          <w:b w:val="0"/>
          <w:bCs w:val="0"/>
        </w:rPr>
      </w:pPr>
      <w:bookmarkStart w:name="（1）固定资产情况" w:id="237"/>
      <w:bookmarkEnd w:id="23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65,120,059.24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16,625,556.81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9,956,009.27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11,639,401.30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103,341,026.62</w:t>
            </w:r>
          </w:p>
        </w:tc>
      </w:tr>
      <w:tr>
        <w:trPr>
          <w:trHeight w:val="63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129,812,889.77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3,354,331.28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514,760.60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3,426,657.41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137,108,639.06</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514,760.60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3,315,278.09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3,830,038.69</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129,812,889.77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3,354,331.28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111,379.32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133,278,600.37</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17,585,042.69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267,894.00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161,944.47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18,014,881.16</w:t>
            </w:r>
          </w:p>
        </w:tc>
      </w:tr>
      <w:tr>
        <w:trPr>
          <w:trHeight w:val="63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1,675,937.80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267,894.00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161,944.47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2,105,776.27</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 至投资性房地产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15,909,104.89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15,909,104.89</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177,347,906.32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19,979,888.09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10,202,875.87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14,904,114.24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222,434,784.52</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3,053,298.85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1,205,467.47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6,822,447.00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7,059,397.14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18,140,610.46</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2,039,870.88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1,709,263.91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730,316.32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1,599,658.22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6,079,109.33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2,039,870.88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1,709,263.91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730,316.32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1,599,658.22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6,079,109.33</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1,089,581.84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254,499.30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153,847.24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1,497,928.38</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101,336.83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254,499.30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153,847.24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509,683.37</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 至投资性房地产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988,245.01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988,245.01</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4,003,587.89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2,914,731.38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7,298,264.02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8,505,208.12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22,721,791.41</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173,344,318.43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17,065,156.71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2,904,611.85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6,398,906.12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199,712,993.11</w:t>
            </w: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62,066,760.39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15,420,089.34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3,133,562.27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4,580,004.16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85,200,416.16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0"/>
        <w:jc w:val="left"/>
        <w:rPr>
          <w:b w:val="0"/>
          <w:bCs w:val="0"/>
        </w:rPr>
      </w:pPr>
      <w:bookmarkStart w:name="（2）未办妥产权证书的固定资产情况" w:id="238"/>
      <w:bookmarkEnd w:id="238"/>
      <w:r>
        <w:rPr>
          <w:b w:val="0"/>
          <w:bCs w:val="0"/>
        </w:rPr>
      </w:r>
      <w:r>
        <w:rPr>
          <w:spacing w:val="-1"/>
        </w:rPr>
        <w:t>（</w:t>
      </w:r>
      <w:r>
        <w:rPr>
          <w:rFonts w:ascii="Times New Roman" w:hAnsi="Times New Roman" w:cs="Times New Roman" w:eastAsia="Times New Roman" w:hint="default"/>
          <w:spacing w:val="-1"/>
        </w:rPr>
        <w:t>2</w:t>
      </w:r>
      <w:r>
        <w:rPr>
          <w:spacing w:val="-1"/>
        </w:rPr>
        <w:t>）未办妥产权证书的固定资产情况</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634" w:space="5195"/>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多层厂房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16,945,747.21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行政楼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85,505,217.24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综合宿舍楼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37,195,874.09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人才住房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3,453,900.55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人才住房，有限产权</w:t>
            </w:r>
          </w:p>
        </w:tc>
      </w:tr>
    </w:tbl>
    <w:p>
      <w:pPr>
        <w:pStyle w:val="BodyText"/>
        <w:spacing w:line="240" w:lineRule="auto" w:before="8"/>
        <w:ind w:right="1116"/>
        <w:jc w:val="left"/>
      </w:pPr>
      <w:r>
        <w:rPr/>
        <w:t>其他说明：</w:t>
      </w:r>
    </w:p>
    <w:p>
      <w:pPr>
        <w:pStyle w:val="BodyText"/>
        <w:spacing w:line="307" w:lineRule="auto" w:before="76"/>
        <w:ind w:right="1126"/>
        <w:jc w:val="left"/>
      </w:pPr>
      <w:r>
        <w:rPr>
          <w:spacing w:val="-3"/>
        </w:rPr>
        <w:t>（</w:t>
      </w:r>
      <w:r>
        <w:rPr>
          <w:rFonts w:ascii="Times New Roman" w:hAnsi="Times New Roman" w:cs="Times New Roman" w:eastAsia="Times New Roman" w:hint="default"/>
          <w:spacing w:val="-3"/>
        </w:rPr>
        <w:t>1</w:t>
      </w:r>
      <w:r>
        <w:rPr>
          <w:spacing w:val="-3"/>
        </w:rPr>
        <w:t>）房屋及建筑物</w:t>
      </w:r>
      <w:r>
        <w:rPr>
          <w:rFonts w:ascii="Times New Roman" w:hAnsi="Times New Roman" w:cs="Times New Roman" w:eastAsia="Times New Roman" w:hint="default"/>
          <w:spacing w:val="-3"/>
        </w:rPr>
        <w:t>-</w:t>
      </w:r>
      <w:r>
        <w:rPr>
          <w:spacing w:val="-3"/>
        </w:rPr>
        <w:t>人才住房为本公司购置的位于深圳市罗湖区连馨家园（住宅小区）</w:t>
      </w:r>
      <w:r>
        <w:rPr>
          <w:rFonts w:ascii="Times New Roman" w:hAnsi="Times New Roman" w:cs="Times New Roman" w:eastAsia="Times New Roman" w:hint="default"/>
          <w:spacing w:val="-3"/>
        </w:rPr>
        <w:t>7</w:t>
      </w:r>
      <w:r>
        <w:rPr>
          <w:spacing w:val="-3"/>
        </w:rPr>
        <w:t>栋</w:t>
      </w:r>
      <w:r>
        <w:rPr>
          <w:rFonts w:ascii="Times New Roman" w:hAnsi="Times New Roman" w:cs="Times New Roman" w:eastAsia="Times New Roman" w:hint="default"/>
          <w:spacing w:val="-3"/>
        </w:rPr>
        <w:t>28E</w:t>
      </w:r>
      <w:r>
        <w:rPr>
          <w:spacing w:val="-3"/>
        </w:rPr>
        <w:t>、</w:t>
      </w:r>
      <w:r>
        <w:rPr>
          <w:rFonts w:ascii="Times New Roman" w:hAnsi="Times New Roman" w:cs="Times New Roman" w:eastAsia="Times New Roman" w:hint="default"/>
          <w:spacing w:val="-3"/>
        </w:rPr>
        <w:t>28F</w:t>
      </w:r>
      <w:r>
        <w:rPr>
          <w:spacing w:val="-3"/>
        </w:rPr>
        <w:t>、</w:t>
      </w:r>
      <w:r>
        <w:rPr>
          <w:rFonts w:ascii="Times New Roman" w:hAnsi="Times New Roman" w:cs="Times New Roman" w:eastAsia="Times New Roman" w:hint="default"/>
          <w:spacing w:val="-3"/>
        </w:rPr>
        <w:t>28G</w:t>
      </w:r>
      <w:r>
        <w:rPr>
          <w:spacing w:val="-3"/>
        </w:rPr>
        <w:t>、</w:t>
      </w:r>
      <w:r>
        <w:rPr>
          <w:rFonts w:ascii="Times New Roman" w:hAnsi="Times New Roman" w:cs="Times New Roman" w:eastAsia="Times New Roman" w:hint="default"/>
          <w:spacing w:val="-3"/>
        </w:rPr>
        <w:t>2</w:t>
      </w:r>
      <w:r>
        <w:rPr>
          <w:spacing w:val="-3"/>
        </w:rPr>
        <w:t>栋</w:t>
      </w:r>
      <w:r>
        <w:rPr>
          <w:rFonts w:ascii="Times New Roman" w:hAnsi="Times New Roman" w:cs="Times New Roman" w:eastAsia="Times New Roman" w:hint="default"/>
          <w:spacing w:val="-3"/>
        </w:rPr>
        <w:t>22E</w:t>
      </w:r>
      <w:r>
        <w:rPr>
          <w:spacing w:val="-3"/>
        </w:rPr>
        <w:t>、</w:t>
      </w:r>
      <w:r>
        <w:rPr>
          <w:rFonts w:ascii="Times New Roman" w:hAnsi="Times New Roman" w:cs="Times New Roman" w:eastAsia="Times New Roman" w:hint="default"/>
          <w:spacing w:val="-3"/>
        </w:rPr>
        <w:t>3</w:t>
      </w:r>
      <w:r>
        <w:rPr>
          <w:spacing w:val="-3"/>
        </w:rPr>
        <w:t>栋</w:t>
      </w:r>
      <w:r>
        <w:rPr>
          <w:rFonts w:ascii="Times New Roman" w:hAnsi="Times New Roman" w:cs="Times New Roman" w:eastAsia="Times New Roman" w:hint="default"/>
          <w:spacing w:val="-3"/>
        </w:rPr>
        <w:t>16D</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及深圳市罗湖区宝翠苑</w:t>
      </w:r>
      <w:r>
        <w:rPr>
          <w:rFonts w:ascii="Times New Roman" w:hAnsi="Times New Roman" w:cs="Times New Roman" w:eastAsia="Times New Roman" w:hint="default"/>
        </w:rPr>
        <w:t>B</w:t>
      </w:r>
      <w:r>
        <w:rPr/>
        <w:t>栋</w:t>
      </w:r>
      <w:r>
        <w:rPr>
          <w:rFonts w:ascii="Times New Roman" w:hAnsi="Times New Roman" w:cs="Times New Roman" w:eastAsia="Times New Roman" w:hint="default"/>
        </w:rPr>
        <w:t>203</w:t>
      </w:r>
      <w:r>
        <w:rPr/>
        <w:t>。该住房为有限产权，无法办理产权证。根据购房合同，本公司不能向政府以外的任何单位 </w:t>
      </w:r>
      <w:r>
        <w:rPr>
          <w:spacing w:val="-2"/>
        </w:rPr>
        <w:t>或个人进行任何形式的产权交易，不能上市交易、过户、抵押，本公司因特殊原因确需转让该房的，按照合同回购条款由政</w:t>
      </w:r>
      <w:r>
        <w:rPr>
          <w:spacing w:val="-65"/>
        </w:rPr>
        <w:t> </w:t>
      </w:r>
      <w:r>
        <w:rPr>
          <w:spacing w:val="-65"/>
        </w:rPr>
      </w:r>
      <w:r>
        <w:rPr/>
        <w:t>府回购。</w:t>
      </w:r>
    </w:p>
    <w:p>
      <w:pPr>
        <w:pStyle w:val="BodyText"/>
        <w:spacing w:line="300" w:lineRule="auto" w:before="26"/>
        <w:ind w:right="1119"/>
        <w:jc w:val="left"/>
      </w:pPr>
      <w:r>
        <w:rPr>
          <w:spacing w:val="-1"/>
        </w:rPr>
        <w:t>（</w:t>
      </w:r>
      <w:r>
        <w:rPr>
          <w:rFonts w:ascii="Times New Roman" w:hAnsi="Times New Roman" w:cs="Times New Roman" w:eastAsia="Times New Roman" w:hint="default"/>
          <w:spacing w:val="-1"/>
        </w:rPr>
        <w:t>2</w:t>
      </w:r>
      <w:r>
        <w:rPr>
          <w:spacing w:val="-1"/>
        </w:rPr>
        <w:t>）房屋及建筑物</w:t>
      </w:r>
      <w:r>
        <w:rPr>
          <w:rFonts w:ascii="Times New Roman" w:hAnsi="Times New Roman" w:cs="Times New Roman" w:eastAsia="Times New Roman" w:hint="default"/>
          <w:spacing w:val="-1"/>
        </w:rPr>
        <w:t>-</w:t>
      </w:r>
      <w:r>
        <w:rPr>
          <w:spacing w:val="-1"/>
        </w:rPr>
        <w:t>多层厂房、行政楼、综合宿舍楼，为本公司建设的位于深圳市龙岗区龙岗街道的今天国际科技园中，自</w:t>
      </w:r>
      <w:r>
        <w:rPr/>
        <w:t> 竣工后已向有关部门提交相关申请材料。截至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日，有关部门正在审核材料中。</w:t>
      </w:r>
    </w:p>
    <w:p>
      <w:pPr>
        <w:pStyle w:val="Heading3"/>
        <w:spacing w:line="283" w:lineRule="exact"/>
        <w:ind w:right="1116"/>
        <w:jc w:val="left"/>
        <w:rPr>
          <w:b w:val="0"/>
          <w:bCs w:val="0"/>
        </w:rPr>
      </w:pPr>
      <w:bookmarkStart w:name="12、在建工程" w:id="239"/>
      <w:bookmarkEnd w:id="239"/>
      <w:r>
        <w:rPr>
          <w:b w:val="0"/>
          <w:bCs w:val="0"/>
        </w:rPr>
      </w:r>
      <w:r>
        <w:rPr>
          <w:rFonts w:ascii="Times New Roman" w:hAnsi="Times New Roman" w:cs="Times New Roman" w:eastAsia="Times New Roman" w:hint="default"/>
        </w:rPr>
        <w:t>12</w:t>
      </w:r>
      <w:r>
        <w:rPr/>
        <w:t>、在建工程</w:t>
      </w:r>
      <w:r>
        <w:rPr>
          <w:b w:val="0"/>
          <w:bCs w:val="0"/>
        </w:rPr>
      </w:r>
    </w:p>
    <w:p>
      <w:pPr>
        <w:pStyle w:val="BodyText"/>
        <w:spacing w:line="240" w:lineRule="auto" w:before="42"/>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57,105.30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112,208,415.07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57,105.30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112,208,415.07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1）在建工程情况" w:id="240"/>
      <w:bookmarkEnd w:id="24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今天国际科技 园</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112,208,415.07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112,208,415.07</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both"/>
              <w:rPr>
                <w:rFonts w:ascii="宋体" w:hAnsi="宋体" w:cs="宋体" w:eastAsia="宋体" w:hint="default"/>
                <w:sz w:val="18"/>
                <w:szCs w:val="18"/>
              </w:rPr>
            </w:pPr>
            <w:r>
              <w:rPr>
                <w:rFonts w:ascii="宋体" w:hAnsi="宋体" w:cs="宋体" w:eastAsia="宋体" w:hint="default"/>
                <w:sz w:val="18"/>
                <w:szCs w:val="18"/>
              </w:rPr>
              <w:t>未达到预定可 使用状态的零 星固定资产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57,105.30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57,105.30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57,105.30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57,105.30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Times New Roman" w:hAnsi="Times New Roman" w:cs="Times New Roman" w:eastAsia="Times New Roman" w:hint="default"/>
                <w:sz w:val="18"/>
                <w:szCs w:val="18"/>
              </w:rPr>
            </w:pPr>
            <w:r>
              <w:rPr>
                <w:rFonts w:ascii="Times New Roman"/>
                <w:sz w:val="18"/>
              </w:rPr>
              <w:t>112,208,415.07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Times New Roman" w:hAnsi="Times New Roman" w:cs="Times New Roman" w:eastAsia="Times New Roman" w:hint="default"/>
                <w:sz w:val="18"/>
                <w:szCs w:val="18"/>
              </w:rPr>
            </w:pPr>
            <w:r>
              <w:rPr>
                <w:rFonts w:ascii="Times New Roman"/>
                <w:sz w:val="18"/>
              </w:rPr>
              <w:t>112,208,415.07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0"/>
        <w:jc w:val="left"/>
        <w:rPr>
          <w:b w:val="0"/>
          <w:bCs w:val="0"/>
        </w:rPr>
      </w:pPr>
      <w:bookmarkStart w:name="（2）重要在建工程项目本期变动情况" w:id="241"/>
      <w:bookmarkEnd w:id="241"/>
      <w:r>
        <w:rPr>
          <w:b w:val="0"/>
          <w:bCs w:val="0"/>
        </w:rPr>
      </w: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634" w:space="5195"/>
            <w:col w:w="2101"/>
          </w:cols>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919"/>
      </w:tblGrid>
      <w:tr>
        <w:trPr>
          <w:trHeight w:val="188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80"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367" w:right="1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57"/>
              <w:jc w:val="both"/>
              <w:rPr>
                <w:rFonts w:ascii="宋体" w:hAnsi="宋体" w:cs="宋体" w:eastAsia="宋体" w:hint="default"/>
                <w:sz w:val="18"/>
                <w:szCs w:val="18"/>
              </w:rPr>
            </w:pPr>
            <w:r>
              <w:rPr>
                <w:rFonts w:ascii="宋体" w:hAnsi="宋体" w:cs="宋体" w:eastAsia="宋体" w:hint="default"/>
                <w:sz w:val="18"/>
                <w:szCs w:val="18"/>
              </w:rPr>
              <w:t>今天 国际 科技 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9"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6"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8,415.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21,585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9" w:right="0"/>
              <w:jc w:val="left"/>
              <w:rPr>
                <w:rFonts w:ascii="Times New Roman" w:hAnsi="Times New Roman" w:cs="Times New Roman" w:eastAsia="Times New Roman" w:hint="default"/>
                <w:sz w:val="18"/>
                <w:szCs w:val="18"/>
              </w:rPr>
            </w:pPr>
            <w:r>
              <w:rPr>
                <w:rFonts w:ascii="Times New Roman"/>
                <w:sz w:val="18"/>
              </w:rPr>
              <w:t>133,79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3,605.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105.14</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98"/>
              <w:jc w:val="left"/>
              <w:rPr>
                <w:rFonts w:ascii="宋体" w:hAnsi="宋体" w:cs="宋体" w:eastAsia="宋体" w:hint="default"/>
                <w:sz w:val="18"/>
                <w:szCs w:val="18"/>
              </w:rPr>
            </w:pPr>
            <w:r>
              <w:rPr>
                <w:rFonts w:ascii="宋体" w:hAnsi="宋体" w:cs="宋体" w:eastAsia="宋体" w:hint="default"/>
                <w:sz w:val="18"/>
                <w:szCs w:val="18"/>
              </w:rPr>
              <w:t>募集资 </w:t>
            </w:r>
            <w:r>
              <w:rPr>
                <w:rFonts w:ascii="宋体" w:hAnsi="宋体" w:cs="宋体" w:eastAsia="宋体" w:hint="default"/>
                <w:spacing w:val="-5"/>
                <w:sz w:val="18"/>
                <w:szCs w:val="18"/>
              </w:rPr>
              <w:t>金、金融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机构贷 </w:t>
            </w:r>
            <w:r>
              <w:rPr>
                <w:rFonts w:ascii="宋体" w:hAnsi="宋体" w:cs="宋体" w:eastAsia="宋体" w:hint="default"/>
                <w:spacing w:val="-5"/>
                <w:sz w:val="18"/>
                <w:szCs w:val="18"/>
              </w:rPr>
              <w:t>款、自有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r>
      <w:tr>
        <w:trPr>
          <w:trHeight w:val="9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112,20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8,415.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21,585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133,79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3,605.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6"/>
        <w:jc w:val="left"/>
        <w:rPr>
          <w:b w:val="0"/>
          <w:bCs w:val="0"/>
        </w:rPr>
      </w:pPr>
      <w:bookmarkStart w:name="13、无形资产" w:id="242"/>
      <w:bookmarkEnd w:id="242"/>
      <w:r>
        <w:rPr>
          <w:b w:val="0"/>
          <w:bCs w:val="0"/>
        </w:rPr>
      </w:r>
      <w:r>
        <w:rPr>
          <w:rFonts w:ascii="Times New Roman" w:hAnsi="Times New Roman" w:cs="Times New Roman" w:eastAsia="Times New Roman" w:hint="default"/>
        </w:rPr>
        <w:t>13</w:t>
      </w:r>
      <w:r>
        <w:rPr/>
        <w:t>、无形资产</w:t>
      </w:r>
      <w:r>
        <w:rPr>
          <w:b w:val="0"/>
          <w:bCs w:val="0"/>
        </w:rPr>
      </w:r>
    </w:p>
    <w:p>
      <w:pPr>
        <w:pStyle w:val="Heading3"/>
        <w:spacing w:line="240" w:lineRule="auto" w:before="21"/>
        <w:ind w:right="-16"/>
        <w:jc w:val="left"/>
        <w:rPr>
          <w:b w:val="0"/>
          <w:bCs w:val="0"/>
        </w:rPr>
      </w:pPr>
      <w:bookmarkStart w:name="（1）无形资产情况" w:id="243"/>
      <w:bookmarkEnd w:id="24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2" w:right="161" w:hanging="272"/>
              <w:jc w:val="left"/>
              <w:rPr>
                <w:rFonts w:ascii="宋体" w:hAnsi="宋体" w:cs="宋体" w:eastAsia="宋体" w:hint="default"/>
                <w:sz w:val="18"/>
                <w:szCs w:val="18"/>
              </w:rPr>
            </w:pPr>
            <w:r>
              <w:rPr>
                <w:rFonts w:ascii="宋体" w:hAnsi="宋体" w:cs="宋体" w:eastAsia="宋体" w:hint="default"/>
                <w:sz w:val="18"/>
                <w:szCs w:val="18"/>
              </w:rPr>
              <w:t>软件开发工具及 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13,377,022.00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7,732,388.39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21,109,410.39</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1,675,284.04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1,675,284.04</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1,675,284.04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1,675,284.04</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27"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13,377,022.00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9,407,672.43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22,784,694.43</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2,787,352.25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5,253,502.81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8,040,855.06</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452,181.12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986,396.81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1,438,577.93</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452,181.12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986,396.81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1,438,577.93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3,239,533.37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6,239,899.62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9,479,432.99</w:t>
            </w: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10,137,488.63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3,167,772.81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13,305,261.44</w:t>
            </w:r>
          </w:p>
        </w:tc>
      </w:tr>
      <w:tr>
        <w:trPr>
          <w:trHeight w:val="6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10,589,669.75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2,478,885.58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13,068,555.33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BodyText"/>
        <w:spacing w:line="240" w:lineRule="auto" w:before="8"/>
        <w:ind w:right="-17"/>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pStyle w:val="Heading3"/>
        <w:spacing w:line="240" w:lineRule="auto" w:before="42"/>
        <w:ind w:right="-17"/>
        <w:jc w:val="left"/>
        <w:rPr>
          <w:b w:val="0"/>
          <w:bCs w:val="0"/>
        </w:rPr>
      </w:pPr>
      <w:bookmarkStart w:name="14、长期待摊费用" w:id="244"/>
      <w:bookmarkEnd w:id="244"/>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886" w:space="294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6,011.18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6,011.18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375,328.50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166,669.32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208,659.18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381,339.68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172,680.50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208,659.18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0"/>
        <w:jc w:val="left"/>
      </w:pPr>
      <w:r>
        <w:rPr/>
        <w:t>其他说明</w:t>
      </w:r>
    </w:p>
    <w:p>
      <w:pPr>
        <w:pStyle w:val="Heading3"/>
        <w:spacing w:line="240" w:lineRule="auto" w:before="56"/>
        <w:ind w:right="0"/>
        <w:jc w:val="left"/>
        <w:rPr>
          <w:b w:val="0"/>
          <w:bCs w:val="0"/>
        </w:rPr>
      </w:pPr>
      <w:bookmarkStart w:name="15、递延所得税资产/递延所得税负债" w:id="245"/>
      <w:bookmarkEnd w:id="245"/>
      <w:r>
        <w:rPr>
          <w:b w:val="0"/>
          <w:bCs w:val="0"/>
        </w:rPr>
      </w:r>
      <w:r>
        <w:rPr>
          <w:rFonts w:ascii="Times New Roman" w:hAnsi="Times New Roman" w:cs="Times New Roman" w:eastAsia="Times New Roman" w:hint="default"/>
          <w:spacing w:val="-1"/>
        </w:rPr>
        <w:t>15</w:t>
      </w:r>
      <w:r>
        <w:rPr>
          <w:spacing w:val="-1"/>
        </w:rPr>
        <w:t>、递延所得税资产</w:t>
      </w:r>
      <w:r>
        <w:rPr>
          <w:rFonts w:ascii="Times New Roman" w:hAnsi="Times New Roman" w:cs="Times New Roman" w:eastAsia="Times New Roman" w:hint="default"/>
          <w:spacing w:val="-1"/>
        </w:rPr>
        <w:t>/</w:t>
      </w:r>
      <w:r>
        <w:rPr>
          <w:spacing w:val="-1"/>
        </w:rPr>
        <w:t>递延所得税负债</w:t>
      </w:r>
      <w:r>
        <w:rPr>
          <w:b w:val="0"/>
          <w:bCs w:val="0"/>
          <w:spacing w:val="-1"/>
        </w:rPr>
      </w:r>
    </w:p>
    <w:p>
      <w:pPr>
        <w:pStyle w:val="Heading3"/>
        <w:spacing w:line="240" w:lineRule="auto" w:before="21"/>
        <w:ind w:right="0"/>
        <w:jc w:val="left"/>
        <w:rPr>
          <w:b w:val="0"/>
          <w:bCs w:val="0"/>
        </w:rPr>
      </w:pPr>
      <w:bookmarkStart w:name="（1）未经抵销的递延所得税资产" w:id="246"/>
      <w:bookmarkEnd w:id="24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86" w:space="524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36,576,466.43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5,486,526.96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31,658,837.92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4,742,487.97</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1,224,038.33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183,605.75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3,437,357.73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515,603.66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16,422,085.04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3,485,758.80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18,792,669.11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3,337,495.21</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确认为递延收益的政 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16,488,752.10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2,473,312.82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8,483,333.33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1,272,500.00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预提物流项目质保费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28,195,342.84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4,229,301.43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15,941,535.28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2,350,923.71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12,958,139.77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1,943,720.96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17,472,692.13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2,527,196.22</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5,858,660.60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878,799.09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预提税项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145,727.13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21,859.07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27,229.20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5"/>
                <w:sz w:val="18"/>
              </w:rPr>
              <w:t>3,403.65</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112,010,551.64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17,824,085.79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101,672,315.30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15,628,409.51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3"/>
        <w:jc w:val="left"/>
        <w:rPr>
          <w:b w:val="0"/>
          <w:bCs w:val="0"/>
        </w:rPr>
      </w:pPr>
      <w:bookmarkStart w:name="（2）未经抵销的递延所得税负债" w:id="247"/>
      <w:bookmarkEnd w:id="247"/>
      <w:r>
        <w:rPr>
          <w:b w:val="0"/>
          <w:bCs w:val="0"/>
        </w:rPr>
      </w:r>
      <w:r>
        <w:rPr>
          <w:spacing w:val="-1"/>
        </w:rPr>
        <w:t>（</w:t>
      </w:r>
      <w:r>
        <w:rPr>
          <w:rFonts w:ascii="Times New Roman" w:hAnsi="Times New Roman" w:cs="Times New Roman" w:eastAsia="Times New Roman" w:hint="default"/>
          <w:spacing w:val="-1"/>
        </w:rPr>
        <w:t>2</w:t>
      </w:r>
      <w:r>
        <w:rPr>
          <w:spacing w:val="-1"/>
        </w:rPr>
        <w:t>）未经抵销的递延所得税负债</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212" w:space="5618"/>
            <w:col w:w="2100"/>
          </w:cols>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216,938.60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32,540.79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1,889,763.64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275,984.64</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递延税项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2,600,311.94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390,046.79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974,641.80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146,196.27</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2,817,250.54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422,587.58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2,864,405.44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422,180.91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3"/>
        <w:jc w:val="left"/>
        <w:rPr>
          <w:b w:val="0"/>
          <w:bCs w:val="0"/>
        </w:rPr>
      </w:pPr>
      <w:bookmarkStart w:name="（3）未确认递延所得税资产明细" w:id="248"/>
      <w:bookmarkEnd w:id="248"/>
      <w:r>
        <w:rPr>
          <w:b w:val="0"/>
          <w:bCs w:val="0"/>
        </w:rPr>
      </w:r>
      <w:r>
        <w:rPr>
          <w:spacing w:val="-1"/>
        </w:rPr>
        <w:t>（</w:t>
      </w:r>
      <w:r>
        <w:rPr>
          <w:rFonts w:ascii="Times New Roman" w:hAnsi="Times New Roman" w:cs="Times New Roman" w:eastAsia="Times New Roman" w:hint="default"/>
          <w:spacing w:val="-1"/>
        </w:rPr>
        <w:t>3</w:t>
      </w:r>
      <w:r>
        <w:rPr>
          <w:spacing w:val="-1"/>
        </w:rPr>
        <w:t>）未确认递延所得税资产明细</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212" w:space="5618"/>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896.66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6,499,029.40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5,911,057.75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6,499,926.06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5,911,057.75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0"/>
        <w:jc w:val="left"/>
        <w:rPr>
          <w:b w:val="0"/>
          <w:bCs w:val="0"/>
        </w:rPr>
      </w:pPr>
      <w:bookmarkStart w:name="（4）未确认递延所得税资产的可抵扣亏损将于以下年度到期" w:id="249"/>
      <w:bookmarkEnd w:id="249"/>
      <w:r>
        <w:rPr>
          <w:b w:val="0"/>
          <w:bCs w:val="0"/>
        </w:rPr>
      </w:r>
      <w:r>
        <w:rPr>
          <w:spacing w:val="-1"/>
        </w:rPr>
        <w:t>（</w:t>
      </w:r>
      <w:r>
        <w:rPr>
          <w:rFonts w:ascii="Times New Roman" w:hAnsi="Times New Roman" w:cs="Times New Roman" w:eastAsia="Times New Roman" w:hint="default"/>
          <w:spacing w:val="-1"/>
        </w:rPr>
        <w:t>4</w:t>
      </w:r>
      <w:r>
        <w:rPr>
          <w:spacing w:val="-1"/>
        </w:rPr>
        <w:t>）未确认递延所得税资产的可抵扣亏损将于以下年度到期</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741" w:space="3088"/>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967,902.52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967,902.52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5,048,027.86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4,943,155.23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483,099.02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6,499,029.40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5,911,057.75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16、短期借款" w:id="250"/>
      <w:bookmarkEnd w:id="250"/>
      <w:r>
        <w:rPr>
          <w:b w:val="0"/>
          <w:bCs w:val="0"/>
        </w:rPr>
      </w:r>
      <w:r>
        <w:rPr>
          <w:rFonts w:ascii="Times New Roman" w:hAnsi="Times New Roman" w:cs="Times New Roman" w:eastAsia="Times New Roman" w:hint="default"/>
        </w:rPr>
        <w:t>16</w:t>
      </w:r>
      <w:r>
        <w:rPr/>
        <w:t>、短期借款</w:t>
      </w:r>
      <w:r>
        <w:rPr>
          <w:b w:val="0"/>
          <w:bCs w:val="0"/>
        </w:rPr>
      </w:r>
    </w:p>
    <w:p>
      <w:pPr>
        <w:pStyle w:val="Heading3"/>
        <w:spacing w:line="240" w:lineRule="auto" w:before="21"/>
        <w:ind w:right="-16"/>
        <w:jc w:val="left"/>
        <w:rPr>
          <w:b w:val="0"/>
          <w:bCs w:val="0"/>
        </w:rPr>
      </w:pPr>
      <w:bookmarkStart w:name="（1）短期借款分类" w:id="251"/>
      <w:bookmarkEnd w:id="25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10,488,687.18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50,488,687.18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Heading3"/>
        <w:spacing w:line="278" w:lineRule="exact"/>
        <w:ind w:right="-12"/>
        <w:jc w:val="left"/>
        <w:rPr>
          <w:b w:val="0"/>
          <w:bCs w:val="0"/>
        </w:rPr>
      </w:pPr>
      <w:bookmarkStart w:name="17、应付票据" w:id="252"/>
      <w:bookmarkEnd w:id="252"/>
      <w:r>
        <w:rPr>
          <w:b w:val="0"/>
          <w:bCs w:val="0"/>
        </w:rPr>
      </w:r>
      <w:r>
        <w:rPr>
          <w:rFonts w:ascii="Times New Roman" w:hAnsi="Times New Roman" w:cs="Times New Roman" w:eastAsia="Times New Roman" w:hint="default"/>
          <w:spacing w:val="-1"/>
        </w:rPr>
        <w:t>17</w:t>
      </w:r>
      <w:r>
        <w:rPr>
          <w:spacing w:val="-1"/>
        </w:rPr>
        <w:t>、应付票据</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49,943,846.51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54,024,777.58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49,943,846.51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54,024,777.58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17"/>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3"/>
        <w:spacing w:line="240" w:lineRule="auto" w:before="42"/>
        <w:ind w:right="-17"/>
        <w:jc w:val="left"/>
        <w:rPr>
          <w:b w:val="0"/>
          <w:bCs w:val="0"/>
        </w:rPr>
      </w:pPr>
      <w:bookmarkStart w:name="18、应付账款" w:id="253"/>
      <w:bookmarkEnd w:id="253"/>
      <w:r>
        <w:rPr>
          <w:b w:val="0"/>
          <w:bCs w:val="0"/>
        </w:rPr>
      </w:r>
      <w:r>
        <w:rPr>
          <w:rFonts w:ascii="Times New Roman" w:hAnsi="Times New Roman" w:cs="Times New Roman" w:eastAsia="Times New Roman" w:hint="default"/>
        </w:rPr>
        <w:t>18</w:t>
      </w:r>
      <w:r>
        <w:rPr/>
        <w:t>、应付账款</w:t>
      </w:r>
      <w:r>
        <w:rPr>
          <w:b w:val="0"/>
          <w:bCs w:val="0"/>
        </w:rPr>
      </w:r>
    </w:p>
    <w:p>
      <w:pPr>
        <w:pStyle w:val="Heading3"/>
        <w:spacing w:line="240" w:lineRule="auto" w:before="23"/>
        <w:ind w:right="-17"/>
        <w:jc w:val="left"/>
        <w:rPr>
          <w:b w:val="0"/>
          <w:bCs w:val="0"/>
        </w:rPr>
      </w:pPr>
      <w:bookmarkStart w:name="（1）应付账款列示" w:id="254"/>
      <w:bookmarkEnd w:id="25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82" w:space="4847"/>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274,063,005.15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204,919,402.71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274,063,005.15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204,919,402.71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20"/>
        <w:jc w:val="left"/>
        <w:rPr>
          <w:b w:val="0"/>
          <w:bCs w:val="0"/>
        </w:rPr>
      </w:pPr>
      <w:bookmarkStart w:name="19、预收款项" w:id="255"/>
      <w:bookmarkEnd w:id="255"/>
      <w:r>
        <w:rPr>
          <w:b w:val="0"/>
          <w:bCs w:val="0"/>
        </w:rPr>
      </w:r>
      <w:r>
        <w:rPr>
          <w:rFonts w:ascii="Times New Roman" w:hAnsi="Times New Roman" w:cs="Times New Roman" w:eastAsia="Times New Roman" w:hint="default"/>
        </w:rPr>
        <w:t>19</w:t>
      </w:r>
      <w:r>
        <w:rPr/>
        <w:t>、预收款项</w:t>
      </w:r>
      <w:r>
        <w:rPr>
          <w:b w:val="0"/>
          <w:bCs w:val="0"/>
        </w:rPr>
      </w:r>
    </w:p>
    <w:p>
      <w:pPr>
        <w:pStyle w:val="BodyText"/>
        <w:spacing w:line="240" w:lineRule="auto" w:before="42"/>
        <w:ind w:right="-20"/>
        <w:jc w:val="left"/>
      </w:pPr>
      <w:r>
        <w:rPr/>
        <w:t>是否已执行新收入准则</w:t>
      </w:r>
    </w:p>
    <w:p>
      <w:pPr>
        <w:pStyle w:val="BodyText"/>
        <w:spacing w:line="240" w:lineRule="auto" w:before="76"/>
        <w:ind w:right="-20"/>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11"/>
        <w:jc w:val="left"/>
        <w:rPr>
          <w:b w:val="0"/>
          <w:bCs w:val="0"/>
        </w:rPr>
      </w:pPr>
      <w:bookmarkStart w:name="（1）预收款项列示" w:id="256"/>
      <w:bookmarkEnd w:id="2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450,545,276.16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355,907,321.95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450,545,276.16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355,907,321.95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5"/>
        <w:jc w:val="left"/>
        <w:rPr>
          <w:b w:val="0"/>
          <w:bCs w:val="0"/>
        </w:rPr>
      </w:pPr>
      <w:bookmarkStart w:name="（2）账龄超过1年的重要预收款项" w:id="257"/>
      <w:bookmarkEnd w:id="25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423" w:space="5407"/>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华润万家生活超市（东莞）有限公司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126,957,518.80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青海比亚迪锂电池有限公司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51,294,017.09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3"/>
              <w:jc w:val="left"/>
              <w:rPr>
                <w:rFonts w:ascii="宋体" w:hAnsi="宋体" w:cs="宋体" w:eastAsia="宋体" w:hint="default"/>
                <w:sz w:val="18"/>
                <w:szCs w:val="18"/>
              </w:rPr>
            </w:pPr>
            <w:r>
              <w:rPr>
                <w:rFonts w:ascii="宋体" w:hAnsi="宋体" w:cs="宋体" w:eastAsia="宋体" w:hint="default"/>
                <w:sz w:val="18"/>
                <w:szCs w:val="18"/>
              </w:rPr>
              <w:t>江西中烟工业有限责任公司广丰卷烟 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11,251,148.29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189,502,684.18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6"/>
        <w:jc w:val="left"/>
        <w:rPr>
          <w:b w:val="0"/>
          <w:bCs w:val="0"/>
        </w:rPr>
      </w:pPr>
      <w:bookmarkStart w:name="20、应付职工薪酬" w:id="258"/>
      <w:bookmarkEnd w:id="258"/>
      <w:r>
        <w:rPr>
          <w:b w:val="0"/>
          <w:bCs w:val="0"/>
        </w:rPr>
      </w:r>
      <w:r>
        <w:rPr>
          <w:rFonts w:ascii="Times New Roman" w:hAnsi="Times New Roman" w:cs="Times New Roman" w:eastAsia="Times New Roman" w:hint="default"/>
        </w:rPr>
        <w:t>20</w:t>
      </w:r>
      <w:r>
        <w:rPr/>
        <w:t>、应付职工薪酬</w:t>
      </w:r>
      <w:r>
        <w:rPr>
          <w:b w:val="0"/>
          <w:bCs w:val="0"/>
        </w:rPr>
      </w:r>
    </w:p>
    <w:p>
      <w:pPr>
        <w:pStyle w:val="Heading3"/>
        <w:spacing w:line="240" w:lineRule="auto" w:before="23"/>
        <w:ind w:right="-6"/>
        <w:jc w:val="left"/>
        <w:rPr>
          <w:b w:val="0"/>
          <w:bCs w:val="0"/>
        </w:rPr>
      </w:pPr>
      <w:bookmarkStart w:name="（1）应付职工薪酬列示" w:id="259"/>
      <w:bookmarkEnd w:id="259"/>
      <w:r>
        <w:rPr>
          <w:b w:val="0"/>
          <w:bCs w:val="0"/>
        </w:rPr>
      </w:r>
      <w:r>
        <w:rPr>
          <w:spacing w:val="-1"/>
        </w:rPr>
        <w:t>（</w:t>
      </w:r>
      <w:r>
        <w:rPr>
          <w:rFonts w:ascii="Times New Roman" w:hAnsi="Times New Roman" w:cs="Times New Roman" w:eastAsia="Times New Roman" w:hint="default"/>
          <w:spacing w:val="-1"/>
        </w:rPr>
        <w:t>1</w:t>
      </w:r>
      <w:r>
        <w:rPr>
          <w:spacing w:val="-1"/>
        </w:rPr>
        <w:t>）应付职工薪酬列示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14,646,421.08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98,738,031.38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98,160,024.30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15,224,428.16</w:t>
            </w:r>
          </w:p>
        </w:tc>
      </w:tr>
      <w:tr>
        <w:trPr>
          <w:trHeight w:val="63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18,609.70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6,524,463.79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6,521,348.29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21,725.20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1,235,302.34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1,235,302.34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14,665,030.78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106,497,797.51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105,916,674.93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15,246,153.36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2）短期薪酬列示" w:id="260"/>
      <w:bookmarkEnd w:id="2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14,607,059.38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93,516,349.12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92,922,953.54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15,200,454.96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9,622.70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2,158,384.02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2,153,492.92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14,513.80</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8,624.10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1,893,660.56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1,889,315.16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12,969.50</w:t>
            </w:r>
          </w:p>
        </w:tc>
      </w:tr>
      <w:tr>
        <w:trPr>
          <w:trHeight w:val="63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64,597.76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64,504.26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184.30</w:t>
            </w:r>
          </w:p>
        </w:tc>
      </w:tr>
      <w:tr>
        <w:trPr>
          <w:trHeight w:val="63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200,125.70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199,673.50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1,360.00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29,739.00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3,063,298.24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3,083,577.84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5"/>
                <w:sz w:val="18"/>
              </w:rPr>
              <w:t>9,459.40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14,646,421.08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98,738,031.38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98,160,024.30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15,224,428.16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6"/>
        <w:jc w:val="left"/>
        <w:rPr>
          <w:b w:val="0"/>
          <w:bCs w:val="0"/>
        </w:rPr>
      </w:pPr>
      <w:bookmarkStart w:name="（3）设定提存计划列示" w:id="261"/>
      <w:bookmarkEnd w:id="261"/>
      <w:r>
        <w:rPr>
          <w:b w:val="0"/>
          <w:bCs w:val="0"/>
        </w:rPr>
      </w:r>
      <w:r>
        <w:rPr>
          <w:spacing w:val="-1"/>
        </w:rPr>
        <w:t>（</w:t>
      </w:r>
      <w:r>
        <w:rPr>
          <w:rFonts w:ascii="Times New Roman" w:hAnsi="Times New Roman" w:cs="Times New Roman" w:eastAsia="Times New Roman" w:hint="default"/>
          <w:spacing w:val="-1"/>
        </w:rPr>
        <w:t>3</w:t>
      </w:r>
      <w:r>
        <w:rPr>
          <w:spacing w:val="-1"/>
        </w:rPr>
        <w:t>）设定提存计划列示</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18,155.80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6,415,516.44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6,412,564.84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21,107.40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108,947.35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108,783.45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617.80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18,609.70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6,524,463.79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6,521,348.29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21,725.20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2"/>
        <w:jc w:val="left"/>
        <w:rPr>
          <w:b w:val="0"/>
          <w:bCs w:val="0"/>
        </w:rPr>
      </w:pPr>
      <w:bookmarkStart w:name="21、应交税费" w:id="262"/>
      <w:bookmarkEnd w:id="262"/>
      <w:r>
        <w:rPr>
          <w:b w:val="0"/>
          <w:bCs w:val="0"/>
        </w:rPr>
      </w:r>
      <w:r>
        <w:rPr>
          <w:rFonts w:ascii="Times New Roman" w:hAnsi="Times New Roman" w:cs="Times New Roman" w:eastAsia="Times New Roman" w:hint="default"/>
          <w:spacing w:val="-1"/>
        </w:rPr>
        <w:t>21</w:t>
      </w:r>
      <w:r>
        <w:rPr>
          <w:spacing w:val="-1"/>
        </w:rPr>
        <w:t>、应交税费</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5,414,554.15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1,211,107.76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1,157,483.54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340,822.69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1,258,737.16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1,488,634.77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571,514.70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670,251.10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326,917.52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393,059.49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8,985.32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17,970.63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2"/>
                <w:sz w:val="18"/>
              </w:rPr>
              <w:t>117.80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39,496.60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152,493.80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8,777,747.89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4,274,458.04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0"/>
        <w:jc w:val="left"/>
        <w:rPr>
          <w:b w:val="0"/>
          <w:bCs w:val="0"/>
        </w:rPr>
      </w:pPr>
      <w:bookmarkStart w:name="22、其他应付款" w:id="263"/>
      <w:bookmarkEnd w:id="263"/>
      <w:r>
        <w:rPr>
          <w:b w:val="0"/>
          <w:bCs w:val="0"/>
        </w:rPr>
      </w:r>
      <w:r>
        <w:rPr>
          <w:rFonts w:ascii="Times New Roman" w:hAnsi="Times New Roman" w:cs="Times New Roman" w:eastAsia="Times New Roman" w:hint="default"/>
          <w:spacing w:val="-1"/>
        </w:rPr>
        <w:t>22</w:t>
      </w:r>
      <w:r>
        <w:rPr>
          <w:spacing w:val="-1"/>
        </w:rPr>
        <w:t>、其他应付款</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33,393,776.76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61,024,417.13</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33,393,776.76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61,024,417.13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5"/>
        <w:jc w:val="left"/>
        <w:rPr>
          <w:b w:val="0"/>
          <w:bCs w:val="0"/>
        </w:rPr>
      </w:pPr>
      <w:bookmarkStart w:name="（1）其他应付款" w:id="264"/>
      <w:bookmarkEnd w:id="264"/>
      <w:r>
        <w:rPr>
          <w:b w:val="0"/>
          <w:bCs w:val="0"/>
        </w:rPr>
      </w:r>
      <w:r>
        <w:rPr/>
        <w:t>（</w:t>
      </w:r>
      <w:r>
        <w:rPr>
          <w:rFonts w:ascii="Times New Roman" w:hAnsi="Times New Roman" w:cs="Times New Roman" w:eastAsia="Times New Roman" w:hint="default"/>
        </w:rPr>
        <w:t>1</w:t>
      </w:r>
      <w:r>
        <w:rPr/>
        <w:t>）其他应付款</w:t>
      </w:r>
      <w:r>
        <w:rPr>
          <w:b w:val="0"/>
          <w:bCs w:val="0"/>
        </w:rPr>
      </w:r>
    </w:p>
    <w:p>
      <w:pPr>
        <w:pStyle w:val="Heading3"/>
        <w:spacing w:line="240" w:lineRule="auto" w:before="21"/>
        <w:ind w:right="-5"/>
        <w:jc w:val="left"/>
        <w:rPr>
          <w:b w:val="0"/>
          <w:bCs w:val="0"/>
        </w:rPr>
      </w:pPr>
      <w:bookmarkStart w:name="1）按款项性质列示其他应付款" w:id="265"/>
      <w:bookmarkEnd w:id="265"/>
      <w:r>
        <w:rPr>
          <w:b w:val="0"/>
          <w:bCs w:val="0"/>
        </w:rPr>
      </w:r>
      <w:r>
        <w:rPr>
          <w:rFonts w:ascii="Times New Roman" w:hAnsi="Times New Roman" w:cs="Times New Roman" w:eastAsia="Times New Roman" w:hint="default"/>
          <w:spacing w:val="-1"/>
        </w:rPr>
        <w:t>1</w:t>
      </w:r>
      <w:r>
        <w:rPr>
          <w:spacing w:val="-1"/>
        </w:rPr>
        <w:t>）按款项性质列示其他应付款</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000" w:space="5829"/>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股份支付回购义务款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17,575,180.56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39,530,196.00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暂估实施费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12,958,139.80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17,472,692.15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2,860,456.40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4,021,528.98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33,393,776.76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61,024,417.13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2）账龄超过1年的重要其他应付款" w:id="266"/>
      <w:bookmarkEnd w:id="26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423" w:space="5407"/>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股份支付回购义务款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17,575,180.56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限制性股票暂未回购注销</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17,575,180.56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4" w:lineRule="auto" w:before="8"/>
        <w:ind w:right="1124"/>
        <w:jc w:val="left"/>
      </w:pPr>
      <w:r>
        <w:rPr/>
        <w:t>其他说明： 股份支付回购义务款，系本公司对限制性股票的回购义务，按约定回购价格人民币</w:t>
      </w:r>
      <w:r>
        <w:rPr>
          <w:rFonts w:ascii="Times New Roman" w:hAnsi="Times New Roman" w:cs="Times New Roman" w:eastAsia="Times New Roman" w:hint="default"/>
        </w:rPr>
        <w:t>17.60</w:t>
      </w:r>
      <w:r>
        <w:rPr/>
        <w:t>元</w:t>
      </w:r>
      <w:r>
        <w:rPr>
          <w:rFonts w:ascii="Times New Roman" w:hAnsi="Times New Roman" w:cs="Times New Roman" w:eastAsia="Times New Roman" w:hint="default"/>
        </w:rPr>
        <w:t>/</w:t>
      </w:r>
      <w:r>
        <w:rPr/>
        <w:t>股以及发行的限制性股票数量 </w:t>
      </w:r>
      <w:r>
        <w:rPr>
          <w:rFonts w:ascii="Times New Roman" w:hAnsi="Times New Roman" w:cs="Times New Roman" w:eastAsia="Times New Roman" w:hint="default"/>
        </w:rPr>
        <w:t>2,829,600.00</w:t>
      </w:r>
      <w:r>
        <w:rPr/>
        <w:t>股分别确认库存股人民币</w:t>
      </w:r>
      <w:r>
        <w:rPr>
          <w:spacing w:val="-7"/>
        </w:rPr>
        <w:t> </w:t>
      </w:r>
      <w:r>
        <w:rPr>
          <w:rFonts w:ascii="Times New Roman" w:hAnsi="Times New Roman" w:cs="Times New Roman" w:eastAsia="Times New Roman" w:hint="default"/>
        </w:rPr>
        <w:t>49,800,960.00</w:t>
      </w:r>
      <w:r>
        <w:rPr/>
        <w:t>元以及其他应付款人民币</w:t>
      </w:r>
      <w:r>
        <w:rPr>
          <w:rFonts w:ascii="Times New Roman" w:hAnsi="Times New Roman" w:cs="Times New Roman" w:eastAsia="Times New Roman" w:hint="default"/>
        </w:rPr>
        <w:t>49,800,960.00</w:t>
      </w:r>
      <w:r>
        <w:rPr/>
        <w:t>元。</w:t>
      </w:r>
      <w:r>
        <w:rPr>
          <w:rFonts w:ascii="Times New Roman" w:hAnsi="Times New Roman" w:cs="Times New Roman" w:eastAsia="Times New Roman" w:hint="default"/>
        </w:rPr>
        <w:t>2018</w:t>
      </w:r>
      <w:r>
        <w:rPr/>
        <w:t>年度限制性股票第一批 </w:t>
      </w:r>
      <w:r>
        <w:rPr>
          <w:spacing w:val="-2"/>
        </w:rPr>
        <w:t>次解禁，</w:t>
      </w:r>
      <w:r>
        <w:rPr>
          <w:rFonts w:ascii="Times New Roman" w:hAnsi="Times New Roman" w:cs="Times New Roman" w:eastAsia="Times New Roman" w:hint="default"/>
          <w:spacing w:val="-2"/>
        </w:rPr>
        <w:t>564,120.00</w:t>
      </w:r>
      <w:r>
        <w:rPr>
          <w:spacing w:val="-2"/>
        </w:rPr>
        <w:t>股分别冲减库存股人民币</w:t>
      </w:r>
      <w:r>
        <w:rPr>
          <w:rFonts w:ascii="Times New Roman" w:hAnsi="Times New Roman" w:cs="Times New Roman" w:eastAsia="Times New Roman" w:hint="default"/>
          <w:spacing w:val="-2"/>
        </w:rPr>
        <w:t>9,928,512.00</w:t>
      </w:r>
      <w:r>
        <w:rPr>
          <w:spacing w:val="-2"/>
        </w:rPr>
        <w:t>元以及其他应付款人民币</w:t>
      </w:r>
      <w:r>
        <w:rPr>
          <w:rFonts w:ascii="Times New Roman" w:hAnsi="Times New Roman" w:cs="Times New Roman" w:eastAsia="Times New Roman" w:hint="default"/>
          <w:spacing w:val="-2"/>
        </w:rPr>
        <w:t>9,928,512.00</w:t>
      </w:r>
      <w:r>
        <w:rPr>
          <w:spacing w:val="-2"/>
        </w:rPr>
        <w:t>元，同时</w:t>
      </w:r>
      <w:r>
        <w:rPr>
          <w:rFonts w:ascii="Times New Roman" w:hAnsi="Times New Roman" w:cs="Times New Roman" w:eastAsia="Times New Roman" w:hint="default"/>
          <w:spacing w:val="-2"/>
        </w:rPr>
        <w:t>2018</w:t>
      </w:r>
      <w:r>
        <w:rPr>
          <w:spacing w:val="-2"/>
        </w:rPr>
        <w:t>年分配预计未来</w:t>
      </w:r>
      <w:r>
        <w:rPr>
          <w:spacing w:val="-35"/>
        </w:rPr>
        <w:t> </w:t>
      </w:r>
      <w:r>
        <w:rPr>
          <w:spacing w:val="-35"/>
        </w:rPr>
      </w:r>
      <w:r>
        <w:rPr/>
        <w:t>不可解锁限制性股票持有者现金股利共计</w:t>
      </w:r>
      <w:r>
        <w:rPr>
          <w:rFonts w:ascii="Times New Roman" w:hAnsi="Times New Roman" w:cs="Times New Roman" w:eastAsia="Times New Roman" w:hint="default"/>
        </w:rPr>
        <w:t>342,252.00</w:t>
      </w:r>
      <w:r>
        <w:rPr/>
        <w:t>元冲减其他应付款；本期公司限制性股票未达到解禁条件及分配预计未 来不可解锁限制性股票持有者现金股利共</w:t>
      </w:r>
      <w:r>
        <w:rPr>
          <w:rFonts w:ascii="Times New Roman" w:hAnsi="Times New Roman" w:cs="Times New Roman" w:eastAsia="Times New Roman" w:hint="default"/>
        </w:rPr>
        <w:t>21,955,015.44</w:t>
      </w:r>
      <w:r>
        <w:rPr/>
        <w:t>元冲减其他应付款。</w:t>
      </w:r>
    </w:p>
    <w:p>
      <w:pPr>
        <w:pStyle w:val="Heading3"/>
        <w:spacing w:line="279" w:lineRule="exact"/>
        <w:ind w:right="1116"/>
        <w:jc w:val="left"/>
        <w:rPr>
          <w:b w:val="0"/>
          <w:bCs w:val="0"/>
        </w:rPr>
      </w:pPr>
      <w:bookmarkStart w:name="23、其他流动负债" w:id="267"/>
      <w:bookmarkEnd w:id="267"/>
      <w:r>
        <w:rPr>
          <w:b w:val="0"/>
          <w:bCs w:val="0"/>
        </w:rPr>
      </w:r>
      <w:r>
        <w:rPr>
          <w:rFonts w:ascii="Times New Roman" w:hAnsi="Times New Roman" w:cs="Times New Roman" w:eastAsia="Times New Roman" w:hint="default"/>
        </w:rPr>
        <w:t>23</w:t>
      </w:r>
      <w:r>
        <w:rPr/>
        <w:t>、其他流动负债</w:t>
      </w:r>
      <w:r>
        <w:rPr>
          <w:b w:val="0"/>
          <w:bCs w:val="0"/>
        </w:rPr>
      </w:r>
    </w:p>
    <w:p>
      <w:pPr>
        <w:pStyle w:val="BodyText"/>
        <w:spacing w:line="240" w:lineRule="auto" w:before="42"/>
        <w:ind w:right="1116"/>
        <w:jc w:val="left"/>
      </w:pPr>
      <w:r>
        <w:rPr/>
        <w:t>是否已执行新收入准则</w:t>
      </w:r>
    </w:p>
    <w:p>
      <w:pPr>
        <w:pStyle w:val="BodyText"/>
        <w:spacing w:line="240" w:lineRule="auto" w:before="77"/>
        <w:ind w:right="1116"/>
        <w:jc w:val="left"/>
      </w:pPr>
      <w:r>
        <w:rPr>
          <w:rFonts w:ascii="Times New Roman" w:hAnsi="Times New Roman" w:cs="Times New Roman" w:eastAsia="Times New Roman" w:hint="default"/>
        </w:rPr>
        <w:t>□  </w:t>
      </w:r>
      <w:r>
        <w:rPr/>
        <w:t>是 √</w:t>
      </w:r>
      <w:r>
        <w:rPr>
          <w:spacing w:val="2"/>
        </w:rPr>
        <w:t> </w:t>
      </w:r>
      <w:r>
        <w:rPr/>
        <w:t>否</w:t>
      </w:r>
    </w:p>
    <w:p>
      <w:pPr>
        <w:pStyle w:val="BodyText"/>
        <w:spacing w:line="240" w:lineRule="auto" w:before="63"/>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一年内转入利润表的递延收益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1,756,182.91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24,795,236.18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23,093,506.44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26,551,419.09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23,426,839.77</w:t>
            </w:r>
          </w:p>
        </w:tc>
      </w:tr>
    </w:tbl>
    <w:p>
      <w:pPr>
        <w:pStyle w:val="BodyText"/>
        <w:spacing w:line="240" w:lineRule="auto" w:before="8"/>
        <w:ind w:right="1116"/>
        <w:jc w:val="left"/>
      </w:pPr>
      <w:r>
        <w:rPr/>
        <w:t>短期应付债券的增减变动：</w:t>
      </w:r>
    </w:p>
    <w:p>
      <w:pPr>
        <w:pStyle w:val="BodyText"/>
        <w:spacing w:line="240" w:lineRule="auto" w:before="76"/>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94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after="0" w:line="316" w:lineRule="auto"/>
        <w:jc w:val="left"/>
        <w:rPr>
          <w:rFonts w:ascii="宋体" w:hAnsi="宋体" w:cs="宋体" w:eastAsia="宋体" w:hint="default"/>
          <w:sz w:val="18"/>
          <w:szCs w:val="18"/>
        </w:rPr>
        <w:sectPr>
          <w:pgSz w:w="11910" w:h="16840"/>
          <w:pgMar w:header="877" w:footer="980" w:top="1080" w:bottom="1160" w:left="980" w:right="0"/>
        </w:sectPr>
      </w:pPr>
    </w:p>
    <w:p>
      <w:pPr>
        <w:spacing w:line="285" w:lineRule="auto"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24、预计负债" w:id="268"/>
      <w:bookmarkEnd w:id="268"/>
      <w:r>
        <w:rPr>
          <w:rFonts w:ascii="宋体" w:hAnsi="宋体" w:cs="宋体" w:eastAsia="宋体" w:hint="default"/>
          <w:sz w:val="18"/>
          <w:szCs w:val="18"/>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z w:val="18"/>
          <w:szCs w:val="18"/>
        </w:rPr>
        <w:t>是否已执行新收入准则</w:t>
      </w:r>
    </w:p>
    <w:p>
      <w:pPr>
        <w:pStyle w:val="BodyText"/>
        <w:spacing w:line="240" w:lineRule="auto" w:before="42"/>
        <w:ind w:right="-20"/>
        <w:jc w:val="left"/>
      </w:pPr>
      <w:r>
        <w:rPr>
          <w:rFonts w:ascii="Times New Roman" w:hAnsi="Times New Roman" w:cs="Times New Roman" w:eastAsia="Times New Roman" w:hint="default"/>
        </w:rPr>
        <w:t>□  </w:t>
      </w:r>
      <w:r>
        <w:rPr/>
        <w:t>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28,195,342.81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15,941,535.30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预提完工项目质保费</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28,195,342.81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15,941,535.30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9" w:lineRule="auto" w:before="8"/>
        <w:ind w:right="1154"/>
        <w:jc w:val="left"/>
      </w:pPr>
      <w:r>
        <w:rPr/>
        <w:t>其他说明，包括重要预计负债的相关重要假设、估计说明： 自动化物流系统质保费，是根据当期所交付的工业生产型物流系统项目收入总额的</w:t>
      </w:r>
      <w:r>
        <w:rPr>
          <w:rFonts w:ascii="Times New Roman" w:hAnsi="Times New Roman" w:cs="Times New Roman" w:eastAsia="Times New Roman" w:hint="default"/>
        </w:rPr>
        <w:t>1%</w:t>
      </w:r>
      <w:r>
        <w:rPr/>
        <w:t>以及商业配送物流系统集成项目收入 的</w:t>
      </w:r>
      <w:r>
        <w:rPr>
          <w:rFonts w:ascii="Times New Roman" w:hAnsi="Times New Roman" w:cs="Times New Roman" w:eastAsia="Times New Roman" w:hint="default"/>
        </w:rPr>
        <w:t>1.5%</w:t>
      </w:r>
      <w:r>
        <w:rPr/>
        <w:t>予以计提，用于列支该项目在质保期内实际发生的质保费用。</w:t>
      </w:r>
    </w:p>
    <w:p>
      <w:pPr>
        <w:pStyle w:val="Heading3"/>
        <w:spacing w:line="275" w:lineRule="exact"/>
        <w:ind w:right="1116"/>
        <w:jc w:val="left"/>
        <w:rPr>
          <w:b w:val="0"/>
          <w:bCs w:val="0"/>
        </w:rPr>
      </w:pPr>
      <w:bookmarkStart w:name="25、递延收益" w:id="269"/>
      <w:bookmarkEnd w:id="269"/>
      <w:r>
        <w:rPr>
          <w:b w:val="0"/>
          <w:bCs w:val="0"/>
        </w:rPr>
      </w:r>
      <w:r>
        <w:rPr>
          <w:rFonts w:ascii="Times New Roman" w:hAnsi="Times New Roman" w:cs="Times New Roman" w:eastAsia="Times New Roman" w:hint="default"/>
        </w:rPr>
        <w:t>25</w:t>
      </w:r>
      <w:r>
        <w:rPr/>
        <w:t>、递延收益</w:t>
      </w:r>
      <w:r>
        <w:rPr>
          <w:b w:val="0"/>
          <w:bCs w:val="0"/>
        </w:rPr>
      </w:r>
    </w:p>
    <w:p>
      <w:pPr>
        <w:pStyle w:val="BodyText"/>
        <w:spacing w:line="240" w:lineRule="auto" w:before="42"/>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2,927,430.81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14,732,569.19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9,510,000.00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2,927,430.81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Times New Roman" w:hAnsi="Times New Roman" w:cs="Times New Roman" w:eastAsia="Times New Roman" w:hint="default"/>
                <w:sz w:val="18"/>
                <w:szCs w:val="18"/>
              </w:rPr>
            </w:pPr>
            <w:r>
              <w:rPr>
                <w:rFonts w:ascii="Times New Roman"/>
                <w:sz w:val="18"/>
              </w:rPr>
              <w:t>14,732,569.19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1116"/>
        <w:jc w:val="left"/>
      </w:pPr>
      <w:r>
        <w:rPr/>
        <w:t>涉及政府补助的项目：</w:t>
      </w:r>
    </w:p>
    <w:p>
      <w:pPr>
        <w:pStyle w:val="BodyText"/>
        <w:spacing w:line="240" w:lineRule="auto" w:before="76"/>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946"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57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8"/>
              <w:jc w:val="both"/>
              <w:rPr>
                <w:rFonts w:ascii="宋体" w:hAnsi="宋体" w:cs="宋体" w:eastAsia="宋体" w:hint="default"/>
                <w:sz w:val="18"/>
                <w:szCs w:val="18"/>
              </w:rPr>
            </w:pPr>
            <w:r>
              <w:rPr>
                <w:rFonts w:ascii="宋体" w:hAnsi="宋体" w:cs="宋体" w:eastAsia="宋体" w:hint="default"/>
                <w:sz w:val="18"/>
                <w:szCs w:val="18"/>
              </w:rPr>
              <w:t>深圳市仓 储智能化 工程技术 研究开发 中心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94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8"/>
              <w:jc w:val="both"/>
              <w:rPr>
                <w:rFonts w:ascii="宋体" w:hAnsi="宋体" w:cs="宋体" w:eastAsia="宋体" w:hint="default"/>
                <w:sz w:val="18"/>
                <w:szCs w:val="18"/>
              </w:rPr>
            </w:pPr>
            <w:r>
              <w:rPr>
                <w:rFonts w:ascii="宋体" w:hAnsi="宋体" w:cs="宋体" w:eastAsia="宋体" w:hint="default"/>
                <w:sz w:val="18"/>
                <w:szCs w:val="18"/>
              </w:rPr>
              <w:t>自动搬运 机器人产 业化项目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723,099.6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-667,476.5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1" w:right="0"/>
              <w:jc w:val="left"/>
              <w:rPr>
                <w:rFonts w:ascii="Times New Roman" w:hAnsi="Times New Roman" w:cs="Times New Roman" w:eastAsia="Times New Roman" w:hint="default"/>
                <w:sz w:val="18"/>
                <w:szCs w:val="18"/>
              </w:rPr>
            </w:pPr>
            <w:r>
              <w:rPr>
                <w:rFonts w:ascii="Times New Roman"/>
                <w:sz w:val="18"/>
              </w:rPr>
              <w:t>1,609,423.80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57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both"/>
              <w:rPr>
                <w:rFonts w:ascii="宋体" w:hAnsi="宋体" w:cs="宋体" w:eastAsia="宋体" w:hint="default"/>
                <w:sz w:val="18"/>
                <w:szCs w:val="18"/>
              </w:rPr>
            </w:pPr>
            <w:r>
              <w:rPr>
                <w:rFonts w:ascii="宋体" w:hAnsi="宋体" w:cs="宋体" w:eastAsia="宋体" w:hint="default"/>
                <w:sz w:val="18"/>
                <w:szCs w:val="18"/>
              </w:rPr>
              <w:t>技术研发 中心及产 品试验基 地建设项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5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8"/>
              <w:jc w:val="both"/>
              <w:rPr>
                <w:rFonts w:ascii="宋体" w:hAnsi="宋体" w:cs="宋体" w:eastAsia="宋体" w:hint="default"/>
                <w:sz w:val="18"/>
                <w:szCs w:val="18"/>
              </w:rPr>
            </w:pPr>
            <w:r>
              <w:rPr>
                <w:rFonts w:ascii="宋体" w:hAnsi="宋体" w:cs="宋体" w:eastAsia="宋体" w:hint="default"/>
                <w:sz w:val="18"/>
                <w:szCs w:val="18"/>
              </w:rPr>
              <w:t>现代物流 高频率移 动拣选系 统研发项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320,207.4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-426,943.3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3,252,849.19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94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both"/>
              <w:rPr>
                <w:rFonts w:ascii="宋体" w:hAnsi="宋体" w:cs="宋体" w:eastAsia="宋体" w:hint="default"/>
                <w:sz w:val="18"/>
                <w:szCs w:val="18"/>
              </w:rPr>
            </w:pPr>
            <w:r>
              <w:rPr>
                <w:rFonts w:ascii="宋体" w:hAnsi="宋体" w:cs="宋体" w:eastAsia="宋体" w:hint="default"/>
                <w:sz w:val="18"/>
                <w:szCs w:val="18"/>
              </w:rPr>
              <w:t>上市公司 本地改造 提升项目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127,940.7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-511,763.0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1" w:right="0"/>
              <w:jc w:val="left"/>
              <w:rPr>
                <w:rFonts w:ascii="Times New Roman" w:hAnsi="Times New Roman" w:cs="Times New Roman" w:eastAsia="Times New Roman" w:hint="default"/>
                <w:sz w:val="18"/>
                <w:szCs w:val="18"/>
              </w:rPr>
            </w:pPr>
            <w:r>
              <w:rPr>
                <w:rFonts w:ascii="Times New Roman"/>
                <w:sz w:val="18"/>
              </w:rPr>
              <w:t>8,870,296.20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pgSz w:w="11910" w:h="16840"/>
          <w:pgMar w:header="877" w:footer="980" w:top="1080" w:bottom="1160" w:left="980" w:right="0"/>
        </w:sectPr>
      </w:pPr>
    </w:p>
    <w:p>
      <w:pPr>
        <w:pStyle w:val="BodyText"/>
        <w:spacing w:line="240" w:lineRule="auto" w:before="8"/>
        <w:ind w:right="-20"/>
        <w:jc w:val="left"/>
      </w:pPr>
      <w:r>
        <w:rPr/>
        <w:t>其他说明：</w:t>
      </w:r>
    </w:p>
    <w:p>
      <w:pPr>
        <w:pStyle w:val="Heading3"/>
        <w:spacing w:line="240" w:lineRule="auto" w:before="56"/>
        <w:ind w:right="-20"/>
        <w:jc w:val="left"/>
        <w:rPr>
          <w:b w:val="0"/>
          <w:bCs w:val="0"/>
        </w:rPr>
      </w:pPr>
      <w:bookmarkStart w:name="26、股本" w:id="270"/>
      <w:bookmarkEnd w:id="270"/>
      <w:r>
        <w:rPr>
          <w:b w:val="0"/>
          <w:bCs w:val="0"/>
        </w:rPr>
      </w:r>
      <w:r>
        <w:rPr>
          <w:rFonts w:ascii="Times New Roman" w:hAnsi="Times New Roman" w:cs="Times New Roman" w:eastAsia="Times New Roman" w:hint="default"/>
        </w:rPr>
        <w:t>26</w:t>
      </w:r>
      <w:r>
        <w:rPr/>
        <w:t>、股本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053" w:space="7867"/>
            <w:col w:w="201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63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277,253,280.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-2,218,536.0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-2,218,536.0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275,034,744.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09" w:lineRule="auto" w:before="8"/>
        <w:ind w:right="1124"/>
        <w:jc w:val="left"/>
      </w:pPr>
      <w:r>
        <w:rPr/>
        <w:t>其他说明：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月公司回购注销了第二个解除限售期内所持有的全部已获授但尚未解除限售的限制性股票，及截至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已离职不再具备激励资格但但尚未解除限售的限制性股票，共</w:t>
      </w:r>
      <w:r>
        <w:rPr>
          <w:rFonts w:ascii="Times New Roman" w:hAnsi="Times New Roman" w:cs="Times New Roman" w:eastAsia="Times New Roman" w:hint="default"/>
        </w:rPr>
        <w:t>2,218,536.00</w:t>
      </w:r>
      <w:r>
        <w:rPr/>
        <w:t>股。</w:t>
      </w:r>
    </w:p>
    <w:p>
      <w:pPr>
        <w:pStyle w:val="Heading3"/>
        <w:spacing w:line="275" w:lineRule="exact"/>
        <w:ind w:right="1116"/>
        <w:jc w:val="left"/>
        <w:rPr>
          <w:b w:val="0"/>
          <w:bCs w:val="0"/>
        </w:rPr>
      </w:pPr>
      <w:bookmarkStart w:name="27、资本公积" w:id="271"/>
      <w:bookmarkEnd w:id="271"/>
      <w:r>
        <w:rPr>
          <w:b w:val="0"/>
          <w:bCs w:val="0"/>
        </w:rPr>
      </w:r>
      <w:r>
        <w:rPr>
          <w:rFonts w:ascii="Times New Roman" w:hAnsi="Times New Roman" w:cs="Times New Roman" w:eastAsia="Times New Roman" w:hint="default"/>
        </w:rPr>
        <w:t>27</w:t>
      </w:r>
      <w:r>
        <w:rPr/>
        <w:t>、资本公积</w:t>
      </w:r>
      <w:r>
        <w:rPr>
          <w:b w:val="0"/>
          <w:bCs w:val="0"/>
        </w:rPr>
      </w:r>
    </w:p>
    <w:p>
      <w:pPr>
        <w:pStyle w:val="BodyText"/>
        <w:spacing w:line="240" w:lineRule="auto" w:before="42"/>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219,518,652.36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19,101,594.96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200,417,057.40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6,800,252.76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5,858,660.60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941,592.16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226,318,905.12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24,960,255.56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201,358,649.56</w:t>
            </w:r>
          </w:p>
        </w:tc>
      </w:tr>
    </w:tbl>
    <w:p>
      <w:pPr>
        <w:pStyle w:val="BodyText"/>
        <w:spacing w:line="307" w:lineRule="auto" w:before="8"/>
        <w:ind w:right="1119"/>
        <w:jc w:val="left"/>
      </w:pPr>
      <w:r>
        <w:rPr/>
        <w:t>其他说明，包括本期增减变动情况、变动原因说明：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月公司以回购价格</w:t>
      </w:r>
      <w:r>
        <w:rPr>
          <w:rFonts w:ascii="Times New Roman" w:hAnsi="Times New Roman" w:cs="Times New Roman" w:eastAsia="Times New Roman" w:hint="default"/>
        </w:rPr>
        <w:t>9.61</w:t>
      </w:r>
      <w:r>
        <w:rPr/>
        <w:t>元</w:t>
      </w:r>
      <w:r>
        <w:rPr>
          <w:rFonts w:ascii="Times New Roman" w:hAnsi="Times New Roman" w:cs="Times New Roman" w:eastAsia="Times New Roman" w:hint="default"/>
        </w:rPr>
        <w:t>/</w:t>
      </w:r>
      <w:r>
        <w:rPr/>
        <w:t>股回购注销了第二个解除限售期内所持有的全部已获授但尚未解除限售的限制性股票及截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日已离职不再具备激励资格但尚未解除限售的限制性股票，冲减库存股</w:t>
      </w:r>
      <w:r>
        <w:rPr>
          <w:rFonts w:ascii="Times New Roman" w:hAnsi="Times New Roman" w:cs="Times New Roman" w:eastAsia="Times New Roman" w:hint="default"/>
        </w:rPr>
        <w:t>21,320,130.96</w:t>
      </w:r>
      <w:r>
        <w:rPr/>
        <w:t>元，冲减股本 </w:t>
      </w:r>
      <w:r>
        <w:rPr>
          <w:rFonts w:ascii="Times New Roman" w:hAnsi="Times New Roman" w:cs="Times New Roman" w:eastAsia="Times New Roman" w:hint="default"/>
        </w:rPr>
        <w:t>2,218,536.00</w:t>
      </w:r>
      <w:r>
        <w:rPr/>
        <w:t>元，差额冲减资本公积</w:t>
      </w:r>
      <w:r>
        <w:rPr>
          <w:rFonts w:ascii="Times New Roman" w:hAnsi="Times New Roman" w:cs="Times New Roman" w:eastAsia="Times New Roman" w:hint="default"/>
        </w:rPr>
        <w:t>19,101,594.96</w:t>
      </w:r>
      <w:r>
        <w:rPr/>
        <w:t>元。</w:t>
      </w:r>
    </w:p>
    <w:p>
      <w:pPr>
        <w:pStyle w:val="BodyText"/>
        <w:spacing w:line="300" w:lineRule="auto" w:before="7"/>
        <w:ind w:right="1116"/>
        <w:jc w:val="left"/>
      </w:pPr>
      <w:r>
        <w:rPr>
          <w:rFonts w:ascii="Times New Roman" w:hAnsi="Times New Roman" w:cs="Times New Roman" w:eastAsia="Times New Roman" w:hint="default"/>
          <w:spacing w:val="-2"/>
        </w:rPr>
        <w:t>2019</w:t>
      </w:r>
      <w:r>
        <w:rPr>
          <w:spacing w:val="-2"/>
        </w:rPr>
        <w:t>年度，公司限制性股票激励计划第三个解除限售期公司业绩考核要求未能达标，公司冲减之前分摊的限制性股票，冲减</w:t>
      </w:r>
      <w:r>
        <w:rPr>
          <w:spacing w:val="-61"/>
        </w:rPr>
        <w:t> </w:t>
      </w:r>
      <w:r>
        <w:rPr>
          <w:spacing w:val="-61"/>
        </w:rPr>
      </w:r>
      <w:r>
        <w:rPr/>
        <w:t>资本公积</w:t>
      </w:r>
      <w:r>
        <w:rPr>
          <w:rFonts w:ascii="Times New Roman" w:hAnsi="Times New Roman" w:cs="Times New Roman" w:eastAsia="Times New Roman" w:hint="default"/>
        </w:rPr>
        <w:t>5,858,660.60</w:t>
      </w:r>
      <w:r>
        <w:rPr/>
        <w:t>元。</w:t>
      </w:r>
    </w:p>
    <w:p>
      <w:pPr>
        <w:pStyle w:val="Heading3"/>
        <w:spacing w:line="283" w:lineRule="exact"/>
        <w:ind w:right="1116"/>
        <w:jc w:val="left"/>
        <w:rPr>
          <w:b w:val="0"/>
          <w:bCs w:val="0"/>
        </w:rPr>
      </w:pPr>
      <w:bookmarkStart w:name="28、库存股" w:id="272"/>
      <w:bookmarkEnd w:id="272"/>
      <w:r>
        <w:rPr>
          <w:b w:val="0"/>
          <w:bCs w:val="0"/>
        </w:rPr>
      </w:r>
      <w:r>
        <w:rPr>
          <w:rFonts w:ascii="Times New Roman" w:hAnsi="Times New Roman" w:cs="Times New Roman" w:eastAsia="Times New Roman" w:hint="default"/>
        </w:rPr>
        <w:t>28</w:t>
      </w:r>
      <w:r>
        <w:rPr/>
        <w:t>、库存股</w:t>
      </w:r>
      <w:r>
        <w:rPr>
          <w:b w:val="0"/>
          <w:bCs w:val="0"/>
        </w:rPr>
      </w:r>
    </w:p>
    <w:p>
      <w:pPr>
        <w:pStyle w:val="BodyText"/>
        <w:spacing w:line="240" w:lineRule="auto" w:before="42"/>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39,872,448.00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21,320,130.96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18,552,317.04</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39,872,448.00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21,320,130.96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18,552,317.04</w:t>
            </w:r>
          </w:p>
        </w:tc>
      </w:tr>
    </w:tbl>
    <w:p>
      <w:pPr>
        <w:pStyle w:val="BodyText"/>
        <w:spacing w:line="307" w:lineRule="auto" w:before="8"/>
        <w:ind w:right="1119"/>
        <w:jc w:val="left"/>
      </w:pPr>
      <w:r>
        <w:rPr/>
        <w:t>其他说明，包括本期增减变动情况、变动原因说明：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月公司以回购价格</w:t>
      </w:r>
      <w:r>
        <w:rPr>
          <w:rFonts w:ascii="Times New Roman" w:hAnsi="Times New Roman" w:cs="Times New Roman" w:eastAsia="Times New Roman" w:hint="default"/>
        </w:rPr>
        <w:t>9.61</w:t>
      </w:r>
      <w:r>
        <w:rPr/>
        <w:t>元</w:t>
      </w:r>
      <w:r>
        <w:rPr>
          <w:rFonts w:ascii="Times New Roman" w:hAnsi="Times New Roman" w:cs="Times New Roman" w:eastAsia="Times New Roman" w:hint="default"/>
        </w:rPr>
        <w:t>/</w:t>
      </w:r>
      <w:r>
        <w:rPr/>
        <w:t>股回购注销了第二个解除限售期内所持有的全部已获授但尚未解除限售的限制性股票及截 </w:t>
      </w:r>
      <w:r>
        <w:rPr>
          <w:spacing w:val="-1"/>
        </w:rPr>
        <w:t>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日已离职不再具备激励资格但已获授但尚未解除限售的限制性股票，冲减库存股</w:t>
      </w:r>
      <w:r>
        <w:rPr>
          <w:rFonts w:ascii="Times New Roman" w:hAnsi="Times New Roman" w:cs="Times New Roman" w:eastAsia="Times New Roman" w:hint="default"/>
          <w:spacing w:val="-1"/>
        </w:rPr>
        <w:t>21,320,130.96</w:t>
      </w:r>
      <w:r>
        <w:rPr>
          <w:spacing w:val="-1"/>
        </w:rPr>
        <w:t>元，冲减股本</w:t>
      </w:r>
      <w:r>
        <w:rPr>
          <w:spacing w:val="-70"/>
        </w:rPr>
        <w:t> </w:t>
      </w:r>
      <w:r>
        <w:rPr>
          <w:spacing w:val="-70"/>
        </w:rPr>
      </w:r>
      <w:r>
        <w:rPr>
          <w:rFonts w:ascii="Times New Roman" w:hAnsi="Times New Roman" w:cs="Times New Roman" w:eastAsia="Times New Roman" w:hint="default"/>
        </w:rPr>
        <w:t>2,218,536.00</w:t>
      </w:r>
      <w:r>
        <w:rPr/>
        <w:t>元，差额冲减资本公积</w:t>
      </w:r>
      <w:r>
        <w:rPr>
          <w:rFonts w:ascii="Times New Roman" w:hAnsi="Times New Roman" w:cs="Times New Roman" w:eastAsia="Times New Roman" w:hint="default"/>
        </w:rPr>
        <w:t>19,101,594.96</w:t>
      </w:r>
      <w:r>
        <w:rPr/>
        <w:t>元。</w:t>
      </w:r>
    </w:p>
    <w:p>
      <w:pPr>
        <w:pStyle w:val="Heading3"/>
        <w:spacing w:line="277" w:lineRule="exact"/>
        <w:ind w:right="1116"/>
        <w:jc w:val="left"/>
        <w:rPr>
          <w:b w:val="0"/>
          <w:bCs w:val="0"/>
        </w:rPr>
      </w:pPr>
      <w:bookmarkStart w:name="29、其他综合收益" w:id="273"/>
      <w:bookmarkEnd w:id="273"/>
      <w:r>
        <w:rPr>
          <w:b w:val="0"/>
          <w:bCs w:val="0"/>
        </w:rPr>
      </w:r>
      <w:r>
        <w:rPr>
          <w:rFonts w:ascii="Times New Roman" w:hAnsi="Times New Roman" w:cs="Times New Roman" w:eastAsia="Times New Roman" w:hint="default"/>
        </w:rPr>
        <w:t>29</w:t>
      </w:r>
      <w:r>
        <w:rPr/>
        <w:t>、其他综合收益</w:t>
      </w:r>
      <w:r>
        <w:rPr>
          <w:b w:val="0"/>
          <w:bCs w:val="0"/>
        </w:rPr>
      </w:r>
    </w:p>
    <w:p>
      <w:pPr>
        <w:pStyle w:val="BodyText"/>
        <w:spacing w:line="240" w:lineRule="auto" w:before="45"/>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322"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194"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53" w:right="146"/>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5" w:right="101"/>
              <w:jc w:val="center"/>
              <w:rPr>
                <w:rFonts w:ascii="宋体" w:hAnsi="宋体" w:cs="宋体" w:eastAsia="宋体" w:hint="default"/>
                <w:sz w:val="18"/>
                <w:szCs w:val="18"/>
              </w:rPr>
            </w:pPr>
            <w:r>
              <w:rPr>
                <w:rFonts w:ascii="宋体" w:hAnsi="宋体" w:cs="宋体" w:eastAsia="宋体" w:hint="default"/>
                <w:spacing w:val="-14"/>
                <w:sz w:val="18"/>
                <w:szCs w:val="18"/>
              </w:rPr>
              <w:t>减：前期计</w:t>
            </w:r>
            <w:r>
              <w:rPr>
                <w:rFonts w:ascii="宋体" w:hAnsi="宋体" w:cs="宋体" w:eastAsia="宋体" w:hint="default"/>
                <w:sz w:val="18"/>
                <w:szCs w:val="18"/>
              </w:rPr>
              <w:t> 入其他综 合收益当 期转入损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01"/>
              <w:jc w:val="center"/>
              <w:rPr>
                <w:rFonts w:ascii="宋体" w:hAnsi="宋体" w:cs="宋体" w:eastAsia="宋体" w:hint="default"/>
                <w:sz w:val="18"/>
                <w:szCs w:val="18"/>
              </w:rPr>
            </w:pPr>
            <w:r>
              <w:rPr>
                <w:rFonts w:ascii="宋体" w:hAnsi="宋体" w:cs="宋体" w:eastAsia="宋体" w:hint="default"/>
                <w:spacing w:val="-22"/>
                <w:sz w:val="18"/>
                <w:szCs w:val="18"/>
              </w:rPr>
              <w:t>减：前期</w:t>
            </w:r>
            <w:r>
              <w:rPr>
                <w:rFonts w:ascii="宋体" w:hAnsi="宋体" w:cs="宋体" w:eastAsia="宋体" w:hint="default"/>
                <w:sz w:val="18"/>
                <w:szCs w:val="18"/>
              </w:rPr>
              <w:t> 计入其 他综合 收益当 期转入 留存收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51" w:right="101" w:hanging="48"/>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51" w:right="149"/>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53" w:right="14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634"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01"/>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-107,531.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403,184.</w:t>
            </w:r>
          </w:p>
          <w:p>
            <w:pPr>
              <w:pStyle w:val="TableParagraph"/>
              <w:spacing w:line="240" w:lineRule="auto" w:before="105"/>
              <w:ind w:left="561" w:right="0"/>
              <w:jc w:val="left"/>
              <w:rPr>
                <w:rFonts w:ascii="Times New Roman" w:hAnsi="Times New Roman" w:cs="Times New Roman" w:eastAsia="Times New Roman" w:hint="default"/>
                <w:sz w:val="18"/>
                <w:szCs w:val="18"/>
              </w:rPr>
            </w:pPr>
            <w:r>
              <w:rPr>
                <w:rFonts w:ascii="Times New Roman"/>
                <w:sz w:val="18"/>
              </w:rPr>
              <w:t>51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left"/>
              <w:rPr>
                <w:rFonts w:ascii="Times New Roman" w:hAnsi="Times New Roman" w:cs="Times New Roman" w:eastAsia="Times New Roman" w:hint="default"/>
                <w:sz w:val="18"/>
                <w:szCs w:val="18"/>
              </w:rPr>
            </w:pPr>
            <w:r>
              <w:rPr>
                <w:rFonts w:ascii="Times New Roman"/>
                <w:sz w:val="18"/>
              </w:rPr>
              <w:t>403,184.</w:t>
            </w:r>
          </w:p>
          <w:p>
            <w:pPr>
              <w:pStyle w:val="TableParagraph"/>
              <w:spacing w:line="240" w:lineRule="auto" w:before="33"/>
              <w:ind w:left="559" w:right="0"/>
              <w:jc w:val="lef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295,65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3.37</w:t>
            </w:r>
          </w:p>
        </w:tc>
      </w:tr>
      <w:tr>
        <w:trPr>
          <w:trHeight w:val="634"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2" w:right="101"/>
              <w:jc w:val="left"/>
              <w:rPr>
                <w:rFonts w:ascii="宋体" w:hAnsi="宋体" w:cs="宋体" w:eastAsia="宋体" w:hint="default"/>
                <w:sz w:val="18"/>
                <w:szCs w:val="18"/>
              </w:rPr>
            </w:pPr>
            <w:r>
              <w:rPr>
                <w:rFonts w:ascii="宋体" w:hAnsi="宋体" w:cs="宋体" w:eastAsia="宋体" w:hint="default"/>
                <w:sz w:val="18"/>
                <w:szCs w:val="18"/>
              </w:rPr>
              <w:t>其中：权益法下可转损益的其 他综合收益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39,522.47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62,975.8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62,975.8</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102,49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8.36</w:t>
            </w:r>
          </w:p>
        </w:tc>
      </w:tr>
      <w:tr>
        <w:trPr>
          <w:trHeight w:val="634"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-147,053.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340,208.</w:t>
            </w:r>
          </w:p>
          <w:p>
            <w:pPr>
              <w:pStyle w:val="TableParagraph"/>
              <w:spacing w:line="240" w:lineRule="auto" w:before="105"/>
              <w:ind w:left="561" w:right="0"/>
              <w:jc w:val="left"/>
              <w:rPr>
                <w:rFonts w:ascii="Times New Roman" w:hAnsi="Times New Roman" w:cs="Times New Roman" w:eastAsia="Times New Roman" w:hint="default"/>
                <w:sz w:val="18"/>
                <w:szCs w:val="18"/>
              </w:rPr>
            </w:pPr>
            <w:r>
              <w:rPr>
                <w:rFonts w:ascii="Times New Roman"/>
                <w:sz w:val="18"/>
              </w:rPr>
              <w:t>62</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340,208.</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62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193,15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5.01</w:t>
            </w:r>
          </w:p>
        </w:tc>
      </w:tr>
      <w:tr>
        <w:trPr>
          <w:trHeight w:val="636"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-107,531.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 w:right="0"/>
              <w:jc w:val="left"/>
              <w:rPr>
                <w:rFonts w:ascii="Times New Roman" w:hAnsi="Times New Roman" w:cs="Times New Roman" w:eastAsia="Times New Roman" w:hint="default"/>
                <w:sz w:val="18"/>
                <w:szCs w:val="18"/>
              </w:rPr>
            </w:pPr>
            <w:r>
              <w:rPr>
                <w:rFonts w:ascii="Times New Roman"/>
                <w:sz w:val="18"/>
              </w:rPr>
              <w:t>403,184.</w:t>
            </w:r>
          </w:p>
          <w:p>
            <w:pPr>
              <w:pStyle w:val="TableParagraph"/>
              <w:spacing w:line="240" w:lineRule="auto" w:before="105"/>
              <w:ind w:left="561" w:right="0"/>
              <w:jc w:val="left"/>
              <w:rPr>
                <w:rFonts w:ascii="Times New Roman" w:hAnsi="Times New Roman" w:cs="Times New Roman" w:eastAsia="Times New Roman" w:hint="default"/>
                <w:sz w:val="18"/>
                <w:szCs w:val="18"/>
              </w:rPr>
            </w:pPr>
            <w:r>
              <w:rPr>
                <w:rFonts w:ascii="Times New Roman"/>
                <w:sz w:val="18"/>
              </w:rPr>
              <w:t>51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Times New Roman" w:hAnsi="Times New Roman" w:cs="Times New Roman" w:eastAsia="Times New Roman" w:hint="default"/>
                <w:sz w:val="18"/>
                <w:szCs w:val="18"/>
              </w:rPr>
            </w:pPr>
            <w:r>
              <w:rPr>
                <w:rFonts w:ascii="Times New Roman"/>
                <w:sz w:val="18"/>
              </w:rPr>
              <w:t>403,184.</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center"/>
              <w:rPr>
                <w:rFonts w:ascii="Times New Roman" w:hAnsi="Times New Roman" w:cs="Times New Roman" w:eastAsia="Times New Roman" w:hint="default"/>
                <w:sz w:val="18"/>
                <w:szCs w:val="18"/>
              </w:rPr>
            </w:pPr>
            <w:r>
              <w:rPr>
                <w:rFonts w:ascii="Times New Roman"/>
                <w:sz w:val="18"/>
              </w:rPr>
              <w:t>295,65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2"/>
        <w:jc w:val="left"/>
        <w:rPr>
          <w:b w:val="0"/>
          <w:bCs w:val="0"/>
        </w:rPr>
      </w:pPr>
      <w:bookmarkStart w:name="30、盈余公积" w:id="274"/>
      <w:bookmarkEnd w:id="274"/>
      <w:r>
        <w:rPr>
          <w:b w:val="0"/>
          <w:bCs w:val="0"/>
        </w:rPr>
      </w:r>
      <w:r>
        <w:rPr>
          <w:rFonts w:ascii="Times New Roman" w:hAnsi="Times New Roman" w:cs="Times New Roman" w:eastAsia="Times New Roman" w:hint="default"/>
          <w:spacing w:val="-1"/>
        </w:rPr>
        <w:t>30</w:t>
      </w:r>
      <w:r>
        <w:rPr>
          <w:spacing w:val="-1"/>
        </w:rPr>
        <w:t>、盈余公积</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45,010,590.08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2,442,213.60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47,452,803.68</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45,010,590.08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2,442,213.60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47,452,803.68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Heading3"/>
        <w:spacing w:line="240" w:lineRule="auto" w:before="36"/>
        <w:ind w:right="-10"/>
        <w:jc w:val="left"/>
        <w:rPr>
          <w:b w:val="0"/>
          <w:bCs w:val="0"/>
        </w:rPr>
      </w:pPr>
      <w:bookmarkStart w:name="31、未分配利润" w:id="275"/>
      <w:bookmarkEnd w:id="275"/>
      <w:r>
        <w:rPr>
          <w:b w:val="0"/>
          <w:bCs w:val="0"/>
        </w:rPr>
      </w:r>
      <w:r>
        <w:rPr>
          <w:rFonts w:ascii="Times New Roman" w:hAnsi="Times New Roman" w:cs="Times New Roman" w:eastAsia="Times New Roman" w:hint="default"/>
          <w:spacing w:val="-1"/>
        </w:rPr>
        <w:t>31</w:t>
      </w:r>
      <w:r>
        <w:rPr>
          <w:spacing w:val="-1"/>
        </w:rPr>
        <w:t>、未分配利润</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259,956,656.82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289,439,097.51</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5,295,041.05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265,251,697.87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289,439,097.51</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47,514,815.30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18,219,848.27</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2,442,213.60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1,835,660.96</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44,005,559.04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45,866,628.00</w:t>
            </w:r>
          </w:p>
        </w:tc>
      </w:tr>
      <w:tr>
        <w:trPr>
          <w:trHeight w:val="634"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加：应付普通股股利调整（分配预计未来不 可解锁限制性股票持有者现金股利）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634,884.48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266,953,625.01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259,956,656.82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14"/>
        <w:jc w:val="left"/>
      </w:pPr>
      <w:r>
        <w:rPr/>
        <w:t>调整期初未分配利润明细：</w:t>
      </w:r>
    </w:p>
    <w:p>
      <w:pPr>
        <w:pStyle w:val="BodyText"/>
        <w:spacing w:line="240" w:lineRule="auto" w:before="76"/>
        <w:ind w:right="-14"/>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5,295,041.05</w:t>
      </w:r>
      <w:r>
        <w:rPr>
          <w:rFonts w:ascii="Times New Roman" w:hAnsi="Times New Roman" w:cs="Times New Roman" w:eastAsia="Times New Roman" w:hint="default"/>
          <w:spacing w:val="1"/>
        </w:rPr>
        <w:t> </w:t>
      </w:r>
      <w:r>
        <w:rPr/>
        <w:t>元。</w:t>
      </w:r>
    </w:p>
    <w:p>
      <w:pPr>
        <w:pStyle w:val="BodyText"/>
        <w:spacing w:line="240" w:lineRule="auto" w:before="63"/>
        <w:ind w:right="-14"/>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63"/>
        <w:ind w:right="-14"/>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63"/>
        <w:ind w:right="-14"/>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63"/>
        <w:ind w:right="-14"/>
        <w:jc w:val="left"/>
      </w:pPr>
      <w:r>
        <w:rPr>
          <w:rFonts w:ascii="Times New Roman" w:hAnsi="Times New Roman" w:cs="Times New Roman" w:eastAsia="Times New Roman" w:hint="default"/>
        </w:rPr>
        <w:t>5)</w:t>
      </w:r>
      <w:r>
        <w:rPr/>
        <w:t>、其他调整合计影响期初未分配利润元。</w:t>
      </w:r>
    </w:p>
    <w:p>
      <w:pPr>
        <w:pStyle w:val="Heading3"/>
        <w:spacing w:line="240" w:lineRule="auto" w:before="42"/>
        <w:ind w:right="-14"/>
        <w:jc w:val="left"/>
        <w:rPr>
          <w:b w:val="0"/>
          <w:bCs w:val="0"/>
        </w:rPr>
      </w:pPr>
      <w:bookmarkStart w:name="32、营业收入和营业成本" w:id="276"/>
      <w:bookmarkEnd w:id="276"/>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3"/>
          <w:szCs w:val="2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25" w:space="1004"/>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710,487,515.90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505,377,089.86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414,544,935.47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271,794,706.33</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1,921,526.57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724,886.05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1,602,373.40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635,972.76</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712,409,042.47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506,101,975.91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416,147,308.87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272,430,679.09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是否已执行新收入准则</w:t>
      </w:r>
    </w:p>
    <w:p>
      <w:pPr>
        <w:pStyle w:val="BodyText"/>
        <w:spacing w:line="240" w:lineRule="auto" w:before="76"/>
        <w:ind w:right="-20"/>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20"/>
        <w:jc w:val="left"/>
        <w:rPr>
          <w:b w:val="0"/>
          <w:bCs w:val="0"/>
        </w:rPr>
      </w:pPr>
      <w:bookmarkStart w:name="33、税金及附加" w:id="277"/>
      <w:bookmarkEnd w:id="277"/>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611,012.99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298,178.61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436,437.87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212,984.72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426,265.65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523,101.22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56,254.28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57,014.69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23,452.12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488,194.30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856,856.88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2,038,385.09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1,971,588.24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2"/>
        <w:jc w:val="left"/>
        <w:rPr>
          <w:b w:val="0"/>
          <w:bCs w:val="0"/>
        </w:rPr>
      </w:pPr>
      <w:bookmarkStart w:name="34、销售费用" w:id="278"/>
      <w:bookmarkEnd w:id="278"/>
      <w:r>
        <w:rPr>
          <w:b w:val="0"/>
          <w:bCs w:val="0"/>
        </w:rPr>
      </w:r>
      <w:r>
        <w:rPr>
          <w:rFonts w:ascii="Times New Roman" w:hAnsi="Times New Roman" w:cs="Times New Roman" w:eastAsia="Times New Roman" w:hint="default"/>
          <w:spacing w:val="-1"/>
        </w:rPr>
        <w:t>34</w:t>
      </w:r>
      <w:r>
        <w:rPr>
          <w:spacing w:val="-1"/>
        </w:rPr>
        <w:t>、销售费用</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12,125,451.95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14,351,874.41</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144,453.69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170,651.14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7,871,798.82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8,413,567.69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539,966.24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574,847.22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8,355,323.75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7,434,739.92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1,186,824.14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3,742,313.33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7,074,128.91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4,861,367.67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314,212.50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1,284,623.87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5,138,900.26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1,249,657.66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220,327.75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1,555,636.86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42,971,388.01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43,639,279.77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2"/>
        <w:jc w:val="left"/>
        <w:rPr>
          <w:b w:val="0"/>
          <w:bCs w:val="0"/>
        </w:rPr>
      </w:pPr>
      <w:bookmarkStart w:name="35、管理费用" w:id="279"/>
      <w:bookmarkEnd w:id="279"/>
      <w:r>
        <w:rPr>
          <w:b w:val="0"/>
          <w:bCs w:val="0"/>
        </w:rPr>
      </w:r>
      <w:r>
        <w:rPr>
          <w:rFonts w:ascii="Times New Roman" w:hAnsi="Times New Roman" w:cs="Times New Roman" w:eastAsia="Times New Roman" w:hint="default"/>
          <w:spacing w:val="-1"/>
        </w:rPr>
        <w:t>35</w:t>
      </w:r>
      <w:r>
        <w:rPr>
          <w:spacing w:val="-1"/>
        </w:rPr>
        <w:t>、管理费用</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42,470,885.39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32,825,022.56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4,780,558.56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3,646,597.42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1,817,296.34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1,882,148.26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5,459,553.13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5,659,824.31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820,893.68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1,118,364.01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办公及电话费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2,867,714.48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3,551,737.19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租金物管费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5,891,578.30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4,131,594.25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47,540.56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989,918.72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3,178,043.68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3,293,315.38</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限制性股票成本摊销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-5,858,660.60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2,060,279.00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1,408,837.55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1,159,525.84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62,884,241.07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60,318,326.94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2"/>
        <w:jc w:val="left"/>
        <w:rPr>
          <w:b w:val="0"/>
          <w:bCs w:val="0"/>
        </w:rPr>
      </w:pPr>
      <w:bookmarkStart w:name="36、研发费用" w:id="280"/>
      <w:bookmarkEnd w:id="280"/>
      <w:r>
        <w:rPr>
          <w:b w:val="0"/>
          <w:bCs w:val="0"/>
        </w:rPr>
      </w:r>
      <w:r>
        <w:rPr>
          <w:rFonts w:ascii="Times New Roman" w:hAnsi="Times New Roman" w:cs="Times New Roman" w:eastAsia="Times New Roman" w:hint="default"/>
          <w:spacing w:val="-1"/>
        </w:rPr>
        <w:t>36</w:t>
      </w:r>
      <w:r>
        <w:rPr>
          <w:spacing w:val="-1"/>
        </w:rPr>
        <w:t>、研发费用</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39,245,117.49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31,777,694.79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研发外购材料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5,629,320.46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5,329,134.28</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4,320,575.35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3,199,593.41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租金物管费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751,924.36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692,212.95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1,749,477.82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324,908.22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办公及电话费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75,169.71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133,873.99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1,171,918.11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1,136,929.29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52,943,503.30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42,594,346.93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2"/>
        <w:jc w:val="left"/>
        <w:rPr>
          <w:b w:val="0"/>
          <w:bCs w:val="0"/>
        </w:rPr>
      </w:pPr>
      <w:bookmarkStart w:name="37、财务费用" w:id="281"/>
      <w:bookmarkEnd w:id="281"/>
      <w:r>
        <w:rPr>
          <w:b w:val="0"/>
          <w:bCs w:val="0"/>
        </w:rPr>
      </w:r>
      <w:r>
        <w:rPr>
          <w:rFonts w:ascii="Times New Roman" w:hAnsi="Times New Roman" w:cs="Times New Roman" w:eastAsia="Times New Roman" w:hint="default"/>
          <w:spacing w:val="-1"/>
        </w:rPr>
        <w:t>37</w:t>
      </w:r>
      <w:r>
        <w:rPr>
          <w:spacing w:val="-1"/>
        </w:rPr>
        <w:t>、财务费用</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1,600,799.98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2,208,890.15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1,583,216.97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-161,952.43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91,403.54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-388,487.79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-780,611.45</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-1,158,530.39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-2,272,424.88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2"/>
        <w:jc w:val="left"/>
        <w:rPr>
          <w:b w:val="0"/>
          <w:bCs w:val="0"/>
        </w:rPr>
      </w:pPr>
      <w:bookmarkStart w:name="38、其他收益" w:id="282"/>
      <w:bookmarkEnd w:id="282"/>
      <w:r>
        <w:rPr>
          <w:b w:val="0"/>
          <w:bCs w:val="0"/>
        </w:rPr>
      </w:r>
      <w:r>
        <w:rPr>
          <w:rFonts w:ascii="Times New Roman" w:hAnsi="Times New Roman" w:cs="Times New Roman" w:eastAsia="Times New Roman" w:hint="default"/>
          <w:spacing w:val="-1"/>
        </w:rPr>
        <w:t>38</w:t>
      </w:r>
      <w:r>
        <w:rPr>
          <w:spacing w:val="-1"/>
        </w:rPr>
        <w:t>、其他收益</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9,583,324.33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8,807,484.03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132,593.51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307,362.35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9,715,917.84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9,114,846.38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2"/>
        <w:jc w:val="left"/>
        <w:rPr>
          <w:b w:val="0"/>
          <w:bCs w:val="0"/>
        </w:rPr>
      </w:pPr>
      <w:bookmarkStart w:name="39、投资收益" w:id="283"/>
      <w:bookmarkEnd w:id="283"/>
      <w:r>
        <w:rPr>
          <w:b w:val="0"/>
          <w:bCs w:val="0"/>
        </w:rPr>
      </w:r>
      <w:r>
        <w:rPr>
          <w:rFonts w:ascii="Times New Roman" w:hAnsi="Times New Roman" w:cs="Times New Roman" w:eastAsia="Times New Roman" w:hint="default"/>
          <w:spacing w:val="-1"/>
        </w:rPr>
        <w:t>39</w:t>
      </w:r>
      <w:r>
        <w:rPr>
          <w:spacing w:val="-1"/>
        </w:rPr>
        <w:t>、投资收益</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3,386,182.02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3,838,088.39</w:t>
            </w: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购买短期理财产品收益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3,404,793.93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2,668,640.52</w:t>
            </w: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6,790,975.95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6,506,728.91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9"/>
        <w:jc w:val="left"/>
        <w:rPr>
          <w:b w:val="0"/>
          <w:bCs w:val="0"/>
        </w:rPr>
      </w:pPr>
      <w:bookmarkStart w:name="40、信用减值损失" w:id="284"/>
      <w:bookmarkEnd w:id="284"/>
      <w:r>
        <w:rPr>
          <w:b w:val="0"/>
          <w:bCs w:val="0"/>
        </w:rPr>
      </w:r>
      <w:r>
        <w:rPr>
          <w:rFonts w:ascii="Times New Roman" w:hAnsi="Times New Roman" w:cs="Times New Roman" w:eastAsia="Times New Roman" w:hint="default"/>
          <w:spacing w:val="-1"/>
        </w:rPr>
        <w:t>40</w:t>
      </w:r>
      <w:r>
        <w:rPr>
          <w:spacing w:val="-1"/>
        </w:rPr>
        <w:t>、信用减值损失</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841" w:space="6988"/>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-907,316.66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-149,243.56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-12,367,073.97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-13,423,634.19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Heading3"/>
        <w:spacing w:line="240" w:lineRule="auto" w:before="36"/>
        <w:ind w:right="-20"/>
        <w:jc w:val="left"/>
        <w:rPr>
          <w:b w:val="0"/>
          <w:bCs w:val="0"/>
        </w:rPr>
      </w:pPr>
      <w:bookmarkStart w:name="41、资产减值损失" w:id="285"/>
      <w:bookmarkEnd w:id="285"/>
      <w:r>
        <w:rPr>
          <w:b w:val="0"/>
          <w:bCs w:val="0"/>
        </w:rPr>
      </w:r>
      <w:r>
        <w:rPr>
          <w:rFonts w:ascii="Times New Roman" w:hAnsi="Times New Roman" w:cs="Times New Roman" w:eastAsia="Times New Roman" w:hint="default"/>
        </w:rPr>
        <w:t>41</w:t>
      </w:r>
      <w:r>
        <w:rPr/>
        <w:t>、资产减值损失</w:t>
      </w:r>
      <w:r>
        <w:rPr>
          <w:b w:val="0"/>
          <w:bCs w:val="0"/>
        </w:rPr>
      </w:r>
    </w:p>
    <w:p>
      <w:pPr>
        <w:pStyle w:val="BodyText"/>
        <w:spacing w:line="240" w:lineRule="auto" w:before="42"/>
        <w:ind w:right="-20"/>
        <w:jc w:val="left"/>
      </w:pPr>
      <w:r>
        <w:rPr/>
        <w:t>是否已执行新收入准则</w:t>
      </w:r>
    </w:p>
    <w:p>
      <w:pPr>
        <w:pStyle w:val="BodyText"/>
        <w:spacing w:line="240" w:lineRule="auto" w:before="76"/>
        <w:ind w:right="-20"/>
        <w:jc w:val="left"/>
      </w:pPr>
      <w:r>
        <w:rPr>
          <w:rFonts w:ascii="Times New Roman" w:hAnsi="Times New Roman" w:cs="Times New Roman" w:eastAsia="Times New Roman" w:hint="default"/>
        </w:rPr>
        <w:t>□  </w:t>
      </w:r>
      <w:r>
        <w:rPr/>
        <w:t>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3,552,571.88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3,552,571.88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9"/>
        <w:jc w:val="left"/>
        <w:rPr>
          <w:b w:val="0"/>
          <w:bCs w:val="0"/>
        </w:rPr>
      </w:pPr>
      <w:bookmarkStart w:name="42、资产处置收益" w:id="286"/>
      <w:bookmarkEnd w:id="286"/>
      <w:r>
        <w:rPr>
          <w:b w:val="0"/>
          <w:bCs w:val="0"/>
        </w:rPr>
      </w:r>
      <w:r>
        <w:rPr>
          <w:rFonts w:ascii="Times New Roman" w:hAnsi="Times New Roman" w:cs="Times New Roman" w:eastAsia="Times New Roman" w:hint="default"/>
          <w:spacing w:val="-1"/>
        </w:rPr>
        <w:t>42</w:t>
      </w:r>
      <w:r>
        <w:rPr>
          <w:spacing w:val="-1"/>
        </w:rPr>
        <w:t>、资产处置收益</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841" w:space="6988"/>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50,588.06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106,401.42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9" w:lineRule="exact"/>
        <w:ind w:right="-10"/>
        <w:jc w:val="left"/>
        <w:rPr>
          <w:b w:val="0"/>
          <w:bCs w:val="0"/>
        </w:rPr>
      </w:pPr>
      <w:bookmarkStart w:name="43、营业外收入" w:id="287"/>
      <w:bookmarkEnd w:id="287"/>
      <w:r>
        <w:rPr>
          <w:b w:val="0"/>
          <w:bCs w:val="0"/>
        </w:rPr>
      </w:r>
      <w:r>
        <w:rPr>
          <w:rFonts w:ascii="Times New Roman" w:hAnsi="Times New Roman" w:cs="Times New Roman" w:eastAsia="Times New Roman" w:hint="default"/>
          <w:spacing w:val="-1"/>
        </w:rPr>
        <w:t>43</w:t>
      </w:r>
      <w:r>
        <w:rPr>
          <w:spacing w:val="-1"/>
        </w:rPr>
        <w:t>、营业外收入</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63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528,897.87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210,643.61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2,624.64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210,643.61</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210,643.61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531,522.51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210,643.61</w:t>
            </w:r>
          </w:p>
        </w:tc>
      </w:tr>
    </w:tbl>
    <w:p>
      <w:pPr>
        <w:pStyle w:val="BodyText"/>
        <w:spacing w:line="240" w:lineRule="auto" w:before="8"/>
        <w:ind w:right="1116"/>
        <w:jc w:val="left"/>
      </w:pPr>
      <w:r>
        <w:rPr/>
        <w:t>计入当期损益的政府补助：</w:t>
      </w:r>
    </w:p>
    <w:p>
      <w:pPr>
        <w:pStyle w:val="BodyText"/>
        <w:spacing w:line="240" w:lineRule="auto" w:before="76"/>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4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8" w:right="164" w:hanging="181"/>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43" w:right="13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8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今天国际 物流系统 集成平台 产业化项 目补助资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228"/>
              <w:jc w:val="left"/>
              <w:rPr>
                <w:rFonts w:ascii="宋体" w:hAnsi="宋体" w:cs="宋体" w:eastAsia="宋体" w:hint="default"/>
                <w:sz w:val="18"/>
                <w:szCs w:val="18"/>
              </w:rPr>
            </w:pPr>
            <w:r>
              <w:rPr>
                <w:rFonts w:ascii="宋体" w:hAnsi="宋体" w:cs="宋体" w:eastAsia="宋体" w:hint="default"/>
                <w:sz w:val="18"/>
                <w:szCs w:val="18"/>
              </w:rPr>
              <w:t>深圳市财 政委员会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31" w:right="0"/>
              <w:jc w:val="center"/>
              <w:rPr>
                <w:rFonts w:ascii="Times New Roman" w:hAnsi="Times New Roman" w:cs="Times New Roman" w:eastAsia="Times New Roman" w:hint="default"/>
                <w:sz w:val="18"/>
                <w:szCs w:val="18"/>
              </w:rPr>
            </w:pPr>
            <w:r>
              <w:rPr>
                <w:rFonts w:ascii="Times New Roman"/>
                <w:sz w:val="18"/>
              </w:rPr>
              <w:t>22,231.21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5"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57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31"/>
              <w:jc w:val="both"/>
              <w:rPr>
                <w:rFonts w:ascii="宋体" w:hAnsi="宋体" w:cs="宋体" w:eastAsia="宋体" w:hint="default"/>
                <w:sz w:val="18"/>
                <w:szCs w:val="18"/>
              </w:rPr>
            </w:pPr>
            <w:r>
              <w:rPr>
                <w:rFonts w:ascii="宋体" w:hAnsi="宋体" w:cs="宋体" w:eastAsia="宋体" w:hint="default"/>
                <w:sz w:val="18"/>
                <w:szCs w:val="18"/>
              </w:rPr>
              <w:t>深圳市仓 储智能化 工程技术 研究开发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深圳市财 政委员会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506,666.66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5" w:right="227"/>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Heading3"/>
        <w:spacing w:line="278" w:lineRule="exact"/>
        <w:ind w:right="-10"/>
        <w:jc w:val="left"/>
        <w:rPr>
          <w:b w:val="0"/>
          <w:bCs w:val="0"/>
        </w:rPr>
      </w:pPr>
      <w:bookmarkStart w:name="44、营业外支出" w:id="288"/>
      <w:bookmarkEnd w:id="288"/>
      <w:r>
        <w:rPr>
          <w:b w:val="0"/>
          <w:bCs w:val="0"/>
        </w:rPr>
      </w:r>
      <w:r>
        <w:rPr>
          <w:rFonts w:ascii="Times New Roman" w:hAnsi="Times New Roman" w:cs="Times New Roman" w:eastAsia="Times New Roman" w:hint="default"/>
          <w:spacing w:val="-1"/>
        </w:rPr>
        <w:t>44</w:t>
      </w:r>
      <w:r>
        <w:rPr>
          <w:spacing w:val="-1"/>
        </w:rPr>
        <w:t>、营业外支出</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24"/>
        <w:gridCol w:w="2161"/>
        <w:gridCol w:w="2393"/>
        <w:gridCol w:w="2393"/>
      </w:tblGrid>
      <w:tr>
        <w:trPr>
          <w:trHeight w:val="634"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4,513.16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234,711.92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4,513.16</w:t>
            </w:r>
          </w:p>
        </w:tc>
      </w:tr>
      <w:tr>
        <w:trPr>
          <w:trHeight w:val="32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其中：固定资产毁损报废损失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5"/>
                <w:sz w:val="18"/>
              </w:rPr>
              <w:t>4,513.16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988.61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4,513.16</w:t>
            </w: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无形资产毁损报废损失</w:t>
            </w:r>
          </w:p>
        </w:tc>
        <w:tc>
          <w:tcPr>
            <w:tcW w:w="216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233,723.31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100,347.30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451,829.34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100,347.30</w:t>
            </w: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119,860.46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686,541.26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119,860.46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45、所得税费用" w:id="289"/>
      <w:bookmarkEnd w:id="289"/>
      <w:r>
        <w:rPr>
          <w:b w:val="0"/>
          <w:bCs w:val="0"/>
        </w:rPr>
      </w:r>
      <w:r>
        <w:rPr>
          <w:rFonts w:ascii="Times New Roman" w:hAnsi="Times New Roman" w:cs="Times New Roman" w:eastAsia="Times New Roman" w:hint="default"/>
        </w:rPr>
        <w:t>45</w:t>
      </w:r>
      <w:r>
        <w:rPr/>
        <w:t>、所得税费用</w:t>
      </w:r>
      <w:r>
        <w:rPr>
          <w:b w:val="0"/>
          <w:bCs w:val="0"/>
        </w:rPr>
      </w:r>
    </w:p>
    <w:p>
      <w:pPr>
        <w:pStyle w:val="Heading3"/>
        <w:spacing w:line="240" w:lineRule="auto" w:before="23"/>
        <w:ind w:right="-16"/>
        <w:jc w:val="left"/>
        <w:rPr>
          <w:b w:val="0"/>
          <w:bCs w:val="0"/>
        </w:rPr>
      </w:pPr>
      <w:bookmarkStart w:name="（1）所得税费用表" w:id="290"/>
      <w:bookmarkEnd w:id="29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5,466,818.61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127,742.60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-3,129,688.62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-907,305.22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前期所得税差异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2,337,894.99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-779,562.62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0"/>
        <w:jc w:val="left"/>
        <w:rPr>
          <w:b w:val="0"/>
          <w:bCs w:val="0"/>
        </w:rPr>
      </w:pPr>
      <w:bookmarkStart w:name="（2）会计利润与所得税费用调整过程" w:id="291"/>
      <w:bookmarkEnd w:id="291"/>
      <w:r>
        <w:rPr>
          <w:b w:val="0"/>
          <w:bCs w:val="0"/>
        </w:rPr>
      </w:r>
      <w:r>
        <w:rPr>
          <w:spacing w:val="-1"/>
        </w:rPr>
        <w:t>（</w:t>
      </w:r>
      <w:r>
        <w:rPr>
          <w:rFonts w:ascii="Times New Roman" w:hAnsi="Times New Roman" w:cs="Times New Roman" w:eastAsia="Times New Roman" w:hint="default"/>
          <w:spacing w:val="-1"/>
        </w:rPr>
        <w:t>2</w:t>
      </w:r>
      <w:r>
        <w:rPr>
          <w:spacing w:val="-1"/>
        </w:rPr>
        <w:t>）会计利润与所得税费用调整过程</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634" w:space="5195"/>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1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49,852,710.29</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7,477,906.55</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-1,214,220.41</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765.00</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-507,927.30</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1,668,346.24</w:t>
            </w:r>
          </w:p>
        </w:tc>
      </w:tr>
      <w:tr>
        <w:trPr>
          <w:trHeight w:val="63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120,998.92</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-5,033,594.55</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所得税税率变动的影响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-174,379.46</w:t>
            </w:r>
          </w:p>
        </w:tc>
      </w:tr>
      <w:tr>
        <w:trPr>
          <w:trHeight w:val="32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2,337,894.99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78" w:lineRule="auto" w:before="0"/>
        <w:ind w:left="152" w:right="1776" w:firstLine="0"/>
        <w:jc w:val="left"/>
        <w:rPr>
          <w:rFonts w:ascii="宋体" w:hAnsi="宋体" w:cs="宋体" w:eastAsia="宋体" w:hint="default"/>
          <w:sz w:val="21"/>
          <w:szCs w:val="21"/>
        </w:rPr>
      </w:pPr>
      <w:bookmarkStart w:name="46、其他综合收益" w:id="292"/>
      <w:bookmarkEnd w:id="292"/>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 </w:t>
      </w:r>
      <w:bookmarkStart w:name="47、现金流量表项目" w:id="293"/>
      <w:bookmarkEnd w:id="293"/>
      <w:r>
        <w:rPr>
          <w:rFonts w:ascii="宋体" w:hAnsi="宋体" w:cs="宋体" w:eastAsia="宋体" w:hint="default"/>
          <w:sz w:val="18"/>
          <w:szCs w:val="18"/>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75" w:lineRule="exact"/>
        <w:ind w:right="0"/>
        <w:jc w:val="left"/>
        <w:rPr>
          <w:b w:val="0"/>
          <w:bCs w:val="0"/>
        </w:rPr>
      </w:pPr>
      <w:bookmarkStart w:name="（1）收到的其他与经营活动有关的现金" w:id="294"/>
      <w:bookmarkEnd w:id="294"/>
      <w:r>
        <w:rPr>
          <w:b w:val="0"/>
          <w:bCs w:val="0"/>
        </w:rPr>
      </w:r>
      <w:r>
        <w:rPr>
          <w:spacing w:val="-1"/>
        </w:rPr>
        <w:t>（</w:t>
      </w:r>
      <w:r>
        <w:rPr>
          <w:rFonts w:ascii="Times New Roman" w:hAnsi="Times New Roman" w:cs="Times New Roman" w:eastAsia="Times New Roman" w:hint="default"/>
          <w:spacing w:val="-1"/>
        </w:rPr>
        <w:t>1</w:t>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36,908,956.83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42,328,444.55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收回往来款项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2,495,541.96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238,821.23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收到利息收入及政府补贴等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17,061,154.40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6,715,420.10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56,465,653.19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49,282,685.88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0"/>
        <w:jc w:val="left"/>
        <w:rPr>
          <w:b w:val="0"/>
          <w:bCs w:val="0"/>
        </w:rPr>
      </w:pPr>
      <w:bookmarkStart w:name="（2）支付的其他与经营活动有关的现金" w:id="295"/>
      <w:bookmarkEnd w:id="295"/>
      <w:r>
        <w:rPr>
          <w:b w:val="0"/>
          <w:bCs w:val="0"/>
        </w:rPr>
      </w:r>
      <w:r>
        <w:rPr>
          <w:spacing w:val="-1"/>
        </w:rPr>
        <w:t>（</w:t>
      </w:r>
      <w:r>
        <w:rPr>
          <w:rFonts w:ascii="Times New Roman" w:hAnsi="Times New Roman" w:cs="Times New Roman" w:eastAsia="Times New Roman" w:hint="default"/>
          <w:spacing w:val="-1"/>
        </w:rPr>
        <w:t>2</w:t>
      </w:r>
      <w:r>
        <w:rPr>
          <w:spacing w:val="-1"/>
        </w:rPr>
        <w:t>）支付的其他与经营活动有关的现金</w:t>
      </w:r>
      <w:r>
        <w:rPr>
          <w:b w:val="0"/>
          <w:bCs w:val="0"/>
          <w:spacing w:val="-1"/>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45,670,815.22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71,033,177.73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109,901.79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支付的期间费用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75,583,832.13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57,389,068.48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121,364,549.14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128,422,246.21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0"/>
        <w:jc w:val="left"/>
        <w:rPr>
          <w:b w:val="0"/>
          <w:bCs w:val="0"/>
        </w:rPr>
      </w:pPr>
      <w:bookmarkStart w:name="（3）支付的其他与筹资活动有关的现金" w:id="296"/>
      <w:bookmarkEnd w:id="296"/>
      <w:r>
        <w:rPr>
          <w:b w:val="0"/>
          <w:bCs w:val="0"/>
        </w:rPr>
      </w:r>
      <w:r>
        <w:rPr>
          <w:spacing w:val="-1"/>
        </w:rPr>
        <w:t>（</w:t>
      </w:r>
      <w:r>
        <w:rPr>
          <w:rFonts w:ascii="Times New Roman" w:hAnsi="Times New Roman" w:cs="Times New Roman" w:eastAsia="Times New Roman" w:hint="default"/>
          <w:spacing w:val="-1"/>
        </w:rPr>
        <w:t>3</w:t>
      </w:r>
      <w:r>
        <w:rPr>
          <w:spacing w:val="-1"/>
        </w:rPr>
        <w:t>）支付的其他与筹资活动有关的现金</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21,320,130.96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支付可转换债券发行费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22,093,130.96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Heading3"/>
        <w:spacing w:line="278" w:lineRule="exact"/>
        <w:ind w:right="-5"/>
        <w:jc w:val="left"/>
        <w:rPr>
          <w:b w:val="0"/>
          <w:bCs w:val="0"/>
        </w:rPr>
      </w:pPr>
      <w:bookmarkStart w:name="48、现金流量表补充资料" w:id="297"/>
      <w:bookmarkEnd w:id="297"/>
      <w:r>
        <w:rPr>
          <w:b w:val="0"/>
          <w:bCs w:val="0"/>
        </w:rPr>
      </w:r>
      <w:r>
        <w:rPr>
          <w:rFonts w:ascii="Times New Roman" w:hAnsi="Times New Roman" w:cs="Times New Roman" w:eastAsia="Times New Roman" w:hint="default"/>
        </w:rPr>
        <w:t>48</w:t>
      </w:r>
      <w:r>
        <w:rPr/>
        <w:t>、现金流量表补充资料</w:t>
      </w:r>
      <w:r>
        <w:rPr>
          <w:b w:val="0"/>
          <w:bCs w:val="0"/>
        </w:rPr>
      </w:r>
    </w:p>
    <w:p>
      <w:pPr>
        <w:pStyle w:val="Heading3"/>
        <w:spacing w:line="240" w:lineRule="auto" w:before="21"/>
        <w:ind w:right="-5"/>
        <w:jc w:val="left"/>
        <w:rPr>
          <w:b w:val="0"/>
          <w:bCs w:val="0"/>
        </w:rPr>
      </w:pPr>
      <w:bookmarkStart w:name="（1）现金流量表补充资料" w:id="298"/>
      <w:bookmarkEnd w:id="298"/>
      <w:r>
        <w:rPr>
          <w:b w:val="0"/>
          <w:bCs w:val="0"/>
        </w:rPr>
      </w:r>
      <w:r>
        <w:rPr>
          <w:spacing w:val="-1"/>
        </w:rPr>
        <w:t>（</w:t>
      </w:r>
      <w:r>
        <w:rPr>
          <w:rFonts w:ascii="Times New Roman" w:hAnsi="Times New Roman" w:cs="Times New Roman" w:eastAsia="Times New Roman" w:hint="default"/>
          <w:spacing w:val="-1"/>
        </w:rPr>
        <w:t>1</w:t>
      </w:r>
      <w:r>
        <w:rPr>
          <w:spacing w:val="-1"/>
        </w:rPr>
        <w:t>）现金流量表补充资料</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80" w:space="6249"/>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32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47,514,815.30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17,370,605.24</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13,423,634.19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-3,552,571.88</w:t>
            </w:r>
          </w:p>
        </w:tc>
      </w:tr>
      <w:tr>
        <w:trPr>
          <w:trHeight w:val="63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6,815,831.51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5,343,539.73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1,438,577.93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1,511,782.17</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172,680.50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-50,588.06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-106,401.42</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332"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4,513.16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1,600,799.98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-6,790,975.95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-3,130,095.29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-1,223,788.97</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316,483.75</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-78,920,461.47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-99,203,283.20</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-46,561,332.64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-33,928,425.16</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175,243,324.61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275,489,156.87</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-12,335,142.78</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2"/>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110,761,130.44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149,681,954.35</w:t>
            </w:r>
          </w:p>
        </w:tc>
      </w:tr>
      <w:tr>
        <w:trPr>
          <w:trHeight w:val="63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439,088,802.07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257,618,449.23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257,618,449.23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289,481,776.26</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181,470,352.84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-31,863,327.03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BodyText"/>
        <w:spacing w:line="240" w:lineRule="auto" w:before="8"/>
        <w:ind w:right="-18"/>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本期金额为信用减值损失，本表没有该项目，故填在此处。</w:t>
      </w:r>
    </w:p>
    <w:p>
      <w:pPr>
        <w:pStyle w:val="Heading3"/>
        <w:spacing w:line="240" w:lineRule="auto" w:before="42"/>
        <w:ind w:right="-18"/>
        <w:jc w:val="left"/>
        <w:rPr>
          <w:b w:val="0"/>
          <w:bCs w:val="0"/>
        </w:rPr>
      </w:pPr>
      <w:bookmarkStart w:name="（2）现金和现金等价物的构成" w:id="299"/>
      <w:bookmarkEnd w:id="29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374" w:space="3455"/>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439,088,802.07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257,618,449.23</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151,171.21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201,048.76</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438,937,630.86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256,886,811.36</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530,589.11</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439,088,802.07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257,618,449.23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080" w:bottom="1160" w:left="980" w:right="0"/>
        </w:sectPr>
      </w:pPr>
    </w:p>
    <w:p>
      <w:pPr>
        <w:pStyle w:val="Heading3"/>
        <w:spacing w:line="240" w:lineRule="auto" w:before="36"/>
        <w:ind w:right="0"/>
        <w:jc w:val="left"/>
        <w:rPr>
          <w:b w:val="0"/>
          <w:bCs w:val="0"/>
        </w:rPr>
      </w:pPr>
      <w:bookmarkStart w:name="49、所有权或使用权受到限制的资产" w:id="300"/>
      <w:bookmarkEnd w:id="300"/>
      <w:r>
        <w:rPr>
          <w:b w:val="0"/>
          <w:bCs w:val="0"/>
        </w:rPr>
      </w:r>
      <w:r>
        <w:rPr>
          <w:rFonts w:ascii="Times New Roman" w:hAnsi="Times New Roman" w:cs="Times New Roman" w:eastAsia="Times New Roman" w:hint="default"/>
          <w:spacing w:val="-1"/>
        </w:rPr>
        <w:t>49</w:t>
      </w:r>
      <w:r>
        <w:rPr>
          <w:spacing w:val="-1"/>
        </w:rPr>
        <w:t>、所有权或使用权受到限制的资产</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6"/>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28" w:space="5301"/>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9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pacing w:val="-1"/>
                <w:sz w:val="18"/>
              </w:rPr>
              <w:t>40,663,363.55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银行保函保证金、信用证保证金、银</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行承兑汇票保证金存款、被冻结款</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3,453,900.55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center"/>
              <w:rPr>
                <w:rFonts w:ascii="宋体" w:hAnsi="宋体" w:cs="宋体" w:eastAsia="宋体" w:hint="default"/>
                <w:sz w:val="18"/>
                <w:szCs w:val="18"/>
              </w:rPr>
            </w:pPr>
            <w:r>
              <w:rPr>
                <w:rFonts w:ascii="宋体" w:hAnsi="宋体" w:cs="宋体" w:eastAsia="宋体" w:hint="default"/>
                <w:sz w:val="18"/>
                <w:szCs w:val="18"/>
              </w:rPr>
              <w:t>本公司购置的人才住房，为有限产权</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44,117,264.10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8"/>
        <w:jc w:val="left"/>
        <w:rPr>
          <w:b w:val="0"/>
          <w:bCs w:val="0"/>
        </w:rPr>
      </w:pPr>
      <w:bookmarkStart w:name="50、外币货币性项目" w:id="301"/>
      <w:bookmarkEnd w:id="301"/>
      <w:r>
        <w:rPr>
          <w:b w:val="0"/>
          <w:bCs w:val="0"/>
        </w:rPr>
      </w:r>
      <w:r>
        <w:rPr>
          <w:rFonts w:ascii="Times New Roman" w:hAnsi="Times New Roman" w:cs="Times New Roman" w:eastAsia="Times New Roman" w:hint="default"/>
        </w:rPr>
        <w:t>50</w:t>
      </w:r>
      <w:r>
        <w:rPr/>
        <w:t>、外币货币性项目</w:t>
      </w:r>
      <w:r>
        <w:rPr>
          <w:b w:val="0"/>
          <w:bCs w:val="0"/>
        </w:rPr>
      </w:r>
    </w:p>
    <w:p>
      <w:pPr>
        <w:pStyle w:val="Heading3"/>
        <w:spacing w:line="240" w:lineRule="auto" w:before="23"/>
        <w:ind w:right="-8"/>
        <w:jc w:val="left"/>
        <w:rPr>
          <w:b w:val="0"/>
          <w:bCs w:val="0"/>
        </w:rPr>
      </w:pPr>
      <w:bookmarkStart w:name="（1）外币货币性项目" w:id="302"/>
      <w:bookmarkEnd w:id="302"/>
      <w:r>
        <w:rPr>
          <w:b w:val="0"/>
          <w:bCs w:val="0"/>
        </w:rPr>
      </w:r>
      <w:r>
        <w:rPr>
          <w:spacing w:val="-1"/>
        </w:rPr>
        <w:t>（</w:t>
      </w:r>
      <w:r>
        <w:rPr>
          <w:rFonts w:ascii="Times New Roman" w:hAnsi="Times New Roman" w:cs="Times New Roman" w:eastAsia="Times New Roman" w:hint="default"/>
          <w:spacing w:val="-1"/>
        </w:rPr>
        <w:t>1</w:t>
      </w:r>
      <w:r>
        <w:rPr>
          <w:spacing w:val="-1"/>
        </w:rPr>
        <w:t>）外币货币性项目</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58" w:space="6671"/>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6,857,091.94</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398,040.72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2,776,811.67</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194,209.48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1,517,844.19</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2,860,554.91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2,562,427.88</w:t>
            </w:r>
          </w:p>
        </w:tc>
      </w:tr>
      <w:tr>
        <w:trPr>
          <w:trHeight w:val="32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8.20</w:t>
            </w:r>
          </w:p>
        </w:tc>
      </w:tr>
      <w:tr>
        <w:trPr>
          <w:trHeight w:val="32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34,881.00</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34,881.00</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64,390.79</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52,321.50</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6"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16,170.00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0.7464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12,069.29</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25,593,166.50</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3,274,667.84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25,593,166.50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6"/>
        <w:jc w:val="left"/>
        <w:rPr>
          <w:b w:val="0"/>
          <w:bCs w:val="0"/>
        </w:rPr>
      </w:pPr>
      <w:bookmarkStart w:name="51、政府补助" w:id="303"/>
      <w:bookmarkEnd w:id="303"/>
      <w:r>
        <w:rPr>
          <w:b w:val="0"/>
          <w:bCs w:val="0"/>
        </w:rPr>
      </w:r>
      <w:r>
        <w:rPr>
          <w:rFonts w:ascii="Times New Roman" w:hAnsi="Times New Roman" w:cs="Times New Roman" w:eastAsia="Times New Roman" w:hint="default"/>
        </w:rPr>
        <w:t>51</w:t>
      </w:r>
      <w:r>
        <w:rPr/>
        <w:t>、政府补助</w:t>
      </w:r>
      <w:r>
        <w:rPr>
          <w:b w:val="0"/>
          <w:bCs w:val="0"/>
        </w:rPr>
      </w:r>
    </w:p>
    <w:p>
      <w:pPr>
        <w:pStyle w:val="Heading3"/>
        <w:spacing w:line="240" w:lineRule="auto" w:before="21"/>
        <w:ind w:right="-6"/>
        <w:jc w:val="left"/>
        <w:rPr>
          <w:b w:val="0"/>
          <w:bCs w:val="0"/>
        </w:rPr>
      </w:pPr>
      <w:bookmarkStart w:name="（1）政府补助基本情况" w:id="304"/>
      <w:bookmarkEnd w:id="304"/>
      <w:r>
        <w:rPr>
          <w:b w:val="0"/>
          <w:bCs w:val="0"/>
        </w:rPr>
      </w:r>
      <w:r>
        <w:rPr>
          <w:spacing w:val="-1"/>
        </w:rPr>
        <w:t>（</w:t>
      </w:r>
      <w:r>
        <w:rPr>
          <w:rFonts w:ascii="Times New Roman" w:hAnsi="Times New Roman" w:cs="Times New Roman" w:eastAsia="Times New Roman" w:hint="default"/>
          <w:spacing w:val="-1"/>
        </w:rPr>
        <w:t>1</w:t>
      </w:r>
      <w:r>
        <w:rPr>
          <w:spacing w:val="-1"/>
        </w:rPr>
        <w:t>）政府补助基本情况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、与资产相关的政府补助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深圳市仓储智能化工程技术 研究开发中心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63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8"/>
              <w:jc w:val="left"/>
              <w:rPr>
                <w:rFonts w:ascii="宋体" w:hAnsi="宋体" w:cs="宋体" w:eastAsia="宋体" w:hint="default"/>
                <w:sz w:val="18"/>
                <w:szCs w:val="18"/>
              </w:rPr>
            </w:pPr>
            <w:r>
              <w:rPr>
                <w:rFonts w:ascii="宋体" w:hAnsi="宋体" w:cs="宋体" w:eastAsia="宋体" w:hint="default"/>
                <w:sz w:val="18"/>
                <w:szCs w:val="18"/>
              </w:rPr>
              <w:t>现代物流高频率移动拣选系 统研发项目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320,207.49</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自动搬运机器人产业化项目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723,099.65</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上市公司本地改造提升项目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127,940.76</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19,500,000.00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1,504,581.23</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与收益相关的政府补助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4,094,679.49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4,094,679.49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488,000.00</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深圳市科技创新委员会企业 研究开发政府补贴款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1,097,000.00</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年第五批扶持科技创 新项目政府补贴款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63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8"/>
              <w:jc w:val="left"/>
              <w:rPr>
                <w:rFonts w:ascii="宋体" w:hAnsi="宋体" w:cs="宋体" w:eastAsia="宋体" w:hint="default"/>
                <w:sz w:val="18"/>
                <w:szCs w:val="18"/>
              </w:rPr>
            </w:pPr>
            <w:r>
              <w:rPr>
                <w:rFonts w:ascii="宋体" w:hAnsi="宋体" w:cs="宋体" w:eastAsia="宋体" w:hint="default"/>
                <w:sz w:val="18"/>
                <w:szCs w:val="18"/>
              </w:rPr>
              <w:t>深圳市科技创新委员会政府 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463,000.00</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年第五次产业资金扶 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6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科技企业研发投入激励扶持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152,600.00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重点物流企业贴息款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-1,209,800.00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-1,209,800.00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383,463.61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383,463.61</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9,288,543.10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9,288,543.10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28,788,543.10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10,793,124.33</w:t>
            </w:r>
          </w:p>
        </w:tc>
      </w:tr>
    </w:tbl>
    <w:p>
      <w:pPr>
        <w:pStyle w:val="Heading2"/>
        <w:spacing w:line="276" w:lineRule="exact"/>
        <w:ind w:right="1116"/>
        <w:jc w:val="left"/>
        <w:rPr>
          <w:b w:val="0"/>
          <w:bCs w:val="0"/>
        </w:rPr>
      </w:pPr>
      <w:bookmarkStart w:name="八、在其他主体中的权益" w:id="305"/>
      <w:bookmarkEnd w:id="305"/>
      <w:r>
        <w:rPr>
          <w:b w:val="0"/>
          <w:bCs w:val="0"/>
        </w:rPr>
      </w:r>
      <w:r>
        <w:rPr/>
        <w:t>八、在其他主体中的权益</w:t>
      </w:r>
      <w:r>
        <w:rPr>
          <w:b w:val="0"/>
          <w:bCs w:val="0"/>
        </w:rPr>
      </w:r>
    </w:p>
    <w:p>
      <w:pPr>
        <w:pStyle w:val="Heading3"/>
        <w:spacing w:line="240" w:lineRule="auto" w:before="23"/>
        <w:ind w:right="1116"/>
        <w:jc w:val="left"/>
        <w:rPr>
          <w:b w:val="0"/>
          <w:bCs w:val="0"/>
        </w:rPr>
      </w:pPr>
      <w:bookmarkStart w:name="1、在子公司中的权益" w:id="306"/>
      <w:bookmarkEnd w:id="306"/>
      <w:r>
        <w:rPr>
          <w:b w:val="0"/>
          <w:bCs w:val="0"/>
        </w:rPr>
      </w:r>
      <w:r>
        <w:rPr>
          <w:rFonts w:ascii="Times New Roman" w:hAnsi="Times New Roman" w:cs="Times New Roman" w:eastAsia="Times New Roman" w:hint="default"/>
        </w:rPr>
        <w:t>1</w:t>
      </w:r>
      <w:r>
        <w:rPr/>
        <w:t>、在子公司中的权益</w:t>
      </w:r>
      <w:r>
        <w:rPr>
          <w:b w:val="0"/>
          <w:bCs w:val="0"/>
        </w:rPr>
      </w:r>
    </w:p>
    <w:p>
      <w:pPr>
        <w:pStyle w:val="Heading3"/>
        <w:spacing w:line="240" w:lineRule="auto" w:before="23"/>
        <w:ind w:right="1116"/>
        <w:jc w:val="left"/>
        <w:rPr>
          <w:b w:val="0"/>
          <w:bCs w:val="0"/>
        </w:rPr>
      </w:pPr>
      <w:bookmarkStart w:name="（1）企业集团的构成" w:id="307"/>
      <w:bookmarkEnd w:id="3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2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7"/>
              <w:jc w:val="both"/>
              <w:rPr>
                <w:rFonts w:ascii="宋体" w:hAnsi="宋体" w:cs="宋体" w:eastAsia="宋体" w:hint="default"/>
                <w:sz w:val="18"/>
                <w:szCs w:val="18"/>
              </w:rPr>
            </w:pPr>
            <w:r>
              <w:rPr>
                <w:rFonts w:ascii="宋体" w:hAnsi="宋体" w:cs="宋体" w:eastAsia="宋体" w:hint="default"/>
                <w:sz w:val="18"/>
                <w:szCs w:val="18"/>
              </w:rPr>
              <w:t>深圳市今天国 际软件技术有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7"/>
              <w:jc w:val="left"/>
              <w:rPr>
                <w:rFonts w:ascii="宋体" w:hAnsi="宋体" w:cs="宋体" w:eastAsia="宋体" w:hint="default"/>
                <w:sz w:val="18"/>
                <w:szCs w:val="18"/>
              </w:rPr>
            </w:pPr>
            <w:r>
              <w:rPr>
                <w:rFonts w:ascii="宋体" w:hAnsi="宋体" w:cs="宋体" w:eastAsia="宋体" w:hint="default"/>
                <w:sz w:val="18"/>
                <w:szCs w:val="18"/>
              </w:rPr>
              <w:t>今天国际物流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COPR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94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7"/>
              <w:jc w:val="both"/>
              <w:rPr>
                <w:rFonts w:ascii="宋体" w:hAnsi="宋体" w:cs="宋体" w:eastAsia="宋体" w:hint="default"/>
                <w:sz w:val="18"/>
                <w:szCs w:val="18"/>
              </w:rPr>
            </w:pPr>
            <w:r>
              <w:rPr>
                <w:rFonts w:ascii="宋体" w:hAnsi="宋体" w:cs="宋体" w:eastAsia="宋体" w:hint="default"/>
                <w:sz w:val="18"/>
                <w:szCs w:val="18"/>
              </w:rPr>
              <w:t>深圳市今天国 际智能机器人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机器人研发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4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7"/>
              <w:jc w:val="both"/>
              <w:rPr>
                <w:rFonts w:ascii="宋体" w:hAnsi="宋体" w:cs="宋体" w:eastAsia="宋体" w:hint="default"/>
                <w:sz w:val="18"/>
                <w:szCs w:val="18"/>
              </w:rPr>
            </w:pPr>
            <w:r>
              <w:rPr>
                <w:rFonts w:ascii="宋体" w:hAnsi="宋体" w:cs="宋体" w:eastAsia="宋体" w:hint="default"/>
                <w:sz w:val="18"/>
                <w:szCs w:val="18"/>
              </w:rPr>
              <w:t>北京今天华迅 智能技术有限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4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7"/>
              <w:jc w:val="both"/>
              <w:rPr>
                <w:rFonts w:ascii="宋体" w:hAnsi="宋体" w:cs="宋体" w:eastAsia="宋体" w:hint="default"/>
                <w:sz w:val="18"/>
                <w:szCs w:val="18"/>
              </w:rPr>
            </w:pPr>
            <w:r>
              <w:rPr>
                <w:rFonts w:ascii="宋体" w:hAnsi="宋体" w:cs="宋体" w:eastAsia="宋体" w:hint="default"/>
                <w:sz w:val="18"/>
                <w:szCs w:val="18"/>
              </w:rPr>
              <w:t>上海今天华峰 智能系统有限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25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7"/>
              <w:jc w:val="both"/>
              <w:rPr>
                <w:rFonts w:ascii="宋体" w:hAnsi="宋体" w:cs="宋体" w:eastAsia="宋体" w:hint="default"/>
                <w:sz w:val="18"/>
                <w:szCs w:val="18"/>
              </w:rPr>
            </w:pPr>
            <w:r>
              <w:rPr>
                <w:rFonts w:ascii="宋体" w:hAnsi="宋体" w:cs="宋体" w:eastAsia="宋体" w:hint="default"/>
                <w:sz w:val="18"/>
                <w:szCs w:val="18"/>
              </w:rPr>
              <w:t>昌乐怀真今天 人工智能科技 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pStyle w:val="Heading3"/>
        <w:spacing w:line="278" w:lineRule="exact"/>
        <w:ind w:right="0"/>
        <w:jc w:val="left"/>
        <w:rPr>
          <w:b w:val="0"/>
          <w:bCs w:val="0"/>
        </w:rPr>
      </w:pPr>
      <w:bookmarkStart w:name="2、在合营安排或联营企业中的权益" w:id="308"/>
      <w:bookmarkEnd w:id="308"/>
      <w:r>
        <w:rPr>
          <w:b w:val="0"/>
          <w:bCs w:val="0"/>
        </w:rPr>
      </w:r>
      <w:r>
        <w:rPr>
          <w:rFonts w:ascii="Times New Roman" w:hAnsi="Times New Roman" w:cs="Times New Roman" w:eastAsia="Times New Roman" w:hint="default"/>
        </w:rPr>
        <w:t>2</w:t>
      </w:r>
      <w:r>
        <w:rPr/>
        <w:t>、在合营安排或联营企业中的权益</w:t>
      </w:r>
      <w:r>
        <w:rPr>
          <w:b w:val="0"/>
          <w:bCs w:val="0"/>
        </w:rPr>
      </w:r>
    </w:p>
    <w:p>
      <w:pPr>
        <w:pStyle w:val="Heading3"/>
        <w:spacing w:line="240" w:lineRule="auto" w:before="21"/>
        <w:ind w:right="0"/>
        <w:jc w:val="left"/>
        <w:rPr>
          <w:b w:val="0"/>
          <w:bCs w:val="0"/>
        </w:rPr>
      </w:pPr>
      <w:bookmarkStart w:name="（1）不重要的合营企业和联营企业的汇总财务信息" w:id="309"/>
      <w:bookmarkEnd w:id="309"/>
      <w:r>
        <w:rPr>
          <w:b w:val="0"/>
          <w:bCs w:val="0"/>
        </w:rPr>
      </w:r>
      <w:r>
        <w:rPr>
          <w:spacing w:val="-1"/>
        </w:rPr>
        <w:t>（</w:t>
      </w:r>
      <w:r>
        <w:rPr>
          <w:rFonts w:ascii="Times New Roman" w:hAnsi="Times New Roman" w:cs="Times New Roman" w:eastAsia="Times New Roman" w:hint="default"/>
          <w:spacing w:val="-1"/>
        </w:rPr>
        <w:t>1</w:t>
      </w:r>
      <w:r>
        <w:rPr>
          <w:spacing w:val="-1"/>
        </w:rPr>
        <w:t>）不重要的合营企业和联营企业的汇总财务信息</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899" w:space="3930"/>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55,077,173.97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51,628,016.06</w:t>
            </w:r>
          </w:p>
        </w:tc>
      </w:tr>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3,386,182.02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3,838,088.39</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62,975.89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1,001,042.28</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3,449,157.91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4,839,130.67</w:t>
            </w:r>
          </w:p>
        </w:tc>
      </w:tr>
    </w:tbl>
    <w:p>
      <w:pPr>
        <w:pStyle w:val="Heading2"/>
        <w:spacing w:line="276" w:lineRule="exact"/>
        <w:ind w:right="1116"/>
        <w:jc w:val="left"/>
        <w:rPr>
          <w:b w:val="0"/>
          <w:bCs w:val="0"/>
        </w:rPr>
      </w:pPr>
      <w:bookmarkStart w:name="九、与金融工具相关的风险" w:id="310"/>
      <w:bookmarkEnd w:id="310"/>
      <w:r>
        <w:rPr>
          <w:b w:val="0"/>
          <w:bCs w:val="0"/>
        </w:rPr>
      </w:r>
      <w:r>
        <w:rPr/>
        <w:t>九、与金融工具相关的风险</w:t>
      </w:r>
      <w:r>
        <w:rPr>
          <w:b w:val="0"/>
          <w:bCs w:val="0"/>
        </w:rPr>
      </w:r>
    </w:p>
    <w:p>
      <w:pPr>
        <w:pStyle w:val="BodyText"/>
        <w:spacing w:line="316" w:lineRule="auto" w:before="46"/>
        <w:ind w:left="866" w:right="1040"/>
        <w:jc w:val="left"/>
      </w:pPr>
      <w:r>
        <w:rPr>
          <w:spacing w:val="-2"/>
        </w:rPr>
        <w:t>本公司在经营过程中面临各种金融风险：信用风险、市场风险和流动性风险。公司董事会全面负责风险管理目标和</w:t>
      </w:r>
      <w:r>
        <w:rPr>
          <w:spacing w:val="-67"/>
        </w:rPr>
        <w:t> </w:t>
      </w:r>
      <w:r>
        <w:rPr>
          <w:spacing w:val="-67"/>
        </w:rPr>
      </w:r>
      <w:r>
        <w:rPr>
          <w:spacing w:val="-2"/>
        </w:rPr>
        <w:t>政策的确定，并对风险管理目标和政策承担最终责任，但是董事会已授权本公司内部审计部门设计和实施能确保风</w:t>
      </w:r>
      <w:r>
        <w:rPr>
          <w:spacing w:val="-68"/>
        </w:rPr>
        <w:t> </w:t>
      </w:r>
      <w:r>
        <w:rPr>
          <w:spacing w:val="-68"/>
        </w:rPr>
      </w:r>
      <w:r>
        <w:rPr/>
        <w:t>险管理目标和政策得以有效执行的程序。 本公司风险管理的总体目标是在不过度影响公司竞争力和应变力的情况下，制定尽可能降低风险的风险管理政策。</w:t>
      </w:r>
    </w:p>
    <w:p>
      <w:pPr>
        <w:spacing w:line="240" w:lineRule="auto" w:before="4"/>
        <w:rPr>
          <w:rFonts w:ascii="宋体" w:hAnsi="宋体" w:cs="宋体" w:eastAsia="宋体" w:hint="default"/>
          <w:sz w:val="25"/>
          <w:szCs w:val="25"/>
        </w:rPr>
      </w:pPr>
    </w:p>
    <w:p>
      <w:pPr>
        <w:pStyle w:val="BodyText"/>
        <w:spacing w:line="316" w:lineRule="auto"/>
        <w:ind w:left="866" w:right="1116" w:firstLine="203"/>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信用风险是指金融工具的一方不履行义务，造成另一方发生财务损失的风险。本公司主要面临客户不按合同条款履</w:t>
      </w:r>
      <w:r>
        <w:rPr>
          <w:spacing w:val="-68"/>
        </w:rPr>
        <w:t> </w:t>
      </w:r>
      <w:r>
        <w:rPr>
          <w:spacing w:val="-68"/>
        </w:rPr>
      </w:r>
      <w:r>
        <w:rPr>
          <w:spacing w:val="-2"/>
        </w:rPr>
        <w:t>行及时付款的客户信用风险。本公司目前签订的大项目销售合同客户对象基本上是综合实力强、资金实力雄厚、资</w:t>
      </w:r>
      <w:r>
        <w:rPr>
          <w:spacing w:val="-68"/>
        </w:rPr>
        <w:t> </w:t>
      </w:r>
      <w:r>
        <w:rPr>
          <w:spacing w:val="-68"/>
        </w:rPr>
      </w:r>
      <w:r>
        <w:rPr>
          <w:spacing w:val="-2"/>
        </w:rPr>
        <w:t>信水平较高的大型知名企业，因此在合同履行方面的信用风险相对较低，同时本公司在签订合同时会严格约定相应</w:t>
      </w:r>
      <w:r>
        <w:rPr>
          <w:spacing w:val="-68"/>
        </w:rPr>
        <w:t> </w:t>
      </w:r>
      <w:r>
        <w:rPr>
          <w:spacing w:val="-68"/>
        </w:rPr>
      </w:r>
      <w:r>
        <w:rPr/>
        <w:t>的付款条款以降低风险。 </w:t>
      </w:r>
      <w:r>
        <w:rPr>
          <w:spacing w:val="-2"/>
        </w:rPr>
        <w:t>另外公司会定期编制项目收款控制表，对客户的回款进行跟踪及催收，并由相关责任人负责落实，同时纳入考评机</w:t>
      </w:r>
      <w:r>
        <w:rPr>
          <w:spacing w:val="-67"/>
        </w:rPr>
        <w:t> </w:t>
      </w:r>
      <w:r>
        <w:rPr>
          <w:spacing w:val="-67"/>
        </w:rPr>
      </w:r>
      <w:r>
        <w:rPr/>
        <w:t>制，保证应收款的及时收回，使公司的整体信用风险在可控范围内。</w:t>
      </w:r>
    </w:p>
    <w:p>
      <w:pPr>
        <w:spacing w:line="240" w:lineRule="auto" w:before="4"/>
        <w:rPr>
          <w:rFonts w:ascii="宋体" w:hAnsi="宋体" w:cs="宋体" w:eastAsia="宋体" w:hint="default"/>
          <w:sz w:val="25"/>
          <w:szCs w:val="25"/>
        </w:rPr>
      </w:pPr>
    </w:p>
    <w:p>
      <w:pPr>
        <w:pStyle w:val="BodyText"/>
        <w:spacing w:line="319" w:lineRule="auto"/>
        <w:ind w:left="866" w:right="0" w:firstLine="203"/>
        <w:jc w:val="left"/>
      </w:pPr>
      <w:r>
        <w:rPr>
          <w:rFonts w:ascii="宋体" w:hAnsi="宋体" w:cs="宋体" w:eastAsia="宋体" w:hint="default"/>
          <w:b/>
          <w:bCs/>
        </w:rPr>
        <w:t>2.</w:t>
      </w:r>
      <w:r>
        <w:rPr>
          <w:rFonts w:ascii="宋体" w:hAnsi="宋体" w:cs="宋体" w:eastAsia="宋体" w:hint="default"/>
          <w:b/>
          <w:bCs/>
          <w:spacing w:val="87"/>
        </w:rPr>
        <w:t> </w:t>
      </w:r>
      <w:r>
        <w:rPr>
          <w:rFonts w:ascii="宋体" w:hAnsi="宋体" w:cs="宋体" w:eastAsia="宋体" w:hint="default"/>
          <w:b/>
          <w:bCs/>
        </w:rPr>
        <w:t>市场风险</w:t>
      </w:r>
      <w:r>
        <w:rPr>
          <w:rFonts w:ascii="宋体" w:hAnsi="宋体" w:cs="宋体" w:eastAsia="宋体" w:hint="default"/>
          <w:b/>
          <w:bCs/>
          <w:w w:val="99"/>
        </w:rPr>
        <w:t> </w:t>
      </w:r>
      <w:r>
        <w:rPr>
          <w:spacing w:val="-4"/>
        </w:rPr>
        <w:t>金融工具的市场风险，是指金融工具的公允价值或未来现金流量因市场价格变动而发生波动的风险，包括汇率风险、</w:t>
      </w:r>
      <w:r>
        <w:rPr>
          <w:spacing w:val="-57"/>
        </w:rPr>
        <w:t> </w:t>
      </w:r>
      <w:r>
        <w:rPr>
          <w:spacing w:val="-57"/>
        </w:rPr>
      </w:r>
      <w:r>
        <w:rPr/>
        <w:t>利率风险和其他价格风险。</w:t>
      </w:r>
    </w:p>
    <w:p>
      <w:pPr>
        <w:pStyle w:val="BodyText"/>
        <w:spacing w:line="309" w:lineRule="auto" w:before="17"/>
        <w:ind w:left="866" w:right="1116"/>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w:t>
      </w:r>
      <w:r>
        <w:rPr>
          <w:spacing w:val="-68"/>
        </w:rPr>
        <w:t> </w:t>
      </w:r>
      <w:r>
        <w:rPr>
          <w:spacing w:val="-68"/>
        </w:rPr>
      </w:r>
      <w:r>
        <w:rPr/>
        <w:t>要来源于银行长期借款以及应付债券。截止报告期公司目前尚未涉及长期银行借贷业务以及应付债券业务。</w:t>
      </w:r>
    </w:p>
    <w:p>
      <w:pPr>
        <w:spacing w:line="240" w:lineRule="auto" w:before="9"/>
        <w:rPr>
          <w:rFonts w:ascii="宋体" w:hAnsi="宋体" w:cs="宋体" w:eastAsia="宋体" w:hint="default"/>
          <w:sz w:val="25"/>
          <w:szCs w:val="25"/>
        </w:rPr>
      </w:pPr>
    </w:p>
    <w:p>
      <w:pPr>
        <w:pStyle w:val="BodyText"/>
        <w:spacing w:line="314" w:lineRule="auto"/>
        <w:ind w:left="866" w:right="1116"/>
        <w:jc w:val="left"/>
      </w:pPr>
      <w:r>
        <w:rPr/>
        <w:t>（</w:t>
      </w:r>
      <w:r>
        <w:rPr>
          <w:rFonts w:ascii="Times New Roman" w:hAnsi="Times New Roman" w:cs="Times New Roman" w:eastAsia="Times New Roman" w:hint="default"/>
        </w:rPr>
        <w:t>2</w:t>
      </w:r>
      <w:r>
        <w:rPr/>
        <w:t>）汇率风险 </w:t>
      </w:r>
      <w:r>
        <w:rPr>
          <w:spacing w:val="-2"/>
        </w:rPr>
        <w:t>外汇风险，是指金融工具的公允价值或未来现金流量因外汇汇率变动而发生波动的风险。本公司尽可能将外币收入</w:t>
      </w:r>
      <w:r>
        <w:rPr>
          <w:spacing w:val="-68"/>
        </w:rPr>
        <w:t> </w:t>
      </w:r>
      <w:r>
        <w:rPr>
          <w:spacing w:val="-68"/>
        </w:rPr>
      </w:r>
      <w:r>
        <w:rPr/>
        <w:t>与外币支出相匹配以降低外汇风险。 </w:t>
      </w:r>
      <w:r>
        <w:rPr>
          <w:spacing w:val="-2"/>
        </w:rPr>
        <w:t>本公司面临的汇率风险主要来源于以欧元计价的金融资产和金融负债，外币金融资产和外币金融负债折算成人民币</w:t>
      </w:r>
      <w:r>
        <w:rPr>
          <w:spacing w:val="-67"/>
        </w:rPr>
        <w:t> </w:t>
      </w:r>
      <w:r>
        <w:rPr>
          <w:spacing w:val="-67"/>
        </w:rPr>
      </w:r>
      <w:r>
        <w:rPr/>
        <w:t>的金额列示如下：</w:t>
      </w:r>
    </w:p>
    <w:p>
      <w:pPr>
        <w:spacing w:line="240" w:lineRule="auto" w:before="10"/>
        <w:rPr>
          <w:rFonts w:ascii="宋体" w:hAnsi="宋体" w:cs="宋体" w:eastAsia="宋体" w:hint="default"/>
          <w:sz w:val="24"/>
          <w:szCs w:val="24"/>
        </w:rPr>
      </w:pPr>
    </w:p>
    <w:tbl>
      <w:tblPr>
        <w:tblW w:w="0" w:type="auto"/>
        <w:jc w:val="left"/>
        <w:tblInd w:w="503" w:type="dxa"/>
        <w:tblLayout w:type="fixed"/>
        <w:tblCellMar>
          <w:top w:w="0" w:type="dxa"/>
          <w:left w:w="0" w:type="dxa"/>
          <w:bottom w:w="0" w:type="dxa"/>
          <w:right w:w="0" w:type="dxa"/>
        </w:tblCellMar>
        <w:tblLook w:val="01E0"/>
      </w:tblPr>
      <w:tblGrid>
        <w:gridCol w:w="1320"/>
        <w:gridCol w:w="1381"/>
        <w:gridCol w:w="1334"/>
        <w:gridCol w:w="1472"/>
        <w:gridCol w:w="1063"/>
        <w:gridCol w:w="1232"/>
        <w:gridCol w:w="1514"/>
      </w:tblGrid>
      <w:tr>
        <w:trPr>
          <w:trHeight w:val="353" w:hRule="exact"/>
        </w:trPr>
        <w:tc>
          <w:tcPr>
            <w:tcW w:w="1320"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1320" w:type="dxa"/>
            <w:vMerge/>
            <w:tcBorders>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欧元</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6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1,517,844.19</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5,339,247.70</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6,857,091.88</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26" w:right="0"/>
              <w:jc w:val="left"/>
              <w:rPr>
                <w:rFonts w:ascii="Times New Roman" w:hAnsi="Times New Roman" w:cs="Times New Roman" w:eastAsia="Times New Roman" w:hint="default"/>
                <w:sz w:val="18"/>
                <w:szCs w:val="18"/>
              </w:rPr>
            </w:pPr>
            <w:r>
              <w:rPr>
                <w:rFonts w:ascii="Times New Roman"/>
                <w:sz w:val="18"/>
              </w:rPr>
              <w:t>28,013.92</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68" w:right="0"/>
              <w:jc w:val="left"/>
              <w:rPr>
                <w:rFonts w:ascii="Times New Roman" w:hAnsi="Times New Roman" w:cs="Times New Roman" w:eastAsia="Times New Roman" w:hint="default"/>
                <w:sz w:val="18"/>
                <w:szCs w:val="18"/>
              </w:rPr>
            </w:pPr>
            <w:r>
              <w:rPr>
                <w:rFonts w:ascii="Times New Roman"/>
                <w:sz w:val="18"/>
              </w:rPr>
              <w:t>6,799,836.01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551" w:right="0"/>
              <w:jc w:val="left"/>
              <w:rPr>
                <w:rFonts w:ascii="Times New Roman" w:hAnsi="Times New Roman" w:cs="Times New Roman" w:eastAsia="Times New Roman" w:hint="default"/>
                <w:sz w:val="18"/>
                <w:szCs w:val="18"/>
              </w:rPr>
            </w:pPr>
            <w:r>
              <w:rPr>
                <w:rFonts w:ascii="Times New Roman"/>
                <w:sz w:val="18"/>
              </w:rPr>
              <w:t>6,827,849.93</w:t>
            </w:r>
          </w:p>
        </w:tc>
      </w:tr>
      <w:tr>
        <w:trPr>
          <w:trHeight w:val="350"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1" w:type="dxa"/>
            <w:tcBorders>
              <w:top w:val="single" w:sz="12" w:space="0" w:color="000000"/>
              <w:left w:val="single" w:sz="6" w:space="0" w:color="000000"/>
              <w:bottom w:val="single" w:sz="12" w:space="0" w:color="000000"/>
              <w:right w:val="single" w:sz="6" w:space="0" w:color="000000"/>
            </w:tcBorders>
          </w:tcPr>
          <w:p>
            <w:pP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34,881.00</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34,881.00</w:t>
            </w:r>
          </w:p>
        </w:tc>
        <w:tc>
          <w:tcPr>
            <w:tcW w:w="1063" w:type="dxa"/>
            <w:tcBorders>
              <w:top w:val="single" w:sz="12" w:space="0" w:color="000000"/>
              <w:left w:val="single" w:sz="6" w:space="0" w:color="000000"/>
              <w:bottom w:val="single" w:sz="12" w:space="0" w:color="000000"/>
              <w:right w:val="single" w:sz="6" w:space="0" w:color="000000"/>
            </w:tcBorders>
          </w:tcPr>
          <w:p>
            <w:pPr/>
          </w:p>
        </w:tc>
        <w:tc>
          <w:tcPr>
            <w:tcW w:w="1232" w:type="dxa"/>
            <w:tcBorders>
              <w:top w:val="single" w:sz="12" w:space="0" w:color="000000"/>
              <w:left w:val="single" w:sz="6" w:space="0" w:color="000000"/>
              <w:bottom w:val="single" w:sz="12" w:space="0" w:color="000000"/>
              <w:right w:val="single" w:sz="6" w:space="0" w:color="000000"/>
            </w:tcBorders>
          </w:tcPr>
          <w:p>
            <w:pPr/>
          </w:p>
        </w:tc>
        <w:tc>
          <w:tcPr>
            <w:tcW w:w="15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1" w:type="dxa"/>
            <w:tcBorders>
              <w:top w:val="single" w:sz="12" w:space="0" w:color="000000"/>
              <w:left w:val="single" w:sz="6" w:space="0" w:color="000000"/>
              <w:bottom w:val="single" w:sz="12" w:space="0" w:color="000000"/>
              <w:right w:val="single" w:sz="6" w:space="0" w:color="000000"/>
            </w:tcBorders>
          </w:tcPr>
          <w:p>
            <w:pP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64,390.47</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64,390.47</w:t>
            </w:r>
          </w:p>
        </w:tc>
        <w:tc>
          <w:tcPr>
            <w:tcW w:w="1063" w:type="dxa"/>
            <w:tcBorders>
              <w:top w:val="single" w:sz="12" w:space="0" w:color="000000"/>
              <w:left w:val="single" w:sz="6" w:space="0" w:color="000000"/>
              <w:bottom w:val="single" w:sz="12" w:space="0" w:color="000000"/>
              <w:right w:val="single" w:sz="6" w:space="0" w:color="000000"/>
            </w:tcBorders>
          </w:tcPr>
          <w:p>
            <w:pPr/>
          </w:p>
        </w:tc>
        <w:tc>
          <w:tcPr>
            <w:tcW w:w="1232" w:type="dxa"/>
            <w:tcBorders>
              <w:top w:val="single" w:sz="12" w:space="0" w:color="000000"/>
              <w:left w:val="single" w:sz="6" w:space="0" w:color="000000"/>
              <w:bottom w:val="single" w:sz="12" w:space="0" w:color="000000"/>
              <w:right w:val="single" w:sz="6" w:space="0" w:color="000000"/>
            </w:tcBorders>
          </w:tcPr>
          <w:p>
            <w:pPr/>
          </w:p>
        </w:tc>
        <w:tc>
          <w:tcPr>
            <w:tcW w:w="151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1,517,844.19</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5,438,519.17</w:t>
            </w: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6,956,363.35</w:t>
            </w:r>
          </w:p>
        </w:tc>
        <w:tc>
          <w:tcPr>
            <w:tcW w:w="10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26" w:right="0"/>
              <w:jc w:val="left"/>
              <w:rPr>
                <w:rFonts w:ascii="Times New Roman" w:hAnsi="Times New Roman" w:cs="Times New Roman" w:eastAsia="Times New Roman" w:hint="default"/>
                <w:sz w:val="18"/>
                <w:szCs w:val="18"/>
              </w:rPr>
            </w:pPr>
            <w:r>
              <w:rPr>
                <w:rFonts w:ascii="Times New Roman"/>
                <w:sz w:val="18"/>
              </w:rPr>
              <w:t>28,013.92</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68" w:right="0"/>
              <w:jc w:val="left"/>
              <w:rPr>
                <w:rFonts w:ascii="Times New Roman" w:hAnsi="Times New Roman" w:cs="Times New Roman" w:eastAsia="Times New Roman" w:hint="default"/>
                <w:sz w:val="18"/>
                <w:szCs w:val="18"/>
              </w:rPr>
            </w:pPr>
            <w:r>
              <w:rPr>
                <w:rFonts w:ascii="Times New Roman"/>
                <w:sz w:val="18"/>
              </w:rPr>
              <w:t>6,799,836.01</w:t>
            </w:r>
          </w:p>
        </w:tc>
        <w:tc>
          <w:tcPr>
            <w:tcW w:w="15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551" w:right="0"/>
              <w:jc w:val="left"/>
              <w:rPr>
                <w:rFonts w:ascii="Times New Roman" w:hAnsi="Times New Roman" w:cs="Times New Roman" w:eastAsia="Times New Roman" w:hint="default"/>
                <w:sz w:val="18"/>
                <w:szCs w:val="18"/>
              </w:rPr>
            </w:pPr>
            <w:r>
              <w:rPr>
                <w:rFonts w:ascii="Times New Roman"/>
                <w:sz w:val="18"/>
              </w:rPr>
              <w:t>6,827,849.93</w:t>
            </w:r>
          </w:p>
        </w:tc>
      </w:tr>
      <w:tr>
        <w:trPr>
          <w:trHeight w:val="350"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25,593,166.50</w:t>
            </w:r>
          </w:p>
        </w:tc>
        <w:tc>
          <w:tcPr>
            <w:tcW w:w="1334" w:type="dxa"/>
            <w:tcBorders>
              <w:top w:val="single" w:sz="12" w:space="0" w:color="000000"/>
              <w:left w:val="single" w:sz="6" w:space="0" w:color="000000"/>
              <w:bottom w:val="single" w:sz="12" w:space="0" w:color="000000"/>
              <w:right w:val="single" w:sz="6" w:space="0" w:color="000000"/>
            </w:tcBorders>
          </w:tcPr>
          <w:p>
            <w:pP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25,593,166.50</w:t>
            </w:r>
          </w:p>
        </w:tc>
        <w:tc>
          <w:tcPr>
            <w:tcW w:w="1063" w:type="dxa"/>
            <w:tcBorders>
              <w:top w:val="single" w:sz="12" w:space="0" w:color="000000"/>
              <w:left w:val="single" w:sz="6" w:space="0" w:color="000000"/>
              <w:bottom w:val="single" w:sz="12" w:space="0" w:color="000000"/>
              <w:right w:val="single" w:sz="6" w:space="0" w:color="000000"/>
            </w:tcBorders>
          </w:tcPr>
          <w:p>
            <w:pPr/>
          </w:p>
        </w:tc>
        <w:tc>
          <w:tcPr>
            <w:tcW w:w="1232" w:type="dxa"/>
            <w:tcBorders>
              <w:top w:val="single" w:sz="12" w:space="0" w:color="000000"/>
              <w:left w:val="single" w:sz="6" w:space="0" w:color="000000"/>
              <w:bottom w:val="single" w:sz="12" w:space="0" w:color="000000"/>
              <w:right w:val="single" w:sz="6" w:space="0" w:color="000000"/>
            </w:tcBorders>
          </w:tcPr>
          <w:p>
            <w:pPr/>
          </w:p>
        </w:tc>
        <w:tc>
          <w:tcPr>
            <w:tcW w:w="1514"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25,593,166.50</w:t>
            </w:r>
          </w:p>
        </w:tc>
        <w:tc>
          <w:tcPr>
            <w:tcW w:w="1334" w:type="dxa"/>
            <w:tcBorders>
              <w:top w:val="single" w:sz="12" w:space="0" w:color="000000"/>
              <w:left w:val="single" w:sz="6" w:space="0" w:color="000000"/>
              <w:bottom w:val="single" w:sz="12" w:space="0" w:color="000000"/>
              <w:right w:val="single" w:sz="6" w:space="0" w:color="000000"/>
            </w:tcBorders>
          </w:tcPr>
          <w:p>
            <w:pPr/>
          </w:p>
        </w:tc>
        <w:tc>
          <w:tcPr>
            <w:tcW w:w="1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25,593,166.50</w:t>
            </w:r>
          </w:p>
        </w:tc>
        <w:tc>
          <w:tcPr>
            <w:tcW w:w="1063" w:type="dxa"/>
            <w:tcBorders>
              <w:top w:val="single" w:sz="12" w:space="0" w:color="000000"/>
              <w:left w:val="single" w:sz="6" w:space="0" w:color="000000"/>
              <w:bottom w:val="single" w:sz="12" w:space="0" w:color="000000"/>
              <w:right w:val="single" w:sz="6" w:space="0" w:color="000000"/>
            </w:tcBorders>
          </w:tcPr>
          <w:p>
            <w:pPr/>
          </w:p>
        </w:tc>
        <w:tc>
          <w:tcPr>
            <w:tcW w:w="1232" w:type="dxa"/>
            <w:tcBorders>
              <w:top w:val="single" w:sz="12" w:space="0" w:color="000000"/>
              <w:left w:val="single" w:sz="6" w:space="0" w:color="000000"/>
              <w:bottom w:val="single" w:sz="12" w:space="0" w:color="000000"/>
              <w:right w:val="single" w:sz="6" w:space="0" w:color="000000"/>
            </w:tcBorders>
          </w:tcPr>
          <w:p>
            <w:pPr/>
          </w:p>
        </w:tc>
        <w:tc>
          <w:tcPr>
            <w:tcW w:w="1514"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8"/>
        <w:ind w:left="866"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日，在所有其他变量保持不变的情况下，如果欧元和其他外币对人民币升值或贬值</w:t>
      </w:r>
      <w:r>
        <w:rPr>
          <w:rFonts w:ascii="Times New Roman" w:hAnsi="Times New Roman" w:cs="Times New Roman" w:eastAsia="Times New Roman" w:hint="default"/>
        </w:rPr>
        <w:t>10%</w:t>
      </w:r>
      <w:r>
        <w:rPr/>
        <w:t>，则公司将</w:t>
      </w:r>
    </w:p>
    <w:p>
      <w:pPr>
        <w:spacing w:after="0" w:line="240" w:lineRule="auto"/>
        <w:jc w:val="left"/>
        <w:sectPr>
          <w:pgSz w:w="11910" w:h="16840"/>
          <w:pgMar w:header="877" w:footer="980" w:top="1080" w:bottom="1160" w:left="980" w:right="0"/>
        </w:sectPr>
      </w:pPr>
    </w:p>
    <w:p>
      <w:pPr>
        <w:spacing w:line="240" w:lineRule="auto" w:before="8"/>
        <w:rPr>
          <w:rFonts w:ascii="宋体" w:hAnsi="宋体" w:cs="宋体" w:eastAsia="宋体" w:hint="default"/>
          <w:sz w:val="23"/>
          <w:szCs w:val="23"/>
        </w:rPr>
      </w:pPr>
    </w:p>
    <w:p>
      <w:pPr>
        <w:pStyle w:val="BodyText"/>
        <w:spacing w:line="300" w:lineRule="auto" w:before="44"/>
        <w:ind w:left="866" w:right="3050"/>
        <w:jc w:val="left"/>
      </w:pPr>
      <w:r>
        <w:rPr/>
        <w:t>增加或减少净利润</w:t>
      </w:r>
      <w:r>
        <w:rPr>
          <w:rFonts w:ascii="Times New Roman" w:hAnsi="Times New Roman" w:cs="Times New Roman" w:eastAsia="Times New Roman" w:hint="default"/>
        </w:rPr>
        <w:t>-1,584,128.27</w:t>
      </w:r>
      <w:r>
        <w:rPr/>
        <w:t>元。 管理层认为</w:t>
      </w:r>
      <w:r>
        <w:rPr>
          <w:rFonts w:ascii="Times New Roman" w:hAnsi="Times New Roman" w:cs="Times New Roman" w:eastAsia="Times New Roman" w:hint="default"/>
        </w:rPr>
        <w:t>10%</w:t>
      </w:r>
      <w:r>
        <w:rPr/>
        <w:t>合理反映了下一年度人民币对美元及其他外币可能发生变动的合理范围。</w:t>
      </w:r>
    </w:p>
    <w:p>
      <w:pPr>
        <w:spacing w:line="240" w:lineRule="auto" w:before="11"/>
        <w:rPr>
          <w:rFonts w:ascii="宋体" w:hAnsi="宋体" w:cs="宋体" w:eastAsia="宋体" w:hint="default"/>
          <w:sz w:val="24"/>
          <w:szCs w:val="24"/>
        </w:rPr>
      </w:pPr>
    </w:p>
    <w:p>
      <w:pPr>
        <w:pStyle w:val="BodyText"/>
        <w:spacing w:line="314" w:lineRule="auto"/>
        <w:ind w:left="866" w:right="1040" w:firstLine="203"/>
        <w:jc w:val="left"/>
      </w:pPr>
      <w:r>
        <w:rPr>
          <w:rFonts w:ascii="宋体" w:hAnsi="宋体" w:cs="宋体" w:eastAsia="宋体" w:hint="default"/>
          <w:b/>
          <w:bCs/>
        </w:rPr>
        <w:t>3.</w:t>
      </w:r>
      <w:r>
        <w:rPr>
          <w:rFonts w:ascii="宋体" w:hAnsi="宋体" w:cs="宋体" w:eastAsia="宋体" w:hint="default"/>
          <w:b/>
          <w:bCs/>
          <w:spacing w:val="87"/>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w:t>
      </w:r>
      <w:r>
        <w:rPr>
          <w:spacing w:val="-68"/>
        </w:rPr>
        <w:t> </w:t>
      </w:r>
      <w:r>
        <w:rPr>
          <w:spacing w:val="-68"/>
        </w:rPr>
      </w:r>
      <w:r>
        <w:rPr/>
        <w:t>是确保拥有充足的现金以偿还到期债务。流动性风险由本公司的财务部门集中控制。财务部门通过监控现金余额、</w:t>
      </w:r>
      <w:r>
        <w:rPr>
          <w:spacing w:val="-77"/>
        </w:rPr>
        <w:t> </w:t>
      </w:r>
      <w:r>
        <w:rPr>
          <w:spacing w:val="-77"/>
        </w:rPr>
      </w:r>
      <w:r>
        <w:rPr>
          <w:spacing w:val="-2"/>
        </w:rPr>
        <w:t>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w:t>
      </w:r>
      <w:r>
        <w:rPr>
          <w:spacing w:val="-66"/>
        </w:rPr>
        <w:t> </w:t>
      </w:r>
      <w:r>
        <w:rPr>
          <w:spacing w:val="-66"/>
        </w:rPr>
      </w:r>
      <w:r>
        <w:rPr/>
        <w:t>偿还债务。</w:t>
      </w:r>
    </w:p>
    <w:p>
      <w:pPr>
        <w:pStyle w:val="BodyText"/>
        <w:spacing w:line="240" w:lineRule="auto" w:before="20"/>
        <w:ind w:left="866" w:right="1116"/>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08"/>
        <w:gridCol w:w="1988"/>
        <w:gridCol w:w="1841"/>
        <w:gridCol w:w="1416"/>
        <w:gridCol w:w="1479"/>
      </w:tblGrid>
      <w:tr>
        <w:trPr>
          <w:trHeight w:val="355" w:hRule="exact"/>
        </w:trPr>
        <w:tc>
          <w:tcPr>
            <w:tcW w:w="1808"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2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808" w:type="dxa"/>
            <w:vMerge/>
            <w:tcBorders>
              <w:left w:val="single" w:sz="6" w:space="0" w:color="000000"/>
              <w:bottom w:val="single" w:sz="12" w:space="0" w:color="000000"/>
              <w:right w:val="single" w:sz="6" w:space="0" w:color="000000"/>
            </w:tcBorders>
          </w:tcPr>
          <w:p>
            <w:pP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50,488,687.18</w:t>
            </w:r>
          </w:p>
        </w:tc>
        <w:tc>
          <w:tcPr>
            <w:tcW w:w="184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50,488,687.18</w:t>
            </w:r>
          </w:p>
        </w:tc>
      </w:tr>
      <w:tr>
        <w:trPr>
          <w:trHeight w:val="353"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49,943,846.51</w:t>
            </w:r>
          </w:p>
        </w:tc>
        <w:tc>
          <w:tcPr>
            <w:tcW w:w="184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49,943,846.51</w:t>
            </w:r>
          </w:p>
        </w:tc>
      </w:tr>
      <w:tr>
        <w:trPr>
          <w:trHeight w:val="350"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215,987,042.49</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52,440,200.74</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55" w:right="-1"/>
              <w:jc w:val="left"/>
              <w:rPr>
                <w:rFonts w:ascii="Times New Roman" w:hAnsi="Times New Roman" w:cs="Times New Roman" w:eastAsia="Times New Roman" w:hint="default"/>
                <w:sz w:val="18"/>
                <w:szCs w:val="18"/>
              </w:rPr>
            </w:pPr>
            <w:r>
              <w:rPr>
                <w:rFonts w:ascii="Times New Roman"/>
                <w:sz w:val="18"/>
              </w:rPr>
              <w:t>5,635,761.92</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274,063,005.15</w:t>
            </w:r>
          </w:p>
        </w:tc>
      </w:tr>
      <w:tr>
        <w:trPr>
          <w:trHeight w:val="353"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316,419,576.18</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52,440,200.74</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55" w:right="-1"/>
              <w:jc w:val="left"/>
              <w:rPr>
                <w:rFonts w:ascii="Times New Roman" w:hAnsi="Times New Roman" w:cs="Times New Roman" w:eastAsia="Times New Roman" w:hint="default"/>
                <w:sz w:val="18"/>
                <w:szCs w:val="18"/>
              </w:rPr>
            </w:pPr>
            <w:r>
              <w:rPr>
                <w:rFonts w:ascii="Times New Roman"/>
                <w:sz w:val="18"/>
              </w:rPr>
              <w:t>5,635,761.92</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374,495,538.84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808"/>
        <w:gridCol w:w="2271"/>
        <w:gridCol w:w="1702"/>
        <w:gridCol w:w="1272"/>
        <w:gridCol w:w="1479"/>
      </w:tblGrid>
      <w:tr>
        <w:trPr>
          <w:trHeight w:val="355" w:hRule="exact"/>
        </w:trPr>
        <w:tc>
          <w:tcPr>
            <w:tcW w:w="1808"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2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1808" w:type="dxa"/>
            <w:vMerge/>
            <w:tcBorders>
              <w:left w:val="single" w:sz="6" w:space="0" w:color="000000"/>
              <w:bottom w:val="single" w:sz="12" w:space="0" w:color="000000"/>
              <w:right w:val="single" w:sz="6" w:space="0" w:color="000000"/>
            </w:tcBorders>
          </w:tcPr>
          <w:p>
            <w:pP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54,024,777.58</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272" w:type="dxa"/>
            <w:tcBorders>
              <w:top w:val="single" w:sz="12" w:space="0" w:color="000000"/>
              <w:left w:val="single" w:sz="6" w:space="0" w:color="000000"/>
              <w:bottom w:val="single" w:sz="12" w:space="0" w:color="000000"/>
              <w:right w:val="single" w:sz="6" w:space="0" w:color="000000"/>
            </w:tcBorders>
          </w:tcPr>
          <w:p>
            <w:pP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54,024,777.58</w:t>
            </w:r>
          </w:p>
        </w:tc>
      </w:tr>
      <w:tr>
        <w:trPr>
          <w:trHeight w:val="353"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131,225,480.04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647" w:right="0"/>
              <w:jc w:val="left"/>
              <w:rPr>
                <w:rFonts w:ascii="Times New Roman" w:hAnsi="Times New Roman" w:cs="Times New Roman" w:eastAsia="Times New Roman" w:hint="default"/>
                <w:sz w:val="18"/>
                <w:szCs w:val="18"/>
              </w:rPr>
            </w:pPr>
            <w:r>
              <w:rPr>
                <w:rFonts w:ascii="Times New Roman"/>
                <w:sz w:val="18"/>
              </w:rPr>
              <w:t>60,190,867.79</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13,503,054.88</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204,919,402.71</w:t>
            </w:r>
          </w:p>
        </w:tc>
      </w:tr>
      <w:tr>
        <w:trPr>
          <w:trHeight w:val="353" w:hRule="exact"/>
        </w:trPr>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185,250,257.62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47" w:right="0"/>
              <w:jc w:val="left"/>
              <w:rPr>
                <w:rFonts w:ascii="Times New Roman" w:hAnsi="Times New Roman" w:cs="Times New Roman" w:eastAsia="Times New Roman" w:hint="default"/>
                <w:sz w:val="18"/>
                <w:szCs w:val="18"/>
              </w:rPr>
            </w:pPr>
            <w:r>
              <w:rPr>
                <w:rFonts w:ascii="Times New Roman"/>
                <w:sz w:val="18"/>
              </w:rPr>
              <w:t>60,190,867.79</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13,503,054.88</w:t>
            </w:r>
          </w:p>
        </w:tc>
        <w:tc>
          <w:tcPr>
            <w:tcW w:w="14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258,944,180.29</w:t>
            </w:r>
          </w:p>
        </w:tc>
      </w:tr>
    </w:tbl>
    <w:p>
      <w:pPr>
        <w:spacing w:line="240" w:lineRule="auto" w:before="13"/>
        <w:rPr>
          <w:rFonts w:ascii="宋体" w:hAnsi="宋体" w:cs="宋体" w:eastAsia="宋体" w:hint="default"/>
          <w:sz w:val="18"/>
          <w:szCs w:val="18"/>
        </w:rPr>
      </w:pPr>
    </w:p>
    <w:p>
      <w:pPr>
        <w:pStyle w:val="Heading2"/>
        <w:spacing w:line="240" w:lineRule="auto" w:before="26"/>
        <w:ind w:right="1116"/>
        <w:jc w:val="left"/>
        <w:rPr>
          <w:b w:val="0"/>
          <w:bCs w:val="0"/>
        </w:rPr>
      </w:pPr>
      <w:bookmarkStart w:name="十、关联方及关联交易" w:id="311"/>
      <w:bookmarkEnd w:id="311"/>
      <w:r>
        <w:rPr>
          <w:b w:val="0"/>
          <w:bCs w:val="0"/>
        </w:rPr>
      </w:r>
      <w:r>
        <w:rPr/>
        <w:t>十、关联方及关联交易</w:t>
      </w:r>
      <w:r>
        <w:rPr>
          <w:b w:val="0"/>
          <w:bCs w:val="0"/>
        </w:rPr>
      </w:r>
    </w:p>
    <w:p>
      <w:pPr>
        <w:pStyle w:val="Heading3"/>
        <w:spacing w:line="240" w:lineRule="auto" w:before="25"/>
        <w:ind w:right="1116"/>
        <w:jc w:val="left"/>
        <w:rPr>
          <w:b w:val="0"/>
          <w:bCs w:val="0"/>
        </w:rPr>
      </w:pPr>
      <w:bookmarkStart w:name="1、本企业的母公司情况" w:id="312"/>
      <w:bookmarkEnd w:id="31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63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3" w:right="15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4" w:right="158"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32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8" w:right="0"/>
              <w:jc w:val="left"/>
              <w:rPr>
                <w:rFonts w:ascii="Times New Roman" w:hAnsi="Times New Roman" w:cs="Times New Roman" w:eastAsia="Times New Roman" w:hint="default"/>
                <w:sz w:val="18"/>
                <w:szCs w:val="18"/>
              </w:rPr>
            </w:pPr>
            <w:r>
              <w:rPr>
                <w:rFonts w:ascii="Times New Roman"/>
                <w:sz w:val="18"/>
              </w:rPr>
              <w:t>48.93%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1" w:right="0"/>
              <w:jc w:val="left"/>
              <w:rPr>
                <w:rFonts w:ascii="Times New Roman" w:hAnsi="Times New Roman" w:cs="Times New Roman" w:eastAsia="Times New Roman" w:hint="default"/>
                <w:sz w:val="18"/>
                <w:szCs w:val="18"/>
              </w:rPr>
            </w:pPr>
            <w:r>
              <w:rPr>
                <w:rFonts w:ascii="Times New Roman"/>
                <w:sz w:val="18"/>
              </w:rPr>
              <w:t>49.90%</w:t>
            </w:r>
          </w:p>
        </w:tc>
      </w:tr>
    </w:tbl>
    <w:p>
      <w:pPr>
        <w:pStyle w:val="BodyText"/>
        <w:spacing w:line="240" w:lineRule="auto" w:before="8"/>
        <w:ind w:right="1116"/>
        <w:jc w:val="left"/>
      </w:pPr>
      <w:r>
        <w:rPr/>
        <w:t>本企业的母公司情况的说明：</w:t>
      </w:r>
    </w:p>
    <w:p>
      <w:pPr>
        <w:pStyle w:val="BodyText"/>
        <w:spacing w:line="300" w:lineRule="auto" w:before="76"/>
        <w:ind w:right="1151"/>
        <w:jc w:val="both"/>
      </w:pPr>
      <w:r>
        <w:rPr/>
        <w:t>邵健伟先生直接持有公司</w:t>
      </w:r>
      <w:r>
        <w:rPr>
          <w:spacing w:val="-44"/>
        </w:rPr>
        <w:t> </w:t>
      </w:r>
      <w:r>
        <w:rPr>
          <w:rFonts w:ascii="Times New Roman" w:hAnsi="Times New Roman" w:cs="Times New Roman" w:eastAsia="Times New Roman" w:hint="default"/>
        </w:rPr>
        <w:t>46.79%</w:t>
      </w:r>
      <w:r>
        <w:rPr/>
        <w:t>股权，同时持有深圳市华锐丰投资合伙企业（有限合伙）</w:t>
      </w:r>
      <w:r>
        <w:rPr>
          <w:rFonts w:ascii="Times New Roman" w:hAnsi="Times New Roman" w:cs="Times New Roman" w:eastAsia="Times New Roman" w:hint="default"/>
        </w:rPr>
        <w:t>68.80%</w:t>
      </w:r>
      <w:r>
        <w:rPr/>
        <w:t>的财产份额，深圳市华锐 丰投资合伙企业（有限合伙）持有本公司</w:t>
      </w:r>
      <w:r>
        <w:rPr>
          <w:spacing w:val="-45"/>
        </w:rPr>
        <w:t> </w:t>
      </w:r>
      <w:r>
        <w:rPr>
          <w:rFonts w:ascii="Times New Roman" w:hAnsi="Times New Roman" w:cs="Times New Roman" w:eastAsia="Times New Roman" w:hint="default"/>
        </w:rPr>
        <w:t>3.09%</w:t>
      </w:r>
      <w:r>
        <w:rPr/>
        <w:t>股权，由此，邵健伟合计持有本公司</w:t>
      </w:r>
      <w:r>
        <w:rPr>
          <w:spacing w:val="-45"/>
        </w:rPr>
        <w:t> </w:t>
      </w:r>
      <w:r>
        <w:rPr>
          <w:rFonts w:ascii="Times New Roman" w:hAnsi="Times New Roman" w:cs="Times New Roman" w:eastAsia="Times New Roman" w:hint="default"/>
        </w:rPr>
        <w:t>48.93%</w:t>
      </w:r>
      <w:r>
        <w:rPr/>
        <w:t>的股权，对本公司的表决权比 例为</w:t>
      </w:r>
      <w:r>
        <w:rPr>
          <w:spacing w:val="-43"/>
        </w:rPr>
        <w:t> </w:t>
      </w:r>
      <w:r>
        <w:rPr>
          <w:rFonts w:ascii="Times New Roman" w:hAnsi="Times New Roman" w:cs="Times New Roman" w:eastAsia="Times New Roman" w:hint="default"/>
        </w:rPr>
        <w:t>49.90%</w:t>
      </w:r>
      <w:r>
        <w:rPr/>
        <w:t>。</w:t>
      </w:r>
    </w:p>
    <w:p>
      <w:pPr>
        <w:spacing w:line="240" w:lineRule="auto" w:before="12"/>
        <w:rPr>
          <w:rFonts w:ascii="宋体" w:hAnsi="宋体" w:cs="宋体" w:eastAsia="宋体" w:hint="default"/>
          <w:sz w:val="24"/>
          <w:szCs w:val="24"/>
        </w:rPr>
      </w:pPr>
    </w:p>
    <w:p>
      <w:pPr>
        <w:pStyle w:val="BodyText"/>
        <w:spacing w:line="240" w:lineRule="auto"/>
        <w:ind w:right="1116"/>
        <w:jc w:val="left"/>
      </w:pPr>
      <w:r>
        <w:rPr/>
        <w:t>本企业最终控制方是邵健伟。</w:t>
      </w:r>
    </w:p>
    <w:p>
      <w:pPr>
        <w:pStyle w:val="Heading3"/>
        <w:spacing w:line="240" w:lineRule="auto" w:before="56"/>
        <w:ind w:right="1116"/>
        <w:jc w:val="left"/>
        <w:rPr>
          <w:b w:val="0"/>
          <w:bCs w:val="0"/>
        </w:rPr>
      </w:pPr>
      <w:bookmarkStart w:name="2、本企业的子公司情况" w:id="313"/>
      <w:bookmarkEnd w:id="313"/>
      <w:r>
        <w:rPr>
          <w:b w:val="0"/>
          <w:bCs w:val="0"/>
        </w:rPr>
      </w:r>
      <w:r>
        <w:rPr>
          <w:rFonts w:ascii="Times New Roman" w:hAnsi="Times New Roman" w:cs="Times New Roman" w:eastAsia="Times New Roman" w:hint="default"/>
        </w:rPr>
        <w:t>2</w:t>
      </w:r>
      <w:r>
        <w:rPr/>
        <w:t>、本企业的子公司情况</w:t>
      </w:r>
      <w:r>
        <w:rPr>
          <w:b w:val="0"/>
          <w:bCs w:val="0"/>
        </w:rPr>
      </w:r>
    </w:p>
    <w:p>
      <w:pPr>
        <w:pStyle w:val="BodyText"/>
        <w:spacing w:line="285" w:lineRule="auto" w:before="42"/>
        <w:ind w:right="5082"/>
        <w:jc w:val="left"/>
      </w:pPr>
      <w:r>
        <w:rPr/>
        <w:t>本企业子公司的情况详见第十二节</w:t>
      </w:r>
      <w:r>
        <w:rPr>
          <w:spacing w:val="2"/>
        </w:rPr>
        <w:t> </w:t>
      </w:r>
      <w:r>
        <w:rPr/>
        <w:t>八、在其他主体中的权益。</w:t>
      </w:r>
      <w:r>
        <w:rPr/>
        <w:t> </w:t>
      </w:r>
      <w:bookmarkStart w:name="3、本企业合营和联营企业情况" w:id="314"/>
      <w:bookmarkEnd w:id="3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t>本企业重要的合营或联营企业详见第十二节</w:t>
      </w:r>
      <w:r>
        <w:rPr>
          <w:spacing w:val="2"/>
        </w:rPr>
        <w:t> </w:t>
      </w:r>
      <w:r>
        <w:rPr/>
        <w:t>八、在其他主体中的权益。</w:t>
      </w:r>
    </w:p>
    <w:p>
      <w:pPr>
        <w:pStyle w:val="BodyText"/>
        <w:spacing w:line="240" w:lineRule="auto" w:before="42"/>
        <w:ind w:right="1116"/>
        <w:jc w:val="left"/>
      </w:pP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8"/>
        <w:ind w:right="1116"/>
        <w:jc w:val="left"/>
      </w:pPr>
      <w:r>
        <w:rPr/>
        <w:t>其他说明</w:t>
      </w:r>
    </w:p>
    <w:p>
      <w:pPr>
        <w:spacing w:after="0" w:line="240" w:lineRule="auto"/>
        <w:jc w:val="left"/>
        <w:sectPr>
          <w:pgSz w:w="11910" w:h="16840"/>
          <w:pgMar w:header="877" w:footer="980" w:top="1080" w:bottom="1160" w:left="980" w:right="0"/>
        </w:sectPr>
      </w:pPr>
    </w:p>
    <w:p>
      <w:pPr>
        <w:spacing w:line="240" w:lineRule="auto" w:before="9"/>
        <w:rPr>
          <w:rFonts w:ascii="宋体" w:hAnsi="宋体" w:cs="宋体" w:eastAsia="宋体" w:hint="default"/>
          <w:sz w:val="22"/>
          <w:szCs w:val="22"/>
        </w:rPr>
      </w:pPr>
    </w:p>
    <w:p>
      <w:pPr>
        <w:pStyle w:val="Heading3"/>
        <w:spacing w:line="240" w:lineRule="auto" w:before="36"/>
        <w:ind w:right="1116"/>
        <w:jc w:val="left"/>
        <w:rPr>
          <w:b w:val="0"/>
          <w:bCs w:val="0"/>
        </w:rPr>
      </w:pPr>
      <w:bookmarkStart w:name="4、其他关联方情况" w:id="315"/>
      <w:bookmarkEnd w:id="31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实际控制人邵健伟的母亲</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股东、实际控制人邵健伟的弟弟及公司关键管理人员</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刘俊杰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公司关键管理人员邵健锋妻弟</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马琳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实际控制人邵健伟配偶</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邵健莲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股东、实际控制人邵健伟的妹妹</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皖江（芜湖）物流产业投资基金（有限合伙）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深圳市华锐丰投资合伙企业（有限合伙）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陈锦棣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深圳市新智丰投资合伙企业（有限合伙）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深圳市金美华投资合伙企业（有限合伙）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巨丰企业管理咨询（深圳）有限公司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林宜生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曲水新智丰企业管理合伙企业（有限合伙）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股东</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pStyle w:val="Heading3"/>
        <w:spacing w:line="278" w:lineRule="exact"/>
        <w:ind w:right="-20"/>
        <w:jc w:val="left"/>
        <w:rPr>
          <w:b w:val="0"/>
          <w:bCs w:val="0"/>
        </w:rPr>
      </w:pPr>
      <w:bookmarkStart w:name="5、关联交易情况" w:id="316"/>
      <w:bookmarkEnd w:id="316"/>
      <w:r>
        <w:rPr>
          <w:b w:val="0"/>
          <w:bCs w:val="0"/>
        </w:rPr>
      </w:r>
      <w:r>
        <w:rPr>
          <w:rFonts w:ascii="Times New Roman" w:hAnsi="Times New Roman" w:cs="Times New Roman" w:eastAsia="Times New Roman" w:hint="default"/>
        </w:rPr>
        <w:t>5</w:t>
      </w:r>
      <w:r>
        <w:rPr/>
        <w:t>、关联交易情况</w:t>
      </w:r>
      <w:r>
        <w:rPr>
          <w:b w:val="0"/>
          <w:bCs w:val="0"/>
        </w:rPr>
      </w:r>
    </w:p>
    <w:p>
      <w:pPr>
        <w:spacing w:line="297" w:lineRule="auto" w:before="21"/>
        <w:ind w:left="152" w:right="-20" w:firstLine="0"/>
        <w:jc w:val="left"/>
        <w:rPr>
          <w:rFonts w:ascii="宋体" w:hAnsi="宋体" w:cs="宋体" w:eastAsia="宋体" w:hint="default"/>
          <w:sz w:val="18"/>
          <w:szCs w:val="18"/>
        </w:rPr>
      </w:pPr>
      <w:bookmarkStart w:name="（1）关联租赁情况"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）关联租赁情况</w:t>
      </w:r>
      <w:r>
        <w:rPr>
          <w:rFonts w:ascii="宋体" w:hAnsi="宋体" w:cs="宋体" w:eastAsia="宋体" w:hint="default"/>
          <w:b/>
          <w:bCs/>
          <w:spacing w:val="-104"/>
          <w:sz w:val="21"/>
          <w:szCs w:val="21"/>
        </w:rPr>
        <w:t> </w:t>
      </w:r>
      <w:r>
        <w:rPr>
          <w:rFonts w:ascii="宋体" w:hAnsi="宋体" w:cs="宋体" w:eastAsia="宋体" w:hint="default"/>
          <w:sz w:val="18"/>
          <w:szCs w:val="18"/>
        </w:rPr>
        <w:t>本公司作为出租方：不适用 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13" w:space="651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384,000.00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288,000.00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99,000.00</w:t>
            </w:r>
          </w:p>
        </w:tc>
      </w:tr>
    </w:tbl>
    <w:p>
      <w:pPr>
        <w:pStyle w:val="BodyText"/>
        <w:spacing w:line="240" w:lineRule="auto" w:before="8"/>
        <w:ind w:right="1116"/>
        <w:jc w:val="left"/>
      </w:pPr>
      <w:r>
        <w:rPr/>
        <w:t>关联租赁情况说明</w:t>
      </w:r>
    </w:p>
    <w:p>
      <w:pPr>
        <w:pStyle w:val="BodyText"/>
        <w:spacing w:line="300" w:lineRule="auto" w:before="76"/>
        <w:ind w:right="0"/>
        <w:jc w:val="left"/>
      </w:pPr>
      <w:r>
        <w:rPr/>
        <w:t>（</w:t>
      </w:r>
      <w:r>
        <w:rPr>
          <w:rFonts w:ascii="Times New Roman" w:hAnsi="Times New Roman" w:cs="Times New Roman" w:eastAsia="Times New Roman" w:hint="default"/>
        </w:rPr>
        <w:t>1</w:t>
      </w:r>
      <w:r>
        <w:rPr/>
        <w:t>）本公司关联方陈茂清将其位于深圳市罗湖区笋岗东路宝安广场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E</w:t>
      </w:r>
      <w:r>
        <w:rPr/>
        <w:t>室、</w:t>
      </w:r>
      <w:r>
        <w:rPr>
          <w:rFonts w:ascii="Times New Roman" w:hAnsi="Times New Roman" w:cs="Times New Roman" w:eastAsia="Times New Roman" w:hint="default"/>
        </w:rPr>
        <w:t>F</w:t>
      </w:r>
      <w:r>
        <w:rPr/>
        <w:t>室、</w:t>
      </w:r>
      <w:r>
        <w:rPr>
          <w:rFonts w:ascii="Times New Roman" w:hAnsi="Times New Roman" w:cs="Times New Roman" w:eastAsia="Times New Roman" w:hint="default"/>
        </w:rPr>
        <w:t>G</w:t>
      </w:r>
      <w:r>
        <w:rPr/>
        <w:t>室、</w:t>
      </w:r>
      <w:r>
        <w:rPr>
          <w:rFonts w:ascii="Times New Roman" w:hAnsi="Times New Roman" w:cs="Times New Roman" w:eastAsia="Times New Roman" w:hint="default"/>
        </w:rPr>
        <w:t>H</w:t>
      </w:r>
      <w:r>
        <w:rPr/>
        <w:t>室共计</w:t>
      </w:r>
      <w:r>
        <w:rPr>
          <w:rFonts w:ascii="Times New Roman" w:hAnsi="Times New Roman" w:cs="Times New Roman" w:eastAsia="Times New Roman" w:hint="default"/>
        </w:rPr>
        <w:t>397.11</w:t>
      </w:r>
      <w:r>
        <w:rPr/>
        <w:t>平方米的房屋 提供给公司办公使用，租赁价格每月</w:t>
      </w:r>
      <w:r>
        <w:rPr>
          <w:rFonts w:ascii="Times New Roman" w:hAnsi="Times New Roman" w:cs="Times New Roman" w:eastAsia="Times New Roman" w:hint="default"/>
        </w:rPr>
        <w:t>32,000</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日，并于本期与关联方陈茂清续租，</w:t>
      </w:r>
      <w:r>
        <w:rPr>
          <w:spacing w:val="-47"/>
        </w:rPr>
        <w:t> </w:t>
      </w:r>
      <w:r>
        <w:rPr>
          <w:spacing w:val="-47"/>
        </w:rPr>
      </w:r>
      <w:r>
        <w:rPr/>
        <w:t>续租租赁期为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BodyText"/>
        <w:spacing w:line="300" w:lineRule="auto" w:before="13"/>
        <w:ind w:right="1128"/>
        <w:jc w:val="both"/>
      </w:pPr>
      <w:r>
        <w:rPr>
          <w:spacing w:val="-1"/>
        </w:rPr>
        <w:t>（</w:t>
      </w:r>
      <w:r>
        <w:rPr>
          <w:rFonts w:ascii="Times New Roman" w:hAnsi="Times New Roman" w:cs="Times New Roman" w:eastAsia="Times New Roman" w:hint="default"/>
          <w:spacing w:val="-1"/>
        </w:rPr>
        <w:t>2</w:t>
      </w:r>
      <w:r>
        <w:rPr>
          <w:spacing w:val="-1"/>
        </w:rPr>
        <w:t>）本公司关联方邵健锋将其位于深圳市罗湖区笋岗东路宝安广场</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9</w:t>
      </w:r>
      <w:r>
        <w:rPr>
          <w:spacing w:val="-1"/>
        </w:rPr>
        <w:t>楼</w:t>
      </w:r>
      <w:r>
        <w:rPr>
          <w:rFonts w:ascii="Times New Roman" w:hAnsi="Times New Roman" w:cs="Times New Roman" w:eastAsia="Times New Roman" w:hint="default"/>
          <w:spacing w:val="-1"/>
        </w:rPr>
        <w:t>A</w:t>
      </w:r>
      <w:r>
        <w:rPr>
          <w:spacing w:val="-1"/>
        </w:rPr>
        <w:t>室、</w:t>
      </w:r>
      <w:r>
        <w:rPr>
          <w:rFonts w:ascii="Times New Roman" w:hAnsi="Times New Roman" w:cs="Times New Roman" w:eastAsia="Times New Roman" w:hint="default"/>
          <w:spacing w:val="-1"/>
        </w:rPr>
        <w:t>10</w:t>
      </w:r>
      <w:r>
        <w:rPr>
          <w:spacing w:val="-1"/>
        </w:rPr>
        <w:t>楼</w:t>
      </w:r>
      <w:r>
        <w:rPr>
          <w:rFonts w:ascii="Times New Roman" w:hAnsi="Times New Roman" w:cs="Times New Roman" w:eastAsia="Times New Roman" w:hint="default"/>
          <w:spacing w:val="-1"/>
        </w:rPr>
        <w:t>C</w:t>
      </w:r>
      <w:r>
        <w:rPr>
          <w:spacing w:val="-1"/>
        </w:rPr>
        <w:t>室、</w:t>
      </w:r>
      <w:r>
        <w:rPr>
          <w:rFonts w:ascii="Times New Roman" w:hAnsi="Times New Roman" w:cs="Times New Roman" w:eastAsia="Times New Roman" w:hint="default"/>
          <w:spacing w:val="-1"/>
        </w:rPr>
        <w:t>D</w:t>
      </w:r>
      <w:r>
        <w:rPr>
          <w:spacing w:val="-1"/>
        </w:rPr>
        <w:t>室共计</w:t>
      </w:r>
      <w:r>
        <w:rPr>
          <w:rFonts w:ascii="Times New Roman" w:hAnsi="Times New Roman" w:cs="Times New Roman" w:eastAsia="Times New Roman" w:hint="default"/>
          <w:spacing w:val="-1"/>
        </w:rPr>
        <w:t>304.14</w:t>
      </w:r>
      <w:r>
        <w:rPr>
          <w:spacing w:val="-1"/>
        </w:rPr>
        <w:t>平方米的房屋提</w:t>
      </w:r>
      <w:r>
        <w:rPr>
          <w:spacing w:val="-43"/>
        </w:rPr>
        <w:t> </w:t>
      </w:r>
      <w:r>
        <w:rPr>
          <w:spacing w:val="-1"/>
        </w:rPr>
        <w:t>供给公司办公使用，租赁价格每月</w:t>
      </w:r>
      <w:r>
        <w:rPr>
          <w:rFonts w:ascii="Times New Roman" w:hAnsi="Times New Roman" w:cs="Times New Roman" w:eastAsia="Times New Roman" w:hint="default"/>
          <w:spacing w:val="-1"/>
        </w:rPr>
        <w:t>24,000</w:t>
      </w:r>
      <w:r>
        <w:rPr>
          <w:spacing w:val="-1"/>
        </w:rPr>
        <w:t>元，租赁期自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23</w:t>
      </w:r>
      <w:r>
        <w:rPr>
          <w:spacing w:val="-1"/>
        </w:rPr>
        <w:t>日，并于本期与关联方邵剑锋续租，续</w:t>
      </w:r>
      <w:r>
        <w:rPr>
          <w:spacing w:val="-76"/>
        </w:rPr>
        <w:t> </w:t>
      </w:r>
      <w:r>
        <w:rPr>
          <w:spacing w:val="-76"/>
        </w:rPr>
      </w:r>
      <w:r>
        <w:rPr/>
        <w:t>租租赁期为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BodyText"/>
        <w:spacing w:line="300" w:lineRule="auto" w:before="13"/>
        <w:ind w:right="1130"/>
        <w:jc w:val="both"/>
      </w:pPr>
      <w:r>
        <w:rPr/>
        <w:t>（</w:t>
      </w:r>
      <w:r>
        <w:rPr>
          <w:rFonts w:ascii="Times New Roman" w:hAnsi="Times New Roman" w:cs="Times New Roman" w:eastAsia="Times New Roman" w:hint="default"/>
        </w:rPr>
        <w:t>3</w:t>
      </w:r>
      <w:r>
        <w:rPr/>
        <w:t>）本公司关联方邵建莲将其位于深圳市罗湖区笋岗东路宝安广场</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23E</w:t>
      </w:r>
      <w:r>
        <w:rPr/>
        <w:t>共计</w:t>
      </w:r>
      <w:r>
        <w:rPr>
          <w:rFonts w:ascii="Times New Roman" w:hAnsi="Times New Roman" w:cs="Times New Roman" w:eastAsia="Times New Roman" w:hint="default"/>
        </w:rPr>
        <w:t>98.22</w:t>
      </w:r>
      <w:r>
        <w:rPr/>
        <w:t>平方米的房屋提供给公司办公使用，</w:t>
      </w:r>
      <w:r>
        <w:rPr>
          <w:spacing w:val="-19"/>
        </w:rPr>
        <w:t> </w:t>
      </w:r>
      <w:r>
        <w:rPr>
          <w:spacing w:val="-19"/>
        </w:rPr>
      </w:r>
      <w:r>
        <w:rPr>
          <w:spacing w:val="-1"/>
        </w:rPr>
        <w:t>租赁价格每月</w:t>
      </w:r>
      <w:r>
        <w:rPr>
          <w:rFonts w:ascii="Times New Roman" w:hAnsi="Times New Roman" w:cs="Times New Roman" w:eastAsia="Times New Roman" w:hint="default"/>
          <w:spacing w:val="-1"/>
        </w:rPr>
        <w:t>9,000</w:t>
      </w:r>
      <w:r>
        <w:rPr>
          <w:spacing w:val="-1"/>
        </w:rPr>
        <w:t>元，租赁期自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日，并于本期与关联方邵剑莲续租，续租租赁期为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7"/>
        </w:rPr>
        <w:t> </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p>
    <w:p>
      <w:pPr>
        <w:spacing w:line="297" w:lineRule="auto" w:before="0"/>
        <w:ind w:left="152" w:right="8594" w:firstLine="0"/>
        <w:jc w:val="left"/>
        <w:rPr>
          <w:rFonts w:ascii="宋体" w:hAnsi="宋体" w:cs="宋体" w:eastAsia="宋体" w:hint="default"/>
          <w:sz w:val="18"/>
          <w:szCs w:val="18"/>
        </w:rPr>
      </w:pPr>
      <w:bookmarkStart w:name="（2）关联担保情况"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b/>
          <w:bCs/>
          <w:spacing w:val="-104"/>
          <w:sz w:val="21"/>
          <w:szCs w:val="21"/>
        </w:rPr>
        <w:t> </w:t>
      </w:r>
      <w:r>
        <w:rPr>
          <w:rFonts w:ascii="宋体" w:hAnsi="宋体" w:cs="宋体" w:eastAsia="宋体" w:hint="default"/>
          <w:sz w:val="18"/>
          <w:szCs w:val="18"/>
        </w:rPr>
        <w:t>本公司作为担保方：不适用 本公司作为被担保方</w:t>
      </w:r>
    </w:p>
    <w:p>
      <w:pPr>
        <w:pStyle w:val="BodyText"/>
        <w:spacing w:line="240" w:lineRule="auto" w:before="33"/>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邵健伟、马琳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pStyle w:val="Heading3"/>
        <w:spacing w:line="278" w:lineRule="exact"/>
        <w:ind w:right="-6"/>
        <w:jc w:val="left"/>
        <w:rPr>
          <w:b w:val="0"/>
          <w:bCs w:val="0"/>
        </w:rPr>
      </w:pPr>
      <w:bookmarkStart w:name="（3）关键管理人员报酬" w:id="319"/>
      <w:bookmarkEnd w:id="319"/>
      <w:r>
        <w:rPr>
          <w:b w:val="0"/>
          <w:bCs w:val="0"/>
        </w:rPr>
      </w:r>
      <w:r>
        <w:rPr>
          <w:spacing w:val="-1"/>
        </w:rPr>
        <w:t>（</w:t>
      </w:r>
      <w:r>
        <w:rPr>
          <w:rFonts w:ascii="Times New Roman" w:hAnsi="Times New Roman" w:cs="Times New Roman" w:eastAsia="Times New Roman" w:hint="default"/>
          <w:spacing w:val="-1"/>
        </w:rPr>
        <w:t>3</w:t>
      </w:r>
      <w:r>
        <w:rPr>
          <w:spacing w:val="-1"/>
        </w:rPr>
        <w:t>）关键管理人员报酬</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6,700,219.25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4,981,915.20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7"/>
        <w:jc w:val="left"/>
        <w:rPr>
          <w:b w:val="0"/>
          <w:bCs w:val="0"/>
        </w:rPr>
      </w:pPr>
      <w:bookmarkStart w:name="6、关联方应收应付款项" w:id="320"/>
      <w:bookmarkEnd w:id="320"/>
      <w:r>
        <w:rPr>
          <w:b w:val="0"/>
          <w:bCs w:val="0"/>
        </w:rPr>
      </w:r>
      <w:r>
        <w:rPr>
          <w:rFonts w:ascii="Times New Roman" w:hAnsi="Times New Roman" w:cs="Times New Roman" w:eastAsia="Times New Roman" w:hint="default"/>
          <w:spacing w:val="-1"/>
        </w:rPr>
        <w:t>6</w:t>
      </w:r>
      <w:r>
        <w:rPr>
          <w:spacing w:val="-1"/>
        </w:rPr>
        <w:t>、关联方应收应付款项</w:t>
      </w:r>
      <w:r>
        <w:rPr>
          <w:b w:val="0"/>
          <w:bCs w:val="0"/>
          <w:spacing w:val="-1"/>
        </w:rPr>
      </w:r>
    </w:p>
    <w:p>
      <w:pPr>
        <w:pStyle w:val="Heading3"/>
        <w:spacing w:line="240" w:lineRule="auto" w:before="23"/>
        <w:ind w:right="-7"/>
        <w:jc w:val="left"/>
        <w:rPr>
          <w:b w:val="0"/>
          <w:bCs w:val="0"/>
        </w:rPr>
      </w:pPr>
      <w:bookmarkStart w:name="（1）应付项目" w:id="321"/>
      <w:bookmarkEnd w:id="321"/>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2" w:right="0"/>
              <w:jc w:val="left"/>
              <w:rPr>
                <w:rFonts w:ascii="Times New Roman" w:hAnsi="Times New Roman" w:cs="Times New Roman" w:eastAsia="Times New Roman" w:hint="default"/>
                <w:sz w:val="18"/>
                <w:szCs w:val="18"/>
              </w:rPr>
            </w:pPr>
            <w:r>
              <w:rPr>
                <w:rFonts w:ascii="Times New Roman"/>
                <w:sz w:val="18"/>
              </w:rPr>
              <w:t>18,806.22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34" w:right="0"/>
              <w:jc w:val="left"/>
              <w:rPr>
                <w:rFonts w:ascii="Times New Roman" w:hAnsi="Times New Roman" w:cs="Times New Roman" w:eastAsia="Times New Roman" w:hint="default"/>
                <w:sz w:val="18"/>
                <w:szCs w:val="18"/>
              </w:rPr>
            </w:pPr>
            <w:r>
              <w:rPr>
                <w:rFonts w:ascii="Times New Roman"/>
                <w:sz w:val="18"/>
              </w:rPr>
              <w:t>1,940,006.22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2"/>
        <w:spacing w:line="276" w:lineRule="exact"/>
        <w:ind w:right="-8"/>
        <w:jc w:val="left"/>
        <w:rPr>
          <w:b w:val="0"/>
          <w:bCs w:val="0"/>
        </w:rPr>
      </w:pPr>
      <w:bookmarkStart w:name="十一、股份支付" w:id="322"/>
      <w:bookmarkEnd w:id="322"/>
      <w:r>
        <w:rPr>
          <w:b w:val="0"/>
          <w:bCs w:val="0"/>
        </w:rPr>
      </w:r>
      <w:r>
        <w:rPr/>
        <w:t>十一、股份支付</w:t>
      </w:r>
      <w:r>
        <w:rPr>
          <w:b w:val="0"/>
          <w:bCs w:val="0"/>
        </w:rPr>
      </w:r>
    </w:p>
    <w:p>
      <w:pPr>
        <w:pStyle w:val="Heading3"/>
        <w:spacing w:line="240" w:lineRule="auto" w:before="23"/>
        <w:ind w:right="-8"/>
        <w:jc w:val="left"/>
        <w:rPr>
          <w:b w:val="0"/>
          <w:bCs w:val="0"/>
        </w:rPr>
      </w:pPr>
      <w:bookmarkStart w:name="1、股份支付总体情况" w:id="323"/>
      <w:bookmarkEnd w:id="323"/>
      <w:r>
        <w:rPr>
          <w:b w:val="0"/>
          <w:bCs w:val="0"/>
        </w:rPr>
      </w:r>
      <w:r>
        <w:rPr>
          <w:rFonts w:ascii="Times New Roman" w:hAnsi="Times New Roman" w:cs="Times New Roman" w:eastAsia="Times New Roman" w:hint="default"/>
          <w:spacing w:val="-1"/>
        </w:rPr>
        <w:t>1</w:t>
      </w:r>
      <w:r>
        <w:rPr>
          <w:spacing w:val="-1"/>
        </w:rPr>
        <w:t>、股份支付总体情况</w:t>
      </w:r>
      <w:r>
        <w:rPr>
          <w:b w:val="0"/>
          <w:bCs w:val="0"/>
          <w:spacing w:val="-1"/>
        </w:rPr>
      </w:r>
    </w:p>
    <w:p>
      <w:pPr>
        <w:pStyle w:val="BodyText"/>
        <w:spacing w:line="240" w:lineRule="auto" w:before="44"/>
        <w:ind w:right="-8"/>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57" w:space="6672"/>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32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1,131,840.00</w:t>
            </w:r>
          </w:p>
        </w:tc>
      </w:tr>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合同剩余期限：</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32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pStyle w:val="Heading3"/>
        <w:spacing w:line="279" w:lineRule="exact"/>
        <w:ind w:right="-5"/>
        <w:jc w:val="left"/>
        <w:rPr>
          <w:b w:val="0"/>
          <w:bCs w:val="0"/>
        </w:rPr>
      </w:pPr>
      <w:bookmarkStart w:name="2、以权益结算的股份支付情况" w:id="324"/>
      <w:bookmarkEnd w:id="324"/>
      <w:r>
        <w:rPr>
          <w:b w:val="0"/>
          <w:bCs w:val="0"/>
        </w:rPr>
      </w: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pStyle w:val="BodyText"/>
        <w:spacing w:line="240" w:lineRule="auto" w:before="42"/>
        <w:ind w:right="-5"/>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000" w:space="5829"/>
            <w:col w:w="210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2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公司采用授予日市价做为公允价值</w:t>
            </w:r>
          </w:p>
        </w:tc>
      </w:tr>
      <w:tr>
        <w:trPr>
          <w:trHeight w:val="63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5" w:right="150"/>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根据最新取得的可行权职工人数变动等后续信息作出最 佳估计，修正预计可行权的权益工具数量</w:t>
            </w:r>
          </w:p>
        </w:tc>
      </w:tr>
      <w:tr>
        <w:trPr>
          <w:trHeight w:val="32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-5,858,660.60</w:t>
            </w:r>
          </w:p>
        </w:tc>
      </w:tr>
      <w:tr>
        <w:trPr>
          <w:trHeight w:val="32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-5,858,660.60</w:t>
            </w:r>
          </w:p>
        </w:tc>
      </w:tr>
    </w:tbl>
    <w:p>
      <w:pPr>
        <w:pStyle w:val="BodyText"/>
        <w:spacing w:line="316" w:lineRule="auto" w:before="8"/>
        <w:ind w:right="9674"/>
        <w:jc w:val="left"/>
      </w:pPr>
      <w:r>
        <w:rPr/>
        <w:t>其他说明 一、基本情况</w:t>
      </w:r>
    </w:p>
    <w:p>
      <w:pPr>
        <w:pStyle w:val="BodyText"/>
        <w:spacing w:line="304" w:lineRule="auto" w:before="19"/>
        <w:ind w:right="1131"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日，公司分别召开第三届董事会第六次会议和第三届监事会第七次会议，审议通过了《关于调整限制性股</w:t>
      </w:r>
      <w:r>
        <w:rPr/>
        <w:t> </w:t>
      </w:r>
      <w:r>
        <w:rPr>
          <w:spacing w:val="-5"/>
        </w:rPr>
        <w:t>票激励计划相关事项的议案》和《关于向激励对象首次授予限制性股票的议案》。本激励计划授予的激励对象总人数为</w:t>
      </w:r>
      <w:r>
        <w:rPr>
          <w:rFonts w:ascii="Times New Roman" w:hAnsi="Times New Roman" w:cs="Times New Roman" w:eastAsia="Times New Roman" w:hint="default"/>
          <w:spacing w:val="-5"/>
        </w:rPr>
        <w:t>91</w:t>
      </w:r>
      <w:r>
        <w:rPr>
          <w:spacing w:val="-5"/>
        </w:rPr>
        <w:t>人，</w:t>
      </w:r>
      <w:r>
        <w:rPr>
          <w:spacing w:val="-73"/>
        </w:rPr>
        <w:t> </w:t>
      </w:r>
      <w:r>
        <w:rPr>
          <w:spacing w:val="-2"/>
        </w:rPr>
        <w:t>括公司公告本计划时符合公司（含子公司）任职资格的董事、高级管理人员、核心管理人员和核心技术（业务）人员（不包</w:t>
      </w:r>
      <w:r>
        <w:rPr>
          <w:spacing w:val="-73"/>
        </w:rPr>
        <w:t> </w:t>
      </w:r>
      <w:r>
        <w:rPr>
          <w:spacing w:val="-73"/>
        </w:rPr>
      </w:r>
      <w:r>
        <w:rPr>
          <w:spacing w:val="-2"/>
        </w:rPr>
        <w:t>括独立董事、监事）。由于部分激励对象因个人原因自愿放弃其可获授的部分或全部限制性股票，实际授予人数为</w:t>
      </w:r>
      <w:r>
        <w:rPr>
          <w:rFonts w:ascii="Times New Roman" w:hAnsi="Times New Roman" w:cs="Times New Roman" w:eastAsia="Times New Roman" w:hint="default"/>
          <w:spacing w:val="-2"/>
        </w:rPr>
        <w:t>89</w:t>
      </w:r>
      <w:r>
        <w:rPr>
          <w:spacing w:val="-2"/>
        </w:rPr>
        <w:t>人，授</w:t>
      </w:r>
      <w:r>
        <w:rPr>
          <w:spacing w:val="-69"/>
        </w:rPr>
        <w:t> </w:t>
      </w:r>
      <w:r>
        <w:rPr>
          <w:spacing w:val="-69"/>
        </w:rPr>
      </w:r>
      <w:r>
        <w:rPr/>
        <w:t>予股数为</w:t>
      </w:r>
      <w:r>
        <w:rPr>
          <w:rFonts w:ascii="Times New Roman" w:hAnsi="Times New Roman" w:cs="Times New Roman" w:eastAsia="Times New Roman" w:hint="default"/>
        </w:rPr>
        <w:t>2,829,600.00</w:t>
      </w:r>
      <w:r>
        <w:rPr/>
        <w:t>股。</w:t>
      </w:r>
    </w:p>
    <w:p>
      <w:pPr>
        <w:spacing w:line="240" w:lineRule="auto" w:before="7"/>
        <w:rPr>
          <w:rFonts w:ascii="宋体" w:hAnsi="宋体" w:cs="宋体" w:eastAsia="宋体" w:hint="default"/>
          <w:sz w:val="24"/>
          <w:szCs w:val="24"/>
        </w:rPr>
      </w:pPr>
    </w:p>
    <w:p>
      <w:pPr>
        <w:pStyle w:val="BodyText"/>
        <w:spacing w:line="240" w:lineRule="auto"/>
        <w:ind w:left="573" w:right="1116"/>
        <w:jc w:val="left"/>
      </w:pPr>
      <w:r>
        <w:rPr/>
        <w:t>本激励计划首次授予的限制性股票的解除限售期及各期解除限售时间安排如下表所示：</w:t>
      </w:r>
    </w:p>
    <w:p>
      <w:pPr>
        <w:spacing w:line="240" w:lineRule="auto" w:before="1"/>
        <w:rPr>
          <w:rFonts w:ascii="宋体" w:hAnsi="宋体" w:cs="宋体" w:eastAsia="宋体" w:hint="default"/>
          <w:sz w:val="29"/>
          <w:szCs w:val="29"/>
        </w:rPr>
      </w:pPr>
    </w:p>
    <w:tbl>
      <w:tblPr>
        <w:tblW w:w="0" w:type="auto"/>
        <w:jc w:val="left"/>
        <w:tblInd w:w="767" w:type="dxa"/>
        <w:tblLayout w:type="fixed"/>
        <w:tblCellMar>
          <w:top w:w="0" w:type="dxa"/>
          <w:left w:w="0" w:type="dxa"/>
          <w:bottom w:w="0" w:type="dxa"/>
          <w:right w:w="0" w:type="dxa"/>
        </w:tblCellMar>
        <w:tblLook w:val="01E0"/>
      </w:tblPr>
      <w:tblGrid>
        <w:gridCol w:w="1802"/>
        <w:gridCol w:w="5673"/>
        <w:gridCol w:w="1277"/>
      </w:tblGrid>
      <w:tr>
        <w:trPr>
          <w:trHeight w:val="348"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解除限售比例</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767" w:type="dxa"/>
        <w:tblLayout w:type="fixed"/>
        <w:tblCellMar>
          <w:top w:w="0" w:type="dxa"/>
          <w:left w:w="0" w:type="dxa"/>
          <w:bottom w:w="0" w:type="dxa"/>
          <w:right w:w="0" w:type="dxa"/>
        </w:tblCellMar>
        <w:tblLook w:val="01E0"/>
      </w:tblPr>
      <w:tblGrid>
        <w:gridCol w:w="1802"/>
        <w:gridCol w:w="5673"/>
        <w:gridCol w:w="1277"/>
      </w:tblGrid>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70"/>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 后一个交易日当日止</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w:t>
            </w:r>
          </w:p>
        </w:tc>
      </w:tr>
      <w:tr>
        <w:trPr>
          <w:trHeight w:val="658"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70"/>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 后一个交易日当日止</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w:t>
            </w: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70"/>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 后一个交易日当日止</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1"/>
        <w:rPr>
          <w:rFonts w:ascii="宋体" w:hAnsi="宋体" w:cs="宋体" w:eastAsia="宋体" w:hint="default"/>
          <w:sz w:val="21"/>
          <w:szCs w:val="21"/>
        </w:rPr>
      </w:pPr>
    </w:p>
    <w:p>
      <w:pPr>
        <w:pStyle w:val="BodyText"/>
        <w:spacing w:line="300" w:lineRule="auto" w:before="44"/>
        <w:ind w:right="1126"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日，立信会计师事务所（特殊普通合伙）就公司新增注册资本的实收情况出具了《深圳市今天国际物流技</w:t>
      </w:r>
      <w:r>
        <w:rPr/>
        <w:t> </w:t>
      </w:r>
      <w:r>
        <w:rPr>
          <w:spacing w:val="-4"/>
        </w:rPr>
        <w:t>术股份有限公司验资报告》（信会师报字【</w:t>
      </w:r>
      <w:r>
        <w:rPr>
          <w:rFonts w:ascii="Times New Roman" w:hAnsi="Times New Roman" w:cs="Times New Roman" w:eastAsia="Times New Roman" w:hint="default"/>
          <w:spacing w:val="-4"/>
        </w:rPr>
        <w:t>2017</w:t>
      </w:r>
      <w:r>
        <w:rPr>
          <w:spacing w:val="-4"/>
        </w:rPr>
        <w:t>】第</w:t>
      </w:r>
      <w:r>
        <w:rPr>
          <w:rFonts w:ascii="Times New Roman" w:hAnsi="Times New Roman" w:cs="Times New Roman" w:eastAsia="Times New Roman" w:hint="default"/>
          <w:spacing w:val="-4"/>
        </w:rPr>
        <w:t>ZI10603</w:t>
      </w:r>
      <w:r>
        <w:rPr>
          <w:spacing w:val="-4"/>
        </w:rPr>
        <w:t>号）。根据该验资报告，截至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27</w:t>
      </w:r>
      <w:r>
        <w:rPr>
          <w:spacing w:val="-4"/>
        </w:rPr>
        <w:t>日止，公司实际收到</w:t>
      </w:r>
      <w:r>
        <w:rPr>
          <w:rFonts w:ascii="Times New Roman" w:hAnsi="Times New Roman" w:cs="Times New Roman" w:eastAsia="Times New Roman" w:hint="default"/>
          <w:spacing w:val="-4"/>
        </w:rPr>
        <w:t>88</w:t>
      </w:r>
      <w:r>
        <w:rPr>
          <w:rFonts w:ascii="Times New Roman" w:hAnsi="Times New Roman" w:cs="Times New Roman" w:eastAsia="Times New Roman" w:hint="default"/>
          <w:spacing w:val="1"/>
        </w:rPr>
        <w:t> </w:t>
      </w:r>
      <w:r>
        <w:rPr/>
        <w:t>名股权激励对象认购</w:t>
      </w:r>
      <w:r>
        <w:rPr>
          <w:rFonts w:ascii="Times New Roman" w:hAnsi="Times New Roman" w:cs="Times New Roman" w:eastAsia="Times New Roman" w:hint="default"/>
        </w:rPr>
        <w:t>2,829,600</w:t>
      </w:r>
      <w:r>
        <w:rPr/>
        <w:t>股缴纳的人民币</w:t>
      </w:r>
      <w:r>
        <w:rPr>
          <w:rFonts w:ascii="Times New Roman" w:hAnsi="Times New Roman" w:cs="Times New Roman" w:eastAsia="Times New Roman" w:hint="default"/>
        </w:rPr>
        <w:t>49,800,960</w:t>
      </w:r>
      <w:r>
        <w:rPr/>
        <w:t>元，其中新增注册资本（股本）合计人民币</w:t>
      </w:r>
      <w:r>
        <w:rPr>
          <w:rFonts w:ascii="Times New Roman" w:hAnsi="Times New Roman" w:cs="Times New Roman" w:eastAsia="Times New Roman" w:hint="default"/>
        </w:rPr>
        <w:t>2,829,600</w:t>
      </w:r>
      <w:r>
        <w:rPr/>
        <w:t>元。</w:t>
      </w:r>
    </w:p>
    <w:p>
      <w:pPr>
        <w:spacing w:line="240" w:lineRule="auto" w:before="11"/>
        <w:rPr>
          <w:rFonts w:ascii="宋体" w:hAnsi="宋体" w:cs="宋体" w:eastAsia="宋体" w:hint="default"/>
          <w:sz w:val="24"/>
          <w:szCs w:val="24"/>
        </w:rPr>
      </w:pPr>
    </w:p>
    <w:p>
      <w:pPr>
        <w:pStyle w:val="BodyText"/>
        <w:spacing w:line="307" w:lineRule="auto"/>
        <w:ind w:right="1129" w:firstLine="362"/>
        <w:jc w:val="both"/>
      </w:pPr>
      <w:r>
        <w:rPr>
          <w:spacing w:val="-2"/>
        </w:rPr>
        <w:t>根据《企业会计准则第</w:t>
      </w:r>
      <w:r>
        <w:rPr>
          <w:rFonts w:ascii="Times New Roman" w:hAnsi="Times New Roman" w:cs="Times New Roman" w:eastAsia="Times New Roman" w:hint="default"/>
          <w:spacing w:val="-2"/>
        </w:rPr>
        <w:t>11</w:t>
      </w:r>
      <w:r>
        <w:rPr>
          <w:spacing w:val="-2"/>
        </w:rPr>
        <w:t>号——股份支付》及《企业会计准则第</w:t>
      </w:r>
      <w:r>
        <w:rPr>
          <w:rFonts w:ascii="Times New Roman" w:hAnsi="Times New Roman" w:cs="Times New Roman" w:eastAsia="Times New Roman" w:hint="default"/>
          <w:spacing w:val="-2"/>
        </w:rPr>
        <w:t>22</w:t>
      </w:r>
      <w:r>
        <w:rPr>
          <w:spacing w:val="-2"/>
        </w:rPr>
        <w:t>号——金融工具确认和计量》的相关规定，公司以授</w:t>
      </w:r>
      <w:r>
        <w:rPr/>
        <w:t> 予日今天国际股票收盘价</w:t>
      </w:r>
      <w:r>
        <w:rPr>
          <w:rFonts w:ascii="Times New Roman" w:hAnsi="Times New Roman" w:cs="Times New Roman" w:eastAsia="Times New Roman" w:hint="default"/>
        </w:rPr>
        <w:t>27.62</w:t>
      </w:r>
      <w:r>
        <w:rPr/>
        <w:t>元做为公允价值。授予日激励对象获授的权益工具的公允价值应当等于当日未考虑限制性因</w:t>
      </w:r>
      <w:r>
        <w:rPr>
          <w:spacing w:val="-44"/>
        </w:rPr>
        <w:t> </w:t>
      </w:r>
      <w:r>
        <w:rPr>
          <w:spacing w:val="-44"/>
        </w:rPr>
      </w:r>
      <w:r>
        <w:rPr>
          <w:spacing w:val="-2"/>
        </w:rPr>
        <w:t>素的权益工具价值扣除限制性因素带来的成本（即激励对象为锁定未来合理预期收益而进行的权证投资成本）得出，结果如</w:t>
      </w:r>
      <w:r>
        <w:rPr>
          <w:spacing w:val="-66"/>
        </w:rPr>
        <w:t> </w:t>
      </w:r>
      <w:r>
        <w:rPr>
          <w:spacing w:val="-66"/>
        </w:rPr>
      </w:r>
      <w:r>
        <w:rPr/>
        <w:t>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770" w:type="dxa"/>
        <w:tblLayout w:type="fixed"/>
        <w:tblCellMar>
          <w:top w:w="0" w:type="dxa"/>
          <w:left w:w="0" w:type="dxa"/>
          <w:bottom w:w="0" w:type="dxa"/>
          <w:right w:w="0" w:type="dxa"/>
        </w:tblCellMar>
        <w:tblLook w:val="01E0"/>
      </w:tblPr>
      <w:tblGrid>
        <w:gridCol w:w="5178"/>
        <w:gridCol w:w="1027"/>
        <w:gridCol w:w="1162"/>
        <w:gridCol w:w="1162"/>
      </w:tblGrid>
      <w:tr>
        <w:trPr>
          <w:trHeight w:val="348"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二年期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三年期</w:t>
            </w:r>
          </w:p>
        </w:tc>
      </w:tr>
      <w:tr>
        <w:trPr>
          <w:trHeight w:val="346"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未考虑限制性因素的权益工具价</w:t>
            </w:r>
            <w:r>
              <w:rPr>
                <w:rFonts w:ascii="宋体" w:hAnsi="宋体" w:cs="宋体" w:eastAsia="宋体" w:hint="default"/>
                <w:spacing w:val="-60"/>
                <w:sz w:val="18"/>
                <w:szCs w:val="18"/>
              </w:rPr>
              <w:t>值</w:t>
            </w:r>
            <w:r>
              <w:rPr>
                <w:rFonts w:ascii="宋体" w:hAnsi="宋体" w:cs="宋体" w:eastAsia="宋体" w:hint="default"/>
                <w:sz w:val="18"/>
                <w:szCs w:val="18"/>
              </w:rPr>
              <w:t>（元</w:t>
            </w:r>
            <w:r>
              <w:rPr>
                <w:rFonts w:ascii="宋体" w:hAnsi="宋体" w:cs="宋体" w:eastAsia="宋体" w:hint="default"/>
                <w:spacing w:val="-152"/>
                <w:sz w:val="18"/>
                <w:szCs w:val="18"/>
              </w:rPr>
              <w:t>）</w:t>
            </w:r>
            <w:r>
              <w:rPr>
                <w:rFonts w:ascii="宋体" w:hAnsi="宋体" w:cs="宋体" w:eastAsia="宋体" w:hint="default"/>
                <w:sz w:val="18"/>
                <w:szCs w:val="18"/>
              </w:rPr>
              <w:t>（授予日收盘价</w:t>
            </w:r>
            <w:r>
              <w:rPr>
                <w:rFonts w:ascii="Times New Roman" w:hAnsi="Times New Roman" w:cs="Times New Roman" w:eastAsia="Times New Roman" w:hint="default"/>
                <w:sz w:val="18"/>
                <w:szCs w:val="18"/>
              </w:rPr>
              <w:t>-</w:t>
            </w:r>
            <w:r>
              <w:rPr>
                <w:rFonts w:ascii="宋体" w:hAnsi="宋体" w:cs="宋体" w:eastAsia="宋体" w:hint="default"/>
                <w:sz w:val="18"/>
                <w:szCs w:val="18"/>
              </w:rPr>
              <w:t>授予价格</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tabs>
                <w:tab w:pos="607" w:val="left" w:leader="none"/>
              </w:tabs>
              <w:spacing w:line="240" w:lineRule="auto" w:before="17"/>
              <w:ind w:left="-106"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r>
      <w:tr>
        <w:trPr>
          <w:trHeight w:val="348"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限制性因素带来的成本（元）</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每股限制性股票的公允价值（元）</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10.02</w:t>
            </w:r>
          </w:p>
        </w:tc>
      </w:tr>
      <w:tr>
        <w:trPr>
          <w:trHeight w:val="348"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解除限售份额（万股）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56.60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113.18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113.18</w:t>
            </w:r>
          </w:p>
        </w:tc>
      </w:tr>
      <w:tr>
        <w:trPr>
          <w:trHeight w:val="348" w:hRule="exact"/>
        </w:trPr>
        <w:tc>
          <w:tcPr>
            <w:tcW w:w="5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当期股权激励公允价值总额（万元）</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567.14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1,134.06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1,134.06</w:t>
            </w:r>
          </w:p>
        </w:tc>
      </w:tr>
    </w:tbl>
    <w:p>
      <w:pPr>
        <w:spacing w:line="240" w:lineRule="auto" w:before="8"/>
        <w:rPr>
          <w:rFonts w:ascii="宋体" w:hAnsi="宋体" w:cs="宋体" w:eastAsia="宋体" w:hint="default"/>
          <w:sz w:val="28"/>
          <w:szCs w:val="28"/>
        </w:rPr>
      </w:pPr>
    </w:p>
    <w:p>
      <w:pPr>
        <w:pStyle w:val="BodyText"/>
        <w:spacing w:line="367" w:lineRule="auto" w:before="44"/>
        <w:ind w:left="866" w:right="1040"/>
        <w:jc w:val="left"/>
      </w:pPr>
      <w:r>
        <w:rPr/>
        <w:pict>
          <v:shape style="position:absolute;margin-left:219.050003pt;margin-top:53.751705pt;width:.48pt;height:.12pt;mso-position-horizontal-relative:page;mso-position-vertical-relative:paragraph;z-index:-917152" type="#_x0000_t75" stroked="false">
            <v:imagedata r:id="rId37" o:title=""/>
          </v:shape>
        </w:pict>
      </w:r>
      <w:r>
        <w:rPr/>
        <w:pict>
          <v:shape style="position:absolute;margin-left:316.630005pt;margin-top:53.751705pt;width:.48001pt;height:.12pt;mso-position-horizontal-relative:page;mso-position-vertical-relative:paragraph;z-index:-917128" type="#_x0000_t75" stroked="false">
            <v:imagedata r:id="rId37" o:title=""/>
          </v:shape>
        </w:pict>
      </w:r>
      <w:r>
        <w:rPr/>
        <w:pict>
          <v:shape style="position:absolute;margin-left:372.790009pt;margin-top:53.751705pt;width:.48001pt;height:.12pt;mso-position-horizontal-relative:page;mso-position-vertical-relative:paragraph;z-index:-917104" type="#_x0000_t75" stroked="false">
            <v:imagedata r:id="rId37" o:title=""/>
          </v:shape>
        </w:pict>
      </w:r>
      <w:r>
        <w:rPr/>
        <w:pict>
          <v:shape style="position:absolute;margin-left:424.630005pt;margin-top:53.751705pt;width:.48001pt;height:.12pt;mso-position-horizontal-relative:page;mso-position-vertical-relative:paragraph;z-index:-917080" type="#_x0000_t75" stroked="false">
            <v:imagedata r:id="rId37" o:title=""/>
          </v:shape>
        </w:pict>
      </w:r>
      <w:r>
        <w:rPr/>
        <w:pict>
          <v:shape style="position:absolute;margin-left:472.660004pt;margin-top:53.751705pt;width:.47998pt;height:.12pt;mso-position-horizontal-relative:page;mso-position-vertical-relative:paragraph;z-index:-917056" type="#_x0000_t75" stroked="false">
            <v:imagedata r:id="rId37" o:title=""/>
          </v:shape>
        </w:pict>
      </w:r>
      <w:r>
        <w:rPr/>
        <w:pict>
          <v:shape style="position:absolute;margin-left:85.823997pt;margin-top:52.311707pt;width:430.55pt;height:37.6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9"/>
                    <w:gridCol w:w="1952"/>
                    <w:gridCol w:w="1123"/>
                    <w:gridCol w:w="1037"/>
                    <w:gridCol w:w="961"/>
                    <w:gridCol w:w="869"/>
                  </w:tblGrid>
                  <w:tr>
                    <w:trPr>
                      <w:trHeight w:val="378" w:hRule="exact"/>
                    </w:trPr>
                    <w:tc>
                      <w:tcPr>
                        <w:tcW w:w="2669" w:type="dxa"/>
                        <w:tcBorders>
                          <w:top w:val="single" w:sz="12" w:space="0" w:color="000000"/>
                          <w:left w:val="nil" w:sz="6" w:space="0" w:color="auto"/>
                          <w:bottom w:val="nil" w:sz="6" w:space="0" w:color="auto"/>
                          <w:right w:val="single" w:sz="4" w:space="0" w:color="000000"/>
                        </w:tcBorders>
                      </w:tcPr>
                      <w:p>
                        <w:pPr>
                          <w:pStyle w:val="TableParagraph"/>
                          <w:spacing w:line="240" w:lineRule="auto" w:before="29"/>
                          <w:ind w:left="261" w:right="0"/>
                          <w:jc w:val="left"/>
                          <w:rPr>
                            <w:rFonts w:ascii="宋体" w:hAnsi="宋体" w:cs="宋体" w:eastAsia="宋体" w:hint="default"/>
                            <w:sz w:val="18"/>
                            <w:szCs w:val="18"/>
                          </w:rPr>
                        </w:pPr>
                        <w:r>
                          <w:rPr>
                            <w:rFonts w:ascii="宋体" w:hAnsi="宋体" w:cs="宋体" w:eastAsia="宋体" w:hint="default"/>
                            <w:sz w:val="18"/>
                            <w:szCs w:val="18"/>
                          </w:rPr>
                          <w:t>授予的限制性股票（万股）</w:t>
                        </w:r>
                      </w:p>
                    </w:tc>
                    <w:tc>
                      <w:tcPr>
                        <w:tcW w:w="195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9"/>
                          <w:ind w:left="338" w:right="0"/>
                          <w:jc w:val="left"/>
                          <w:rPr>
                            <w:rFonts w:ascii="宋体" w:hAnsi="宋体" w:cs="宋体" w:eastAsia="宋体" w:hint="default"/>
                            <w:sz w:val="18"/>
                            <w:szCs w:val="18"/>
                          </w:rPr>
                        </w:pPr>
                        <w:r>
                          <w:rPr>
                            <w:rFonts w:ascii="宋体" w:hAnsi="宋体" w:cs="宋体" w:eastAsia="宋体" w:hint="default"/>
                            <w:sz w:val="18"/>
                            <w:szCs w:val="18"/>
                          </w:rPr>
                          <w:t>需摊销的总费用</w:t>
                        </w:r>
                      </w:p>
                    </w:tc>
                    <w:tc>
                      <w:tcPr>
                        <w:tcW w:w="112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9"/>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9"/>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9"/>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9" w:type="dxa"/>
                        <w:tcBorders>
                          <w:top w:val="single" w:sz="12" w:space="0" w:color="000000"/>
                          <w:left w:val="single" w:sz="4" w:space="0" w:color="000000"/>
                          <w:bottom w:val="nil" w:sz="6" w:space="0" w:color="auto"/>
                          <w:right w:val="nil" w:sz="6" w:space="0" w:color="auto"/>
                        </w:tcBorders>
                      </w:tcPr>
                      <w:p>
                        <w:pPr>
                          <w:pStyle w:val="TableParagraph"/>
                          <w:spacing w:line="240" w:lineRule="auto" w:before="29"/>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44" w:hRule="exact"/>
                    </w:trPr>
                    <w:tc>
                      <w:tcPr>
                        <w:tcW w:w="2669"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282.96</w:t>
                        </w:r>
                      </w:p>
                    </w:tc>
                    <w:tc>
                      <w:tcPr>
                        <w:tcW w:w="19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1204" w:right="0"/>
                          <w:jc w:val="left"/>
                          <w:rPr>
                            <w:rFonts w:ascii="Times New Roman" w:hAnsi="Times New Roman" w:cs="Times New Roman" w:eastAsia="Times New Roman" w:hint="default"/>
                            <w:sz w:val="18"/>
                            <w:szCs w:val="18"/>
                          </w:rPr>
                        </w:pPr>
                        <w:r>
                          <w:rPr>
                            <w:rFonts w:ascii="Times New Roman"/>
                            <w:sz w:val="18"/>
                          </w:rPr>
                          <w:t>2,835.26</w:t>
                        </w:r>
                      </w:p>
                    </w:tc>
                    <w:tc>
                      <w:tcPr>
                        <w:tcW w:w="11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518" w:right="0"/>
                          <w:jc w:val="left"/>
                          <w:rPr>
                            <w:rFonts w:ascii="Times New Roman" w:hAnsi="Times New Roman" w:cs="Times New Roman" w:eastAsia="Times New Roman" w:hint="default"/>
                            <w:sz w:val="18"/>
                            <w:szCs w:val="18"/>
                          </w:rPr>
                        </w:pPr>
                        <w:r>
                          <w:rPr>
                            <w:rFonts w:ascii="Times New Roman"/>
                            <w:sz w:val="18"/>
                          </w:rPr>
                          <w:t>945.09</w:t>
                        </w:r>
                      </w:p>
                    </w:tc>
                    <w:tc>
                      <w:tcPr>
                        <w:tcW w:w="10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292" w:right="0"/>
                          <w:jc w:val="left"/>
                          <w:rPr>
                            <w:rFonts w:ascii="Times New Roman" w:hAnsi="Times New Roman" w:cs="Times New Roman" w:eastAsia="Times New Roman" w:hint="default"/>
                            <w:sz w:val="18"/>
                            <w:szCs w:val="18"/>
                          </w:rPr>
                        </w:pPr>
                        <w:r>
                          <w:rPr>
                            <w:rFonts w:ascii="Times New Roman"/>
                            <w:sz w:val="18"/>
                          </w:rPr>
                          <w:t>1,157.73</w:t>
                        </w:r>
                      </w:p>
                    </w:tc>
                    <w:tc>
                      <w:tcPr>
                        <w:tcW w:w="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353" w:right="0"/>
                          <w:jc w:val="left"/>
                          <w:rPr>
                            <w:rFonts w:ascii="Times New Roman" w:hAnsi="Times New Roman" w:cs="Times New Roman" w:eastAsia="Times New Roman" w:hint="default"/>
                            <w:sz w:val="18"/>
                            <w:szCs w:val="18"/>
                          </w:rPr>
                        </w:pPr>
                        <w:r>
                          <w:rPr>
                            <w:rFonts w:ascii="Times New Roman"/>
                            <w:sz w:val="18"/>
                          </w:rPr>
                          <w:t>590.68</w:t>
                        </w:r>
                      </w:p>
                    </w:tc>
                    <w:tc>
                      <w:tcPr>
                        <w:tcW w:w="869"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141.76</w:t>
                        </w:r>
                      </w:p>
                    </w:tc>
                  </w:tr>
                </w:tbl>
                <w:p>
                  <w:pPr/>
                </w:p>
              </w:txbxContent>
            </v:textbox>
            <w10:wrap type="none"/>
          </v:shape>
        </w:pict>
      </w:r>
      <w:r>
        <w:rPr/>
        <w:t>根据上述计算，授予日公司向激励对象授予的权益工具公允价值总额为</w:t>
      </w:r>
      <w:r>
        <w:rPr>
          <w:spacing w:val="-54"/>
        </w:rPr>
        <w:t> </w:t>
      </w:r>
      <w:r>
        <w:rPr>
          <w:rFonts w:ascii="Times New Roman" w:hAnsi="Times New Roman" w:cs="Times New Roman" w:eastAsia="Times New Roman" w:hint="default"/>
        </w:rPr>
        <w:t>2,835.26</w:t>
      </w:r>
      <w:r>
        <w:rPr>
          <w:rFonts w:ascii="Times New Roman" w:hAnsi="Times New Roman" w:cs="Times New Roman" w:eastAsia="Times New Roman" w:hint="default"/>
          <w:spacing w:val="-8"/>
        </w:rPr>
        <w:t> </w:t>
      </w:r>
      <w:r>
        <w:rPr>
          <w:spacing w:val="-3"/>
        </w:rPr>
        <w:t>万元，该等公允价值总额作为公司</w:t>
      </w:r>
      <w:r>
        <w:rPr/>
        <w:t> 本次限制性股票激励计划的总成本将在限制性股票激励计划的实施过程中按照解除限售比例进行分期确认。因此，</w:t>
      </w:r>
      <w:r>
        <w:rPr>
          <w:spacing w:val="-77"/>
        </w:rPr>
        <w:t> </w:t>
      </w:r>
      <w:r>
        <w:rPr>
          <w:spacing w:val="-77"/>
        </w:rPr>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年限制性股票成本摊销情况见下表：</w:t>
      </w:r>
    </w:p>
    <w:p>
      <w:pPr>
        <w:spacing w:line="240" w:lineRule="auto" w:before="3"/>
        <w:rPr>
          <w:rFonts w:ascii="宋体" w:hAnsi="宋体" w:cs="宋体" w:eastAsia="宋体" w:hint="default"/>
          <w:sz w:val="21"/>
          <w:szCs w:val="21"/>
        </w:rPr>
      </w:pPr>
    </w:p>
    <w:p>
      <w:pPr>
        <w:spacing w:line="20" w:lineRule="exact"/>
        <w:ind w:left="750" w:right="0" w:firstLine="0"/>
        <w:rPr>
          <w:rFonts w:ascii="宋体" w:hAnsi="宋体" w:cs="宋体" w:eastAsia="宋体" w:hint="default"/>
          <w:sz w:val="2"/>
          <w:szCs w:val="2"/>
        </w:rPr>
      </w:pPr>
      <w:r>
        <w:rPr>
          <w:rFonts w:ascii="宋体" w:hAnsi="宋体" w:cs="宋体" w:eastAsia="宋体" w:hint="default"/>
          <w:sz w:val="2"/>
          <w:szCs w:val="2"/>
        </w:rPr>
        <w:pict>
          <v:group style="width:429.8pt;height:.5pt;mso-position-horizontal-relative:char;mso-position-vertical-relative:line" coordorigin="0,0" coordsize="8596,10">
            <v:shape style="position:absolute;left:0;top:0;width:2650;height:10" type="#_x0000_t75" stroked="false">
              <v:imagedata r:id="rId38" o:title=""/>
            </v:shape>
            <v:shape style="position:absolute;left:2645;top:0;width:1956;height:10" type="#_x0000_t75" stroked="false">
              <v:imagedata r:id="rId39" o:title=""/>
            </v:shape>
            <v:shape style="position:absolute;left:4597;top:0;width:3125;height:10" type="#_x0000_t75" stroked="false">
              <v:imagedata r:id="rId40" o:title=""/>
            </v:shape>
            <v:shape style="position:absolute;left:7718;top:0;width:878;height:10" type="#_x0000_t75" stroked="false">
              <v:imagedata r:id="rId41"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348" w:lineRule="auto" w:before="0"/>
        <w:ind w:left="866" w:right="1139"/>
        <w:jc w:val="left"/>
      </w:pPr>
      <w:r>
        <w:rPr/>
        <w:t>根据最新统计的可行权人数变动、业绩指标完成情况等后续信息，修正预计可行权的限制性股票</w:t>
      </w:r>
      <w:r>
        <w:rPr>
          <w:spacing w:val="-9"/>
        </w:rPr>
        <w:t> </w:t>
      </w:r>
      <w:r>
        <w:rPr>
          <w:spacing w:val="-9"/>
        </w:rPr>
      </w:r>
      <w:r>
        <w:rPr>
          <w:spacing w:val="-2"/>
        </w:rPr>
        <w:t>数量，本期以权益结算的股份支付确认的费用总额</w:t>
      </w:r>
      <w:r>
        <w:rPr>
          <w:rFonts w:ascii="Times New Roman" w:hAnsi="Times New Roman" w:cs="Times New Roman" w:eastAsia="Times New Roman" w:hint="default"/>
          <w:spacing w:val="-2"/>
        </w:rPr>
        <w:t>-5,858,660.60</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spacing w:val="-3"/>
        </w:rPr>
        <w:t>元。</w:t>
      </w:r>
      <w:r>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BodyText"/>
        <w:spacing w:line="240" w:lineRule="auto"/>
        <w:ind w:left="513" w:right="1116"/>
        <w:jc w:val="left"/>
      </w:pPr>
      <w:r>
        <w:rPr/>
        <w:t>二、本期确认的费用总额</w:t>
      </w:r>
    </w:p>
    <w:p>
      <w:pPr>
        <w:spacing w:line="240" w:lineRule="auto" w:before="1"/>
        <w:rPr>
          <w:rFonts w:ascii="宋体" w:hAnsi="宋体" w:cs="宋体" w:eastAsia="宋体" w:hint="default"/>
          <w:sz w:val="29"/>
          <w:szCs w:val="29"/>
        </w:rPr>
      </w:pPr>
    </w:p>
    <w:tbl>
      <w:tblPr>
        <w:tblW w:w="0" w:type="auto"/>
        <w:jc w:val="left"/>
        <w:tblInd w:w="774" w:type="dxa"/>
        <w:tblLayout w:type="fixed"/>
        <w:tblCellMar>
          <w:top w:w="0" w:type="dxa"/>
          <w:left w:w="0" w:type="dxa"/>
          <w:bottom w:w="0" w:type="dxa"/>
          <w:right w:w="0" w:type="dxa"/>
        </w:tblCellMar>
        <w:tblLook w:val="01E0"/>
      </w:tblPr>
      <w:tblGrid>
        <w:gridCol w:w="523"/>
        <w:gridCol w:w="523"/>
        <w:gridCol w:w="838"/>
        <w:gridCol w:w="752"/>
        <w:gridCol w:w="610"/>
        <w:gridCol w:w="1046"/>
        <w:gridCol w:w="944"/>
        <w:gridCol w:w="1152"/>
        <w:gridCol w:w="1268"/>
        <w:gridCol w:w="1246"/>
      </w:tblGrid>
      <w:tr>
        <w:trPr>
          <w:trHeight w:val="653" w:hRule="exact"/>
        </w:trPr>
        <w:tc>
          <w:tcPr>
            <w:tcW w:w="523" w:type="dxa"/>
            <w:vMerge w:val="restart"/>
            <w:tcBorders>
              <w:top w:val="nil" w:sz="6" w:space="0" w:color="auto"/>
              <w:left w:val="nil" w:sz="6" w:space="0" w:color="auto"/>
              <w:right w:val="single" w:sz="8"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批次</w:t>
            </w:r>
          </w:p>
        </w:tc>
        <w:tc>
          <w:tcPr>
            <w:tcW w:w="523" w:type="dxa"/>
            <w:vMerge w:val="restart"/>
            <w:tcBorders>
              <w:top w:val="nil" w:sz="6" w:space="0" w:color="auto"/>
              <w:left w:val="single" w:sz="8" w:space="0" w:color="000000"/>
              <w:right w:val="single" w:sz="8" w:space="0" w:color="000000"/>
            </w:tcBorders>
          </w:tcPr>
          <w:p>
            <w:pPr>
              <w:pStyle w:val="TableParagraph"/>
              <w:spacing w:line="240" w:lineRule="auto" w:before="17"/>
              <w:ind w:left="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38" w:type="dxa"/>
            <w:vMerge w:val="restart"/>
            <w:tcBorders>
              <w:top w:val="nil" w:sz="6" w:space="0" w:color="auto"/>
              <w:left w:val="single" w:sz="8" w:space="0" w:color="000000"/>
              <w:right w:val="single" w:sz="8" w:space="0" w:color="000000"/>
            </w:tcBorders>
          </w:tcPr>
          <w:p>
            <w:pPr>
              <w:pStyle w:val="TableParagraph"/>
              <w:spacing w:line="316" w:lineRule="auto" w:before="17"/>
              <w:ind w:left="227" w:right="48" w:hanging="180"/>
              <w:jc w:val="left"/>
              <w:rPr>
                <w:rFonts w:ascii="宋体" w:hAnsi="宋体" w:cs="宋体" w:eastAsia="宋体" w:hint="default"/>
                <w:sz w:val="18"/>
                <w:szCs w:val="18"/>
              </w:rPr>
            </w:pPr>
            <w:r>
              <w:rPr>
                <w:rFonts w:ascii="宋体" w:hAnsi="宋体" w:cs="宋体" w:eastAsia="宋体" w:hint="default"/>
                <w:sz w:val="18"/>
                <w:szCs w:val="18"/>
              </w:rPr>
              <w:t>批次对应 股数</w:t>
            </w:r>
          </w:p>
        </w:tc>
        <w:tc>
          <w:tcPr>
            <w:tcW w:w="752" w:type="dxa"/>
            <w:vMerge w:val="restart"/>
            <w:tcBorders>
              <w:top w:val="nil" w:sz="6" w:space="0" w:color="auto"/>
              <w:left w:val="single" w:sz="8" w:space="0" w:color="000000"/>
              <w:right w:val="single" w:sz="8" w:space="0" w:color="000000"/>
            </w:tcBorders>
          </w:tcPr>
          <w:p>
            <w:pPr>
              <w:pStyle w:val="TableParagraph"/>
              <w:spacing w:line="316" w:lineRule="auto" w:before="17"/>
              <w:ind w:left="163" w:right="3" w:hanging="157"/>
              <w:jc w:val="left"/>
              <w:rPr>
                <w:rFonts w:ascii="宋体" w:hAnsi="宋体" w:cs="宋体" w:eastAsia="宋体" w:hint="default"/>
                <w:sz w:val="18"/>
                <w:szCs w:val="18"/>
              </w:rPr>
            </w:pPr>
            <w:r>
              <w:rPr>
                <w:rFonts w:ascii="宋体" w:hAnsi="宋体" w:cs="宋体" w:eastAsia="宋体" w:hint="default"/>
                <w:sz w:val="18"/>
                <w:szCs w:val="18"/>
              </w:rPr>
              <w:t>公允价值 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610" w:type="dxa"/>
            <w:vMerge w:val="restart"/>
            <w:tcBorders>
              <w:top w:val="nil" w:sz="6" w:space="0" w:color="auto"/>
              <w:left w:val="single" w:sz="8" w:space="0" w:color="000000"/>
              <w:right w:val="single" w:sz="8" w:space="0" w:color="000000"/>
            </w:tcBorders>
          </w:tcPr>
          <w:p>
            <w:pPr>
              <w:pStyle w:val="TableParagraph"/>
              <w:spacing w:line="316" w:lineRule="auto" w:before="17"/>
              <w:ind w:left="2" w:right="47"/>
              <w:jc w:val="left"/>
              <w:rPr>
                <w:rFonts w:ascii="宋体" w:hAnsi="宋体" w:cs="宋体" w:eastAsia="宋体" w:hint="default"/>
                <w:sz w:val="18"/>
                <w:szCs w:val="18"/>
              </w:rPr>
            </w:pPr>
            <w:r>
              <w:rPr>
                <w:rFonts w:ascii="宋体" w:hAnsi="宋体" w:cs="宋体" w:eastAsia="宋体" w:hint="default"/>
                <w:sz w:val="18"/>
                <w:szCs w:val="18"/>
              </w:rPr>
              <w:t>分摊期 数</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1046"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17"/>
              <w:ind w:left="424" w:right="60" w:hanging="360"/>
              <w:jc w:val="left"/>
              <w:rPr>
                <w:rFonts w:ascii="宋体" w:hAnsi="宋体" w:cs="宋体" w:eastAsia="宋体" w:hint="default"/>
                <w:sz w:val="18"/>
                <w:szCs w:val="18"/>
              </w:rPr>
            </w:pPr>
            <w:r>
              <w:rPr>
                <w:rFonts w:ascii="宋体" w:hAnsi="宋体" w:cs="宋体" w:eastAsia="宋体" w:hint="default"/>
                <w:sz w:val="18"/>
                <w:szCs w:val="18"/>
              </w:rPr>
              <w:t>报告期末预 计</w:t>
            </w:r>
          </w:p>
        </w:tc>
        <w:tc>
          <w:tcPr>
            <w:tcW w:w="9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报告期末</w:t>
            </w:r>
          </w:p>
        </w:tc>
        <w:tc>
          <w:tcPr>
            <w:tcW w:w="11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本报告期末</w:t>
            </w:r>
          </w:p>
        </w:tc>
        <w:tc>
          <w:tcPr>
            <w:tcW w:w="12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right="82"/>
              <w:jc w:val="right"/>
              <w:rPr>
                <w:rFonts w:ascii="宋体" w:hAnsi="宋体" w:cs="宋体" w:eastAsia="宋体" w:hint="default"/>
                <w:sz w:val="18"/>
                <w:szCs w:val="18"/>
              </w:rPr>
            </w:pPr>
            <w:r>
              <w:rPr>
                <w:rFonts w:ascii="宋体" w:hAnsi="宋体" w:cs="宋体" w:eastAsia="宋体" w:hint="default"/>
                <w:sz w:val="18"/>
                <w:szCs w:val="18"/>
              </w:rPr>
              <w:t>上一报告期末</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本报告期</w:t>
            </w:r>
          </w:p>
        </w:tc>
      </w:tr>
      <w:tr>
        <w:trPr>
          <w:trHeight w:val="343" w:hRule="exact"/>
        </w:trPr>
        <w:tc>
          <w:tcPr>
            <w:tcW w:w="523" w:type="dxa"/>
            <w:vMerge/>
            <w:tcBorders>
              <w:left w:val="nil" w:sz="6" w:space="0" w:color="auto"/>
              <w:bottom w:val="single" w:sz="8" w:space="0" w:color="000000"/>
              <w:right w:val="single" w:sz="8" w:space="0" w:color="000000"/>
            </w:tcBorders>
          </w:tcPr>
          <w:p>
            <w:pPr/>
          </w:p>
        </w:tc>
        <w:tc>
          <w:tcPr>
            <w:tcW w:w="523" w:type="dxa"/>
            <w:vMerge/>
            <w:tcBorders>
              <w:left w:val="single" w:sz="8" w:space="0" w:color="000000"/>
              <w:bottom w:val="single" w:sz="8" w:space="0" w:color="000000"/>
              <w:right w:val="single" w:sz="8" w:space="0" w:color="000000"/>
            </w:tcBorders>
          </w:tcPr>
          <w:p>
            <w:pPr/>
          </w:p>
        </w:tc>
        <w:tc>
          <w:tcPr>
            <w:tcW w:w="838" w:type="dxa"/>
            <w:vMerge/>
            <w:tcBorders>
              <w:left w:val="single" w:sz="8" w:space="0" w:color="000000"/>
              <w:bottom w:val="single" w:sz="8" w:space="0" w:color="000000"/>
              <w:right w:val="single" w:sz="8" w:space="0" w:color="000000"/>
            </w:tcBorders>
          </w:tcPr>
          <w:p>
            <w:pPr/>
          </w:p>
        </w:tc>
        <w:tc>
          <w:tcPr>
            <w:tcW w:w="752" w:type="dxa"/>
            <w:vMerge/>
            <w:tcBorders>
              <w:left w:val="single" w:sz="8" w:space="0" w:color="000000"/>
              <w:bottom w:val="single" w:sz="8" w:space="0" w:color="000000"/>
              <w:right w:val="single" w:sz="8" w:space="0" w:color="000000"/>
            </w:tcBorders>
          </w:tcPr>
          <w:p>
            <w:pPr/>
          </w:p>
        </w:tc>
        <w:tc>
          <w:tcPr>
            <w:tcW w:w="610" w:type="dxa"/>
            <w:vMerge/>
            <w:tcBorders>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解禁股数</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已分摊期数</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累计分摊费用</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82"/>
              <w:jc w:val="right"/>
              <w:rPr>
                <w:rFonts w:ascii="宋体" w:hAnsi="宋体" w:cs="宋体" w:eastAsia="宋体" w:hint="default"/>
                <w:sz w:val="18"/>
                <w:szCs w:val="18"/>
              </w:rPr>
            </w:pPr>
            <w:r>
              <w:rPr>
                <w:rFonts w:ascii="宋体" w:hAnsi="宋体" w:cs="宋体" w:eastAsia="宋体" w:hint="default"/>
                <w:sz w:val="18"/>
                <w:szCs w:val="18"/>
              </w:rPr>
              <w:t>累计分摊费用</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分摊费用</w:t>
            </w:r>
          </w:p>
        </w:tc>
      </w:tr>
      <w:tr>
        <w:trPr>
          <w:trHeight w:val="341"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索引</w:t>
            </w:r>
          </w:p>
        </w:tc>
        <w:tc>
          <w:tcPr>
            <w:tcW w:w="523" w:type="dxa"/>
            <w:tcBorders>
              <w:top w:val="single" w:sz="8" w:space="0" w:color="000000"/>
              <w:left w:val="single" w:sz="8" w:space="0" w:color="000000"/>
              <w:bottom w:val="single" w:sz="8" w:space="0" w:color="000000"/>
              <w:right w:val="single" w:sz="8" w:space="0" w:color="000000"/>
            </w:tcBorders>
          </w:tcPr>
          <w:p>
            <w:pPr/>
          </w:p>
        </w:tc>
        <w:tc>
          <w:tcPr>
            <w:tcW w:w="838" w:type="dxa"/>
            <w:tcBorders>
              <w:top w:val="single" w:sz="8" w:space="0" w:color="000000"/>
              <w:left w:val="single" w:sz="8" w:space="0" w:color="000000"/>
              <w:bottom w:val="single" w:sz="8" w:space="0" w:color="000000"/>
              <w:right w:val="single" w:sz="8" w:space="0" w:color="000000"/>
            </w:tcBorders>
          </w:tcPr>
          <w:p>
            <w:pPr/>
          </w:p>
        </w:tc>
        <w:tc>
          <w:tcPr>
            <w:tcW w:w="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w:t>
            </w:r>
          </w:p>
        </w:tc>
        <w:tc>
          <w:tcPr>
            <w:tcW w:w="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5=1*3*4/2</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7=5-6</w:t>
            </w:r>
          </w:p>
        </w:tc>
      </w:tr>
      <w:tr>
        <w:trPr>
          <w:trHeight w:val="34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5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15"/>
              <w:jc w:val="right"/>
              <w:rPr>
                <w:rFonts w:ascii="Times New Roman" w:hAnsi="Times New Roman" w:cs="Times New Roman" w:eastAsia="Times New Roman" w:hint="default"/>
                <w:sz w:val="18"/>
                <w:szCs w:val="18"/>
              </w:rPr>
            </w:pPr>
            <w:r>
              <w:rPr>
                <w:rFonts w:ascii="Times New Roman"/>
                <w:spacing w:val="-1"/>
                <w:sz w:val="18"/>
              </w:rPr>
              <w:t>565,920</w:t>
            </w:r>
          </w:p>
        </w:tc>
        <w:tc>
          <w:tcPr>
            <w:tcW w:w="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42" w:right="0"/>
              <w:jc w:val="center"/>
              <w:rPr>
                <w:rFonts w:ascii="Times New Roman" w:hAnsi="Times New Roman" w:cs="Times New Roman" w:eastAsia="Times New Roman" w:hint="default"/>
                <w:sz w:val="18"/>
                <w:szCs w:val="18"/>
              </w:rPr>
            </w:pPr>
            <w:r>
              <w:rPr>
                <w:rFonts w:ascii="Times New Roman"/>
                <w:sz w:val="18"/>
              </w:rPr>
              <w:t>10.02</w:t>
            </w:r>
          </w:p>
        </w:tc>
        <w:tc>
          <w:tcPr>
            <w:tcW w:w="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06" w:right="0"/>
              <w:jc w:val="lef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564,120.00</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12.00</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5,652,482.40</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Times New Roman" w:hAnsi="Times New Roman" w:cs="Times New Roman" w:eastAsia="Times New Roman" w:hint="default"/>
                <w:sz w:val="18"/>
                <w:szCs w:val="18"/>
              </w:rPr>
            </w:pPr>
            <w:r>
              <w:rPr>
                <w:rFonts w:ascii="Times New Roman"/>
                <w:sz w:val="18"/>
              </w:rPr>
              <w:t>5,652,482.40</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0.00</w:t>
            </w:r>
          </w:p>
        </w:tc>
      </w:tr>
      <w:tr>
        <w:trPr>
          <w:trHeight w:val="34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5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8"/>
              <w:jc w:val="right"/>
              <w:rPr>
                <w:rFonts w:ascii="Times New Roman" w:hAnsi="Times New Roman" w:cs="Times New Roman" w:eastAsia="Times New Roman" w:hint="default"/>
                <w:sz w:val="18"/>
                <w:szCs w:val="18"/>
              </w:rPr>
            </w:pPr>
            <w:r>
              <w:rPr>
                <w:rFonts w:ascii="Times New Roman"/>
                <w:spacing w:val="-1"/>
                <w:sz w:val="18"/>
              </w:rPr>
              <w:t>1,131,840</w:t>
            </w:r>
          </w:p>
        </w:tc>
        <w:tc>
          <w:tcPr>
            <w:tcW w:w="7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Times New Roman"/>
                <w:sz w:val="18"/>
              </w:rPr>
              <w:t>10.02</w:t>
            </w:r>
          </w:p>
        </w:tc>
        <w:tc>
          <w:tcPr>
            <w:tcW w:w="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19.50</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0.00</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760" w:type="dxa"/>
        <w:tblLayout w:type="fixed"/>
        <w:tblCellMar>
          <w:top w:w="0" w:type="dxa"/>
          <w:left w:w="0" w:type="dxa"/>
          <w:bottom w:w="0" w:type="dxa"/>
          <w:right w:w="0" w:type="dxa"/>
        </w:tblCellMar>
        <w:tblLook w:val="01E0"/>
      </w:tblPr>
      <w:tblGrid>
        <w:gridCol w:w="538"/>
        <w:gridCol w:w="523"/>
        <w:gridCol w:w="838"/>
        <w:gridCol w:w="752"/>
        <w:gridCol w:w="610"/>
        <w:gridCol w:w="1046"/>
        <w:gridCol w:w="944"/>
        <w:gridCol w:w="1152"/>
        <w:gridCol w:w="1268"/>
        <w:gridCol w:w="1246"/>
      </w:tblGrid>
      <w:tr>
        <w:trPr>
          <w:trHeight w:val="341" w:hRule="exact"/>
        </w:trPr>
        <w:tc>
          <w:tcPr>
            <w:tcW w:w="538" w:type="dxa"/>
            <w:tcBorders>
              <w:top w:val="nil" w:sz="6" w:space="0" w:color="auto"/>
              <w:left w:val="nil" w:sz="6" w:space="0" w:color="auto"/>
              <w:bottom w:val="single" w:sz="8" w:space="0" w:color="000000"/>
              <w:right w:val="single" w:sz="8"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52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w:t>
            </w:r>
          </w:p>
        </w:tc>
        <w:tc>
          <w:tcPr>
            <w:tcW w:w="8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1,131,840</w:t>
            </w:r>
          </w:p>
        </w:tc>
        <w:tc>
          <w:tcPr>
            <w:tcW w:w="7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185" w:right="0"/>
              <w:jc w:val="left"/>
              <w:rPr>
                <w:rFonts w:ascii="Times New Roman" w:hAnsi="Times New Roman" w:cs="Times New Roman" w:eastAsia="Times New Roman" w:hint="default"/>
                <w:sz w:val="18"/>
                <w:szCs w:val="18"/>
              </w:rPr>
            </w:pPr>
            <w:r>
              <w:rPr>
                <w:rFonts w:ascii="Times New Roman"/>
                <w:sz w:val="18"/>
              </w:rPr>
              <w:t>10.02</w:t>
            </w:r>
          </w:p>
        </w:tc>
        <w:tc>
          <w:tcPr>
            <w:tcW w:w="6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36</w:t>
            </w:r>
          </w:p>
        </w:tc>
        <w:tc>
          <w:tcPr>
            <w:tcW w:w="10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0.00</w:t>
            </w:r>
          </w:p>
        </w:tc>
        <w:tc>
          <w:tcPr>
            <w:tcW w:w="94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262" w:right="0"/>
              <w:jc w:val="left"/>
              <w:rPr>
                <w:rFonts w:ascii="Times New Roman" w:hAnsi="Times New Roman" w:cs="Times New Roman" w:eastAsia="Times New Roman" w:hint="default"/>
                <w:sz w:val="18"/>
                <w:szCs w:val="18"/>
              </w:rPr>
            </w:pPr>
            <w:r>
              <w:rPr>
                <w:rFonts w:ascii="Times New Roman"/>
                <w:sz w:val="18"/>
              </w:rPr>
              <w:t>31.50</w:t>
            </w:r>
          </w:p>
        </w:tc>
        <w:tc>
          <w:tcPr>
            <w:tcW w:w="11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0.00</w:t>
            </w:r>
          </w:p>
        </w:tc>
        <w:tc>
          <w:tcPr>
            <w:tcW w:w="12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left="151" w:right="0"/>
              <w:jc w:val="left"/>
              <w:rPr>
                <w:rFonts w:ascii="Times New Roman" w:hAnsi="Times New Roman" w:cs="Times New Roman" w:eastAsia="Times New Roman" w:hint="default"/>
                <w:sz w:val="18"/>
                <w:szCs w:val="18"/>
              </w:rPr>
            </w:pPr>
            <w:r>
              <w:rPr>
                <w:rFonts w:ascii="Times New Roman"/>
                <w:sz w:val="18"/>
              </w:rPr>
              <w:t>5,858,660.60</w:t>
            </w:r>
          </w:p>
        </w:tc>
        <w:tc>
          <w:tcPr>
            <w:tcW w:w="12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-5,858,660.60</w:t>
            </w:r>
          </w:p>
        </w:tc>
      </w:tr>
      <w:tr>
        <w:trPr>
          <w:trHeight w:val="34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b/>
                <w:sz w:val="18"/>
              </w:rPr>
              <w:t>2,829,600</w:t>
            </w:r>
            <w:r>
              <w:rPr>
                <w:rFonts w:ascii="Times New Roman"/>
                <w:sz w:val="18"/>
              </w:rPr>
            </w:r>
          </w:p>
        </w:tc>
        <w:tc>
          <w:tcPr>
            <w:tcW w:w="752" w:type="dxa"/>
            <w:tcBorders>
              <w:top w:val="single" w:sz="8" w:space="0" w:color="000000"/>
              <w:left w:val="single" w:sz="8" w:space="0" w:color="000000"/>
              <w:bottom w:val="single" w:sz="8" w:space="0" w:color="000000"/>
              <w:right w:val="single" w:sz="8" w:space="0" w:color="000000"/>
            </w:tcBorders>
          </w:tcPr>
          <w:p>
            <w:pPr/>
          </w:p>
        </w:tc>
        <w:tc>
          <w:tcPr>
            <w:tcW w:w="610" w:type="dxa"/>
            <w:tcBorders>
              <w:top w:val="single" w:sz="8" w:space="0" w:color="000000"/>
              <w:left w:val="single" w:sz="8" w:space="0" w:color="000000"/>
              <w:bottom w:val="single" w:sz="8" w:space="0" w:color="000000"/>
              <w:right w:val="single" w:sz="8" w:space="0" w:color="000000"/>
            </w:tcBorders>
          </w:tcPr>
          <w:p>
            <w:pP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b/>
                <w:sz w:val="18"/>
              </w:rPr>
              <w:t>564,120.00</w:t>
            </w:r>
            <w:r>
              <w:rPr>
                <w:rFonts w:ascii="Times New Roman"/>
                <w:sz w:val="18"/>
              </w:rPr>
            </w:r>
          </w:p>
        </w:tc>
        <w:tc>
          <w:tcPr>
            <w:tcW w:w="944" w:type="dxa"/>
            <w:tcBorders>
              <w:top w:val="single" w:sz="8" w:space="0" w:color="000000"/>
              <w:left w:val="single" w:sz="8" w:space="0" w:color="000000"/>
              <w:bottom w:val="single" w:sz="8" w:space="0" w:color="000000"/>
              <w:right w:val="single" w:sz="8" w:space="0" w:color="000000"/>
            </w:tcBorders>
          </w:tcPr>
          <w:p>
            <w:pP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b/>
                <w:sz w:val="18"/>
              </w:rPr>
              <w:t>5,652,482.40</w:t>
            </w:r>
            <w:r>
              <w:rPr>
                <w:rFonts w:ascii="Times New Roman"/>
                <w:sz w:val="18"/>
              </w:rPr>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115" w:right="0"/>
              <w:jc w:val="left"/>
              <w:rPr>
                <w:rFonts w:ascii="Times New Roman" w:hAnsi="Times New Roman" w:cs="Times New Roman" w:eastAsia="Times New Roman" w:hint="default"/>
                <w:sz w:val="18"/>
                <w:szCs w:val="18"/>
              </w:rPr>
            </w:pPr>
            <w:r>
              <w:rPr>
                <w:rFonts w:ascii="Times New Roman"/>
                <w:b/>
                <w:sz w:val="18"/>
              </w:rPr>
              <w:t>11,511,143.00</w:t>
            </w:r>
            <w:r>
              <w:rPr>
                <w:rFonts w:ascii="Times New Roman"/>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b/>
                <w:sz w:val="18"/>
              </w:rPr>
              <w:t>-5,858,660.60</w:t>
            </w:r>
            <w:r>
              <w:rPr>
                <w:rFonts w:ascii="Times New Roman"/>
                <w:sz w:val="18"/>
              </w:rPr>
            </w:r>
          </w:p>
        </w:tc>
      </w:tr>
    </w:tbl>
    <w:p>
      <w:pPr>
        <w:spacing w:line="240" w:lineRule="auto" w:before="1"/>
        <w:rPr>
          <w:rFonts w:ascii="宋体" w:hAnsi="宋体" w:cs="宋体" w:eastAsia="宋体" w:hint="default"/>
          <w:sz w:val="21"/>
          <w:szCs w:val="21"/>
        </w:rPr>
      </w:pPr>
    </w:p>
    <w:p>
      <w:pPr>
        <w:pStyle w:val="BodyText"/>
        <w:spacing w:line="240" w:lineRule="auto" w:before="44"/>
        <w:ind w:left="424" w:right="1116"/>
        <w:jc w:val="left"/>
      </w:pPr>
      <w:r>
        <w:rPr>
          <w:rFonts w:ascii="Times New Roman" w:hAnsi="Times New Roman" w:cs="Times New Roman" w:eastAsia="Times New Roman" w:hint="default"/>
        </w:rPr>
        <w:t>1</w:t>
      </w:r>
      <w:r>
        <w:rPr/>
        <w:t>、公允价值</w:t>
      </w:r>
    </w:p>
    <w:p>
      <w:pPr>
        <w:pStyle w:val="BodyText"/>
        <w:spacing w:line="240" w:lineRule="auto" w:before="63"/>
        <w:ind w:left="695" w:right="1116"/>
        <w:jc w:val="left"/>
      </w:pPr>
      <w:r>
        <w:rPr/>
        <w:t>限制性股票每股公允价值</w:t>
      </w:r>
      <w:r>
        <w:rPr>
          <w:rFonts w:ascii="Times New Roman" w:hAnsi="Times New Roman" w:cs="Times New Roman" w:eastAsia="Times New Roman" w:hint="default"/>
        </w:rPr>
        <w:t>=</w:t>
      </w:r>
      <w:r>
        <w:rPr/>
        <w:t>授予日今天国际股票收盘价</w:t>
      </w:r>
      <w:r>
        <w:rPr>
          <w:rFonts w:ascii="Times New Roman" w:hAnsi="Times New Roman" w:cs="Times New Roman" w:eastAsia="Times New Roman" w:hint="default"/>
        </w:rPr>
        <w:t>27.62</w:t>
      </w:r>
      <w:r>
        <w:rPr/>
        <w:t>元</w:t>
      </w:r>
      <w:r>
        <w:rPr>
          <w:rFonts w:ascii="Times New Roman" w:hAnsi="Times New Roman" w:cs="Times New Roman" w:eastAsia="Times New Roman" w:hint="default"/>
        </w:rPr>
        <w:t>-</w:t>
      </w:r>
      <w:r>
        <w:rPr/>
        <w:t>授予价</w:t>
      </w:r>
      <w:r>
        <w:rPr>
          <w:rFonts w:ascii="Times New Roman" w:hAnsi="Times New Roman" w:cs="Times New Roman" w:eastAsia="Times New Roman" w:hint="default"/>
        </w:rPr>
        <w:t>17.6</w:t>
      </w:r>
      <w:r>
        <w:rPr/>
        <w:t>元</w:t>
      </w:r>
      <w:r>
        <w:rPr>
          <w:rFonts w:ascii="Times New Roman" w:hAnsi="Times New Roman" w:cs="Times New Roman" w:eastAsia="Times New Roman" w:hint="default"/>
        </w:rPr>
        <w:t>=10.02</w:t>
      </w:r>
      <w:r>
        <w:rPr/>
        <w:t>元</w:t>
      </w:r>
    </w:p>
    <w:p>
      <w:pPr>
        <w:spacing w:line="240" w:lineRule="auto" w:before="0"/>
        <w:rPr>
          <w:rFonts w:ascii="宋体" w:hAnsi="宋体" w:cs="宋体" w:eastAsia="宋体" w:hint="default"/>
          <w:sz w:val="18"/>
          <w:szCs w:val="18"/>
        </w:rPr>
      </w:pPr>
    </w:p>
    <w:p>
      <w:pPr>
        <w:pStyle w:val="BodyText"/>
        <w:spacing w:line="300" w:lineRule="auto" w:before="139"/>
        <w:ind w:left="741" w:right="1128" w:hanging="317"/>
        <w:jc w:val="left"/>
      </w:pPr>
      <w:r>
        <w:rPr>
          <w:rFonts w:ascii="Times New Roman" w:hAnsi="Times New Roman" w:cs="Times New Roman" w:eastAsia="Times New Roman" w:hint="default"/>
        </w:rPr>
        <w:t>2</w:t>
      </w:r>
      <w:r>
        <w:rPr/>
        <w:t>、报告期末预计解禁股数 批次一：</w:t>
      </w:r>
      <w:r>
        <w:rPr>
          <w:rFonts w:ascii="Times New Roman" w:hAnsi="Times New Roman" w:cs="Times New Roman" w:eastAsia="Times New Roman" w:hint="default"/>
        </w:rPr>
        <w:t>2017</w:t>
      </w:r>
      <w:r>
        <w:rPr/>
        <w:t>年公司层面业绩，满足限制性股票解除限售要求，该批次实际解禁股数</w:t>
      </w:r>
      <w:r>
        <w:rPr>
          <w:rFonts w:ascii="Times New Roman" w:hAnsi="Times New Roman" w:cs="Times New Roman" w:eastAsia="Times New Roman" w:hint="default"/>
        </w:rPr>
        <w:t>=2829600*20%-1800=564120</w:t>
      </w:r>
      <w:r>
        <w:rPr/>
        <w:t>，</w:t>
      </w:r>
    </w:p>
    <w:p>
      <w:pPr>
        <w:pStyle w:val="BodyText"/>
        <w:spacing w:line="240" w:lineRule="auto" w:before="13"/>
        <w:ind w:right="1116"/>
        <w:jc w:val="left"/>
      </w:pPr>
      <w:r>
        <w:rPr/>
        <w:t>该批次股票于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月解禁。其中</w:t>
      </w:r>
      <w:r>
        <w:rPr>
          <w:rFonts w:ascii="Times New Roman" w:hAnsi="Times New Roman" w:cs="Times New Roman" w:eastAsia="Times New Roman" w:hint="default"/>
        </w:rPr>
        <w:t>1800</w:t>
      </w:r>
      <w:r>
        <w:rPr/>
        <w:t>股为该批次截至解禁前已离职不再具备激励资格的员工股数。</w:t>
      </w:r>
    </w:p>
    <w:p>
      <w:pPr>
        <w:pStyle w:val="BodyText"/>
        <w:spacing w:line="300" w:lineRule="auto" w:before="63"/>
        <w:ind w:right="1116" w:firstLine="588"/>
        <w:jc w:val="left"/>
      </w:pPr>
      <w:r>
        <w:rPr>
          <w:spacing w:val="-1"/>
        </w:rPr>
        <w:t>批次二、三：</w:t>
      </w:r>
      <w:r>
        <w:rPr>
          <w:rFonts w:ascii="Times New Roman" w:hAnsi="Times New Roman" w:cs="Times New Roman" w:eastAsia="Times New Roman" w:hint="default"/>
          <w:spacing w:val="-1"/>
        </w:rPr>
        <w:t>2018-2019</w:t>
      </w:r>
      <w:r>
        <w:rPr>
          <w:spacing w:val="-1"/>
        </w:rPr>
        <w:t>年公司层面业绩，未满足限制性股票解除限售要求，故第二、三个限售期对应批次的限制性</w:t>
      </w:r>
      <w:r>
        <w:rPr/>
        <w:t> 股票预计解禁数量为</w:t>
      </w:r>
      <w:r>
        <w:rPr>
          <w:rFonts w:ascii="Times New Roman" w:hAnsi="Times New Roman" w:cs="Times New Roman" w:eastAsia="Times New Roman" w:hint="default"/>
        </w:rPr>
        <w:t>0</w:t>
      </w:r>
      <w:r>
        <w:rPr/>
        <w:t>。</w:t>
      </w:r>
    </w:p>
    <w:p>
      <w:pPr>
        <w:pStyle w:val="Heading2"/>
        <w:spacing w:line="281" w:lineRule="exact"/>
        <w:ind w:right="1116"/>
        <w:jc w:val="left"/>
        <w:rPr>
          <w:b w:val="0"/>
          <w:bCs w:val="0"/>
        </w:rPr>
      </w:pPr>
      <w:bookmarkStart w:name="十二、承诺及或有事项" w:id="325"/>
      <w:bookmarkEnd w:id="325"/>
      <w:r>
        <w:rPr>
          <w:b w:val="0"/>
          <w:bCs w:val="0"/>
        </w:rPr>
      </w:r>
      <w:r>
        <w:rPr/>
        <w:t>十二、承诺及或有事项</w:t>
      </w:r>
      <w:r>
        <w:rPr>
          <w:b w:val="0"/>
          <w:bCs w:val="0"/>
        </w:rPr>
      </w:r>
    </w:p>
    <w:p>
      <w:pPr>
        <w:spacing w:line="285" w:lineRule="auto" w:before="26"/>
        <w:ind w:left="152" w:right="8414" w:firstLine="0"/>
        <w:jc w:val="left"/>
        <w:rPr>
          <w:rFonts w:ascii="宋体" w:hAnsi="宋体" w:cs="宋体" w:eastAsia="宋体" w:hint="default"/>
          <w:sz w:val="21"/>
          <w:szCs w:val="21"/>
        </w:rPr>
      </w:pPr>
      <w:bookmarkStart w:name="1、重要承诺事项" w:id="326"/>
      <w:bookmarkEnd w:id="3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 </w:t>
      </w:r>
      <w:bookmarkStart w:name="2、或有事项" w:id="327"/>
      <w:bookmarkEnd w:id="3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70" w:lineRule="exact"/>
        <w:ind w:right="1116"/>
        <w:jc w:val="left"/>
        <w:rPr>
          <w:b w:val="0"/>
          <w:bCs w:val="0"/>
        </w:rPr>
      </w:pPr>
      <w:bookmarkStart w:name="（1）资产负债表日存在的重要或有事项" w:id="328"/>
      <w:bookmarkEnd w:id="32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300" w:lineRule="auto" w:before="42"/>
        <w:ind w:left="866" w:right="1128"/>
        <w:jc w:val="both"/>
        <w:rPr>
          <w:rFonts w:ascii="Times New Roman" w:hAnsi="Times New Roman" w:cs="Times New Roman" w:eastAsia="Times New Roman" w:hint="default"/>
        </w:rPr>
      </w:pPr>
      <w:r>
        <w:rPr/>
        <w:t>深圳市今天国际物流技术股份有限公司</w:t>
      </w:r>
      <w:r>
        <w:rPr>
          <w:rFonts w:ascii="Times New Roman" w:hAnsi="Times New Roman" w:cs="Times New Roman" w:eastAsia="Times New Roman" w:hint="default"/>
        </w:rPr>
        <w:t>2017</w:t>
      </w:r>
      <w:r>
        <w:rPr/>
        <w:t>年与申云植签署股权转让协议书，约定今天国际以</w:t>
      </w:r>
      <w:r>
        <w:rPr>
          <w:rFonts w:ascii="Times New Roman" w:hAnsi="Times New Roman" w:cs="Times New Roman" w:eastAsia="Times New Roman" w:hint="default"/>
        </w:rPr>
        <w:t>3,432</w:t>
      </w:r>
      <w:r>
        <w:rPr/>
        <w:t>万元的价款受</w:t>
      </w:r>
      <w:r>
        <w:rPr>
          <w:spacing w:val="-38"/>
        </w:rPr>
        <w:t> </w:t>
      </w:r>
      <w:r>
        <w:rPr>
          <w:spacing w:val="-38"/>
        </w:rPr>
      </w:r>
      <w:r>
        <w:rPr/>
        <w:t>让其持有的深圳市旭龙昇电子有限公司</w:t>
      </w:r>
      <w:r>
        <w:rPr>
          <w:rFonts w:ascii="Times New Roman" w:hAnsi="Times New Roman" w:cs="Times New Roman" w:eastAsia="Times New Roman" w:hint="default"/>
        </w:rPr>
        <w:t>33%</w:t>
      </w:r>
      <w:r>
        <w:rPr/>
        <w:t>的股权，当旭龙昇业绩承诺期（</w:t>
      </w:r>
      <w:r>
        <w:rPr>
          <w:rFonts w:ascii="Times New Roman" w:hAnsi="Times New Roman" w:cs="Times New Roman" w:eastAsia="Times New Roman" w:hint="default"/>
        </w:rPr>
        <w:t>2017-2019</w:t>
      </w:r>
      <w:r>
        <w:rPr/>
        <w:t>年）连续三年未达成扣非净</w:t>
      </w:r>
      <w:r>
        <w:rPr>
          <w:spacing w:val="-26"/>
        </w:rPr>
        <w:t> </w:t>
      </w:r>
      <w:r>
        <w:rPr>
          <w:spacing w:val="-26"/>
        </w:rPr>
      </w:r>
      <w:r>
        <w:rPr/>
        <w:t>利润目标或者累计实际实现的经审计的扣非净利润总额低于承诺期内三年合计之扣非净利润目标</w:t>
      </w:r>
      <w:r>
        <w:rPr>
          <w:rFonts w:ascii="Times New Roman" w:hAnsi="Times New Roman" w:cs="Times New Roman" w:eastAsia="Times New Roman" w:hint="default"/>
        </w:rPr>
        <w:t>3,800</w:t>
      </w:r>
      <w:r>
        <w:rPr/>
        <w:t>万元时</w:t>
      </w:r>
      <w:r>
        <w:rPr>
          <w:rFonts w:ascii="Times New Roman" w:hAnsi="Times New Roman" w:cs="Times New Roman" w:eastAsia="Times New Roman" w:hint="default"/>
        </w:rPr>
        <w:t>,</w:t>
      </w:r>
      <w:r>
        <w:rPr/>
        <w:t>由申</w:t>
      </w:r>
      <w:r>
        <w:rPr>
          <w:spacing w:val="-76"/>
        </w:rPr>
        <w:t> </w:t>
      </w:r>
      <w:r>
        <w:rPr>
          <w:spacing w:val="-2"/>
        </w:rPr>
        <w:t>云植回购今天国际持有旭龙昇的全部股权。截至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日，经立信会计师事务所（特殊普通合伙）审计确认</w:t>
      </w:r>
      <w:r>
        <w:rPr>
          <w:spacing w:val="-63"/>
        </w:rPr>
        <w:t> </w:t>
      </w:r>
      <w:r>
        <w:rPr>
          <w:spacing w:val="-63"/>
        </w:rPr>
      </w:r>
      <w:r>
        <w:rPr>
          <w:spacing w:val="-2"/>
        </w:rPr>
        <w:t>旭龙昇</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2019</w:t>
      </w:r>
      <w:r>
        <w:rPr>
          <w:spacing w:val="-2"/>
        </w:rPr>
        <w:t>年实现的扣非净利润分别为</w:t>
      </w:r>
      <w:r>
        <w:rPr>
          <w:rFonts w:ascii="Times New Roman" w:hAnsi="Times New Roman" w:cs="Times New Roman" w:eastAsia="Times New Roman" w:hint="default"/>
          <w:spacing w:val="-2"/>
        </w:rPr>
        <w:t>9,971,426.03</w:t>
      </w:r>
      <w:r>
        <w:rPr>
          <w:spacing w:val="-2"/>
        </w:rPr>
        <w:t>元、</w:t>
      </w:r>
      <w:r>
        <w:rPr>
          <w:rFonts w:ascii="Times New Roman" w:hAnsi="Times New Roman" w:cs="Times New Roman" w:eastAsia="Times New Roman" w:hint="default"/>
          <w:spacing w:val="-2"/>
        </w:rPr>
        <w:t>12,554,541.28</w:t>
      </w:r>
      <w:r>
        <w:rPr>
          <w:spacing w:val="-2"/>
        </w:rPr>
        <w:t>元和</w:t>
      </w:r>
      <w:r>
        <w:rPr>
          <w:rFonts w:ascii="Times New Roman" w:hAnsi="Times New Roman" w:cs="Times New Roman" w:eastAsia="Times New Roman" w:hint="default"/>
          <w:spacing w:val="-2"/>
        </w:rPr>
        <w:t>12,528,223.4</w:t>
      </w:r>
      <w:r>
        <w:rPr>
          <w:spacing w:val="-2"/>
        </w:rPr>
        <w:t>元、合计</w:t>
      </w:r>
      <w:r>
        <w:rPr>
          <w:rFonts w:ascii="Times New Roman" w:hAnsi="Times New Roman" w:cs="Times New Roman" w:eastAsia="Times New Roman" w:hint="default"/>
          <w:spacing w:val="-2"/>
        </w:rPr>
        <w:t>35,054,190.71</w:t>
      </w:r>
    </w:p>
    <w:p>
      <w:pPr>
        <w:pStyle w:val="BodyText"/>
        <w:spacing w:line="300" w:lineRule="auto" w:before="13"/>
        <w:ind w:left="866" w:right="1139"/>
        <w:jc w:val="both"/>
      </w:pPr>
      <w:r>
        <w:rPr/>
        <w:t>元，占业绩承诺</w:t>
      </w:r>
      <w:r>
        <w:rPr>
          <w:rFonts w:ascii="Times New Roman" w:hAnsi="Times New Roman" w:cs="Times New Roman" w:eastAsia="Times New Roman" w:hint="default"/>
        </w:rPr>
        <w:t>3,800</w:t>
      </w:r>
      <w:r>
        <w:rPr/>
        <w:t>万元的</w:t>
      </w:r>
      <w:r>
        <w:rPr>
          <w:rFonts w:ascii="Times New Roman" w:hAnsi="Times New Roman" w:cs="Times New Roman" w:eastAsia="Times New Roman" w:hint="default"/>
        </w:rPr>
        <w:t>92.25%</w:t>
      </w:r>
      <w:r>
        <w:rPr/>
        <w:t>。双方根据</w:t>
      </w:r>
      <w:r>
        <w:rPr>
          <w:rFonts w:ascii="Times New Roman" w:hAnsi="Times New Roman" w:cs="Times New Roman" w:eastAsia="Times New Roman" w:hint="default"/>
        </w:rPr>
        <w:t>2017</w:t>
      </w:r>
      <w:r>
        <w:rPr/>
        <w:t>年股权转让协议相关约定，正在对此事项涉及的现金补偿和股</w:t>
      </w:r>
      <w:r>
        <w:rPr>
          <w:spacing w:val="-58"/>
        </w:rPr>
        <w:t> </w:t>
      </w:r>
      <w:r>
        <w:rPr>
          <w:spacing w:val="-58"/>
        </w:rPr>
      </w:r>
      <w:r>
        <w:rPr/>
        <w:t>份回购事宜进行友好协商。</w:t>
      </w:r>
    </w:p>
    <w:p>
      <w:pPr>
        <w:pStyle w:val="Heading3"/>
        <w:spacing w:line="240" w:lineRule="auto" w:before="11"/>
        <w:ind w:right="1116"/>
        <w:jc w:val="left"/>
        <w:rPr>
          <w:b w:val="0"/>
          <w:bCs w:val="0"/>
        </w:rPr>
      </w:pPr>
      <w:bookmarkStart w:name="（2）公司没有需要披露的重要或有事项，也应予以说明" w:id="329"/>
      <w:bookmarkEnd w:id="32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pStyle w:val="BodyText"/>
        <w:spacing w:line="240" w:lineRule="auto" w:before="44"/>
        <w:ind w:right="1116"/>
        <w:jc w:val="left"/>
      </w:pPr>
      <w:r>
        <w:rPr/>
        <w:t>公司不存在需要披露的重要或有事项。</w:t>
      </w:r>
    </w:p>
    <w:p>
      <w:pPr>
        <w:spacing w:line="247" w:lineRule="auto" w:before="56"/>
        <w:ind w:left="152" w:right="7863" w:firstLine="0"/>
        <w:jc w:val="left"/>
        <w:rPr>
          <w:rFonts w:ascii="宋体" w:hAnsi="宋体" w:cs="宋体" w:eastAsia="宋体" w:hint="default"/>
          <w:sz w:val="21"/>
          <w:szCs w:val="21"/>
        </w:rPr>
      </w:pPr>
      <w:bookmarkStart w:name="3、其他" w:id="330"/>
      <w:bookmarkEnd w:id="3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资产负债表日后事项" w:id="331"/>
      <w:bookmarkEnd w:id="331"/>
      <w:r>
        <w:rPr>
          <w:rFonts w:ascii="宋体" w:hAnsi="宋体" w:cs="宋体" w:eastAsia="宋体" w:hint="default"/>
          <w:b/>
          <w:bCs/>
          <w:w w:val="100"/>
          <w:sz w:val="21"/>
          <w:szCs w:val="21"/>
        </w:rPr>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bookmarkStart w:name="1、重要的非调整事项" w:id="332"/>
      <w:bookmarkEnd w:id="3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35"/>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63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877" w:footer="980" w:top="108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625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 三届董事会第二十次会议 以及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w:t>
            </w:r>
          </w:p>
          <w:p>
            <w:pPr>
              <w:pStyle w:val="TableParagraph"/>
              <w:spacing w:line="312" w:lineRule="auto" w:before="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w:t>
            </w:r>
            <w:r>
              <w:rPr>
                <w:rFonts w:ascii="宋体" w:hAnsi="宋体" w:cs="宋体" w:eastAsia="宋体" w:hint="default"/>
                <w:spacing w:val="-7"/>
                <w:sz w:val="18"/>
                <w:szCs w:val="18"/>
              </w:rPr>
              <w:t>会，公司拟发行可转换公司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债券且募集资金不超过人 民币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万元（含</w:t>
            </w:r>
          </w:p>
          <w:p>
            <w:pPr>
              <w:pStyle w:val="TableParagraph"/>
              <w:spacing w:line="240" w:lineRule="auto" w:before="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314" w:lineRule="auto" w:before="63"/>
              <w:ind w:left="103"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 </w:t>
            </w:r>
            <w:r>
              <w:rPr>
                <w:rFonts w:ascii="宋体" w:hAnsi="宋体" w:cs="宋体" w:eastAsia="宋体" w:hint="default"/>
                <w:spacing w:val="-7"/>
                <w:sz w:val="18"/>
                <w:szCs w:val="18"/>
              </w:rPr>
              <w:t>理委员会（以下简称“中国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证监会”）第十八届发行审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核委员会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次工 作会议对公司创业板公开 发行可转换公司债券的申 </w:t>
            </w:r>
            <w:r>
              <w:rPr>
                <w:rFonts w:ascii="宋体" w:hAnsi="宋体" w:cs="宋体" w:eastAsia="宋体" w:hint="default"/>
                <w:spacing w:val="-7"/>
                <w:sz w:val="18"/>
                <w:szCs w:val="18"/>
              </w:rPr>
              <w:t>请进行了审核。根据审核结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果，公司本次创业板公开发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行可转换公司债券的申请 获得审核通过。截止目前， 公司尚未收到中国证监会 的书面核准文件。</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pStyle w:val="Heading3"/>
        <w:spacing w:line="278" w:lineRule="exact"/>
        <w:ind w:right="-16"/>
        <w:jc w:val="left"/>
        <w:rPr>
          <w:b w:val="0"/>
          <w:bCs w:val="0"/>
        </w:rPr>
      </w:pPr>
      <w:bookmarkStart w:name="2、利润分配情况" w:id="333"/>
      <w:bookmarkEnd w:id="33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37" w:space="7092"/>
            <w:col w:w="2101"/>
          </w:cols>
        </w:sectPr>
      </w:pPr>
    </w:p>
    <w:p>
      <w:pPr>
        <w:spacing w:line="240" w:lineRule="auto" w:before="3"/>
        <w:rPr>
          <w:rFonts w:ascii="宋体" w:hAnsi="宋体" w:cs="宋体" w:eastAsia="宋体" w:hint="default"/>
          <w:sz w:val="5"/>
          <w:szCs w:val="5"/>
        </w:rPr>
      </w:pPr>
    </w:p>
    <w:tbl>
      <w:tblPr>
        <w:tblW w:w="0" w:type="auto"/>
        <w:jc w:val="left"/>
        <w:tblInd w:w="228" w:type="dxa"/>
        <w:tblLayout w:type="fixed"/>
        <w:tblCellMar>
          <w:top w:w="0" w:type="dxa"/>
          <w:left w:w="0" w:type="dxa"/>
          <w:bottom w:w="0" w:type="dxa"/>
          <w:right w:w="0" w:type="dxa"/>
        </w:tblCellMar>
        <w:tblLook w:val="01E0"/>
      </w:tblPr>
      <w:tblGrid>
        <w:gridCol w:w="4985"/>
        <w:gridCol w:w="4585"/>
      </w:tblGrid>
      <w:tr>
        <w:trPr>
          <w:trHeight w:val="322" w:hRule="exact"/>
        </w:trPr>
        <w:tc>
          <w:tcPr>
            <w:tcW w:w="4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16,390,524.96</w:t>
            </w:r>
            <w:r>
              <w:rPr>
                <w:rFonts w:ascii="Times New Roman"/>
                <w:sz w:val="18"/>
              </w:rPr>
            </w:r>
          </w:p>
        </w:tc>
      </w:tr>
      <w:tr>
        <w:trPr>
          <w:trHeight w:val="322" w:hRule="exact"/>
        </w:trPr>
        <w:tc>
          <w:tcPr>
            <w:tcW w:w="4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2"/>
        <w:spacing w:line="276" w:lineRule="exact"/>
        <w:ind w:right="1116"/>
        <w:jc w:val="left"/>
        <w:rPr>
          <w:b w:val="0"/>
          <w:bCs w:val="0"/>
        </w:rPr>
      </w:pPr>
      <w:bookmarkStart w:name="十四、其他重要事项" w:id="334"/>
      <w:bookmarkEnd w:id="334"/>
      <w:r>
        <w:rPr>
          <w:b w:val="0"/>
          <w:bCs w:val="0"/>
        </w:rPr>
      </w:r>
      <w:r>
        <w:rPr/>
        <w:t>十四、其他重要事项</w:t>
      </w:r>
      <w:r>
        <w:rPr>
          <w:b w:val="0"/>
          <w:bCs w:val="0"/>
        </w:rPr>
      </w:r>
    </w:p>
    <w:p>
      <w:pPr>
        <w:pStyle w:val="Heading3"/>
        <w:spacing w:line="240" w:lineRule="auto" w:before="25"/>
        <w:ind w:right="1116"/>
        <w:jc w:val="left"/>
        <w:rPr>
          <w:b w:val="0"/>
          <w:bCs w:val="0"/>
        </w:rPr>
      </w:pPr>
      <w:bookmarkStart w:name="1、前期会计差错更正" w:id="335"/>
      <w:bookmarkEnd w:id="335"/>
      <w:r>
        <w:rPr>
          <w:b w:val="0"/>
          <w:bCs w:val="0"/>
        </w:rPr>
      </w:r>
      <w:r>
        <w:rPr>
          <w:rFonts w:ascii="Times New Roman" w:hAnsi="Times New Roman" w:cs="Times New Roman" w:eastAsia="Times New Roman" w:hint="default"/>
        </w:rPr>
        <w:t>1</w:t>
      </w:r>
      <w:r>
        <w:rPr/>
        <w:t>、前期会计差错更正</w:t>
      </w:r>
      <w:r>
        <w:rPr>
          <w:b w:val="0"/>
          <w:bCs w:val="0"/>
        </w:rPr>
      </w:r>
    </w:p>
    <w:p>
      <w:pPr>
        <w:pStyle w:val="BodyText"/>
        <w:spacing w:line="240" w:lineRule="auto" w:before="42"/>
        <w:ind w:right="1116"/>
        <w:jc w:val="left"/>
      </w:pPr>
      <w:r>
        <w:rPr/>
        <w:t>□ 适用 √</w:t>
      </w:r>
      <w:r>
        <w:rPr>
          <w:spacing w:val="3"/>
        </w:rPr>
        <w:t> </w:t>
      </w:r>
      <w:r>
        <w:rPr/>
        <w:t>不适用</w:t>
      </w:r>
    </w:p>
    <w:p>
      <w:pPr>
        <w:pStyle w:val="Heading3"/>
        <w:spacing w:line="240" w:lineRule="auto" w:before="56"/>
        <w:ind w:right="1116"/>
        <w:jc w:val="left"/>
        <w:rPr>
          <w:b w:val="0"/>
          <w:bCs w:val="0"/>
        </w:rPr>
      </w:pPr>
      <w:bookmarkStart w:name="2、债务重组" w:id="336"/>
      <w:bookmarkEnd w:id="336"/>
      <w:r>
        <w:rPr>
          <w:b w:val="0"/>
          <w:bCs w:val="0"/>
        </w:rPr>
      </w:r>
      <w:r>
        <w:rPr>
          <w:rFonts w:ascii="Times New Roman" w:hAnsi="Times New Roman" w:cs="Times New Roman" w:eastAsia="Times New Roman" w:hint="default"/>
        </w:rPr>
        <w:t>2</w:t>
      </w:r>
      <w:r>
        <w:rPr/>
        <w:t>、债务重组</w:t>
      </w:r>
      <w:r>
        <w:rPr>
          <w:b w:val="0"/>
          <w:bCs w:val="0"/>
        </w:rPr>
      </w:r>
    </w:p>
    <w:p>
      <w:pPr>
        <w:pStyle w:val="BodyText"/>
        <w:spacing w:line="240" w:lineRule="auto" w:before="44"/>
        <w:ind w:right="1116"/>
        <w:jc w:val="left"/>
      </w:pPr>
      <w:r>
        <w:rPr/>
        <w:t>□ 适用 √</w:t>
      </w:r>
      <w:r>
        <w:rPr>
          <w:spacing w:val="3"/>
        </w:rPr>
        <w:t> </w:t>
      </w:r>
      <w:r>
        <w:rPr/>
        <w:t>不适用</w:t>
      </w:r>
    </w:p>
    <w:p>
      <w:pPr>
        <w:pStyle w:val="Heading3"/>
        <w:spacing w:line="240" w:lineRule="auto" w:before="56"/>
        <w:ind w:right="1116"/>
        <w:jc w:val="left"/>
        <w:rPr>
          <w:b w:val="0"/>
          <w:bCs w:val="0"/>
        </w:rPr>
      </w:pPr>
      <w:bookmarkStart w:name="3、资产置换" w:id="337"/>
      <w:bookmarkEnd w:id="337"/>
      <w:r>
        <w:rPr>
          <w:b w:val="0"/>
          <w:bCs w:val="0"/>
        </w:rPr>
      </w:r>
      <w:r>
        <w:rPr>
          <w:rFonts w:ascii="Times New Roman" w:hAnsi="Times New Roman" w:cs="Times New Roman" w:eastAsia="Times New Roman" w:hint="default"/>
        </w:rPr>
        <w:t>3</w:t>
      </w:r>
      <w:r>
        <w:rPr/>
        <w:t>、资产置换</w:t>
      </w:r>
      <w:r>
        <w:rPr>
          <w:b w:val="0"/>
          <w:bCs w:val="0"/>
        </w:rPr>
      </w:r>
    </w:p>
    <w:p>
      <w:pPr>
        <w:pStyle w:val="BodyText"/>
        <w:spacing w:line="240" w:lineRule="auto" w:before="44"/>
        <w:ind w:right="1116"/>
        <w:jc w:val="left"/>
      </w:pPr>
      <w:r>
        <w:rPr/>
        <w:t>□ 适用 √</w:t>
      </w:r>
      <w:r>
        <w:rPr>
          <w:spacing w:val="3"/>
        </w:rPr>
        <w:t> </w:t>
      </w:r>
      <w:r>
        <w:rPr/>
        <w:t>不适用</w:t>
      </w:r>
    </w:p>
    <w:p>
      <w:pPr>
        <w:pStyle w:val="Heading3"/>
        <w:spacing w:line="240" w:lineRule="auto" w:before="56"/>
        <w:ind w:right="1116"/>
        <w:jc w:val="left"/>
        <w:rPr>
          <w:b w:val="0"/>
          <w:bCs w:val="0"/>
        </w:rPr>
      </w:pPr>
      <w:bookmarkStart w:name="4、年金计划" w:id="338"/>
      <w:bookmarkEnd w:id="338"/>
      <w:r>
        <w:rPr>
          <w:b w:val="0"/>
          <w:bCs w:val="0"/>
        </w:rPr>
      </w:r>
      <w:r>
        <w:rPr>
          <w:rFonts w:ascii="Times New Roman" w:hAnsi="Times New Roman" w:cs="Times New Roman" w:eastAsia="Times New Roman" w:hint="default"/>
        </w:rPr>
        <w:t>4</w:t>
      </w:r>
      <w:r>
        <w:rPr/>
        <w:t>、年金计划</w:t>
      </w:r>
      <w:r>
        <w:rPr>
          <w:b w:val="0"/>
          <w:bCs w:val="0"/>
        </w:rPr>
      </w:r>
    </w:p>
    <w:p>
      <w:pPr>
        <w:pStyle w:val="BodyText"/>
        <w:spacing w:line="240" w:lineRule="auto" w:before="42"/>
        <w:ind w:right="1116"/>
        <w:jc w:val="left"/>
      </w:pPr>
      <w:r>
        <w:rPr/>
        <w:t>□ 适用 √</w:t>
      </w:r>
      <w:r>
        <w:rPr>
          <w:spacing w:val="3"/>
        </w:rPr>
        <w:t> </w:t>
      </w:r>
      <w:r>
        <w:rPr/>
        <w:t>不适用</w:t>
      </w:r>
    </w:p>
    <w:p>
      <w:pPr>
        <w:pStyle w:val="Heading3"/>
        <w:spacing w:line="240" w:lineRule="auto" w:before="56"/>
        <w:ind w:right="1116"/>
        <w:jc w:val="left"/>
        <w:rPr>
          <w:b w:val="0"/>
          <w:bCs w:val="0"/>
        </w:rPr>
      </w:pPr>
      <w:bookmarkStart w:name="5、终止经营" w:id="339"/>
      <w:bookmarkEnd w:id="339"/>
      <w:r>
        <w:rPr>
          <w:b w:val="0"/>
          <w:bCs w:val="0"/>
        </w:rPr>
      </w:r>
      <w:r>
        <w:rPr>
          <w:rFonts w:ascii="Times New Roman" w:hAnsi="Times New Roman" w:cs="Times New Roman" w:eastAsia="Times New Roman" w:hint="default"/>
        </w:rPr>
        <w:t>5</w:t>
      </w:r>
      <w:r>
        <w:rPr/>
        <w:t>、终止经营</w:t>
      </w:r>
      <w:r>
        <w:rPr>
          <w:b w:val="0"/>
          <w:bCs w:val="0"/>
        </w:rPr>
      </w:r>
    </w:p>
    <w:p>
      <w:pPr>
        <w:pStyle w:val="BodyText"/>
        <w:spacing w:line="240" w:lineRule="auto" w:before="44"/>
        <w:ind w:right="1116"/>
        <w:jc w:val="left"/>
      </w:pPr>
      <w:r>
        <w:rPr/>
        <w:t>□ 适用 √</w:t>
      </w:r>
      <w:r>
        <w:rPr>
          <w:spacing w:val="3"/>
        </w:rPr>
        <w:t> </w:t>
      </w:r>
      <w:r>
        <w:rPr/>
        <w:t>不适用</w:t>
      </w:r>
    </w:p>
    <w:p>
      <w:pPr>
        <w:pStyle w:val="Heading3"/>
        <w:spacing w:line="240" w:lineRule="auto" w:before="56"/>
        <w:ind w:right="1116"/>
        <w:jc w:val="left"/>
        <w:rPr>
          <w:b w:val="0"/>
          <w:bCs w:val="0"/>
        </w:rPr>
      </w:pPr>
      <w:bookmarkStart w:name="6、分部信息" w:id="340"/>
      <w:bookmarkEnd w:id="340"/>
      <w:r>
        <w:rPr>
          <w:b w:val="0"/>
          <w:bCs w:val="0"/>
        </w:rPr>
      </w:r>
      <w:r>
        <w:rPr>
          <w:rFonts w:ascii="Times New Roman" w:hAnsi="Times New Roman" w:cs="Times New Roman" w:eastAsia="Times New Roman" w:hint="default"/>
        </w:rPr>
        <w:t>6</w:t>
      </w:r>
      <w:r>
        <w:rPr/>
        <w:t>、分部信息</w:t>
      </w:r>
      <w:r>
        <w:rPr>
          <w:b w:val="0"/>
          <w:bCs w:val="0"/>
        </w:rPr>
      </w:r>
    </w:p>
    <w:p>
      <w:pPr>
        <w:pStyle w:val="BodyText"/>
        <w:spacing w:line="240" w:lineRule="auto" w:before="42"/>
        <w:ind w:right="1116"/>
        <w:jc w:val="left"/>
      </w:pPr>
      <w:r>
        <w:rPr/>
        <w:t>□ 适用 √</w:t>
      </w:r>
      <w:r>
        <w:rPr>
          <w:spacing w:val="3"/>
        </w:rPr>
        <w:t> </w:t>
      </w:r>
      <w:r>
        <w:rPr/>
        <w:t>不适用</w:t>
      </w:r>
    </w:p>
    <w:p>
      <w:pPr>
        <w:pStyle w:val="Heading3"/>
        <w:spacing w:line="240" w:lineRule="auto" w:before="56"/>
        <w:ind w:right="1116"/>
        <w:jc w:val="left"/>
        <w:rPr>
          <w:b w:val="0"/>
          <w:bCs w:val="0"/>
        </w:rPr>
      </w:pPr>
      <w:bookmarkStart w:name="7、 其他对投资者决策有影响的重要交易和事项" w:id="341"/>
      <w:bookmarkEnd w:id="34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pStyle w:val="BodyText"/>
        <w:spacing w:line="240" w:lineRule="auto" w:before="44"/>
        <w:ind w:right="1116"/>
        <w:jc w:val="left"/>
      </w:pPr>
      <w:r>
        <w:rPr/>
        <w:t>□ 适用 √</w:t>
      </w:r>
      <w:r>
        <w:rPr>
          <w:spacing w:val="3"/>
        </w:rPr>
        <w:t> </w:t>
      </w:r>
      <w:r>
        <w:rPr/>
        <w:t>不适用</w:t>
      </w:r>
    </w:p>
    <w:p>
      <w:pPr>
        <w:pStyle w:val="Heading3"/>
        <w:spacing w:line="240" w:lineRule="auto" w:before="56"/>
        <w:ind w:right="1116"/>
        <w:jc w:val="left"/>
        <w:rPr>
          <w:b w:val="0"/>
          <w:bCs w:val="0"/>
        </w:rPr>
      </w:pPr>
      <w:bookmarkStart w:name="8、其他" w:id="342"/>
      <w:bookmarkEnd w:id="342"/>
      <w:r>
        <w:rPr>
          <w:b w:val="0"/>
          <w:bCs w:val="0"/>
        </w:rPr>
      </w:r>
      <w:r>
        <w:rPr>
          <w:rFonts w:ascii="Times New Roman" w:hAnsi="Times New Roman" w:cs="Times New Roman" w:eastAsia="Times New Roman" w:hint="default"/>
        </w:rPr>
        <w:t>8</w:t>
      </w:r>
      <w:r>
        <w:rPr/>
        <w:t>、其他</w:t>
      </w:r>
      <w:r>
        <w:rPr>
          <w:b w:val="0"/>
          <w:bCs w:val="0"/>
        </w:rPr>
      </w:r>
    </w:p>
    <w:p>
      <w:pPr>
        <w:pStyle w:val="BodyText"/>
        <w:spacing w:line="240" w:lineRule="auto" w:before="42"/>
        <w:ind w:right="1116"/>
        <w:jc w:val="left"/>
      </w:pPr>
      <w:r>
        <w:rPr/>
        <w:t>□ 适用 √</w:t>
      </w:r>
      <w:r>
        <w:rPr>
          <w:spacing w:val="3"/>
        </w:rPr>
        <w:t> </w:t>
      </w:r>
      <w:r>
        <w:rPr/>
        <w:t>不适用</w:t>
      </w:r>
    </w:p>
    <w:p>
      <w:pPr>
        <w:spacing w:after="0" w:line="240" w:lineRule="auto"/>
        <w:jc w:val="left"/>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080" w:bottom="1160" w:left="980" w:right="0"/>
        </w:sectPr>
      </w:pPr>
    </w:p>
    <w:p>
      <w:pPr>
        <w:pStyle w:val="Heading2"/>
        <w:spacing w:line="240" w:lineRule="auto" w:before="26"/>
        <w:ind w:right="0"/>
        <w:jc w:val="left"/>
        <w:rPr>
          <w:b w:val="0"/>
          <w:bCs w:val="0"/>
        </w:rPr>
      </w:pPr>
      <w:bookmarkStart w:name="十五、母公司财务报表主要项目注释" w:id="343"/>
      <w:bookmarkEnd w:id="343"/>
      <w:r>
        <w:rPr>
          <w:b w:val="0"/>
          <w:bCs w:val="0"/>
        </w:rPr>
      </w:r>
      <w:r>
        <w:rPr>
          <w:w w:val="95"/>
        </w:rPr>
        <w:t>十五、母公司财务报表主要项目注释</w:t>
      </w:r>
      <w:r>
        <w:rPr>
          <w:b w:val="0"/>
          <w:bCs w:val="0"/>
        </w:rPr>
      </w:r>
    </w:p>
    <w:p>
      <w:pPr>
        <w:pStyle w:val="Heading3"/>
        <w:spacing w:line="240" w:lineRule="auto" w:before="26"/>
        <w:ind w:right="0"/>
        <w:jc w:val="left"/>
        <w:rPr>
          <w:b w:val="0"/>
          <w:bCs w:val="0"/>
        </w:rPr>
      </w:pPr>
      <w:bookmarkStart w:name="1、应收账款" w:id="344"/>
      <w:bookmarkEnd w:id="344"/>
      <w:r>
        <w:rPr>
          <w:b w:val="0"/>
          <w:bCs w:val="0"/>
        </w:rPr>
      </w:r>
      <w:r>
        <w:rPr>
          <w:rFonts w:ascii="Times New Roman" w:hAnsi="Times New Roman" w:cs="Times New Roman" w:eastAsia="Times New Roman" w:hint="default"/>
        </w:rPr>
        <w:t>1</w:t>
      </w:r>
      <w:r>
        <w:rPr/>
        <w:t>、应收账款</w:t>
      </w:r>
      <w:r>
        <w:rPr>
          <w:b w:val="0"/>
          <w:bCs w:val="0"/>
        </w:rPr>
      </w:r>
    </w:p>
    <w:p>
      <w:pPr>
        <w:pStyle w:val="Heading3"/>
        <w:spacing w:line="240" w:lineRule="auto" w:before="21"/>
        <w:ind w:right="0"/>
        <w:jc w:val="left"/>
        <w:rPr>
          <w:b w:val="0"/>
          <w:bCs w:val="0"/>
        </w:rPr>
      </w:pPr>
      <w:bookmarkStart w:name="（1）应收账款分类披露" w:id="345"/>
      <w:bookmarkEnd w:id="3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006" w:space="482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63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4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515,20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7,548.2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32,765,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264.18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482,44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2,284.0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9,647.6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21,475,</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508.20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459,334,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139.48</w:t>
            </w:r>
          </w:p>
        </w:tc>
      </w:tr>
      <w:tr>
        <w:trPr>
          <w:trHeight w:val="32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1"/>
              <w:jc w:val="left"/>
              <w:rPr>
                <w:rFonts w:ascii="宋体" w:hAnsi="宋体" w:cs="宋体" w:eastAsia="宋体" w:hint="default"/>
                <w:sz w:val="18"/>
                <w:szCs w:val="18"/>
              </w:rPr>
            </w:pPr>
            <w:r>
              <w:rPr>
                <w:rFonts w:ascii="宋体" w:hAnsi="宋体" w:cs="宋体" w:eastAsia="宋体" w:hint="default"/>
                <w:sz w:val="18"/>
                <w:szCs w:val="18"/>
              </w:rPr>
              <w:t>合并范围内关联 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3,330,8</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70.27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0.65%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Times New Roman" w:hAnsi="Times New Roman" w:cs="Times New Roman" w:eastAsia="Times New Roman" w:hint="default"/>
                <w:sz w:val="18"/>
                <w:szCs w:val="18"/>
              </w:rPr>
            </w:pPr>
            <w:r>
              <w:rPr>
                <w:rFonts w:ascii="Times New Roman"/>
                <w:sz w:val="18"/>
              </w:rPr>
              <w:t>3,330,8</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70.27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572,44</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572,443.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85</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信用期内应收账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364,76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6,348.4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11,307,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756.80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353,45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8,591.6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390,72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3,702.9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81.26%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12,112,</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434.79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378,611,2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68.17</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逾期应收账款（逾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2"/>
                <w:sz w:val="18"/>
              </w:rPr>
              <w:t>147,11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0,329.5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28.55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21,457,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507.38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14.59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2,822.1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89,513,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500.87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18.62%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9,363,0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73.41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80,150,4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27.46</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515,20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7,548.2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32,765,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264.18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482,44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2,284.0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9,647.6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21,475,</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508.20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459,334,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139.48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00" w:lineRule="auto" w:before="8"/>
        <w:ind w:right="-19"/>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 </w:t>
      </w:r>
      <w:r>
        <w:rPr/>
        <w:t>按组合计提坏账准备：</w:t>
      </w:r>
      <w:r>
        <w:rPr>
          <w:rFonts w:ascii="Times New Roman" w:hAnsi="Times New Roman" w:cs="Times New Roman" w:eastAsia="Times New Roman" w:hint="default"/>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044" w:space="6785"/>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3,330,870.27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3,330,870.27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16" w:lineRule="auto" w:before="8"/>
        <w:ind w:right="-16"/>
        <w:jc w:val="left"/>
        <w:rPr>
          <w:rFonts w:ascii="Times New Roman" w:hAnsi="Times New Roman" w:cs="Times New Roman" w:eastAsia="Times New Roman" w:hint="default"/>
        </w:rPr>
      </w:pPr>
      <w:r>
        <w:rPr/>
        <w:t>确定该组合依据的说明：不适用 按组合计提坏账准备：</w:t>
      </w:r>
      <w:r>
        <w:rPr>
          <w:spacing w:val="-10"/>
        </w:rPr>
        <w:t> </w:t>
      </w:r>
      <w:r>
        <w:rPr>
          <w:rFonts w:ascii="Times New Roman" w:hAnsi="Times New Roman" w:cs="Times New Roman" w:eastAsia="Times New Roman" w:hint="default"/>
        </w:rPr>
        <w:t>11,307,756.80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072" w:space="5757"/>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信用期内应收账款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364,766,348.45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11,307,756.80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3.1%</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364,766,348.45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11,307,756.80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1"/>
          <w:szCs w:val="21"/>
        </w:rPr>
      </w:pPr>
    </w:p>
    <w:p>
      <w:pPr>
        <w:pStyle w:val="BodyText"/>
        <w:spacing w:line="240" w:lineRule="auto" w:before="44"/>
        <w:ind w:right="1116"/>
        <w:jc w:val="left"/>
        <w:rPr>
          <w:rFonts w:ascii="Times New Roman" w:hAnsi="Times New Roman" w:cs="Times New Roman" w:eastAsia="Times New Roman" w:hint="default"/>
        </w:rPr>
      </w:pPr>
      <w:r>
        <w:rPr/>
        <w:t>按组合计提坏账准备：</w:t>
      </w:r>
      <w:r>
        <w:rPr>
          <w:spacing w:val="-4"/>
        </w:rPr>
        <w:t> </w:t>
      </w:r>
      <w:r>
        <w:rPr>
          <w:rFonts w:ascii="Times New Roman" w:hAnsi="Times New Roman" w:cs="Times New Roman" w:eastAsia="Times New Roman" w:hint="default"/>
        </w:rPr>
        <w:t>21,457,507.38</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32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113,155,329.98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5,431,455.84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4.80%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3,268,781.05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617,799.62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18.9%</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17,885,768.6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5,312,073.27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29.70%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8,751,686.90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6,047,415.65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69.10%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3,342,117.00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3,342,117.00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706,646.00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706,646.00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147,110,329.53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21,457,507.38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8"/>
        <w:ind w:right="8234"/>
        <w:jc w:val="left"/>
      </w:pPr>
      <w:r>
        <w:rPr/>
        <w:t>确定该组合依据的说明：不适用 按组合计提坏账准备：不适用 确定该组合依据的说明：不适用</w:t>
      </w:r>
    </w:p>
    <w:p>
      <w:pPr>
        <w:pStyle w:val="BodyText"/>
        <w:spacing w:line="240" w:lineRule="auto" w:before="19"/>
        <w:ind w:right="1116"/>
        <w:jc w:val="left"/>
      </w:pPr>
      <w:r>
        <w:rPr/>
        <w:t>如是按照预期信用损失一般模型计提应收账款坏账准备，请参照其他应收款的披露方式披露坏账准备的相关信息：</w:t>
      </w:r>
    </w:p>
    <w:p>
      <w:pPr>
        <w:pStyle w:val="BodyText"/>
        <w:spacing w:line="300" w:lineRule="auto" w:before="76"/>
        <w:ind w:right="9134"/>
        <w:jc w:val="left"/>
      </w:pPr>
      <w:r>
        <w:rPr>
          <w:rFonts w:ascii="Times New Roman" w:hAnsi="Times New Roman" w:cs="Times New Roman" w:eastAsia="Times New Roman" w:hint="default"/>
        </w:rPr>
        <w:t>□ </w:t>
      </w:r>
      <w:r>
        <w:rPr/>
        <w:t>适用 √</w:t>
      </w:r>
      <w:r>
        <w:rPr>
          <w:spacing w:val="1"/>
        </w:rPr>
        <w:t> </w:t>
      </w:r>
      <w:r>
        <w:rPr/>
        <w:t>不适用</w:t>
      </w:r>
      <w:r>
        <w:rPr>
          <w:w w:val="99"/>
        </w:rPr>
        <w:t> </w:t>
      </w:r>
      <w:r>
        <w:rPr/>
        <w:t>按账龄披露</w:t>
      </w:r>
    </w:p>
    <w:p>
      <w:pPr>
        <w:pStyle w:val="BodyText"/>
        <w:spacing w:line="240" w:lineRule="auto" w:before="31"/>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1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4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3,330,870.27</w:t>
            </w:r>
          </w:p>
        </w:tc>
      </w:tr>
      <w:tr>
        <w:trPr>
          <w:trHeight w:val="30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信用期内应收账款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364,766,348.45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逾期应收账款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147,110,329.53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113,155,329.98</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3,268,781.05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17,885,768.60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12,800,449.90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8,751,686.90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3,342,117.00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706,646.00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515,207,548.25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0"/>
        <w:jc w:val="left"/>
        <w:rPr>
          <w:b w:val="0"/>
          <w:bCs w:val="0"/>
        </w:rPr>
      </w:pPr>
      <w:bookmarkStart w:name="（2）本期计提、收回或转回的坏账准备情况" w:id="346"/>
      <w:bookmarkEnd w:id="346"/>
      <w:r>
        <w:rPr>
          <w:b w:val="0"/>
          <w:bCs w:val="0"/>
        </w:rPr>
      </w:r>
      <w:r>
        <w:rPr>
          <w:spacing w:val="-1"/>
        </w:rPr>
        <w:t>（</w:t>
      </w:r>
      <w:r>
        <w:rPr>
          <w:rFonts w:ascii="Times New Roman" w:hAnsi="Times New Roman" w:cs="Times New Roman" w:eastAsia="Times New Roman" w:hint="default"/>
          <w:spacing w:val="-1"/>
        </w:rPr>
        <w:t>2</w:t>
      </w:r>
      <w:r>
        <w:rPr>
          <w:spacing w:val="-1"/>
        </w:rPr>
        <w:t>）本期计提、收回或转回的坏账准备情况</w:t>
      </w:r>
      <w:r>
        <w:rPr>
          <w:b w:val="0"/>
          <w:bCs w:val="0"/>
          <w:spacing w:val="-1"/>
        </w:rPr>
      </w:r>
    </w:p>
    <w:p>
      <w:pPr>
        <w:pStyle w:val="BodyText"/>
        <w:spacing w:line="240" w:lineRule="auto" w:before="44"/>
        <w:ind w:right="0"/>
        <w:jc w:val="left"/>
      </w:pPr>
      <w:r>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68" w:space="4562"/>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21,475,508.20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12,549,237.98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1,259,482.00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32,765,264.18</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21,475,508.20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12,549,237.98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1,259,482.00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32,765,264.18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其中本期坏账准备收回或转回金额重要的：无</w:t>
      </w:r>
    </w:p>
    <w:p>
      <w:pPr>
        <w:pStyle w:val="Heading3"/>
        <w:spacing w:line="240" w:lineRule="auto" w:before="56"/>
        <w:ind w:right="-20"/>
        <w:jc w:val="left"/>
        <w:rPr>
          <w:b w:val="0"/>
          <w:bCs w:val="0"/>
        </w:rPr>
      </w:pPr>
      <w:bookmarkStart w:name="（3）本期实际核销的应收账款情况" w:id="347"/>
      <w:bookmarkEnd w:id="34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753" w:space="50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2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1,259,482.00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0"/>
        <w:jc w:val="left"/>
      </w:pPr>
      <w:r>
        <w:rPr/>
        <w:t>其中重要的应收账款核销情况：无</w:t>
      </w:r>
    </w:p>
    <w:p>
      <w:pPr>
        <w:pStyle w:val="Heading3"/>
        <w:spacing w:line="240" w:lineRule="auto" w:before="56"/>
        <w:ind w:right="0"/>
        <w:jc w:val="left"/>
        <w:rPr>
          <w:b w:val="0"/>
          <w:bCs w:val="0"/>
        </w:rPr>
      </w:pPr>
      <w:bookmarkStart w:name="（4）按欠款方归集的期末余额前五名的应收账款情况" w:id="348"/>
      <w:bookmarkEnd w:id="348"/>
      <w:r>
        <w:rPr>
          <w:b w:val="0"/>
          <w:bCs w:val="0"/>
        </w:rPr>
      </w:r>
      <w:r>
        <w:rPr>
          <w:spacing w:val="-1"/>
        </w:rPr>
        <w:t>（</w:t>
      </w:r>
      <w:r>
        <w:rPr>
          <w:rFonts w:ascii="Times New Roman" w:hAnsi="Times New Roman" w:cs="Times New Roman" w:eastAsia="Times New Roman" w:hint="default"/>
          <w:spacing w:val="-1"/>
        </w:rPr>
        <w:t>4</w:t>
      </w:r>
      <w:r>
        <w:rPr>
          <w:spacing w:val="-1"/>
        </w:rPr>
        <w:t>）按欠款方归集的期末余额前五名的应收账款情况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08" w:space="3722"/>
            <w:col w:w="2100"/>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63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71,610,396.66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2,747,265.72</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深圳华美板材有限公司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52,140,157.20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7,355,148.63</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湖北中烟工业有限责任公司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39,225,364.96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2,732,833.96</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西安众迪锂电池有限公司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38,772,068.97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1,201,934.14</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26,650,679.81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1,279,375.63</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228,398,667.60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44.33%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15,316,558.08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pStyle w:val="Heading3"/>
        <w:spacing w:line="278" w:lineRule="exact"/>
        <w:ind w:right="-17"/>
        <w:jc w:val="left"/>
        <w:rPr>
          <w:b w:val="0"/>
          <w:bCs w:val="0"/>
        </w:rPr>
      </w:pPr>
      <w:bookmarkStart w:name="2、其他应收款" w:id="349"/>
      <w:bookmarkEnd w:id="34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526" w:space="730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36,859,868.36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37,149,884.91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36,859,868.36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37,149,884.91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2"/>
        <w:jc w:val="left"/>
        <w:rPr>
          <w:b w:val="0"/>
          <w:bCs w:val="0"/>
        </w:rPr>
      </w:pPr>
      <w:bookmarkStart w:name="（1）其他应收款" w:id="350"/>
      <w:bookmarkEnd w:id="350"/>
      <w:r>
        <w:rPr>
          <w:b w:val="0"/>
          <w:bCs w:val="0"/>
        </w:rPr>
      </w:r>
      <w:r>
        <w:rPr/>
        <w:t>（</w:t>
      </w:r>
      <w:r>
        <w:rPr>
          <w:rFonts w:ascii="Times New Roman" w:hAnsi="Times New Roman" w:cs="Times New Roman" w:eastAsia="Times New Roman" w:hint="default"/>
        </w:rPr>
        <w:t>1</w:t>
      </w:r>
      <w:r>
        <w:rPr/>
        <w:t>）其他应收款</w:t>
      </w:r>
      <w:r>
        <w:rPr>
          <w:b w:val="0"/>
          <w:bCs w:val="0"/>
        </w:rPr>
      </w:r>
    </w:p>
    <w:p>
      <w:pPr>
        <w:pStyle w:val="Heading3"/>
        <w:spacing w:line="240" w:lineRule="auto" w:before="24"/>
        <w:ind w:right="-2"/>
        <w:jc w:val="left"/>
        <w:rPr>
          <w:b w:val="0"/>
          <w:bCs w:val="0"/>
        </w:rPr>
      </w:pPr>
      <w:bookmarkStart w:name="1）其他应收款按款项性质分类情况" w:id="351"/>
      <w:bookmarkEnd w:id="351"/>
      <w:r>
        <w:rPr>
          <w:b w:val="0"/>
          <w:bCs w:val="0"/>
        </w:rPr>
      </w:r>
      <w:r>
        <w:rPr>
          <w:rFonts w:ascii="Times New Roman" w:hAnsi="Times New Roman" w:cs="Times New Roman" w:eastAsia="Times New Roman" w:hint="default"/>
          <w:spacing w:val="-1"/>
        </w:rPr>
        <w:t>1</w:t>
      </w:r>
      <w:r>
        <w:rPr>
          <w:spacing w:val="-1"/>
        </w:rPr>
        <w:t>）其他应收款按款项性质分类情况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422" w:space="5407"/>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33,228,034.17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32,895,920.02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1,141,335.65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1,148,205.33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spacing w:val="-1"/>
                <w:sz w:val="20"/>
              </w:rPr>
              <w:t>5,691,815.34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6,447,760.61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40,061,185.16</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40,491,885.96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8"/>
        <w:jc w:val="left"/>
        <w:rPr>
          <w:b w:val="0"/>
          <w:bCs w:val="0"/>
        </w:rPr>
      </w:pPr>
      <w:bookmarkStart w:name="2）坏账准备计提情况" w:id="352"/>
      <w:bookmarkEnd w:id="352"/>
      <w:r>
        <w:rPr>
          <w:b w:val="0"/>
          <w:bCs w:val="0"/>
        </w:rPr>
      </w:r>
      <w:r>
        <w:rPr>
          <w:rFonts w:ascii="Times New Roman" w:hAnsi="Times New Roman" w:cs="Times New Roman" w:eastAsia="Times New Roman" w:hint="default"/>
          <w:spacing w:val="-1"/>
        </w:rPr>
        <w:t>2</w:t>
      </w:r>
      <w:r>
        <w:rPr>
          <w:spacing w:val="-1"/>
        </w:rPr>
        <w:t>）坏账准备计提情况</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57" w:space="6672"/>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32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3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1,535,632.57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644,079.48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1,162,289.00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3,342,001.05</w:t>
            </w:r>
          </w:p>
        </w:tc>
      </w:tr>
      <w:tr>
        <w:trPr>
          <w:trHeight w:val="63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-644,079.48</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644,079.48</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503,395.23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333,087.48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836,482.71</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977,166.96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977,166.96</w:t>
            </w:r>
          </w:p>
        </w:tc>
      </w:tr>
      <w:tr>
        <w:trPr>
          <w:trHeight w:val="63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2,039,027.80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1,162,289.00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3,201,316.80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损失准备本期变动金额重大的账面余额变动情况</w:t>
      </w:r>
    </w:p>
    <w:p>
      <w:pPr>
        <w:pStyle w:val="BodyText"/>
        <w:spacing w:line="300" w:lineRule="auto" w:before="76"/>
        <w:ind w:right="1486"/>
        <w:jc w:val="left"/>
      </w:pPr>
      <w:r>
        <w:rPr>
          <w:rFonts w:ascii="Times New Roman" w:hAnsi="Times New Roman" w:cs="Times New Roman" w:eastAsia="Times New Roman" w:hint="default"/>
        </w:rPr>
        <w:t>□ </w:t>
      </w:r>
      <w:r>
        <w:rPr/>
        <w:t>适用 √</w:t>
      </w:r>
      <w:r>
        <w:rPr>
          <w:spacing w:val="1"/>
        </w:rPr>
        <w:t> </w:t>
      </w:r>
      <w:r>
        <w:rPr/>
        <w:t>不适用</w:t>
      </w:r>
      <w:r>
        <w:rPr>
          <w:w w:val="99"/>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1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9,557,457.13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9,557,457.13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27,882,676.64</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698,574.00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1,922,477.39</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1,245,539.39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72,699.00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604,239.00</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40,061,185.16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0" w:top="1080" w:bottom="1160" w:left="980" w:right="0"/>
        </w:sectPr>
      </w:pPr>
    </w:p>
    <w:p>
      <w:pPr>
        <w:pStyle w:val="Heading3"/>
        <w:spacing w:line="278" w:lineRule="exact"/>
        <w:ind w:right="0"/>
        <w:jc w:val="left"/>
        <w:rPr>
          <w:b w:val="0"/>
          <w:bCs w:val="0"/>
        </w:rPr>
      </w:pPr>
      <w:bookmarkStart w:name="3）本期计提、收回或转回的坏账准备情况" w:id="353"/>
      <w:bookmarkEnd w:id="353"/>
      <w:r>
        <w:rPr>
          <w:b w:val="0"/>
          <w:bCs w:val="0"/>
        </w:rPr>
      </w:r>
      <w:r>
        <w:rPr>
          <w:rFonts w:ascii="Times New Roman" w:hAnsi="Times New Roman" w:cs="Times New Roman" w:eastAsia="Times New Roman" w:hint="default"/>
          <w:spacing w:val="-1"/>
        </w:rPr>
        <w:t>3</w:t>
      </w:r>
      <w:r>
        <w:rPr>
          <w:spacing w:val="-1"/>
        </w:rPr>
        <w:t>）本期计提、收回或转回的坏账准备情况</w:t>
      </w:r>
      <w:r>
        <w:rPr>
          <w:b w:val="0"/>
          <w:bCs w:val="0"/>
          <w:spacing w:val="-1"/>
        </w:rPr>
      </w:r>
    </w:p>
    <w:p>
      <w:pPr>
        <w:pStyle w:val="BodyText"/>
        <w:spacing w:line="240" w:lineRule="auto" w:before="42"/>
        <w:ind w:right="0"/>
        <w:jc w:val="left"/>
      </w:pPr>
      <w:r>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056" w:space="4773"/>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60"/>
        <w:gridCol w:w="1208"/>
        <w:gridCol w:w="1332"/>
        <w:gridCol w:w="1452"/>
        <w:gridCol w:w="1198"/>
        <w:gridCol w:w="1347"/>
        <w:gridCol w:w="1574"/>
      </w:tblGrid>
      <w:tr>
        <w:trPr>
          <w:trHeight w:val="323" w:hRule="exact"/>
        </w:trPr>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460"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3,342,001.05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836,482.71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977,166.96</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3,201,316.80</w:t>
            </w:r>
          </w:p>
        </w:tc>
      </w:tr>
      <w:tr>
        <w:trPr>
          <w:trHeight w:val="322" w:hRule="exact"/>
        </w:trPr>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3,342,001.05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836,482.71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977,166.96</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3,201,316.80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其中本期坏账准备转回或收回金额重要的：无</w:t>
      </w:r>
    </w:p>
    <w:p>
      <w:pPr>
        <w:pStyle w:val="Heading3"/>
        <w:spacing w:line="240" w:lineRule="auto" w:before="56"/>
        <w:ind w:right="-20"/>
        <w:jc w:val="left"/>
        <w:rPr>
          <w:b w:val="0"/>
          <w:bCs w:val="0"/>
        </w:rPr>
      </w:pPr>
      <w:bookmarkStart w:name="4）本期实际核销的其他应收款情况" w:id="354"/>
      <w:bookmarkEnd w:id="35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753" w:space="50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977,166.96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16" w:lineRule="auto" w:before="8"/>
        <w:ind w:right="4120"/>
        <w:jc w:val="left"/>
      </w:pPr>
      <w:r>
        <w:rPr/>
        <w:t>其中重要的其他应收款核销情况：不适用 其他应收款核销说明：</w:t>
      </w:r>
    </w:p>
    <w:p>
      <w:pPr>
        <w:pStyle w:val="BodyText"/>
        <w:spacing w:line="240" w:lineRule="auto" w:before="19"/>
        <w:ind w:right="-20"/>
        <w:jc w:val="left"/>
      </w:pPr>
      <w:r>
        <w:rPr/>
        <w:t>报告期内无核销因关联交易产生的其他应收款，实际核销的其他应收款均为零星的应收尾款。</w:t>
      </w:r>
    </w:p>
    <w:p>
      <w:pPr>
        <w:pStyle w:val="Heading3"/>
        <w:spacing w:line="240" w:lineRule="auto" w:before="56"/>
        <w:ind w:right="-20"/>
        <w:jc w:val="left"/>
        <w:rPr>
          <w:b w:val="0"/>
          <w:bCs w:val="0"/>
        </w:rPr>
      </w:pPr>
      <w:bookmarkStart w:name="5）按欠款方归集的期末余额前五名的其他应收款情况" w:id="355"/>
      <w:bookmarkEnd w:id="35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533" w:space="129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94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华润万家生活超市</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（东莞）有限公司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18,136,789.00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45.27%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973,945.57</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0"/>
              <w:jc w:val="left"/>
              <w:rPr>
                <w:rFonts w:ascii="宋体" w:hAnsi="宋体" w:cs="宋体" w:eastAsia="宋体" w:hint="default"/>
                <w:sz w:val="18"/>
                <w:szCs w:val="18"/>
              </w:rPr>
            </w:pPr>
            <w:r>
              <w:rPr>
                <w:rFonts w:ascii="宋体" w:hAnsi="宋体" w:cs="宋体" w:eastAsia="宋体" w:hint="default"/>
                <w:sz w:val="18"/>
                <w:szCs w:val="18"/>
              </w:rPr>
              <w:t>陕西中烟工业有限 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6,191,636.18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412,961.34</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0"/>
              <w:jc w:val="left"/>
              <w:rPr>
                <w:rFonts w:ascii="宋体" w:hAnsi="宋体" w:cs="宋体" w:eastAsia="宋体" w:hint="default"/>
                <w:sz w:val="18"/>
                <w:szCs w:val="18"/>
              </w:rPr>
            </w:pPr>
            <w:r>
              <w:rPr>
                <w:rFonts w:ascii="宋体" w:hAnsi="宋体" w:cs="宋体" w:eastAsia="宋体" w:hint="default"/>
                <w:sz w:val="18"/>
                <w:szCs w:val="18"/>
              </w:rPr>
              <w:t>苏州鼎虎科技有限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3,034,000.00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758,500.00</w:t>
            </w:r>
          </w:p>
        </w:tc>
      </w:tr>
      <w:tr>
        <w:trPr>
          <w:trHeight w:val="63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0"/>
              <w:jc w:val="left"/>
              <w:rPr>
                <w:rFonts w:ascii="宋体" w:hAnsi="宋体" w:cs="宋体" w:eastAsia="宋体" w:hint="default"/>
                <w:sz w:val="18"/>
                <w:szCs w:val="18"/>
              </w:rPr>
            </w:pPr>
            <w:r>
              <w:rPr>
                <w:rFonts w:ascii="宋体" w:hAnsi="宋体" w:cs="宋体" w:eastAsia="宋体" w:hint="default"/>
                <w:sz w:val="18"/>
                <w:szCs w:val="18"/>
              </w:rPr>
              <w:t>安徽中烟工业有限 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941,994.86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16,296.51</w:t>
            </w:r>
          </w:p>
        </w:tc>
      </w:tr>
      <w:tr>
        <w:trPr>
          <w:trHeight w:val="63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0"/>
              <w:jc w:val="left"/>
              <w:rPr>
                <w:rFonts w:ascii="宋体" w:hAnsi="宋体" w:cs="宋体" w:eastAsia="宋体" w:hint="default"/>
                <w:sz w:val="18"/>
                <w:szCs w:val="18"/>
              </w:rPr>
            </w:pPr>
            <w:r>
              <w:rPr>
                <w:rFonts w:ascii="宋体" w:hAnsi="宋体" w:cs="宋体" w:eastAsia="宋体" w:hint="default"/>
                <w:sz w:val="18"/>
                <w:szCs w:val="18"/>
              </w:rPr>
              <w:t>河南中烟工业有限 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877,341.43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16,672.18</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29,181,761.47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z w:val="18"/>
              </w:rPr>
              <w:t>72.84%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2,178,375.60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9" w:lineRule="exact"/>
        <w:ind w:right="-16"/>
        <w:jc w:val="left"/>
        <w:rPr>
          <w:b w:val="0"/>
          <w:bCs w:val="0"/>
        </w:rPr>
      </w:pPr>
      <w:bookmarkStart w:name="3、长期股权投资" w:id="356"/>
      <w:bookmarkEnd w:id="35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37" w:space="7092"/>
            <w:col w:w="2101"/>
          </w:cols>
        </w:sectPr>
      </w:pP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81,588,029.73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center"/>
              <w:rPr>
                <w:rFonts w:ascii="Times New Roman" w:hAnsi="Times New Roman" w:cs="Times New Roman" w:eastAsia="Times New Roman" w:hint="default"/>
                <w:sz w:val="18"/>
                <w:szCs w:val="18"/>
              </w:rPr>
            </w:pPr>
            <w:r>
              <w:rPr>
                <w:rFonts w:ascii="Times New Roman"/>
                <w:sz w:val="18"/>
              </w:rPr>
              <w:t>81,588,029.73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75,588,029.73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75,588,029.73</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55,077,173.97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55,077,173.97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51,628,016.06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51,628,016.06</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136,665,203.70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136,665,203.70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127,216,045.79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127,216,045.79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3"/>
        <w:spacing w:line="278" w:lineRule="exact"/>
        <w:ind w:right="-16"/>
        <w:jc w:val="left"/>
        <w:rPr>
          <w:b w:val="0"/>
          <w:bCs w:val="0"/>
        </w:rPr>
      </w:pPr>
      <w:bookmarkStart w:name="（1）对子公司投资" w:id="357"/>
      <w:bookmarkEnd w:id="35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8"/>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5"/>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2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00" w:lineRule="auto"/>
              <w:ind w:left="299" w:right="12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3"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634"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90" w:right="125"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2"/>
              <w:jc w:val="both"/>
              <w:rPr>
                <w:rFonts w:ascii="宋体" w:hAnsi="宋体" w:cs="宋体" w:eastAsia="宋体" w:hint="default"/>
                <w:sz w:val="18"/>
                <w:szCs w:val="18"/>
              </w:rPr>
            </w:pPr>
            <w:r>
              <w:rPr>
                <w:rFonts w:ascii="宋体" w:hAnsi="宋体" w:cs="宋体" w:eastAsia="宋体" w:hint="default"/>
                <w:sz w:val="18"/>
                <w:szCs w:val="18"/>
              </w:rPr>
              <w:t>今天国际物 流科技有限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Times New Roman"/>
                <w:sz w:val="18"/>
              </w:rPr>
              <w:t>7,588,029.73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9" w:right="0"/>
              <w:jc w:val="center"/>
              <w:rPr>
                <w:rFonts w:ascii="Times New Roman" w:hAnsi="Times New Roman" w:cs="Times New Roman" w:eastAsia="Times New Roman" w:hint="default"/>
                <w:sz w:val="18"/>
                <w:szCs w:val="18"/>
              </w:rPr>
            </w:pPr>
            <w:r>
              <w:rPr>
                <w:rFonts w:ascii="Times New Roman"/>
                <w:sz w:val="18"/>
              </w:rPr>
              <w:t>7,588,029.73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2"/>
              <w:jc w:val="both"/>
              <w:rPr>
                <w:rFonts w:ascii="宋体" w:hAnsi="宋体" w:cs="宋体" w:eastAsia="宋体" w:hint="default"/>
                <w:sz w:val="18"/>
                <w:szCs w:val="18"/>
              </w:rPr>
            </w:pPr>
            <w:r>
              <w:rPr>
                <w:rFonts w:ascii="宋体" w:hAnsi="宋体" w:cs="宋体" w:eastAsia="宋体" w:hint="default"/>
                <w:sz w:val="18"/>
                <w:szCs w:val="18"/>
              </w:rPr>
              <w:t>深圳市今天 国际软件技 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7" w:right="0"/>
              <w:jc w:val="left"/>
              <w:rPr>
                <w:rFonts w:ascii="Times New Roman" w:hAnsi="Times New Roman" w:cs="Times New Roman" w:eastAsia="Times New Roman" w:hint="default"/>
                <w:sz w:val="18"/>
                <w:szCs w:val="18"/>
              </w:rPr>
            </w:pPr>
            <w:r>
              <w:rPr>
                <w:rFonts w:ascii="Times New Roman"/>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 w:right="0"/>
              <w:jc w:val="center"/>
              <w:rPr>
                <w:rFonts w:ascii="Times New Roman" w:hAnsi="Times New Roman" w:cs="Times New Roman" w:eastAsia="Times New Roman" w:hint="default"/>
                <w:sz w:val="18"/>
                <w:szCs w:val="18"/>
              </w:rPr>
            </w:pPr>
            <w:r>
              <w:rPr>
                <w:rFonts w:ascii="Times New Roman"/>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2"/>
              <w:jc w:val="both"/>
              <w:rPr>
                <w:rFonts w:ascii="宋体" w:hAnsi="宋体" w:cs="宋体" w:eastAsia="宋体" w:hint="default"/>
                <w:sz w:val="18"/>
                <w:szCs w:val="18"/>
              </w:rPr>
            </w:pPr>
            <w:r>
              <w:rPr>
                <w:rFonts w:ascii="宋体" w:hAnsi="宋体" w:cs="宋体" w:eastAsia="宋体" w:hint="default"/>
                <w:sz w:val="18"/>
                <w:szCs w:val="18"/>
              </w:rPr>
              <w:t>深圳市今天 国际智能机 器人有限公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2"/>
              <w:jc w:val="both"/>
              <w:rPr>
                <w:rFonts w:ascii="宋体" w:hAnsi="宋体" w:cs="宋体" w:eastAsia="宋体" w:hint="default"/>
                <w:sz w:val="18"/>
                <w:szCs w:val="18"/>
              </w:rPr>
            </w:pPr>
            <w:r>
              <w:rPr>
                <w:rFonts w:ascii="宋体" w:hAnsi="宋体" w:cs="宋体" w:eastAsia="宋体" w:hint="default"/>
                <w:sz w:val="18"/>
                <w:szCs w:val="18"/>
              </w:rPr>
              <w:t>北京今天华 迅智能技术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9" w:right="0"/>
              <w:jc w:val="center"/>
              <w:rPr>
                <w:rFonts w:ascii="Times New Roman" w:hAnsi="Times New Roman" w:cs="Times New Roman" w:eastAsia="Times New Roman" w:hint="default"/>
                <w:sz w:val="18"/>
                <w:szCs w:val="18"/>
              </w:rPr>
            </w:pPr>
            <w:r>
              <w:rPr>
                <w:rFonts w:ascii="Times New Roman"/>
                <w:sz w:val="18"/>
              </w:rPr>
              <w:t>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2"/>
              <w:jc w:val="both"/>
              <w:rPr>
                <w:rFonts w:ascii="宋体" w:hAnsi="宋体" w:cs="宋体" w:eastAsia="宋体" w:hint="default"/>
                <w:sz w:val="18"/>
                <w:szCs w:val="18"/>
              </w:rPr>
            </w:pPr>
            <w:r>
              <w:rPr>
                <w:rFonts w:ascii="宋体" w:hAnsi="宋体" w:cs="宋体" w:eastAsia="宋体" w:hint="default"/>
                <w:sz w:val="18"/>
                <w:szCs w:val="18"/>
              </w:rPr>
              <w:t>上海今天华 峰智能系统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75,588,029.7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81,588,029.7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80" w:bottom="1160" w:left="980" w:right="0"/>
        </w:sectPr>
      </w:pPr>
    </w:p>
    <w:p>
      <w:pPr>
        <w:pStyle w:val="Heading3"/>
        <w:spacing w:line="278" w:lineRule="exact"/>
        <w:ind w:right="-6"/>
        <w:jc w:val="left"/>
        <w:rPr>
          <w:b w:val="0"/>
          <w:bCs w:val="0"/>
        </w:rPr>
      </w:pPr>
      <w:bookmarkStart w:name="（2）对联营、合营企业投资" w:id="358"/>
      <w:bookmarkEnd w:id="358"/>
      <w:r>
        <w:rPr>
          <w:b w:val="0"/>
          <w:bCs w:val="0"/>
        </w:rPr>
      </w:r>
      <w:r>
        <w:rPr>
          <w:spacing w:val="-1"/>
        </w:rPr>
        <w:t>（</w:t>
      </w:r>
      <w:r>
        <w:rPr>
          <w:rFonts w:ascii="Times New Roman" w:hAnsi="Times New Roman" w:cs="Times New Roman" w:eastAsia="Times New Roman" w:hint="default"/>
          <w:spacing w:val="-1"/>
        </w:rPr>
        <w:t>2</w:t>
      </w:r>
      <w:r>
        <w:rPr>
          <w:spacing w:val="-1"/>
        </w:rPr>
        <w:t>）对联营、合营企业投资</w:t>
      </w:r>
      <w:r>
        <w:rPr>
          <w:b w:val="0"/>
          <w:bCs w:val="0"/>
          <w:spacing w:val="-1"/>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789" w:space="6040"/>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2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25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深圳市 旭龙昇 电子有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3" w:right="0"/>
              <w:jc w:val="left"/>
              <w:rPr>
                <w:rFonts w:ascii="Times New Roman" w:hAnsi="Times New Roman" w:cs="Times New Roman" w:eastAsia="Times New Roman" w:hint="default"/>
                <w:sz w:val="18"/>
                <w:szCs w:val="18"/>
              </w:rPr>
            </w:pPr>
            <w:r>
              <w:rPr>
                <w:rFonts w:ascii="Times New Roman"/>
                <w:sz w:val="18"/>
              </w:rPr>
              <w:t>41,991,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334.13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 w:right="0"/>
              <w:jc w:val="center"/>
              <w:rPr>
                <w:rFonts w:ascii="Times New Roman" w:hAnsi="Times New Roman" w:cs="Times New Roman" w:eastAsia="Times New Roman" w:hint="default"/>
                <w:sz w:val="18"/>
                <w:szCs w:val="18"/>
              </w:rPr>
            </w:pPr>
            <w:r>
              <w:rPr>
                <w:rFonts w:ascii="Times New Roman"/>
                <w:sz w:val="18"/>
              </w:rPr>
              <w:t>4,134,3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46,188,</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623.74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深圳市 科佛科 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 w:right="0"/>
              <w:jc w:val="center"/>
              <w:rPr>
                <w:rFonts w:ascii="Times New Roman" w:hAnsi="Times New Roman" w:cs="Times New Roman" w:eastAsia="Times New Roman" w:hint="default"/>
                <w:sz w:val="18"/>
                <w:szCs w:val="18"/>
              </w:rPr>
            </w:pPr>
            <w:r>
              <w:rPr>
                <w:rFonts w:ascii="Times New Roman"/>
                <w:sz w:val="18"/>
              </w:rPr>
              <w:t>9,636,6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81.93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Times New Roman" w:hAnsi="Times New Roman" w:cs="Times New Roman" w:eastAsia="Times New Roman" w:hint="default"/>
                <w:sz w:val="18"/>
                <w:szCs w:val="18"/>
              </w:rPr>
            </w:pPr>
            <w:r>
              <w:rPr>
                <w:rFonts w:ascii="Times New Roman"/>
                <w:sz w:val="18"/>
              </w:rPr>
              <w:t>-748,13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 w:right="0"/>
              <w:jc w:val="center"/>
              <w:rPr>
                <w:rFonts w:ascii="Times New Roman" w:hAnsi="Times New Roman" w:cs="Times New Roman" w:eastAsia="Times New Roman" w:hint="default"/>
                <w:sz w:val="18"/>
                <w:szCs w:val="18"/>
              </w:rPr>
            </w:pPr>
            <w:r>
              <w:rPr>
                <w:rFonts w:ascii="Times New Roman"/>
                <w:sz w:val="18"/>
              </w:rPr>
              <w:t>8,888,5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51,628,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3,386,1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55,077,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173.97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51,628,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3,386,1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62,975.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55,077,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173.97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080" w:bottom="1160" w:left="980" w:right="0"/>
        </w:sectPr>
      </w:pPr>
    </w:p>
    <w:p>
      <w:pPr>
        <w:pStyle w:val="Heading3"/>
        <w:spacing w:line="240" w:lineRule="auto" w:before="36"/>
        <w:ind w:right="-7"/>
        <w:jc w:val="left"/>
        <w:rPr>
          <w:b w:val="0"/>
          <w:bCs w:val="0"/>
        </w:rPr>
      </w:pPr>
      <w:bookmarkStart w:name="（3）其他说明" w:id="359"/>
      <w:bookmarkEnd w:id="359"/>
      <w:r>
        <w:rPr>
          <w:b w:val="0"/>
          <w:bCs w:val="0"/>
        </w:rPr>
      </w:r>
      <w:r>
        <w:rPr/>
        <w:t>（</w:t>
      </w:r>
      <w:r>
        <w:rPr>
          <w:rFonts w:ascii="Times New Roman" w:hAnsi="Times New Roman" w:cs="Times New Roman" w:eastAsia="Times New Roman" w:hint="default"/>
        </w:rPr>
        <w:t>3</w:t>
      </w:r>
      <w:r>
        <w:rPr/>
        <w:t>）其他说明</w:t>
      </w:r>
      <w:r>
        <w:rPr>
          <w:b w:val="0"/>
          <w:bCs w:val="0"/>
        </w:rPr>
      </w:r>
    </w:p>
    <w:p>
      <w:pPr>
        <w:pStyle w:val="Heading3"/>
        <w:spacing w:line="240" w:lineRule="auto" w:before="24"/>
        <w:ind w:right="-7"/>
        <w:jc w:val="left"/>
        <w:rPr>
          <w:b w:val="0"/>
          <w:bCs w:val="0"/>
        </w:rPr>
      </w:pPr>
      <w:bookmarkStart w:name="4、营业收入和营业成本" w:id="360"/>
      <w:bookmarkEnd w:id="360"/>
      <w:r>
        <w:rPr>
          <w:b w:val="0"/>
          <w:bCs w:val="0"/>
        </w:rPr>
      </w:r>
      <w:r>
        <w:rPr>
          <w:rFonts w:ascii="Times New Roman" w:hAnsi="Times New Roman" w:cs="Times New Roman" w:eastAsia="Times New Roman" w:hint="default"/>
          <w:spacing w:val="-1"/>
        </w:rPr>
        <w:t>4</w:t>
      </w:r>
      <w:r>
        <w:rPr>
          <w:spacing w:val="-1"/>
        </w:rPr>
        <w:t>、营业收入和营业成本</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32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707,038,005.37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557,473,850.19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406,696,540.08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297,219,847.52</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2,752,531.35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1,578,872.36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2,542,137.12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1,571,321.86</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709,790,536.72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559,052,722.55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409,238,677.20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298,791,169.38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8"/>
        <w:ind w:right="-20"/>
        <w:jc w:val="left"/>
      </w:pPr>
      <w:r>
        <w:rPr/>
        <w:t>是否已执行新收入准则</w:t>
      </w:r>
    </w:p>
    <w:p>
      <w:pPr>
        <w:pStyle w:val="BodyText"/>
        <w:spacing w:line="240" w:lineRule="auto" w:before="76"/>
        <w:ind w:right="-20"/>
        <w:jc w:val="left"/>
      </w:pPr>
      <w:r>
        <w:rPr>
          <w:rFonts w:ascii="Times New Roman" w:hAnsi="Times New Roman" w:cs="Times New Roman" w:eastAsia="Times New Roman" w:hint="default"/>
        </w:rPr>
        <w:t>□  </w:t>
      </w:r>
      <w:r>
        <w:rPr/>
        <w:t>是 √</w:t>
      </w:r>
      <w:r>
        <w:rPr>
          <w:spacing w:val="2"/>
        </w:rPr>
        <w:t> </w:t>
      </w:r>
      <w:r>
        <w:rPr/>
        <w:t>否</w:t>
      </w:r>
    </w:p>
    <w:p>
      <w:pPr>
        <w:pStyle w:val="Heading3"/>
        <w:spacing w:line="240" w:lineRule="auto" w:before="42"/>
        <w:ind w:right="-20"/>
        <w:jc w:val="left"/>
        <w:rPr>
          <w:b w:val="0"/>
          <w:bCs w:val="0"/>
        </w:rPr>
      </w:pPr>
      <w:bookmarkStart w:name="5、投资收益" w:id="361"/>
      <w:bookmarkEnd w:id="36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3,386,182.02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3,838,088.39</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购买短期银行理财产品收益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3,255,922.05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2,263,043.01</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6,642,104.07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6,101,131.40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Heading2"/>
        <w:spacing w:line="276" w:lineRule="exact"/>
        <w:ind w:right="-6"/>
        <w:jc w:val="left"/>
        <w:rPr>
          <w:b w:val="0"/>
          <w:bCs w:val="0"/>
        </w:rPr>
      </w:pPr>
      <w:bookmarkStart w:name="十六、补充资料" w:id="362"/>
      <w:bookmarkEnd w:id="362"/>
      <w:r>
        <w:rPr>
          <w:b w:val="0"/>
          <w:bCs w:val="0"/>
        </w:rPr>
      </w:r>
      <w:r>
        <w:rPr/>
        <w:t>十六、补充资料</w:t>
      </w:r>
      <w:r>
        <w:rPr>
          <w:b w:val="0"/>
          <w:bCs w:val="0"/>
        </w:rPr>
      </w:r>
    </w:p>
    <w:p>
      <w:pPr>
        <w:pStyle w:val="Heading3"/>
        <w:spacing w:line="240" w:lineRule="auto" w:before="25"/>
        <w:ind w:right="-6"/>
        <w:jc w:val="left"/>
        <w:rPr>
          <w:b w:val="0"/>
          <w:bCs w:val="0"/>
        </w:rPr>
      </w:pPr>
      <w:bookmarkStart w:name="1、当期非经常性损益明细表" w:id="363"/>
      <w:bookmarkEnd w:id="363"/>
      <w:r>
        <w:rPr>
          <w:b w:val="0"/>
          <w:bCs w:val="0"/>
        </w:rPr>
      </w:r>
      <w:r>
        <w:rPr>
          <w:rFonts w:ascii="Times New Roman" w:hAnsi="Times New Roman" w:cs="Times New Roman" w:eastAsia="Times New Roman" w:hint="default"/>
          <w:spacing w:val="-1"/>
        </w:rPr>
        <w:t>1</w:t>
      </w:r>
      <w:r>
        <w:rPr>
          <w:spacing w:val="-1"/>
        </w:rPr>
        <w:t>、当期非经常性损益明细表</w:t>
      </w:r>
      <w:r>
        <w:rPr>
          <w:b w:val="0"/>
          <w:bCs w:val="0"/>
          <w:spacing w:val="-1"/>
        </w:rPr>
      </w:r>
    </w:p>
    <w:p>
      <w:pPr>
        <w:pStyle w:val="BodyText"/>
        <w:spacing w:line="240" w:lineRule="auto" w:before="44"/>
        <w:ind w:right="-6"/>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789" w:space="6041"/>
            <w:col w:w="2100"/>
          </w:cols>
        </w:sectPr>
      </w:pP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46,074.90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6,698,444.84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详见“第十二节、七、</w:t>
            </w:r>
            <w:r>
              <w:rPr>
                <w:rFonts w:ascii="Times New Roman" w:hAnsi="Times New Roman" w:cs="Times New Roman" w:eastAsia="Times New Roman" w:hint="default"/>
                <w:sz w:val="18"/>
                <w:szCs w:val="18"/>
              </w:rPr>
              <w:t>50</w:t>
            </w:r>
            <w:r>
              <w:rPr>
                <w:rFonts w:ascii="宋体" w:hAnsi="宋体" w:cs="宋体" w:eastAsia="宋体" w:hint="default"/>
                <w:sz w:val="18"/>
                <w:szCs w:val="18"/>
              </w:rPr>
              <w:t>、政府补助”</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（增值税即征即退除外）</w:t>
            </w:r>
          </w:p>
        </w:tc>
      </w:tr>
      <w:tr>
        <w:trPr>
          <w:trHeight w:val="219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3,404,793.93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63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95,296.31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132,593.51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代扣代缴个税手续费返还</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1,556,580.52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8,820,622.97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31"/>
        <w:ind w:right="1116"/>
        <w:jc w:val="left"/>
      </w:pPr>
      <w:r>
        <w:rPr>
          <w:rFonts w:ascii="Times New Roman" w:hAnsi="Times New Roman" w:cs="Times New Roman" w:eastAsia="Times New Roman" w:hint="default"/>
        </w:rPr>
        <w:t>□  </w:t>
      </w:r>
      <w:r>
        <w:rPr/>
        <w:t>适用 √</w:t>
      </w:r>
      <w:r>
        <w:rPr>
          <w:spacing w:val="1"/>
        </w:rPr>
        <w:t> </w:t>
      </w:r>
      <w:r>
        <w:rPr/>
        <w:t>不适用</w:t>
      </w:r>
    </w:p>
    <w:p>
      <w:pPr>
        <w:pStyle w:val="Heading3"/>
        <w:spacing w:line="240" w:lineRule="auto" w:before="42"/>
        <w:ind w:right="1116"/>
        <w:jc w:val="left"/>
        <w:rPr>
          <w:b w:val="0"/>
          <w:bCs w:val="0"/>
        </w:rPr>
      </w:pPr>
      <w:bookmarkStart w:name="2、净资产收益率及每股收益" w:id="364"/>
      <w:bookmarkEnd w:id="36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2661"/>
        <w:gridCol w:w="3082"/>
        <w:gridCol w:w="3826"/>
      </w:tblGrid>
      <w:tr>
        <w:trPr>
          <w:trHeight w:val="32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32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63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r>
      <w:tr>
        <w:trPr>
          <w:trHeight w:val="63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8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Heading1"/>
        <w:spacing w:line="240" w:lineRule="auto"/>
        <w:ind w:left="3365" w:right="1116"/>
        <w:jc w:val="left"/>
        <w:rPr>
          <w:b w:val="0"/>
          <w:bCs w:val="0"/>
        </w:rPr>
      </w:pPr>
      <w:bookmarkStart w:name="第十三节备查文件目录" w:id="365"/>
      <w:bookmarkEnd w:id="365"/>
      <w:r>
        <w:rPr>
          <w:b w:val="0"/>
          <w:bCs w:val="0"/>
        </w:rPr>
      </w:r>
      <w:r>
        <w:rPr/>
        <w:t>第十三节备查文件目录</w:t>
      </w:r>
      <w:r>
        <w:rPr>
          <w:b w:val="0"/>
          <w:bCs w:val="0"/>
        </w:rPr>
      </w:r>
    </w:p>
    <w:p>
      <w:pPr>
        <w:spacing w:line="240" w:lineRule="auto" w:before="10"/>
        <w:rPr>
          <w:rFonts w:ascii="宋体" w:hAnsi="宋体" w:cs="宋体" w:eastAsia="宋体" w:hint="default"/>
          <w:b/>
          <w:bCs/>
          <w:sz w:val="13"/>
          <w:szCs w:val="13"/>
        </w:rPr>
      </w:pPr>
    </w:p>
    <w:p>
      <w:pPr>
        <w:pStyle w:val="BodyText"/>
        <w:spacing w:line="240" w:lineRule="auto" w:before="44"/>
        <w:ind w:right="1116"/>
        <w:jc w:val="left"/>
      </w:pPr>
      <w:r>
        <w:rPr/>
        <w:t>公司备查文件的目录，包括：</w:t>
      </w:r>
    </w:p>
    <w:p>
      <w:pPr>
        <w:spacing w:line="240" w:lineRule="auto" w:before="0"/>
        <w:rPr>
          <w:rFonts w:ascii="宋体" w:hAnsi="宋体" w:cs="宋体" w:eastAsia="宋体" w:hint="default"/>
          <w:sz w:val="18"/>
          <w:szCs w:val="18"/>
        </w:rPr>
      </w:pPr>
    </w:p>
    <w:p>
      <w:pPr>
        <w:pStyle w:val="BodyText"/>
        <w:spacing w:line="316" w:lineRule="auto" w:before="153"/>
        <w:ind w:left="513" w:right="3373"/>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2019</w:t>
      </w:r>
      <w:r>
        <w:rPr/>
        <w:t>年度报告文本原件。</w:t>
      </w:r>
    </w:p>
    <w:p>
      <w:pPr>
        <w:spacing w:line="240" w:lineRule="auto" w:before="10"/>
        <w:rPr>
          <w:rFonts w:ascii="宋体" w:hAnsi="宋体" w:cs="宋体" w:eastAsia="宋体" w:hint="default"/>
          <w:sz w:val="23"/>
          <w:szCs w:val="23"/>
        </w:rPr>
      </w:pPr>
    </w:p>
    <w:p>
      <w:pPr>
        <w:pStyle w:val="BodyText"/>
        <w:spacing w:line="240" w:lineRule="auto"/>
        <w:ind w:left="513" w:right="1116"/>
        <w:jc w:val="left"/>
      </w:pPr>
      <w:r>
        <w:rPr/>
        <w:t>以上备查文件的备置地点：公司董事会办公室。</w:t>
      </w:r>
    </w:p>
    <w:sectPr>
      <w:pgSz w:w="11910" w:h="16840"/>
      <w:pgMar w:header="877" w:footer="980" w:top="108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512" type="#_x0000_t75" stroked="false">
          <v:imagedata r:id="rId1" o:title=""/>
        </v:shape>
      </w:pict>
    </w:r>
    <w:r>
      <w:rPr/>
      <w:pict>
        <v:shape style="position:absolute;margin-left:294.489990pt;margin-top:795.637939pt;width:6.5pt;height:11pt;mso-position-horizontal-relative:page;mso-position-vertical-relative:page;z-index:-917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576" type="#_x0000_t75" stroked="false">
          <v:imagedata r:id="rId1" o:title=""/>
        </v:shape>
      </w:pict>
    </w:r>
    <w:r>
      <w:rPr/>
      <w:pict>
        <v:shape style="position:absolute;margin-left:288.929993pt;margin-top:781.933899pt;width:17.7pt;height:11pt;mso-position-horizontal-relative:page;mso-position-vertical-relative:page;z-index:-916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528" type="#_x0000_t75" stroked="false">
          <v:imagedata r:id="rId1" o:title=""/>
        </v:shape>
      </w:pict>
    </w:r>
    <w:r>
      <w:rPr/>
      <w:pict>
        <v:shape style="position:absolute;margin-left:289.049988pt;margin-top:781.933899pt;width:17.3pt;height:11pt;mso-position-horizontal-relative:page;mso-position-vertical-relative:page;z-index:-916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480" type="#_x0000_t75" stroked="false">
          <v:imagedata r:id="rId1" o:title=""/>
        </v:shape>
      </w:pict>
    </w:r>
    <w:r>
      <w:rPr/>
      <w:pict>
        <v:shape style="position:absolute;margin-left:288.929993pt;margin-top:781.933899pt;width:17.7pt;height:11pt;mso-position-horizontal-relative:page;mso-position-vertical-relative:page;z-index:-916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464" type="#_x0000_t75" stroked="false">
          <v:imagedata r:id="rId1" o:title=""/>
        </v:shape>
      </w:pict>
    </w:r>
    <w:r>
      <w:rPr/>
      <w:pict>
        <v:shape style="position:absolute;margin-left:291.209991pt;margin-top:781.933899pt;width:13.15pt;height:11pt;mso-position-horizontal-relative:page;mso-position-vertical-relative:page;z-index:-917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17272" type="#_x0000_t75" stroked="false">
          <v:imagedata r:id="rId1" o:title=""/>
        </v:shape>
      </w:pict>
    </w:r>
    <w:r>
      <w:rPr/>
      <w:pict>
        <v:shape style="position:absolute;margin-left:414.450012pt;margin-top:535.333923pt;width:13.15pt;height:11pt;mso-position-horizontal-relative:page;mso-position-vertical-relative:page;z-index:-917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7152" type="#_x0000_t75" stroked="false">
          <v:imagedata r:id="rId1" o:title=""/>
        </v:shape>
      </w:pict>
    </w:r>
    <w:r>
      <w:rPr/>
      <w:pict>
        <v:shape style="position:absolute;margin-left:291.209991pt;margin-top:781.933899pt;width:13.15pt;height:11pt;mso-position-horizontal-relative:page;mso-position-vertical-relative:page;z-index:-917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17032" type="#_x0000_t75" stroked="false">
          <v:imagedata r:id="rId1" o:title=""/>
        </v:shape>
      </w:pict>
    </w:r>
    <w:r>
      <w:rPr/>
      <w:pict>
        <v:shape style="position:absolute;margin-left:414.450012pt;margin-top:535.333923pt;width:13.15pt;height:11pt;mso-position-horizontal-relative:page;mso-position-vertical-relative:page;z-index:-91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912" type="#_x0000_t75" stroked="false">
          <v:imagedata r:id="rId1" o:title=""/>
        </v:shape>
      </w:pict>
    </w:r>
    <w:r>
      <w:rPr/>
      <w:pict>
        <v:shape style="position:absolute;margin-left:291.209991pt;margin-top:781.933899pt;width:13.15pt;height:11pt;mso-position-horizontal-relative:page;mso-position-vertical-relative:page;z-index:-916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16792" type="#_x0000_t75" stroked="false">
          <v:imagedata r:id="rId1" o:title=""/>
        </v:shape>
      </w:pict>
    </w:r>
    <w:r>
      <w:rPr/>
      <w:pict>
        <v:shape style="position:absolute;margin-left:414.450012pt;margin-top:535.333923pt;width:13.15pt;height:11pt;mso-position-horizontal-relative:page;mso-position-vertical-relative:page;z-index:-916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672" type="#_x0000_t75" stroked="false">
          <v:imagedata r:id="rId1" o:title=""/>
        </v:shape>
      </w:pict>
    </w:r>
    <w:r>
      <w:rPr/>
      <w:pict>
        <v:shape style="position:absolute;margin-left:291.209991pt;margin-top:781.933899pt;width:13.15pt;height:11pt;mso-position-horizontal-relative:page;mso-position-vertical-relative:page;z-index:-916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624" type="#_x0000_t75" stroked="false">
          <v:imagedata r:id="rId1" o:title=""/>
        </v:shape>
      </w:pict>
    </w:r>
    <w:r>
      <w:rPr/>
      <w:pict>
        <v:shape style="position:absolute;margin-left:289.929993pt;margin-top:781.933899pt;width:15.7pt;height:11pt;mso-position-horizontal-relative:page;mso-position-vertical-relative:page;z-index:-916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6.265610pt;width:155pt;height:11pt;mso-position-horizontal-relative:page;mso-position-vertical-relative:page;z-index:-91756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51.980011pt;margin-top:36.265610pt;width:85.3pt;height:11.5pt;mso-position-horizontal-relative:page;mso-position-vertical-relative:page;z-index:-9175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479984pt;width:484.9pt;height:.1pt;mso-position-horizontal-relative:page;mso-position-vertical-relative:page;z-index:-917416" coordorigin="1104,1090" coordsize="9698,2">
          <v:shape style="position:absolute;left:1104;top:1090;width:9698;height:2" coordorigin="1104,1090" coordsize="9698,0" path="m1104,1090l10802,1090e" filled="false" stroked="true" strokeweight=".48pt" strokecolor="#000000">
            <v:path arrowok="t"/>
          </v:shape>
          <w10:wrap type="none"/>
        </v:group>
      </w:pict>
    </w:r>
    <w:r>
      <w:rPr/>
      <w:pict>
        <v:shape style="position:absolute;margin-left:55.639999pt;margin-top:42.865608pt;width:155pt;height:11pt;mso-position-horizontal-relative:page;mso-position-vertical-relative:page;z-index:-917392"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51.980011pt;margin-top:42.865608pt;width:85.3pt;height:11.5pt;mso-position-horizontal-relative:page;mso-position-vertical-relative:page;z-index:-91736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4.480007pt;width:700.9pt;height:.1pt;mso-position-horizontal-relative:page;mso-position-vertical-relative:page;z-index:-917344" coordorigin="1411,1090" coordsize="14018,2">
          <v:shape style="position:absolute;left:1411;top:1090;width:14018;height:2" coordorigin="1411,1090" coordsize="14018,0" path="m1411,1090l15429,1090e" filled="false" stroked="true" strokeweight=".48pt" strokecolor="#000000">
            <v:path arrowok="t"/>
          </v:shape>
          <w10:wrap type="none"/>
        </v:group>
      </w:pict>
    </w:r>
    <w:r>
      <w:rPr/>
      <w:pict>
        <v:shape style="position:absolute;margin-left:71pt;margin-top:42.865631pt;width:155pt;height:11pt;mso-position-horizontal-relative:page;mso-position-vertical-relative:page;z-index:-91732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67.309998pt;margin-top:42.865631pt;width:85.3pt;height:11.5pt;mso-position-horizontal-relative:page;mso-position-vertical-relative:page;z-index:-9172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479984pt;width:484.9pt;height:.1pt;mso-position-horizontal-relative:page;mso-position-vertical-relative:page;z-index:-917224" coordorigin="1104,1090" coordsize="9698,2">
          <v:shape style="position:absolute;left:1104;top:1090;width:9698;height:2" coordorigin="1104,1090" coordsize="9698,0" path="m1104,1090l10802,1090e" filled="false" stroked="true" strokeweight=".48pt" strokecolor="#000000">
            <v:path arrowok="t"/>
          </v:shape>
          <w10:wrap type="none"/>
        </v:group>
      </w:pict>
    </w:r>
    <w:r>
      <w:rPr/>
      <w:pict>
        <v:shape style="position:absolute;margin-left:55.639999pt;margin-top:42.865608pt;width:155pt;height:11pt;mso-position-horizontal-relative:page;mso-position-vertical-relative:page;z-index:-91720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51.980011pt;margin-top:42.865608pt;width:85.3pt;height:11.5pt;mso-position-horizontal-relative:page;mso-position-vertical-relative:page;z-index:-91717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4.480007pt;width:700.9pt;height:.1pt;mso-position-horizontal-relative:page;mso-position-vertical-relative:page;z-index:-917104" coordorigin="1411,1090" coordsize="14018,2">
          <v:shape style="position:absolute;left:1411;top:1090;width:14018;height:2" coordorigin="1411,1090" coordsize="14018,0" path="m1411,1090l15429,1090e" filled="false" stroked="true" strokeweight=".48pt" strokecolor="#000000">
            <v:path arrowok="t"/>
          </v:shape>
          <w10:wrap type="none"/>
        </v:group>
      </w:pict>
    </w:r>
    <w:r>
      <w:rPr/>
      <w:pict>
        <v:shape style="position:absolute;margin-left:71pt;margin-top:42.865631pt;width:155pt;height:11pt;mso-position-horizontal-relative:page;mso-position-vertical-relative:page;z-index:-91708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67.309998pt;margin-top:42.865631pt;width:85.3pt;height:11.5pt;mso-position-horizontal-relative:page;mso-position-vertical-relative:page;z-index:-9170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479984pt;width:484.9pt;height:.1pt;mso-position-horizontal-relative:page;mso-position-vertical-relative:page;z-index:-916984" coordorigin="1104,1090" coordsize="9698,2">
          <v:shape style="position:absolute;left:1104;top:1090;width:9698;height:2" coordorigin="1104,1090" coordsize="9698,0" path="m1104,1090l10802,1090e" filled="false" stroked="true" strokeweight=".48pt" strokecolor="#000000">
            <v:path arrowok="t"/>
          </v:shape>
          <w10:wrap type="none"/>
        </v:group>
      </w:pict>
    </w:r>
    <w:r>
      <w:rPr/>
      <w:pict>
        <v:shape style="position:absolute;margin-left:55.639999pt;margin-top:42.865608pt;width:155pt;height:11pt;mso-position-horizontal-relative:page;mso-position-vertical-relative:page;z-index:-91696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51.980011pt;margin-top:42.865608pt;width:85.3pt;height:11.5pt;mso-position-horizontal-relative:page;mso-position-vertical-relative:page;z-index:-9169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4.480007pt;width:700.9pt;height:.1pt;mso-position-horizontal-relative:page;mso-position-vertical-relative:page;z-index:-916864" coordorigin="1411,1090" coordsize="14018,2">
          <v:shape style="position:absolute;left:1411;top:1090;width:14018;height:2" coordorigin="1411,1090" coordsize="14018,0" path="m1411,1090l15429,1090e" filled="false" stroked="true" strokeweight=".48pt" strokecolor="#000000">
            <v:path arrowok="t"/>
          </v:shape>
          <w10:wrap type="none"/>
        </v:group>
      </w:pict>
    </w:r>
    <w:r>
      <w:rPr/>
      <w:pict>
        <v:shape style="position:absolute;margin-left:71pt;margin-top:42.865631pt;width:155pt;height:11pt;mso-position-horizontal-relative:page;mso-position-vertical-relative:page;z-index:-91684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67.309998pt;margin-top:42.865631pt;width:85.3pt;height:11.5pt;mso-position-horizontal-relative:page;mso-position-vertical-relative:page;z-index:-9168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4.479984pt;width:484.9pt;height:.1pt;mso-position-horizontal-relative:page;mso-position-vertical-relative:page;z-index:-916744" coordorigin="1104,1090" coordsize="9698,2">
          <v:shape style="position:absolute;left:1104;top:1090;width:9698;height:2" coordorigin="1104,1090" coordsize="9698,0" path="m1104,1090l10802,1090e" filled="false" stroked="true" strokeweight=".48pt" strokecolor="#000000">
            <v:path arrowok="t"/>
          </v:shape>
          <w10:wrap type="none"/>
        </v:group>
      </w:pict>
    </w:r>
    <w:r>
      <w:rPr/>
      <w:pict>
        <v:shape style="position:absolute;margin-left:55.639999pt;margin-top:42.865608pt;width:155pt;height:11pt;mso-position-horizontal-relative:page;mso-position-vertical-relative:page;z-index:-916720" type="#_x0000_t202" filled="false" stroked="false">
          <v:textbox inset="0,0,0,0">
            <w:txbxContent>
              <w:p>
                <w:pPr>
                  <w:pStyle w:val="BodyText"/>
                  <w:spacing w:line="200" w:lineRule="exact"/>
                  <w:ind w:left="20" w:right="0"/>
                  <w:jc w:val="left"/>
                </w:pPr>
                <w:r>
                  <w:rPr/>
                  <w:t>深圳市今天国际物流技术股份有限公司</w:t>
                </w:r>
              </w:p>
            </w:txbxContent>
          </v:textbox>
          <w10:wrap type="none"/>
        </v:shape>
      </w:pict>
    </w:r>
    <w:r>
      <w:rPr/>
      <w:pict>
        <v:shape style="position:absolute;margin-left:451.980011pt;margin-top:42.865608pt;width:85.3pt;height:11.5pt;mso-position-horizontal-relative:page;mso-position-vertical-relative:page;z-index:-9166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30"/>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nti56.com/" TargetMode="External"/><Relationship Id="rId11" Type="http://schemas.openxmlformats.org/officeDocument/2006/relationships/hyperlink" Target="mailto:info@nti56.com" TargetMode="External"/><Relationship Id="rId12" Type="http://schemas.openxmlformats.org/officeDocument/2006/relationships/hyperlink" Target="mailto:zhyq@nti56.com" TargetMode="External"/><Relationship Id="rId13" Type="http://schemas.openxmlformats.org/officeDocument/2006/relationships/hyperlink" Target="mailto:yjp@nti56.com" TargetMode="External"/><Relationship Id="rId14" Type="http://schemas.openxmlformats.org/officeDocument/2006/relationships/hyperlink" Target="http://www.cninfo.com.cn/"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3.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zhanghui</dc:creator>
  <dcterms:created xsi:type="dcterms:W3CDTF">2020-05-19T02:02:39Z</dcterms:created>
  <dcterms:modified xsi:type="dcterms:W3CDTF">2020-05-19T02:02:39Z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