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p>
      <w:pPr>
        <w:spacing w:line="643" w:lineRule="exact"/>
        <w:ind w:left="521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drawing>
          <wp:inline distT="0" distB="0" distL="0" distR="0">
            <wp:extent cx="947255" cy="408431"/>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947255" cy="408431"/>
                    </a:xfrm>
                    <a:prstGeom prst="rect">
                      <a:avLst/>
                    </a:prstGeom>
                  </pic:spPr>
                </pic:pic>
              </a:graphicData>
            </a:graphic>
          </wp:inline>
        </w:drawing>
      </w:r>
      <w:r>
        <w:rPr>
          <w:rFonts w:ascii="Times New Roman" w:hAnsi="Times New Roman" w:cs="Times New Roman" w:eastAsia="Times New Roman" w:hint="default"/>
          <w:position w:val="-12"/>
          <w:sz w:val="20"/>
          <w:szCs w:val="20"/>
        </w:rPr>
      </w:r>
    </w:p>
    <w:p>
      <w:pPr>
        <w:spacing w:line="240" w:lineRule="auto" w:before="1"/>
        <w:rPr>
          <w:rFonts w:ascii="Times New Roman" w:hAnsi="Times New Roman" w:cs="Times New Roman" w:eastAsia="Times New Roman" w:hint="default"/>
          <w:sz w:val="13"/>
          <w:szCs w:val="13"/>
        </w:rPr>
      </w:pPr>
    </w:p>
    <w:p>
      <w:pPr>
        <w:spacing w:line="460" w:lineRule="exact" w:before="0"/>
        <w:ind w:left="3403" w:right="3403" w:firstLine="0"/>
        <w:jc w:val="center"/>
        <w:rPr>
          <w:rFonts w:ascii="宋体" w:hAnsi="宋体" w:cs="宋体" w:eastAsia="宋体" w:hint="default"/>
          <w:sz w:val="36"/>
          <w:szCs w:val="36"/>
        </w:rPr>
      </w:pPr>
      <w:r>
        <w:rPr>
          <w:rFonts w:ascii="宋体" w:hAnsi="宋体" w:cs="宋体" w:eastAsia="宋体" w:hint="default"/>
          <w:b/>
          <w:bCs/>
          <w:sz w:val="36"/>
          <w:szCs w:val="36"/>
        </w:rPr>
        <w:t>北京先进数通信息技术股份公司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3402" w:right="340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3403" w:right="3402" w:firstLine="0"/>
        <w:jc w:val="center"/>
        <w:rPr>
          <w:rFonts w:ascii="Times New Roman" w:hAnsi="Times New Roman" w:cs="Times New Roman" w:eastAsia="Times New Roman" w:hint="default"/>
          <w:sz w:val="22"/>
          <w:szCs w:val="22"/>
        </w:rPr>
      </w:pPr>
      <w:r>
        <w:rPr>
          <w:rFonts w:ascii="Times New Roman"/>
          <w:b/>
          <w:sz w:val="22"/>
        </w:rPr>
        <w:t>2018-016</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9"/>
        <w:ind w:left="3403" w:right="340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6" w:footer="1019" w:top="1100" w:bottom="120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785"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1"/>
        <w:ind w:right="1141" w:firstLine="562"/>
        <w:jc w:val="both"/>
        <w:rPr>
          <w:b w:val="0"/>
          <w:bCs w:val="0"/>
        </w:rPr>
      </w:pPr>
      <w:r>
        <w:rPr>
          <w:spacing w:val="3"/>
          <w:w w:val="95"/>
        </w:rPr>
        <w:t>公司董事会、监事会及董事、监事、高级管理人员保证年度报告内容的真</w:t>
      </w:r>
      <w:r>
        <w:rPr>
          <w:w w:val="99"/>
        </w:rPr>
        <w:t> </w:t>
      </w:r>
      <w:r>
        <w:rPr>
          <w:spacing w:val="3"/>
          <w:w w:val="95"/>
        </w:rPr>
        <w:t>实、准确、完整，不存在虚假记载、误导性陈述或重大遗漏，并承担个别和连</w:t>
      </w:r>
      <w:r>
        <w:rPr>
          <w:spacing w:val="23"/>
          <w:w w:val="95"/>
        </w:rPr>
        <w:t> </w:t>
      </w:r>
      <w:r>
        <w:rPr>
          <w:spacing w:val="23"/>
          <w:w w:val="95"/>
        </w:rPr>
      </w:r>
      <w:r>
        <w:rPr/>
        <w:t>带的法律责任。</w:t>
      </w:r>
      <w:r>
        <w:rPr>
          <w:b w:val="0"/>
          <w:bCs w:val="0"/>
        </w:rPr>
      </w:r>
    </w:p>
    <w:p>
      <w:pPr>
        <w:pStyle w:val="Heading2"/>
        <w:spacing w:line="386" w:lineRule="auto" w:before="161"/>
        <w:ind w:right="1132" w:firstLine="562"/>
        <w:jc w:val="both"/>
        <w:rPr>
          <w:b w:val="0"/>
          <w:bCs w:val="0"/>
        </w:rPr>
      </w:pPr>
      <w:r>
        <w:rPr>
          <w:w w:val="95"/>
        </w:rPr>
        <w:t>公司负责人林鸿、主管会计工作负责人吴文胜及会计机构负责人</w:t>
      </w:r>
      <w:r>
        <w:rPr>
          <w:rFonts w:ascii="Times New Roman" w:hAnsi="Times New Roman" w:cs="Times New Roman" w:eastAsia="Times New Roman" w:hint="default"/>
          <w:w w:val="95"/>
        </w:rPr>
        <w:t>(</w:t>
      </w:r>
      <w:r>
        <w:rPr>
          <w:w w:val="95"/>
        </w:rPr>
        <w:t>会计主管</w:t>
      </w:r>
      <w:r>
        <w:rPr>
          <w:spacing w:val="1"/>
          <w:w w:val="99"/>
        </w:rPr>
        <w:t> </w:t>
      </w:r>
      <w:r>
        <w:rPr/>
        <w:t>人员</w:t>
      </w:r>
      <w:r>
        <w:rPr>
          <w:rFonts w:ascii="Times New Roman" w:hAnsi="Times New Roman" w:cs="Times New Roman" w:eastAsia="Times New Roman" w:hint="default"/>
        </w:rPr>
        <w:t>)</w:t>
      </w:r>
      <w:r>
        <w:rPr/>
        <w:t>刘芹芹声明：保证年度报告中财务报告的真实、准确、完整。</w:t>
      </w:r>
      <w:r>
        <w:rPr>
          <w:b w:val="0"/>
          <w:bCs w:val="0"/>
        </w:rPr>
      </w:r>
    </w:p>
    <w:p>
      <w:pPr>
        <w:pStyle w:val="Heading2"/>
        <w:spacing w:line="472" w:lineRule="auto" w:before="147"/>
        <w:ind w:left="1696" w:right="0"/>
        <w:jc w:val="left"/>
        <w:rPr>
          <w:b w:val="0"/>
          <w:bCs w:val="0"/>
        </w:rPr>
      </w:pPr>
      <w:r>
        <w:rPr/>
        <w:t>所有董事均已出席了审议本报告的董事会会议。</w:t>
      </w:r>
      <w:r>
        <w:rPr>
          <w:w w:val="99"/>
        </w:rPr>
        <w:t> </w:t>
      </w:r>
      <w:r>
        <w:rPr>
          <w:spacing w:val="3"/>
          <w:w w:val="95"/>
        </w:rPr>
        <w:t>本报告中涉及的未来的计划、业绩预测等前瞻性陈述，均不构成本公司对</w:t>
      </w:r>
      <w:r>
        <w:rPr>
          <w:b w:val="0"/>
          <w:bCs w:val="0"/>
          <w:spacing w:val="3"/>
        </w:rPr>
      </w:r>
    </w:p>
    <w:p>
      <w:pPr>
        <w:pStyle w:val="Heading2"/>
        <w:spacing w:line="410" w:lineRule="auto"/>
        <w:ind w:right="0"/>
        <w:jc w:val="left"/>
        <w:rPr>
          <w:b w:val="0"/>
          <w:bCs w:val="0"/>
        </w:rPr>
      </w:pPr>
      <w:r>
        <w:rPr>
          <w:spacing w:val="3"/>
          <w:w w:val="95"/>
        </w:rPr>
        <w:t>任何投资者及相关人士的实质性承诺，投资者及相关人士应对此保持足够的风</w:t>
      </w:r>
      <w:r>
        <w:rPr>
          <w:spacing w:val="23"/>
          <w:w w:val="95"/>
        </w:rPr>
        <w:t> </w:t>
      </w:r>
      <w:r>
        <w:rPr>
          <w:spacing w:val="23"/>
          <w:w w:val="95"/>
        </w:rPr>
      </w:r>
      <w:r>
        <w:rPr/>
        <w:t>险认识，并且应当理解计划、预测与承诺之间的差异。</w:t>
      </w:r>
      <w:r>
        <w:rPr>
          <w:b w:val="0"/>
          <w:bCs w:val="0"/>
        </w:rPr>
      </w:r>
    </w:p>
    <w:p>
      <w:pPr>
        <w:pStyle w:val="Heading2"/>
        <w:spacing w:line="408" w:lineRule="auto" w:before="158"/>
        <w:ind w:right="1133" w:firstLine="562"/>
        <w:jc w:val="both"/>
        <w:rPr>
          <w:b w:val="0"/>
          <w:bCs w:val="0"/>
        </w:rPr>
      </w:pPr>
      <w:r>
        <w:rPr/>
        <w:t>本公司提请投资者认真阅读本年度报告全文，并特别关注“第四节</w:t>
      </w:r>
      <w:r>
        <w:rPr>
          <w:spacing w:val="-69"/>
        </w:rPr>
        <w:t> </w:t>
      </w:r>
      <w:r>
        <w:rPr/>
        <w:t>经营情</w:t>
      </w:r>
      <w:r>
        <w:rPr>
          <w:w w:val="99"/>
        </w:rPr>
        <w:t> </w:t>
      </w:r>
      <w:r>
        <w:rPr>
          <w:spacing w:val="3"/>
          <w:w w:val="95"/>
        </w:rPr>
        <w:t>况讨论与分析”之“九、公司未来发展的展望”中列示的公司未来发展面临的</w:t>
      </w:r>
      <w:r>
        <w:rPr>
          <w:spacing w:val="23"/>
          <w:w w:val="95"/>
        </w:rPr>
        <w:t> </w:t>
      </w:r>
      <w:r>
        <w:rPr>
          <w:spacing w:val="23"/>
          <w:w w:val="95"/>
        </w:rPr>
      </w:r>
      <w:r>
        <w:rPr/>
        <w:t>风险因素。</w:t>
      </w:r>
      <w:r>
        <w:rPr>
          <w:b w:val="0"/>
          <w:bCs w:val="0"/>
        </w:rPr>
      </w:r>
    </w:p>
    <w:p>
      <w:pPr>
        <w:pStyle w:val="Heading2"/>
        <w:spacing w:line="240" w:lineRule="auto" w:before="160"/>
        <w:ind w:left="1696" w:right="0"/>
        <w:jc w:val="left"/>
        <w:rPr>
          <w:b w:val="0"/>
          <w:bCs w:val="0"/>
        </w:rPr>
      </w:pPr>
      <w:r>
        <w:rPr/>
        <w:t>公司经本次董事会审议通过的利润分配预案为：以</w:t>
      </w:r>
      <w:r>
        <w:rPr>
          <w:spacing w:val="-80"/>
        </w:rPr>
        <w:t> </w:t>
      </w:r>
      <w:r>
        <w:rPr>
          <w:rFonts w:ascii="Times New Roman" w:hAnsi="Times New Roman" w:cs="Times New Roman" w:eastAsia="Times New Roman" w:hint="default"/>
        </w:rPr>
        <w:t>120,000,000</w:t>
      </w:r>
      <w:r>
        <w:rPr>
          <w:rFonts w:ascii="Times New Roman" w:hAnsi="Times New Roman" w:cs="Times New Roman" w:eastAsia="Times New Roman" w:hint="default"/>
          <w:spacing w:val="-14"/>
        </w:rPr>
        <w:t> </w:t>
      </w:r>
      <w:r>
        <w:rPr/>
        <w:t>股为基数，</w:t>
      </w:r>
      <w:r>
        <w:rPr>
          <w:b w:val="0"/>
          <w:bCs w:val="0"/>
        </w:rPr>
      </w:r>
    </w:p>
    <w:p>
      <w:pPr>
        <w:pStyle w:val="Heading2"/>
        <w:spacing w:line="240" w:lineRule="auto" w:before="236"/>
        <w:ind w:right="0"/>
        <w:jc w:val="left"/>
        <w:rPr>
          <w:b w:val="0"/>
          <w:bCs w:val="0"/>
        </w:rPr>
      </w:pPr>
      <w:r>
        <w:rPr>
          <w:w w:val="99"/>
        </w:rPr>
        <w:t>向全体</w:t>
      </w:r>
      <w:r>
        <w:rPr>
          <w:spacing w:val="2"/>
          <w:w w:val="99"/>
        </w:rPr>
        <w:t>股</w:t>
      </w:r>
      <w:r>
        <w:rPr>
          <w:w w:val="99"/>
        </w:rPr>
        <w:t>东每</w:t>
      </w:r>
      <w:r>
        <w:rPr>
          <w:spacing w:val="-68"/>
        </w:rPr>
        <w:t> </w:t>
      </w:r>
      <w:r>
        <w:rPr>
          <w:rFonts w:ascii="Times New Roman" w:hAnsi="Times New Roman" w:cs="Times New Roman" w:eastAsia="Times New Roman" w:hint="default"/>
          <w:w w:val="99"/>
        </w:rPr>
        <w:t>10</w:t>
      </w:r>
      <w:r>
        <w:rPr>
          <w:rFonts w:ascii="Times New Roman" w:hAnsi="Times New Roman" w:cs="Times New Roman" w:eastAsia="Times New Roman" w:hint="default"/>
        </w:rPr>
        <w:t> </w:t>
      </w:r>
      <w:r>
        <w:rPr>
          <w:w w:val="99"/>
        </w:rPr>
        <w:t>股派发</w:t>
      </w:r>
      <w:r>
        <w:rPr>
          <w:spacing w:val="2"/>
          <w:w w:val="99"/>
        </w:rPr>
        <w:t>现</w:t>
      </w:r>
      <w:r>
        <w:rPr>
          <w:w w:val="99"/>
        </w:rPr>
        <w:t>金红利</w:t>
      </w:r>
      <w:r>
        <w:rPr>
          <w:spacing w:val="-67"/>
        </w:rPr>
        <w:t> </w:t>
      </w:r>
      <w:r>
        <w:rPr>
          <w:rFonts w:ascii="Times New Roman" w:hAnsi="Times New Roman" w:cs="Times New Roman" w:eastAsia="Times New Roman" w:hint="default"/>
          <w:w w:val="99"/>
        </w:rPr>
        <w:t>1.00</w:t>
      </w:r>
      <w:r>
        <w:rPr>
          <w:rFonts w:ascii="Times New Roman" w:hAnsi="Times New Roman" w:cs="Times New Roman" w:eastAsia="Times New Roman" w:hint="default"/>
          <w:spacing w:val="1"/>
        </w:rPr>
        <w:t> </w:t>
      </w:r>
      <w:r>
        <w:rPr>
          <w:spacing w:val="-30"/>
          <w:w w:val="99"/>
        </w:rPr>
        <w:t>元</w:t>
      </w:r>
      <w:r>
        <w:rPr>
          <w:w w:val="99"/>
        </w:rPr>
        <w:t>（含税</w:t>
      </w:r>
      <w:r>
        <w:rPr>
          <w:spacing w:val="-140"/>
          <w:w w:val="99"/>
        </w:rPr>
        <w:t>）</w:t>
      </w:r>
      <w:r>
        <w:rPr>
          <w:spacing w:val="-30"/>
          <w:w w:val="99"/>
        </w:rPr>
        <w:t>，</w:t>
      </w:r>
      <w:r>
        <w:rPr>
          <w:w w:val="99"/>
        </w:rPr>
        <w:t>送红股</w:t>
      </w:r>
      <w:r>
        <w:rPr>
          <w:spacing w:val="-68"/>
        </w:rPr>
        <w:t> </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32"/>
          <w:w w:val="99"/>
        </w:rPr>
        <w:t>股</w:t>
      </w:r>
      <w:r>
        <w:rPr>
          <w:w w:val="99"/>
        </w:rPr>
        <w:t>（含税</w:t>
      </w:r>
      <w:r>
        <w:rPr>
          <w:spacing w:val="-140"/>
          <w:w w:val="99"/>
        </w:rPr>
        <w:t>）</w:t>
      </w:r>
      <w:r>
        <w:rPr>
          <w:spacing w:val="-30"/>
          <w:w w:val="99"/>
        </w:rPr>
        <w:t>，</w:t>
      </w:r>
      <w:r>
        <w:rPr>
          <w:w w:val="99"/>
        </w:rPr>
        <w:t>以</w:t>
      </w:r>
      <w:r>
        <w:rPr>
          <w:spacing w:val="2"/>
          <w:w w:val="99"/>
        </w:rPr>
        <w:t>资</w:t>
      </w:r>
      <w:r>
        <w:rPr>
          <w:w w:val="99"/>
        </w:rPr>
        <w:t>本</w:t>
      </w:r>
      <w:r>
        <w:rPr>
          <w:b w:val="0"/>
          <w:bCs w:val="0"/>
        </w:rPr>
      </w:r>
    </w:p>
    <w:p>
      <w:pPr>
        <w:pStyle w:val="Heading2"/>
        <w:spacing w:line="240" w:lineRule="auto" w:before="237"/>
        <w:ind w:right="0"/>
        <w:jc w:val="left"/>
        <w:rPr>
          <w:b w:val="0"/>
          <w:bCs w:val="0"/>
        </w:rPr>
      </w:pPr>
      <w:r>
        <w:rPr/>
        <w:t>公积金向全体股东每</w:t>
      </w:r>
      <w:r>
        <w:rPr>
          <w:spacing w:val="-72"/>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股转增</w:t>
      </w:r>
      <w:r>
        <w:rPr>
          <w:spacing w:val="-74"/>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股。</w:t>
      </w:r>
      <w:r>
        <w:rPr>
          <w:b w:val="0"/>
          <w:bCs w:val="0"/>
        </w:rPr>
      </w:r>
    </w:p>
    <w:p>
      <w:pPr>
        <w:spacing w:after="0" w:line="240" w:lineRule="auto"/>
        <w:jc w:val="left"/>
        <w:sectPr>
          <w:footerReference w:type="default" r:id="rId8"/>
          <w:pgSz w:w="11910" w:h="16840"/>
          <w:pgMar w:footer="1019" w:header="786" w:top="1100" w:bottom="1200" w:left="0" w:right="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7"/>
          <w:szCs w:val="27"/>
        </w:rPr>
      </w:pPr>
    </w:p>
    <w:p>
      <w:pPr>
        <w:spacing w:line="460" w:lineRule="exact" w:before="0"/>
        <w:ind w:left="3403" w:right="340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sdt>
      <w:sdtPr>
        <w:docPartObj>
          <w:docPartGallery w:val="Table of Contents"/>
          <w:docPartUnique/>
        </w:docPartObj>
      </w:sdtPr>
      <w:sdtEndPr/>
      <w:sdtContent>
        <w:p>
          <w:pPr>
            <w:pStyle w:val="TOC1"/>
            <w:tabs>
              <w:tab w:pos="10773" w:val="right" w:leader="dot"/>
            </w:tabs>
            <w:spacing w:line="240" w:lineRule="auto" w:before="237"/>
            <w:ind w:right="0"/>
            <w:jc w:val="left"/>
            <w:rPr>
              <w:rFonts w:ascii="Times New Roman" w:hAnsi="Times New Roman" w:cs="Times New Roman" w:eastAsia="Times New Roman" w:hint="default"/>
              <w:b w:val="0"/>
              <w:bCs w:val="0"/>
            </w:rPr>
          </w:pPr>
          <w:r>
            <w:rPr/>
            <w:t>第一节</w:t>
          </w:r>
          <w:r>
            <w:rPr>
              <w:spacing w:val="-1"/>
            </w:rPr>
            <w:t> </w:t>
          </w:r>
          <w:r>
            <w:rPr/>
            <w:t>重要提示、目录和</w:t>
          </w:r>
          <w:hyperlink w:history="true" w:anchor="_bookmark0">
            <w:r>
              <w:rPr/>
              <w:t>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10773"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10773"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077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1077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hyperlink>
        </w:p>
        <w:p>
          <w:pPr>
            <w:pStyle w:val="TOC1"/>
            <w:tabs>
              <w:tab w:pos="1077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10773" w:val="right" w:leader="dot"/>
            </w:tabs>
            <w:spacing w:line="240" w:lineRule="auto" w:before="292"/>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1077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1077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1077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1077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
              </w:rPr>
              <w:t> </w:t>
            </w:r>
            <w:r>
              <w:rPr/>
              <w:t>财务报告</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10773"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备查文件目录</w:t>
            </w:r>
            <w:r>
              <w:rPr>
                <w:rFonts w:ascii="Times New Roman" w:hAnsi="Times New Roman" w:cs="Times New Roman" w:eastAsia="Times New Roman" w:hint="default"/>
              </w:rPr>
              <w:tab/>
              <w:t>139</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86" w:footer="1019" w:top="1100" w:bottom="1200" w:left="0" w:right="0"/>
        </w:sect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5"/>
        <w:rPr>
          <w:rFonts w:ascii="Times New Roman" w:hAnsi="Times New Roman" w:cs="Times New Roman" w:eastAsia="Times New Roman" w:hint="default"/>
          <w:b/>
          <w:bCs/>
          <w:sz w:val="30"/>
          <w:szCs w:val="30"/>
        </w:rPr>
      </w:pPr>
    </w:p>
    <w:p>
      <w:pPr>
        <w:spacing w:before="0"/>
        <w:ind w:left="3403" w:right="3402" w:firstLine="0"/>
        <w:jc w:val="center"/>
        <w:rPr>
          <w:rFonts w:ascii="宋体" w:hAnsi="宋体" w:cs="宋体" w:eastAsia="宋体" w:hint="default"/>
          <w:sz w:val="32"/>
          <w:szCs w:val="32"/>
        </w:rPr>
      </w:pPr>
      <w:bookmarkStart w:name="_bookmark0" w:id="2"/>
      <w:bookmarkEnd w:id="2"/>
      <w:r>
        <w:rPr/>
      </w: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25"/>
        <w:gridCol w:w="621"/>
        <w:gridCol w:w="5424"/>
      </w:tblGrid>
      <w:tr>
        <w:trPr>
          <w:trHeight w:val="397"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中国银行业监督管理委员会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公司、本公司、先进数通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北京先进数通信息技术股份公司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先进数通有限</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北京先进数通信息技术有限公司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江苏先进数通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江苏先进数通信息技术有限公司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广州先进数通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广州先进数通信息技术有限公司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西藏先进数通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西藏先进数通信息技术有限公司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IT</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Information</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z w:val="18"/>
                <w:szCs w:val="18"/>
              </w:rPr>
              <w:t>Technology</w:t>
            </w:r>
            <w:r>
              <w:rPr>
                <w:rFonts w:ascii="宋体" w:hAnsi="宋体" w:cs="宋体" w:eastAsia="宋体" w:hint="default"/>
                <w:sz w:val="18"/>
                <w:szCs w:val="18"/>
              </w:rPr>
              <w:t>，信息技术</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基础设施</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
                <w:sz w:val="18"/>
                <w:szCs w:val="18"/>
              </w:rPr>
              <w:t>构建信息系统应用的基础，包括机房环境、服务器、存储设备、网</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络设备、安全设备和相关的基础软件</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基础软件</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操作系统、数据库、计算机语言处理系统和中间件的统称</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应用软件</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为针对用户的某种应用目的所编写的软件</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平台软件</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2"/>
                <w:sz w:val="18"/>
                <w:szCs w:val="18"/>
              </w:rPr>
              <w:t> </w:t>
            </w:r>
            <w:r>
              <w:rPr>
                <w:rFonts w:ascii="宋体" w:hAnsi="宋体" w:cs="宋体" w:eastAsia="宋体" w:hint="default"/>
                <w:spacing w:val="-4"/>
                <w:sz w:val="18"/>
                <w:szCs w:val="18"/>
              </w:rPr>
              <w:t>应用系统的开发平台、运行平台、管理平台、监控平台，是介于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基础软件和应用软件之间的一类软件</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解决方案</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为解决企业信息化建设中某一方面的具体问题而提供的一整套咨 </w:t>
            </w:r>
            <w:r>
              <w:rPr>
                <w:rFonts w:ascii="宋体" w:hAnsi="宋体" w:cs="宋体" w:eastAsia="宋体" w:hint="default"/>
                <w:spacing w:val="-1"/>
                <w:sz w:val="18"/>
                <w:szCs w:val="18"/>
              </w:rPr>
              <w:t>询、开发和服务方案，包括整体路线、功能架构、技术架构、产品</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组合、应用设计、定制开发、方案部署等</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数据中心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
                <w:sz w:val="18"/>
                <w:szCs w:val="18"/>
              </w:rPr>
              <w:t>用来存放数据和运行中央计算机系统、网络、存储等相关设备的专</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用场所，由机房环境、</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基础设施和应用软件等部分组成</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both"/>
              <w:rPr>
                <w:rFonts w:ascii="宋体" w:hAnsi="宋体" w:cs="宋体" w:eastAsia="宋体" w:hint="default"/>
                <w:sz w:val="18"/>
                <w:szCs w:val="18"/>
              </w:rPr>
            </w:pPr>
            <w:r>
              <w:rPr>
                <w:rFonts w:ascii="宋体" w:hAnsi="宋体" w:cs="宋体" w:eastAsia="宋体" w:hint="default"/>
                <w:spacing w:val="-1"/>
                <w:sz w:val="18"/>
                <w:szCs w:val="18"/>
              </w:rPr>
              <w:t>分布式计算技术的一种，通过网络将庞大的计算任务分拆成无数个</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较小的子程序，再交由多部服务器组成的庞大系统处理之后，将结</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果回传给用户，通过计算力的虚拟整合实现强大效能的计算技术</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both"/>
              <w:rPr>
                <w:rFonts w:ascii="宋体" w:hAnsi="宋体" w:cs="宋体" w:eastAsia="宋体" w:hint="default"/>
                <w:sz w:val="18"/>
                <w:szCs w:val="18"/>
              </w:rPr>
            </w:pPr>
            <w:r>
              <w:rPr>
                <w:rFonts w:ascii="宋体" w:hAnsi="宋体" w:cs="宋体" w:eastAsia="宋体" w:hint="default"/>
                <w:spacing w:val="-1"/>
                <w:sz w:val="18"/>
                <w:szCs w:val="18"/>
              </w:rPr>
              <w:t>规模巨大、类型复杂的数据集，这些数据集的规模已超出普通数据</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库管理工具在可容忍的运行时间内进行数据捕获、存储和处理的能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力</w:t>
            </w:r>
          </w:p>
        </w:tc>
      </w:tr>
      <w:tr>
        <w:trPr>
          <w:trHeight w:val="106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ITIL</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Information Technology Infrastructure Library</w:t>
            </w:r>
            <w:r>
              <w:rPr>
                <w:rFonts w:ascii="Times New Roman" w:hAnsi="Times New Roman" w:cs="Times New Roman" w:eastAsia="Times New Roman" w:hint="default"/>
                <w:spacing w:val="23"/>
                <w:sz w:val="18"/>
                <w:szCs w:val="18"/>
              </w:rPr>
              <w:t> </w:t>
            </w:r>
            <w:r>
              <w:rPr>
                <w:rFonts w:ascii="宋体" w:hAnsi="宋体" w:cs="宋体" w:eastAsia="宋体" w:hint="default"/>
                <w:spacing w:val="-4"/>
                <w:sz w:val="18"/>
                <w:szCs w:val="18"/>
              </w:rPr>
              <w:t>的英文缩写，即信息技</w:t>
            </w:r>
            <w:r>
              <w:rPr>
                <w:rFonts w:ascii="宋体" w:hAnsi="宋体" w:cs="宋体" w:eastAsia="宋体" w:hint="default"/>
                <w:sz w:val="18"/>
                <w:szCs w:val="18"/>
              </w:rPr>
              <w:t> 术基础架构库，是适用于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服务管理的一套标准体系</w:t>
            </w:r>
          </w:p>
        </w:tc>
      </w:tr>
    </w:tbl>
    <w:p>
      <w:pPr>
        <w:spacing w:after="0" w:line="300" w:lineRule="auto"/>
        <w:jc w:val="left"/>
        <w:rPr>
          <w:rFonts w:ascii="宋体" w:hAnsi="宋体" w:cs="宋体" w:eastAsia="宋体" w:hint="default"/>
          <w:sz w:val="18"/>
          <w:szCs w:val="18"/>
        </w:rPr>
        <w:sectPr>
          <w:headerReference w:type="default" r:id="rId9"/>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525"/>
        <w:gridCol w:w="621"/>
        <w:gridCol w:w="5424"/>
      </w:tblGrid>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ITSS</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55"/>
              <w:jc w:val="both"/>
              <w:rPr>
                <w:rFonts w:ascii="宋体" w:hAnsi="宋体" w:cs="宋体" w:eastAsia="宋体" w:hint="default"/>
                <w:sz w:val="18"/>
                <w:szCs w:val="18"/>
              </w:rPr>
            </w:pPr>
            <w:r>
              <w:rPr>
                <w:rFonts w:ascii="Times New Roman" w:hAnsi="Times New Roman" w:cs="Times New Roman" w:eastAsia="Times New Roman" w:hint="default"/>
                <w:sz w:val="18"/>
                <w:szCs w:val="18"/>
              </w:rPr>
              <w:t>Information Technology Service Standards</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的英文缩写，是在工业和 信息化部、国家标准化委的领导和支持下，由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ITSS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工作组研制的 一套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服务领域的标准库和一套提供</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服务的方法论</w:t>
            </w:r>
          </w:p>
        </w:tc>
      </w:tr>
    </w:tbl>
    <w:p>
      <w:pPr>
        <w:spacing w:after="0" w:line="300" w:lineRule="auto"/>
        <w:jc w:val="both"/>
        <w:rPr>
          <w:rFonts w:ascii="宋体" w:hAnsi="宋体" w:cs="宋体" w:eastAsia="宋体" w:hint="default"/>
          <w:sz w:val="18"/>
          <w:szCs w:val="18"/>
        </w:rPr>
        <w:sectPr>
          <w:pgSz w:w="11910" w:h="16840"/>
          <w:pgMar w:header="907" w:footer="1019" w:top="1100" w:bottom="120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5"/>
          <w:szCs w:val="25"/>
        </w:rPr>
      </w:pPr>
    </w:p>
    <w:p>
      <w:pPr>
        <w:pStyle w:val="Heading1"/>
        <w:spacing w:line="240" w:lineRule="auto"/>
        <w:ind w:left="362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left="1133"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84"/>
        <w:gridCol w:w="2954"/>
        <w:gridCol w:w="2157"/>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先进数通</w:t>
            </w:r>
          </w:p>
        </w:tc>
        <w:tc>
          <w:tcPr>
            <w:tcW w:w="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300541</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北京先进数通信息技术股份公司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先进数通</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Beijing</w:t>
            </w:r>
            <w:r>
              <w:rPr>
                <w:rFonts w:ascii="Times New Roman"/>
                <w:spacing w:val="-15"/>
                <w:sz w:val="18"/>
              </w:rPr>
              <w:t> </w:t>
            </w:r>
            <w:r>
              <w:rPr>
                <w:rFonts w:ascii="Times New Roman"/>
                <w:sz w:val="18"/>
              </w:rPr>
              <w:t>Advanced</w:t>
            </w:r>
            <w:r>
              <w:rPr>
                <w:rFonts w:ascii="Times New Roman"/>
                <w:spacing w:val="-5"/>
                <w:sz w:val="18"/>
              </w:rPr>
              <w:t> </w:t>
            </w:r>
            <w:r>
              <w:rPr>
                <w:rFonts w:ascii="Times New Roman"/>
                <w:sz w:val="18"/>
              </w:rPr>
              <w:t>Digital</w:t>
            </w:r>
            <w:r>
              <w:rPr>
                <w:rFonts w:ascii="Times New Roman"/>
                <w:spacing w:val="-9"/>
                <w:sz w:val="18"/>
              </w:rPr>
              <w:t> </w:t>
            </w:r>
            <w:r>
              <w:rPr>
                <w:rFonts w:ascii="Times New Roman"/>
                <w:sz w:val="18"/>
              </w:rPr>
              <w:t>Technology</w:t>
            </w:r>
            <w:r>
              <w:rPr>
                <w:rFonts w:ascii="Times New Roman"/>
                <w:spacing w:val="-4"/>
                <w:sz w:val="18"/>
              </w:rPr>
              <w:t> </w:t>
            </w:r>
            <w:r>
              <w:rPr>
                <w:rFonts w:ascii="Times New Roman"/>
                <w:sz w:val="18"/>
              </w:rPr>
              <w:t>Co.,</w:t>
            </w:r>
            <w:r>
              <w:rPr>
                <w:rFonts w:ascii="Times New Roman"/>
                <w:spacing w:val="-6"/>
                <w:sz w:val="18"/>
              </w:rPr>
              <w:t> </w:t>
            </w:r>
            <w:r>
              <w:rPr>
                <w:rFonts w:ascii="Times New Roman"/>
                <w:sz w:val="18"/>
              </w:rPr>
              <w:t>Ltd.</w:t>
            </w:r>
          </w:p>
        </w:tc>
      </w:tr>
      <w:tr>
        <w:trPr>
          <w:trHeight w:val="71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89"/>
              <w:jc w:val="left"/>
              <w:rPr>
                <w:rFonts w:ascii="宋体" w:hAnsi="宋体" w:cs="宋体" w:eastAsia="宋体" w:hint="default"/>
                <w:sz w:val="18"/>
                <w:szCs w:val="18"/>
              </w:rPr>
            </w:pPr>
            <w:r>
              <w:rPr>
                <w:rFonts w:ascii="宋体" w:hAnsi="宋体" w:cs="宋体" w:eastAsia="宋体" w:hint="default"/>
                <w:sz w:val="18"/>
                <w:szCs w:val="18"/>
              </w:rPr>
              <w:t>公司的外文名称缩写（如 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pacing w:val="-3"/>
                <w:sz w:val="18"/>
              </w:rPr>
              <w:t>ADTec</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林鸿</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北京市海淀区车道沟一号滨河大厦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座六层</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100089</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北京市海淀区车道沟一号滨河大厦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座六层</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100089</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hyperlink r:id="rId10">
              <w:r>
                <w:rPr>
                  <w:rFonts w:ascii="Times New Roman"/>
                  <w:sz w:val="18"/>
                </w:rPr>
                <w:t>www.adtec.com.cn</w:t>
              </w:r>
            </w:hyperlink>
          </w:p>
        </w:tc>
      </w:tr>
      <w:tr>
        <w:trPr>
          <w:trHeight w:val="40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hyperlink r:id="rId11">
              <w:r>
                <w:rPr>
                  <w:rFonts w:ascii="Times New Roman"/>
                  <w:sz w:val="18"/>
                </w:rPr>
                <w:t>adtec@adtec.com.cn</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朱胡勇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王朗</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1" w:right="0"/>
              <w:jc w:val="left"/>
              <w:rPr>
                <w:rFonts w:ascii="宋体" w:hAnsi="宋体" w:cs="宋体" w:eastAsia="宋体" w:hint="default"/>
                <w:sz w:val="15"/>
                <w:szCs w:val="15"/>
              </w:rPr>
            </w:pPr>
            <w:r>
              <w:rPr>
                <w:rFonts w:ascii="宋体" w:hAnsi="宋体" w:cs="宋体" w:eastAsia="宋体" w:hint="default"/>
                <w:sz w:val="15"/>
                <w:szCs w:val="15"/>
              </w:rPr>
              <w:t>北京市海淀区车道沟一号滨河大厦</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D</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座</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6 </w:t>
            </w:r>
            <w:r>
              <w:rPr>
                <w:rFonts w:ascii="宋体" w:hAnsi="宋体" w:cs="宋体" w:eastAsia="宋体" w:hint="default"/>
                <w:sz w:val="15"/>
                <w:szCs w:val="15"/>
              </w:rPr>
              <w:t>层</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5"/>
                <w:szCs w:val="15"/>
              </w:rPr>
            </w:pPr>
            <w:r>
              <w:rPr>
                <w:rFonts w:ascii="宋体" w:hAnsi="宋体" w:cs="宋体" w:eastAsia="宋体" w:hint="default"/>
                <w:sz w:val="15"/>
                <w:szCs w:val="15"/>
              </w:rPr>
              <w:t>北京市海淀区车道沟一号滨河大厦</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D</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座</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6 </w:t>
            </w:r>
            <w:r>
              <w:rPr>
                <w:rFonts w:ascii="宋体" w:hAnsi="宋体" w:cs="宋体" w:eastAsia="宋体" w:hint="default"/>
                <w:sz w:val="15"/>
                <w:szCs w:val="15"/>
              </w:rPr>
              <w:t>层</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010-68700009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010-68700009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010-68700510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010-68700510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hyperlink r:id="rId11">
              <w:r>
                <w:rPr>
                  <w:rFonts w:ascii="Times New Roman"/>
                  <w:sz w:val="18"/>
                </w:rPr>
                <w:t>adtec@adtec.com.cn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1">
              <w:r>
                <w:rPr>
                  <w:rFonts w:ascii="Times New Roman"/>
                  <w:sz w:val="18"/>
                </w:rPr>
                <w:t>adtec@adtec.com.cn</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北京市海淀区车道沟一号滨河大厦 </w:t>
            </w:r>
            <w:r>
              <w:rPr>
                <w:rFonts w:ascii="Times New Roman" w:hAnsi="Times New Roman" w:cs="Times New Roman" w:eastAsia="Times New Roman" w:hint="default"/>
                <w:sz w:val="18"/>
                <w:szCs w:val="18"/>
              </w:rPr>
              <w:t>D </w:t>
            </w:r>
            <w:r>
              <w:rPr>
                <w:rFonts w:ascii="宋体" w:hAnsi="宋体" w:cs="宋体" w:eastAsia="宋体" w:hint="default"/>
                <w:sz w:val="18"/>
                <w:szCs w:val="18"/>
              </w:rPr>
              <w:t>座六层</w:t>
            </w:r>
            <w:r>
              <w:rPr>
                <w:rFonts w:ascii="宋体" w:hAnsi="宋体" w:cs="宋体" w:eastAsia="宋体" w:hint="default"/>
                <w:spacing w:val="-47"/>
                <w:sz w:val="18"/>
                <w:szCs w:val="18"/>
              </w:rPr>
              <w:t> </w:t>
            </w:r>
            <w:r>
              <w:rPr>
                <w:rFonts w:ascii="宋体" w:hAnsi="宋体" w:cs="宋体" w:eastAsia="宋体" w:hint="default"/>
                <w:sz w:val="18"/>
                <w:szCs w:val="18"/>
              </w:rPr>
              <w:t>董事会办公室</w:t>
            </w: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公司聘请的会计师事务所</w:t>
      </w:r>
    </w:p>
    <w:p>
      <w:pPr>
        <w:spacing w:after="0" w:line="240" w:lineRule="auto"/>
        <w:jc w:val="left"/>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北京市海淀区知春路 </w:t>
            </w:r>
            <w:r>
              <w:rPr>
                <w:rFonts w:ascii="Times New Roman" w:hAnsi="Times New Roman" w:cs="Times New Roman" w:eastAsia="Times New Roman" w:hint="default"/>
                <w:sz w:val="18"/>
                <w:szCs w:val="18"/>
              </w:rPr>
              <w:t>1  </w:t>
            </w:r>
            <w:r>
              <w:rPr>
                <w:rFonts w:ascii="宋体" w:hAnsi="宋体" w:cs="宋体" w:eastAsia="宋体" w:hint="default"/>
                <w:sz w:val="18"/>
                <w:szCs w:val="18"/>
              </w:rPr>
              <w:t>号学院国际大厦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余骞、于曙光</w:t>
            </w:r>
          </w:p>
        </w:tc>
      </w:tr>
    </w:tbl>
    <w:p>
      <w:pPr>
        <w:pStyle w:val="BodyText"/>
        <w:spacing w:line="240" w:lineRule="auto" w:before="51"/>
        <w:ind w:right="0"/>
        <w:jc w:val="left"/>
      </w:pPr>
      <w:r>
        <w:rPr/>
        <w:t>公司聘请的报告期内履行持续督导职责的保荐机构</w:t>
      </w:r>
    </w:p>
    <w:p>
      <w:pPr>
        <w:pStyle w:val="BodyText"/>
        <w:spacing w:line="240" w:lineRule="auto" w:before="117"/>
        <w:ind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国泰君安证券股份有限公司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8"/>
              <w:jc w:val="left"/>
              <w:rPr>
                <w:rFonts w:ascii="宋体" w:hAnsi="宋体" w:cs="宋体" w:eastAsia="宋体" w:hint="default"/>
                <w:sz w:val="18"/>
                <w:szCs w:val="18"/>
              </w:rPr>
            </w:pPr>
            <w:r>
              <w:rPr>
                <w:rFonts w:ascii="宋体" w:hAnsi="宋体" w:cs="宋体" w:eastAsia="宋体" w:hint="default"/>
                <w:sz w:val="18"/>
                <w:szCs w:val="18"/>
              </w:rPr>
              <w:t>中国（上海）自由贸易试验 区商城路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618 </w:t>
            </w:r>
            <w:r>
              <w:rPr>
                <w:rFonts w:ascii="宋体" w:hAnsi="宋体" w:cs="宋体" w:eastAsia="宋体" w:hint="default"/>
                <w:sz w:val="18"/>
                <w:szCs w:val="18"/>
              </w:rPr>
              <w:t>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韩志达、徐可任</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 至 </w:t>
            </w:r>
            <w:r>
              <w:rPr>
                <w:rFonts w:ascii="Times New Roman" w:hAnsi="Times New Roman" w:cs="Times New Roman" w:eastAsia="Times New Roman" w:hint="default"/>
                <w:sz w:val="18"/>
                <w:szCs w:val="18"/>
              </w:rPr>
              <w:t>2019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right="0"/>
        <w:jc w:val="left"/>
      </w:pPr>
      <w:r>
        <w:rPr/>
        <w:t>公司聘请的报告期内履行持续督导职责的财务顾问</w:t>
      </w:r>
    </w:p>
    <w:p>
      <w:pPr>
        <w:pStyle w:val="BodyText"/>
        <w:spacing w:line="240" w:lineRule="auto" w:before="116"/>
        <w:ind w:right="0"/>
        <w:jc w:val="left"/>
      </w:pPr>
      <w:r>
        <w:rPr/>
        <w:t>□ 适用 √ 不适用</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公司是否需追溯调整或重述以前年度会计数据</w:t>
      </w:r>
    </w:p>
    <w:p>
      <w:pPr>
        <w:pStyle w:val="BodyText"/>
        <w:spacing w:line="240" w:lineRule="auto" w:before="117"/>
        <w:ind w:left="1133" w:right="0"/>
        <w:jc w:val="left"/>
      </w:pPr>
      <w:r>
        <w:rPr/>
        <w:t>□ 是 √ 否</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2"/>
                <w:sz w:val="18"/>
              </w:rPr>
              <w:t>1,011,762,811.34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980,588,378.49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1,121,444,994.16</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42,930,074.35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59,507,668.12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-27.86%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60,959,021.44</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42,731,166.49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56,490,626.32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-24.36%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57,810,418.73</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-138,529,061.78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-76,818,714.01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23,004,863.10</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0.36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-40.98%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0.68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0.36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-40.98%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0.68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5.87%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-7.32%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19.37%</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3" w:right="142" w:hanging="630"/>
              <w:jc w:val="left"/>
              <w:rPr>
                <w:rFonts w:ascii="宋体" w:hAnsi="宋体" w:cs="宋体" w:eastAsia="宋体" w:hint="default"/>
                <w:sz w:val="18"/>
                <w:szCs w:val="18"/>
              </w:rPr>
            </w:pPr>
            <w:r>
              <w:rPr>
                <w:rFonts w:ascii="宋体" w:hAnsi="宋体" w:cs="宋体" w:eastAsia="宋体" w:hint="default"/>
                <w:sz w:val="18"/>
                <w:szCs w:val="18"/>
              </w:rPr>
              <w:t>本年末比上年末增 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1,330,055,553.14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1,074,680,540.01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23.76%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723,163,117.83</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736,776,217.22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709,760,382.06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345,152,713.94</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90,678,424.41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276,074,463.01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154,800,520.98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490,209,402.94</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-4,366,883.16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22,519,415.74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934,338.32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23,843,203.45</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-4,368,243.15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22,519,076.18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931,078.18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23,649,255.28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-219,491,908.99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-20,228,367.06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7,840,711.82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93,350,502.45</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7"/>
        <w:ind w:left="1133" w:right="0"/>
        <w:jc w:val="left"/>
      </w:pPr>
      <w:r>
        <w:rPr/>
        <w:t>□ 是 √ 否</w:t>
      </w:r>
    </w:p>
    <w:p>
      <w:pPr>
        <w:spacing w:line="240" w:lineRule="auto" w:before="13"/>
        <w:rPr>
          <w:rFonts w:ascii="宋体" w:hAnsi="宋体" w:cs="宋体" w:eastAsia="宋体" w:hint="default"/>
          <w:sz w:val="24"/>
          <w:szCs w:val="24"/>
        </w:rPr>
      </w:pPr>
    </w:p>
    <w:p>
      <w:pPr>
        <w:pStyle w:val="Heading3"/>
        <w:spacing w:line="240" w:lineRule="auto"/>
        <w:ind w:left="1133"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133"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3" w:right="2473"/>
        <w:jc w:val="left"/>
      </w:pPr>
      <w:r>
        <w:rPr/>
        <w:t>□ 适用 √ 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0"/>
          <w:szCs w:val="20"/>
        </w:rPr>
      </w:pPr>
    </w:p>
    <w:p>
      <w:pPr>
        <w:pStyle w:val="Heading5"/>
        <w:spacing w:line="240" w:lineRule="auto"/>
        <w:ind w:left="1133"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652"/>
        <w:jc w:val="left"/>
      </w:pPr>
      <w:r>
        <w:rPr/>
        <w:t>□ 适用 √ 不适用 公司报告期不存在按照境外会计准则与按照中国会计准则披露的财务报告中净利润和净资产差异情况。</w:t>
      </w:r>
    </w:p>
    <w:p>
      <w:pPr>
        <w:spacing w:line="240" w:lineRule="auto" w:before="3"/>
        <w:rPr>
          <w:rFonts w:ascii="宋体" w:hAnsi="宋体" w:cs="宋体" w:eastAsia="宋体" w:hint="default"/>
          <w:sz w:val="18"/>
          <w:szCs w:val="18"/>
        </w:rPr>
      </w:pPr>
    </w:p>
    <w:p>
      <w:pPr>
        <w:pStyle w:val="Heading3"/>
        <w:spacing w:line="240" w:lineRule="auto"/>
        <w:ind w:left="1133"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3" w:right="0"/>
        <w:jc w:val="left"/>
      </w:pPr>
      <w:r>
        <w:rPr/>
        <w:t>√ 适用 □ 不适用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 减值准备的冲销部分）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-44,686.94</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21,993.23</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5"/>
              <w:jc w:val="left"/>
              <w:rPr>
                <w:rFonts w:ascii="宋体" w:hAnsi="宋体" w:cs="宋体" w:eastAsia="宋体" w:hint="default"/>
                <w:sz w:val="18"/>
                <w:szCs w:val="18"/>
              </w:rPr>
            </w:pPr>
            <w:r>
              <w:rPr>
                <w:rFonts w:ascii="宋体" w:hAnsi="宋体" w:cs="宋体" w:eastAsia="宋体" w:hint="default"/>
                <w:sz w:val="18"/>
                <w:szCs w:val="18"/>
              </w:rPr>
              <w:t>主要为固定资产处 置损失</w:t>
            </w: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2,873,984.76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3,640,900.00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23"/>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278,696.19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675,476.18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41,345.25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5"/>
              <w:jc w:val="both"/>
              <w:rPr>
                <w:rFonts w:ascii="宋体" w:hAnsi="宋体" w:cs="宋体" w:eastAsia="宋体" w:hint="default"/>
                <w:sz w:val="18"/>
                <w:szCs w:val="18"/>
              </w:rPr>
            </w:pPr>
            <w:r>
              <w:rPr>
                <w:rFonts w:ascii="宋体" w:hAnsi="宋体" w:cs="宋体" w:eastAsia="宋体" w:hint="default"/>
                <w:sz w:val="18"/>
                <w:szCs w:val="18"/>
              </w:rPr>
              <w:t>主要为无需支付的 款项以及其他营业 外收入</w:t>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35,101.39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532,419.14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555,635.77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198,907.86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3,017,041.80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3,148,602.71</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t>□ 适用 √ 不适用</w:t>
      </w:r>
    </w:p>
    <w:p>
      <w:pPr>
        <w:pStyle w:val="BodyText"/>
        <w:spacing w:line="302" w:lineRule="auto" w:before="115"/>
        <w:ind w:left="1133"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3403"/>
        <w:jc w:val="center"/>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spacing w:line="316" w:lineRule="auto" w:before="25"/>
        <w:ind w:left="1493" w:right="0" w:firstLine="1"/>
        <w:jc w:val="left"/>
        <w:rPr>
          <w:rFonts w:ascii="宋体" w:hAnsi="宋体" w:cs="宋体" w:eastAsia="宋体" w:hint="default"/>
          <w:sz w:val="18"/>
          <w:szCs w:val="18"/>
        </w:rPr>
      </w:pPr>
      <w:r>
        <w:rPr>
          <w:rFonts w:ascii="宋体" w:hAnsi="宋体" w:cs="宋体" w:eastAsia="宋体" w:hint="default"/>
          <w:b/>
          <w:bCs/>
          <w:sz w:val="18"/>
          <w:szCs w:val="18"/>
        </w:rPr>
        <w:t>（一）主要业务、产品和服务</w:t>
      </w:r>
      <w:r>
        <w:rPr>
          <w:rFonts w:ascii="宋体" w:hAnsi="宋体" w:cs="宋体" w:eastAsia="宋体" w:hint="default"/>
          <w:b/>
          <w:bCs/>
          <w:w w:val="99"/>
          <w:sz w:val="18"/>
          <w:szCs w:val="18"/>
        </w:rPr>
        <w:t> </w:t>
      </w:r>
      <w:r>
        <w:rPr>
          <w:rFonts w:ascii="宋体" w:hAnsi="宋体" w:cs="宋体" w:eastAsia="宋体" w:hint="default"/>
          <w:spacing w:val="-2"/>
          <w:sz w:val="18"/>
          <w:szCs w:val="18"/>
        </w:rPr>
        <w:t>公司主要面向以商业银行为主的客户提供</w:t>
      </w:r>
      <w:r>
        <w:rPr>
          <w:rFonts w:ascii="宋体" w:hAnsi="宋体" w:cs="宋体" w:eastAsia="宋体" w:hint="default"/>
          <w:spacing w:val="-2"/>
          <w:sz w:val="18"/>
          <w:szCs w:val="18"/>
        </w:rPr>
        <w:t>IT</w:t>
      </w:r>
      <w:r>
        <w:rPr>
          <w:rFonts w:ascii="宋体" w:hAnsi="宋体" w:cs="宋体" w:eastAsia="宋体" w:hint="default"/>
          <w:spacing w:val="-2"/>
          <w:sz w:val="18"/>
          <w:szCs w:val="18"/>
        </w:rPr>
        <w:t>解决方案及服务，包括</w:t>
      </w:r>
      <w:r>
        <w:rPr>
          <w:rFonts w:ascii="宋体" w:hAnsi="宋体" w:cs="宋体" w:eastAsia="宋体" w:hint="default"/>
          <w:spacing w:val="-2"/>
          <w:sz w:val="18"/>
          <w:szCs w:val="18"/>
        </w:rPr>
        <w:t>IT</w:t>
      </w:r>
      <w:r>
        <w:rPr>
          <w:rFonts w:ascii="宋体" w:hAnsi="宋体" w:cs="宋体" w:eastAsia="宋体" w:hint="default"/>
          <w:spacing w:val="-2"/>
          <w:sz w:val="18"/>
          <w:szCs w:val="18"/>
        </w:rPr>
        <w:t>基础设施建设、软件解决方案及</w:t>
      </w:r>
      <w:r>
        <w:rPr>
          <w:rFonts w:ascii="宋体" w:hAnsi="宋体" w:cs="宋体" w:eastAsia="宋体" w:hint="default"/>
          <w:spacing w:val="-2"/>
          <w:sz w:val="18"/>
          <w:szCs w:val="18"/>
        </w:rPr>
        <w:t>IT</w:t>
      </w:r>
      <w:r>
        <w:rPr>
          <w:rFonts w:ascii="宋体" w:hAnsi="宋体" w:cs="宋体" w:eastAsia="宋体" w:hint="default"/>
          <w:spacing w:val="-2"/>
          <w:sz w:val="18"/>
          <w:szCs w:val="18"/>
        </w:rPr>
        <w:t>运维服务，自设</w:t>
      </w:r>
    </w:p>
    <w:p>
      <w:pPr>
        <w:pStyle w:val="BodyText"/>
        <w:spacing w:line="316" w:lineRule="auto" w:before="19"/>
        <w:ind w:left="1493" w:right="7333" w:hanging="360"/>
        <w:jc w:val="left"/>
      </w:pPr>
      <w:r>
        <w:rPr/>
        <w:t>立以来，公司的主营业务未发生重大变化。 </w:t>
      </w:r>
      <w:r>
        <w:rPr>
          <w:rFonts w:ascii="宋体" w:hAnsi="宋体" w:cs="宋体" w:eastAsia="宋体" w:hint="default"/>
        </w:rPr>
        <w:t>1</w:t>
      </w:r>
      <w:r>
        <w:rPr/>
        <w:t>、</w:t>
      </w:r>
      <w:r>
        <w:rPr>
          <w:rFonts w:ascii="宋体" w:hAnsi="宋体" w:cs="宋体" w:eastAsia="宋体" w:hint="default"/>
        </w:rPr>
        <w:t>IT</w:t>
      </w:r>
      <w:r>
        <w:rPr/>
        <w:t>基础设施建设业务</w:t>
      </w:r>
    </w:p>
    <w:p>
      <w:pPr>
        <w:pStyle w:val="BodyText"/>
        <w:spacing w:line="316" w:lineRule="auto" w:before="19"/>
        <w:ind w:right="0" w:firstLine="360"/>
        <w:jc w:val="left"/>
      </w:pPr>
      <w:r>
        <w:rPr>
          <w:rFonts w:ascii="宋体" w:hAnsi="宋体" w:cs="宋体" w:eastAsia="宋体" w:hint="default"/>
          <w:spacing w:val="-2"/>
        </w:rPr>
        <w:t>IT</w:t>
      </w:r>
      <w:r>
        <w:rPr>
          <w:spacing w:val="-2"/>
        </w:rPr>
        <w:t>基础设施领域，为客户提供规划设计咨询、软硬件选型与部署实施等覆盖</w:t>
      </w:r>
      <w:r>
        <w:rPr>
          <w:rFonts w:ascii="宋体" w:hAnsi="宋体" w:cs="宋体" w:eastAsia="宋体" w:hint="default"/>
          <w:spacing w:val="-2"/>
        </w:rPr>
        <w:t>IT</w:t>
      </w:r>
      <w:r>
        <w:rPr>
          <w:spacing w:val="-2"/>
        </w:rPr>
        <w:t>基础设施建设全生命周期的解决方案和服</w:t>
      </w:r>
      <w:r>
        <w:rPr/>
        <w:t> 务，同时结合自有的软件产品，为客户提供</w:t>
      </w:r>
      <w:r>
        <w:rPr>
          <w:rFonts w:ascii="宋体" w:hAnsi="宋体" w:cs="宋体" w:eastAsia="宋体" w:hint="default"/>
        </w:rPr>
        <w:t>IT</w:t>
      </w:r>
      <w:r>
        <w:rPr/>
        <w:t>基础设施增值服务。</w:t>
      </w:r>
    </w:p>
    <w:p>
      <w:pPr>
        <w:pStyle w:val="BodyText"/>
        <w:spacing w:line="316" w:lineRule="auto" w:before="19"/>
        <w:ind w:right="1032" w:firstLine="360"/>
        <w:jc w:val="left"/>
      </w:pPr>
      <w:r>
        <w:rPr/>
        <w:t>公司目前在</w:t>
      </w:r>
      <w:r>
        <w:rPr>
          <w:rFonts w:ascii="宋体" w:hAnsi="宋体" w:cs="宋体" w:eastAsia="宋体" w:hint="default"/>
        </w:rPr>
        <w:t>IT</w:t>
      </w:r>
      <w:r>
        <w:rPr/>
        <w:t>基础设施建设领域的主要解决方案及服务包括：数据中心基础设施解决方案、云数据中心建设解决方案、 企业网络设计及规划、</w:t>
      </w:r>
      <w:r>
        <w:rPr>
          <w:rFonts w:ascii="宋体" w:hAnsi="宋体" w:cs="宋体" w:eastAsia="宋体" w:hint="default"/>
        </w:rPr>
        <w:t>SDN</w:t>
      </w:r>
      <w:r>
        <w:rPr/>
        <w:t>（软件定义网络）解决方案，智能网络技术咨询业务，同时也代理销售相关的</w:t>
      </w:r>
      <w:r>
        <w:rPr>
          <w:rFonts w:ascii="宋体" w:hAnsi="宋体" w:cs="宋体" w:eastAsia="宋体" w:hint="default"/>
        </w:rPr>
        <w:t>IT</w:t>
      </w:r>
      <w:r>
        <w:rPr/>
        <w:t>基础设施产品。</w:t>
      </w:r>
    </w:p>
    <w:p>
      <w:pPr>
        <w:pStyle w:val="BodyText"/>
        <w:spacing w:line="316" w:lineRule="auto" w:before="19"/>
        <w:ind w:left="1133" w:right="0" w:firstLine="360"/>
        <w:jc w:val="left"/>
      </w:pPr>
      <w:r>
        <w:rPr>
          <w:spacing w:val="-2"/>
        </w:rPr>
        <w:t>数据中心基础设施解决方案为客户提供数据中心的网络、计算、存储、灾备等</w:t>
      </w:r>
      <w:r>
        <w:rPr>
          <w:rFonts w:ascii="宋体" w:hAnsi="宋体" w:cs="宋体" w:eastAsia="宋体" w:hint="default"/>
          <w:spacing w:val="-2"/>
        </w:rPr>
        <w:t>IT</w:t>
      </w:r>
      <w:r>
        <w:rPr>
          <w:spacing w:val="-2"/>
        </w:rPr>
        <w:t>基础设施的建设、整合与优化，从而为</w:t>
      </w:r>
      <w:r>
        <w:rPr/>
        <w:t> 企业客户搭建适应信息化需求的高性能、高可用性</w:t>
      </w:r>
      <w:r>
        <w:rPr>
          <w:rFonts w:ascii="宋体" w:hAnsi="宋体" w:cs="宋体" w:eastAsia="宋体" w:hint="default"/>
        </w:rPr>
        <w:t>IT</w:t>
      </w:r>
      <w:r>
        <w:rPr/>
        <w:t>基础环境。</w:t>
      </w:r>
    </w:p>
    <w:p>
      <w:pPr>
        <w:pStyle w:val="BodyText"/>
        <w:spacing w:line="316" w:lineRule="auto" w:before="19"/>
        <w:ind w:right="0" w:firstLine="360"/>
        <w:jc w:val="left"/>
      </w:pPr>
      <w:r>
        <w:rPr>
          <w:spacing w:val="-2"/>
        </w:rPr>
        <w:t>云数据中心建设解决方案系为客户提供基于分布式架构的数据中心建设方案，支持云数据中心资源的高可扩展能力、多</w:t>
      </w:r>
      <w:r>
        <w:rPr/>
        <w:t> 租户、方便及时的服务提供等需求。</w:t>
      </w:r>
    </w:p>
    <w:p>
      <w:pPr>
        <w:pStyle w:val="BodyText"/>
        <w:spacing w:line="319" w:lineRule="auto" w:before="19"/>
        <w:ind w:right="0" w:firstLine="360"/>
        <w:jc w:val="left"/>
      </w:pPr>
      <w:r>
        <w:rPr>
          <w:spacing w:val="-2"/>
        </w:rPr>
        <w:t>企业网络设计及规划服务结合国际前沿的网络技术和公司长期实践经验，根据客户自身的业务特点及</w:t>
      </w:r>
      <w:r>
        <w:rPr>
          <w:rFonts w:ascii="宋体" w:hAnsi="宋体" w:cs="宋体" w:eastAsia="宋体" w:hint="default"/>
          <w:spacing w:val="-2"/>
        </w:rPr>
        <w:t>IT</w:t>
      </w:r>
      <w:r>
        <w:rPr>
          <w:spacing w:val="-2"/>
        </w:rPr>
        <w:t>需求，提供规划</w:t>
      </w:r>
      <w:r>
        <w:rPr/>
        <w:t> 设计、工程实施、管理维护、优化改造、技术咨询等全方位的网络解决方案及专业服务。</w:t>
      </w:r>
    </w:p>
    <w:p>
      <w:pPr>
        <w:pStyle w:val="BodyText"/>
        <w:spacing w:line="316" w:lineRule="auto" w:before="17"/>
        <w:ind w:right="1122" w:firstLine="360"/>
        <w:jc w:val="left"/>
      </w:pPr>
      <w:r>
        <w:rPr>
          <w:rFonts w:ascii="宋体" w:hAnsi="宋体" w:cs="宋体" w:eastAsia="宋体" w:hint="default"/>
        </w:rPr>
        <w:t>SDN</w:t>
      </w:r>
      <w:r>
        <w:rPr/>
        <w:t>（软件定义网络）解决方案是一种新型网络架构，其核心是网络设备控制面与数据面分离，从而实现了网络流量、 网络路由的灵活控制，为核心网络及应用的创新提供了良好的平台。</w:t>
      </w:r>
    </w:p>
    <w:p>
      <w:pPr>
        <w:pStyle w:val="BodyText"/>
        <w:spacing w:line="316" w:lineRule="auto" w:before="19"/>
        <w:ind w:left="1133" w:right="0" w:firstLine="360"/>
        <w:jc w:val="left"/>
      </w:pPr>
      <w:r>
        <w:rPr>
          <w:spacing w:val="-2"/>
        </w:rPr>
        <w:t>智能网络技术咨询业务结合公司多年</w:t>
      </w:r>
      <w:r>
        <w:rPr>
          <w:rFonts w:ascii="宋体" w:hAnsi="宋体" w:cs="宋体" w:eastAsia="宋体" w:hint="default"/>
          <w:spacing w:val="-2"/>
        </w:rPr>
        <w:t>IT</w:t>
      </w:r>
      <w:r>
        <w:rPr>
          <w:spacing w:val="-2"/>
        </w:rPr>
        <w:t>基础设施建设经验、多厂商技术特色和客户业务特点，根据客户需求，定制高级</w:t>
      </w:r>
      <w:r>
        <w:rPr/>
        <w:t> 网络咨询服务，实现全面的网络优化分析评估与规划。</w:t>
      </w:r>
    </w:p>
    <w:p>
      <w:pPr>
        <w:spacing w:line="240" w:lineRule="auto" w:before="4"/>
        <w:rPr>
          <w:rFonts w:ascii="宋体" w:hAnsi="宋体" w:cs="宋体" w:eastAsia="宋体" w:hint="default"/>
          <w:sz w:val="25"/>
          <w:szCs w:val="25"/>
        </w:rPr>
      </w:pPr>
    </w:p>
    <w:p>
      <w:pPr>
        <w:pStyle w:val="BodyText"/>
        <w:spacing w:line="316" w:lineRule="auto"/>
        <w:ind w:left="1494" w:right="0"/>
        <w:jc w:val="left"/>
      </w:pPr>
      <w:r>
        <w:rPr>
          <w:rFonts w:ascii="宋体" w:hAnsi="宋体" w:cs="宋体" w:eastAsia="宋体" w:hint="default"/>
        </w:rPr>
        <w:t>2</w:t>
      </w:r>
      <w:r>
        <w:rPr/>
        <w:t>、软件解决方案 </w:t>
      </w:r>
      <w:r>
        <w:rPr>
          <w:spacing w:val="-2"/>
        </w:rPr>
        <w:t>公司软件解决方案围绕银行业应用需求，形成了金融业务处理、数据管理与商业智能应用两大业务方向，并根据客户自</w:t>
      </w:r>
    </w:p>
    <w:p>
      <w:pPr>
        <w:pStyle w:val="BodyText"/>
        <w:spacing w:line="316" w:lineRule="auto" w:before="19"/>
        <w:ind w:right="0"/>
        <w:jc w:val="left"/>
      </w:pPr>
      <w:r>
        <w:rPr>
          <w:spacing w:val="-2"/>
        </w:rPr>
        <w:t>身的业务特点，向客户提供以公司自主平台软件为基础的定制化软件解决方案。另外，公司还基于以银行类金融机构为代表</w:t>
      </w:r>
      <w:r>
        <w:rPr>
          <w:spacing w:val="-66"/>
        </w:rPr>
        <w:t> </w:t>
      </w:r>
      <w:r>
        <w:rPr>
          <w:spacing w:val="-66"/>
        </w:rPr>
      </w:r>
      <w:r>
        <w:rPr/>
        <w:t>的国内外大型企业运营中现实的需求，提供定量软件开发服务。</w:t>
      </w:r>
    </w:p>
    <w:p>
      <w:pPr>
        <w:pStyle w:val="BodyText"/>
        <w:spacing w:line="316" w:lineRule="auto" w:before="19"/>
        <w:ind w:right="1131" w:firstLine="360"/>
        <w:jc w:val="both"/>
      </w:pPr>
      <w:r>
        <w:rPr>
          <w:spacing w:val="-2"/>
        </w:rPr>
        <w:t>金融业务处理领域，公司基于自有版权软件产品</w:t>
      </w:r>
      <w:r>
        <w:rPr>
          <w:rFonts w:ascii="宋体" w:hAnsi="宋体" w:cs="宋体" w:eastAsia="宋体" w:hint="default"/>
          <w:spacing w:val="-2"/>
        </w:rPr>
        <w:t>Starring</w:t>
      </w:r>
      <w:r>
        <w:rPr>
          <w:spacing w:val="-2"/>
        </w:rPr>
        <w:t>，提供金融交易云平台解决方案。该平台采用微服务架构，结</w:t>
      </w:r>
      <w:r>
        <w:rPr/>
        <w:t> </w:t>
      </w:r>
      <w:r>
        <w:rPr>
          <w:spacing w:val="-2"/>
        </w:rPr>
        <w:t>合云计算技术，帮助用户快速将传统</w:t>
      </w:r>
      <w:r>
        <w:rPr>
          <w:rFonts w:ascii="宋体" w:hAnsi="宋体" w:cs="宋体" w:eastAsia="宋体" w:hint="default"/>
          <w:spacing w:val="-2"/>
        </w:rPr>
        <w:t>IT</w:t>
      </w:r>
      <w:r>
        <w:rPr>
          <w:spacing w:val="-2"/>
        </w:rPr>
        <w:t>应用迁移到云计算架构，同时为客户提供基于云计算平台的应用解决方案，包括企业</w:t>
      </w:r>
      <w:r>
        <w:rPr>
          <w:spacing w:val="-64"/>
        </w:rPr>
        <w:t> </w:t>
      </w:r>
      <w:r>
        <w:rPr>
          <w:spacing w:val="-64"/>
        </w:rPr>
      </w:r>
      <w:r>
        <w:rPr>
          <w:spacing w:val="-3"/>
        </w:rPr>
        <w:t>服务总线（</w:t>
      </w:r>
      <w:r>
        <w:rPr>
          <w:rFonts w:ascii="宋体" w:hAnsi="宋体" w:cs="宋体" w:eastAsia="宋体" w:hint="default"/>
          <w:spacing w:val="-3"/>
        </w:rPr>
        <w:t>ESB</w:t>
      </w:r>
      <w:r>
        <w:rPr>
          <w:spacing w:val="-3"/>
        </w:rPr>
        <w:t>）、银行交易渠道及前置、中间业务、各类金融支付、电子银行等。</w:t>
      </w:r>
    </w:p>
    <w:p>
      <w:pPr>
        <w:pStyle w:val="BodyText"/>
        <w:spacing w:line="316" w:lineRule="auto" w:before="19"/>
        <w:ind w:left="1133" w:right="1027" w:firstLine="360"/>
        <w:jc w:val="left"/>
      </w:pPr>
      <w:r>
        <w:rPr>
          <w:spacing w:val="-3"/>
        </w:rPr>
        <w:t>数据管理与商业智能应用领域，公司以自主平台软件</w:t>
      </w:r>
      <w:r>
        <w:rPr>
          <w:rFonts w:ascii="宋体" w:hAnsi="宋体" w:cs="宋体" w:eastAsia="宋体" w:hint="default"/>
          <w:spacing w:val="-3"/>
        </w:rPr>
        <w:t>iMOIA</w:t>
      </w:r>
      <w:r>
        <w:rPr>
          <w:spacing w:val="-3"/>
        </w:rPr>
        <w:t>及</w:t>
      </w:r>
      <w:r>
        <w:rPr>
          <w:rFonts w:ascii="宋体" w:hAnsi="宋体" w:cs="宋体" w:eastAsia="宋体" w:hint="default"/>
          <w:spacing w:val="-3"/>
        </w:rPr>
        <w:t>BDPAS</w:t>
      </w:r>
      <w:r>
        <w:rPr>
          <w:spacing w:val="-3"/>
        </w:rPr>
        <w:t>为核心，搭建企业级大数据管理平台，提供核心调度、</w:t>
      </w:r>
      <w:r>
        <w:rPr/>
        <w:t> </w:t>
      </w:r>
      <w:r>
        <w:rPr>
          <w:spacing w:val="-2"/>
        </w:rPr>
        <w:t>大数据管理及配套的数据分析与展现平台、企业级客户信息管理平台、历史数据管理平台、基于大数据金融反欺诈等应用解</w:t>
      </w:r>
      <w:r>
        <w:rPr>
          <w:spacing w:val="-66"/>
        </w:rPr>
        <w:t> </w:t>
      </w:r>
      <w:r>
        <w:rPr>
          <w:spacing w:val="-66"/>
        </w:rPr>
      </w:r>
      <w:r>
        <w:rPr/>
        <w:t>决方案。</w:t>
      </w:r>
    </w:p>
    <w:p>
      <w:pPr>
        <w:spacing w:line="240" w:lineRule="auto" w:before="4"/>
        <w:rPr>
          <w:rFonts w:ascii="宋体" w:hAnsi="宋体" w:cs="宋体" w:eastAsia="宋体" w:hint="default"/>
          <w:sz w:val="25"/>
          <w:szCs w:val="25"/>
        </w:rPr>
      </w:pPr>
    </w:p>
    <w:p>
      <w:pPr>
        <w:pStyle w:val="BodyText"/>
        <w:spacing w:line="319" w:lineRule="auto"/>
        <w:ind w:left="1493" w:right="1118"/>
        <w:jc w:val="left"/>
      </w:pPr>
      <w:r>
        <w:rPr>
          <w:rFonts w:ascii="宋体" w:hAnsi="宋体" w:cs="宋体" w:eastAsia="宋体" w:hint="default"/>
        </w:rPr>
        <w:t>3</w:t>
      </w:r>
      <w:r>
        <w:rPr/>
        <w:t>、</w:t>
      </w:r>
      <w:r>
        <w:rPr>
          <w:rFonts w:ascii="宋体" w:hAnsi="宋体" w:cs="宋体" w:eastAsia="宋体" w:hint="default"/>
        </w:rPr>
        <w:t>IT</w:t>
      </w:r>
      <w:r>
        <w:rPr/>
        <w:t>运维服务 </w:t>
      </w:r>
      <w:r>
        <w:rPr>
          <w:rFonts w:ascii="宋体" w:hAnsi="宋体" w:cs="宋体" w:eastAsia="宋体" w:hint="default"/>
          <w:spacing w:val="-2"/>
        </w:rPr>
        <w:t>IT</w:t>
      </w:r>
      <w:r>
        <w:rPr>
          <w:spacing w:val="-2"/>
        </w:rPr>
        <w:t>运维服务业务基于</w:t>
      </w:r>
      <w:r>
        <w:rPr>
          <w:rFonts w:ascii="宋体" w:hAnsi="宋体" w:cs="宋体" w:eastAsia="宋体" w:hint="default"/>
          <w:spacing w:val="-2"/>
        </w:rPr>
        <w:t>ITIL</w:t>
      </w:r>
      <w:r>
        <w:rPr>
          <w:spacing w:val="-2"/>
        </w:rPr>
        <w:t>服务管理体系与</w:t>
      </w:r>
      <w:r>
        <w:rPr>
          <w:rFonts w:ascii="宋体" w:hAnsi="宋体" w:cs="宋体" w:eastAsia="宋体" w:hint="default"/>
          <w:spacing w:val="-2"/>
        </w:rPr>
        <w:t>ITSS</w:t>
      </w:r>
      <w:r>
        <w:rPr>
          <w:spacing w:val="-2"/>
        </w:rPr>
        <w:t>运维技术框架，为客户提供标准化、规范化的运维支持服务，包括基础软</w:t>
      </w:r>
    </w:p>
    <w:p>
      <w:pPr>
        <w:pStyle w:val="BodyText"/>
        <w:spacing w:line="316" w:lineRule="auto" w:before="17"/>
        <w:ind w:left="1493" w:right="4273" w:hanging="360"/>
        <w:jc w:val="left"/>
      </w:pPr>
      <w:r>
        <w:rPr/>
        <w:t>硬件维保服务、系统运维服务、专项运维服务、系统及应用软件支持与维护服务。 基础软硬件维保服务包括：巡检服务、事件与问题支持、现场值守等。 系统运维服务包括：运维体系部署、系统监控管理、系统日常运维等。 专项运维服务，根据客户具体需求，结合自主研发的工具，提供专项服务。</w:t>
      </w:r>
    </w:p>
    <w:p>
      <w:pPr>
        <w:spacing w:after="0" w:line="316"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right="1132" w:firstLine="360"/>
        <w:jc w:val="both"/>
      </w:pPr>
      <w:r>
        <w:rPr>
          <w:spacing w:val="-2"/>
        </w:rPr>
        <w:t>系统及应用软件支持与维护服务，根据客户要求，为已实施的软件解决方案提供定期巡检、故障排除、系统调优、系统</w:t>
      </w:r>
      <w:r>
        <w:rPr/>
        <w:t> </w:t>
      </w:r>
      <w:r>
        <w:rPr>
          <w:spacing w:val="-2"/>
        </w:rPr>
        <w:t>变更支持等服务。另外，公司也为软件解决方案与</w:t>
      </w:r>
      <w:r>
        <w:rPr>
          <w:rFonts w:ascii="宋体" w:hAnsi="宋体" w:cs="宋体" w:eastAsia="宋体" w:hint="default"/>
          <w:spacing w:val="-2"/>
        </w:rPr>
        <w:t>IT</w:t>
      </w:r>
      <w:r>
        <w:rPr>
          <w:spacing w:val="-2"/>
        </w:rPr>
        <w:t>基础设施建设中使用的第三方应用软件产品提供全面的、端到端的专业</w:t>
      </w:r>
      <w:r>
        <w:rPr>
          <w:spacing w:val="-64"/>
        </w:rPr>
        <w:t> </w:t>
      </w:r>
      <w:r>
        <w:rPr>
          <w:spacing w:val="-64"/>
        </w:rPr>
      </w:r>
      <w:r>
        <w:rPr/>
        <w:t>支持服务。</w:t>
      </w:r>
    </w:p>
    <w:p>
      <w:pPr>
        <w:pStyle w:val="BodyText"/>
        <w:spacing w:line="240" w:lineRule="auto" w:before="19"/>
        <w:ind w:left="1494" w:right="0"/>
        <w:jc w:val="left"/>
        <w:rPr>
          <w:rFonts w:ascii="宋体" w:hAnsi="宋体" w:cs="宋体" w:eastAsia="宋体" w:hint="default"/>
        </w:rPr>
      </w:pPr>
      <w:r>
        <w:rPr>
          <w:rFonts w:ascii="宋体" w:hAnsi="宋体" w:cs="宋体" w:eastAsia="宋体" w:hint="default"/>
        </w:rPr>
        <w:t>2017</w:t>
      </w:r>
      <w:r>
        <w:rPr/>
        <w:t>年，基于</w:t>
      </w:r>
      <w:r>
        <w:rPr>
          <w:rFonts w:ascii="宋体" w:hAnsi="宋体" w:cs="宋体" w:eastAsia="宋体" w:hint="default"/>
        </w:rPr>
        <w:t>ITSS</w:t>
      </w:r>
      <w:r>
        <w:rPr/>
        <w:t>运维技术框架，结合公司多年</w:t>
      </w:r>
      <w:r>
        <w:rPr>
          <w:rFonts w:ascii="宋体" w:hAnsi="宋体" w:cs="宋体" w:eastAsia="宋体" w:hint="default"/>
        </w:rPr>
        <w:t>IT</w:t>
      </w:r>
      <w:r>
        <w:rPr/>
        <w:t>运维服务经验，公司发布网络全生命周期自动化运维管理系统</w:t>
      </w:r>
      <w:r>
        <w:rPr>
          <w:rFonts w:ascii="宋体" w:hAnsi="宋体" w:cs="宋体" w:eastAsia="宋体" w:hint="default"/>
        </w:rPr>
        <w:t>ANOS</w:t>
      </w:r>
    </w:p>
    <w:p>
      <w:pPr>
        <w:pStyle w:val="BodyText"/>
        <w:spacing w:line="240" w:lineRule="auto" w:before="77"/>
        <w:ind w:right="0"/>
        <w:jc w:val="left"/>
      </w:pPr>
      <w:r>
        <w:rPr>
          <w:rFonts w:ascii="宋体" w:hAnsi="宋体" w:cs="宋体" w:eastAsia="宋体" w:hint="default"/>
        </w:rPr>
        <w:t>1.0</w:t>
      </w:r>
      <w:r>
        <w:rPr/>
        <w:t>，并在多家用户获得成功应用。</w:t>
      </w:r>
    </w:p>
    <w:p>
      <w:pPr>
        <w:spacing w:line="240" w:lineRule="auto" w:before="0"/>
        <w:rPr>
          <w:rFonts w:ascii="宋体" w:hAnsi="宋体" w:cs="宋体" w:eastAsia="宋体" w:hint="default"/>
          <w:sz w:val="18"/>
          <w:szCs w:val="18"/>
        </w:rPr>
      </w:pPr>
    </w:p>
    <w:p>
      <w:pPr>
        <w:pStyle w:val="BodyText"/>
        <w:spacing w:line="316" w:lineRule="auto" w:before="153"/>
        <w:ind w:left="1494" w:right="0" w:firstLine="1"/>
        <w:jc w:val="left"/>
      </w:pPr>
      <w:r>
        <w:rPr>
          <w:rFonts w:ascii="宋体" w:hAnsi="宋体" w:cs="宋体" w:eastAsia="宋体" w:hint="default"/>
          <w:b/>
          <w:bCs/>
        </w:rPr>
        <w:t>（二）经营模式</w:t>
      </w:r>
      <w:r>
        <w:rPr>
          <w:rFonts w:ascii="宋体" w:hAnsi="宋体" w:cs="宋体" w:eastAsia="宋体" w:hint="default"/>
          <w:b/>
          <w:bCs/>
          <w:w w:val="99"/>
        </w:rPr>
        <w:t> </w:t>
      </w:r>
      <w:r>
        <w:rPr>
          <w:spacing w:val="-2"/>
        </w:rPr>
        <w:t>公司主要客户为以商业银行为主的大中型企业客户，大中型企业客户对供应商有严格的资质要求，供应商需要经过严格</w:t>
      </w:r>
    </w:p>
    <w:p>
      <w:pPr>
        <w:pStyle w:val="BodyText"/>
        <w:spacing w:line="316" w:lineRule="auto" w:before="19"/>
        <w:ind w:right="0"/>
        <w:jc w:val="left"/>
      </w:pPr>
      <w:r>
        <w:rPr>
          <w:spacing w:val="-2"/>
        </w:rPr>
        <w:t>的资质审核或认证，才有机会参与相关领域的工程实施。公司在主要的业务领域，拥有良好的资质，与以商业银行为主的金</w:t>
      </w:r>
      <w:r>
        <w:rPr>
          <w:spacing w:val="-66"/>
        </w:rPr>
        <w:t> </w:t>
      </w:r>
      <w:r>
        <w:rPr>
          <w:spacing w:val="-66"/>
        </w:rPr>
      </w:r>
      <w:r>
        <w:rPr/>
        <w:t>融机构建立了长期、良好的合作关系，通过参与客户的招投标获得项目机会。</w:t>
      </w:r>
    </w:p>
    <w:p>
      <w:pPr>
        <w:pStyle w:val="BodyText"/>
        <w:spacing w:line="316" w:lineRule="auto" w:before="19"/>
        <w:ind w:left="1133" w:right="1033" w:firstLine="360"/>
        <w:jc w:val="left"/>
      </w:pPr>
      <w:r>
        <w:rPr>
          <w:spacing w:val="-2"/>
        </w:rPr>
        <w:t>公司中标客户方项目后，会派出工程技术人员，组成项目组，按照客户的要求，完成</w:t>
      </w:r>
      <w:r>
        <w:rPr>
          <w:rFonts w:ascii="宋体" w:hAnsi="宋体" w:cs="宋体" w:eastAsia="宋体" w:hint="default"/>
          <w:spacing w:val="-2"/>
        </w:rPr>
        <w:t>IT</w:t>
      </w:r>
      <w:r>
        <w:rPr>
          <w:spacing w:val="-2"/>
        </w:rPr>
        <w:t>工程的实施。</w:t>
      </w:r>
      <w:r>
        <w:rPr>
          <w:rFonts w:ascii="宋体" w:hAnsi="宋体" w:cs="宋体" w:eastAsia="宋体" w:hint="default"/>
          <w:spacing w:val="-2"/>
        </w:rPr>
        <w:t>IT</w:t>
      </w:r>
      <w:r>
        <w:rPr>
          <w:spacing w:val="-2"/>
        </w:rPr>
        <w:t>基础设施建设项</w:t>
      </w:r>
      <w:r>
        <w:rPr/>
        <w:t> </w:t>
      </w:r>
      <w:r>
        <w:rPr>
          <w:spacing w:val="-2"/>
        </w:rPr>
        <w:t>目的实施一般包括以下环节：咨询与规划、采购与配送、项目实施、测试与投产验收等；公司实施的软件解决方案项目包括</w:t>
      </w:r>
      <w:r>
        <w:rPr>
          <w:spacing w:val="-66"/>
        </w:rPr>
        <w:t> </w:t>
      </w:r>
      <w:r>
        <w:rPr>
          <w:spacing w:val="-66"/>
        </w:rPr>
      </w:r>
      <w:r>
        <w:rPr>
          <w:spacing w:val="-2"/>
        </w:rPr>
        <w:t>定制软件开发与定量软件开发两类，定制软件开发主要基于公司自有软件产品，进行客户化开发，定量软件开发根据与客户</w:t>
      </w:r>
      <w:r>
        <w:rPr>
          <w:spacing w:val="-66"/>
        </w:rPr>
        <w:t> </w:t>
      </w:r>
      <w:r>
        <w:rPr>
          <w:spacing w:val="-66"/>
        </w:rPr>
      </w:r>
      <w:r>
        <w:rPr/>
        <w:t>的合同约定，派出技术人员完成客户委派的技术工作；</w:t>
      </w:r>
      <w:r>
        <w:rPr>
          <w:rFonts w:ascii="宋体" w:hAnsi="宋体" w:cs="宋体" w:eastAsia="宋体" w:hint="default"/>
        </w:rPr>
        <w:t>IT</w:t>
      </w:r>
      <w:r>
        <w:rPr/>
        <w:t>运维服务业务包括：定期巡检、事件响应、备件保障、现场值守、 远程支持等多种提供模式。</w:t>
      </w:r>
    </w:p>
    <w:p>
      <w:pPr>
        <w:spacing w:line="240" w:lineRule="auto" w:before="4"/>
        <w:rPr>
          <w:rFonts w:ascii="宋体" w:hAnsi="宋体" w:cs="宋体" w:eastAsia="宋体" w:hint="default"/>
          <w:sz w:val="25"/>
          <w:szCs w:val="25"/>
        </w:rPr>
      </w:pPr>
    </w:p>
    <w:p>
      <w:pPr>
        <w:pStyle w:val="BodyText"/>
        <w:spacing w:line="316" w:lineRule="auto"/>
        <w:ind w:left="1494" w:right="1118" w:firstLine="1"/>
        <w:jc w:val="left"/>
      </w:pPr>
      <w:r>
        <w:rPr>
          <w:rFonts w:ascii="宋体" w:hAnsi="宋体" w:cs="宋体" w:eastAsia="宋体" w:hint="default"/>
          <w:b/>
          <w:bCs/>
        </w:rPr>
        <w:t>（三）主要业绩驱动因素</w:t>
      </w:r>
      <w:r>
        <w:rPr>
          <w:rFonts w:ascii="宋体" w:hAnsi="宋体" w:cs="宋体" w:eastAsia="宋体" w:hint="default"/>
          <w:b/>
          <w:bCs/>
          <w:w w:val="99"/>
        </w:rPr>
        <w:t> </w:t>
      </w:r>
      <w:r>
        <w:rPr/>
        <w:t>公司主要的业绩驱动因素来源于传统客户的持续性服务、新客户拓展及新业务机会获取三个方面： </w:t>
      </w:r>
      <w:r>
        <w:rPr>
          <w:rFonts w:ascii="宋体" w:hAnsi="宋体" w:cs="宋体" w:eastAsia="宋体" w:hint="default"/>
        </w:rPr>
        <w:t>1</w:t>
      </w:r>
      <w:r>
        <w:rPr/>
        <w:t>、传统客户的持续性服务 </w:t>
      </w:r>
      <w:r>
        <w:rPr>
          <w:spacing w:val="-2"/>
        </w:rPr>
        <w:t>多年来，公司收入较大比例来自公司传统客户，在公司传统客户进行大规模系统升级或者大规模应用系统建设时，公司</w:t>
      </w:r>
    </w:p>
    <w:p>
      <w:pPr>
        <w:pStyle w:val="BodyText"/>
        <w:spacing w:line="316" w:lineRule="auto" w:before="19"/>
        <w:ind w:left="1493" w:right="2473" w:hanging="360"/>
        <w:jc w:val="left"/>
      </w:pPr>
      <w:r>
        <w:rPr/>
        <w:t>有机会获得更多的业务机会。同样，公司传统客户业务趋于稳定的时期，公司扩展业务规模的难度增大。 </w:t>
      </w:r>
      <w:r>
        <w:rPr>
          <w:rFonts w:ascii="宋体" w:hAnsi="宋体" w:cs="宋体" w:eastAsia="宋体" w:hint="default"/>
        </w:rPr>
        <w:t>2</w:t>
      </w:r>
      <w:r>
        <w:rPr/>
        <w:t>、新客户拓展</w:t>
      </w:r>
    </w:p>
    <w:p>
      <w:pPr>
        <w:pStyle w:val="BodyText"/>
        <w:spacing w:line="316" w:lineRule="auto" w:before="19"/>
        <w:ind w:left="1133" w:right="1130" w:firstLine="360"/>
        <w:jc w:val="both"/>
      </w:pPr>
      <w:r>
        <w:rPr>
          <w:spacing w:val="-2"/>
        </w:rPr>
        <w:t>公司主要客户为以商业银行为主的大型金融机构，在获取新客户相关领域入围资格时，或者新客户选择公司基础软件平</w:t>
      </w:r>
      <w:r>
        <w:rPr/>
        <w:t> </w:t>
      </w:r>
      <w:r>
        <w:rPr>
          <w:spacing w:val="-2"/>
        </w:rPr>
        <w:t>台构建其应用系统时，公司有较大的机会扩展业务规模。近年来，公司一直在加大新客户的拓展力度，特别是区域银行及非</w:t>
      </w:r>
      <w:r>
        <w:rPr>
          <w:spacing w:val="-66"/>
        </w:rPr>
        <w:t> </w:t>
      </w:r>
      <w:r>
        <w:rPr>
          <w:spacing w:val="-66"/>
        </w:rPr>
      </w:r>
      <w:r>
        <w:rPr/>
        <w:t>银行金融机构客户市场的开拓，并取得了一定进展。</w:t>
      </w:r>
    </w:p>
    <w:p>
      <w:pPr>
        <w:pStyle w:val="BodyText"/>
        <w:spacing w:line="316" w:lineRule="auto" w:before="19"/>
        <w:ind w:left="1494" w:right="0"/>
        <w:jc w:val="left"/>
      </w:pPr>
      <w:r>
        <w:rPr>
          <w:rFonts w:ascii="宋体" w:hAnsi="宋体" w:cs="宋体" w:eastAsia="宋体" w:hint="default"/>
        </w:rPr>
        <w:t>3</w:t>
      </w:r>
      <w:r>
        <w:rPr/>
        <w:t>、新的业务机会 </w:t>
      </w:r>
      <w:r>
        <w:rPr>
          <w:spacing w:val="-2"/>
        </w:rPr>
        <w:t>商业银行</w:t>
      </w:r>
      <w:r>
        <w:rPr>
          <w:rFonts w:ascii="宋体" w:hAnsi="宋体" w:cs="宋体" w:eastAsia="宋体" w:hint="default"/>
          <w:spacing w:val="-2"/>
        </w:rPr>
        <w:t>IT</w:t>
      </w:r>
      <w:r>
        <w:rPr>
          <w:spacing w:val="-2"/>
        </w:rPr>
        <w:t>服务市场整体上高度分散，其中包含多个细分领域，在每个细分领域，通过一段时间的市场竞争，会形成相</w:t>
      </w:r>
    </w:p>
    <w:p>
      <w:pPr>
        <w:pStyle w:val="BodyText"/>
        <w:spacing w:line="316" w:lineRule="auto" w:before="19"/>
        <w:ind w:left="1133" w:right="0"/>
        <w:jc w:val="left"/>
      </w:pPr>
      <w:r>
        <w:rPr>
          <w:spacing w:val="-2"/>
        </w:rPr>
        <w:t>对稳定的格局，其中部分细分市场集中度较高。在没有行业性的业务机会或革命性的技术驱动前提下，相对稳定的市场格局</w:t>
      </w:r>
      <w:r>
        <w:rPr>
          <w:spacing w:val="-66"/>
        </w:rPr>
        <w:t> </w:t>
      </w:r>
      <w:r>
        <w:rPr>
          <w:spacing w:val="-66"/>
        </w:rPr>
      </w:r>
      <w:r>
        <w:rPr>
          <w:spacing w:val="-2"/>
        </w:rPr>
        <w:t>较难被打破，服务商介入其非优势领域的难度较大。这种相对稳定的格局在出现新的行业性业务机会或者革命性的技术驱动</w:t>
      </w:r>
      <w:r>
        <w:rPr>
          <w:spacing w:val="-64"/>
        </w:rPr>
        <w:t> </w:t>
      </w:r>
      <w:r>
        <w:rPr>
          <w:spacing w:val="-64"/>
        </w:rPr>
      </w:r>
      <w:r>
        <w:rPr>
          <w:spacing w:val="-4"/>
        </w:rPr>
        <w:t>下，会发生较大的变化，并可能重构行业格局。公司未来的发展，很大程度上决定于是否能够准确把握行业机会与技术变革，</w:t>
      </w:r>
      <w:r>
        <w:rPr>
          <w:spacing w:val="-46"/>
        </w:rPr>
        <w:t> </w:t>
      </w:r>
      <w:r>
        <w:rPr>
          <w:spacing w:val="-46"/>
        </w:rPr>
      </w:r>
      <w:r>
        <w:rPr/>
        <w:t>推出满足客户需求的产品、服务及解决方案。</w:t>
      </w:r>
    </w:p>
    <w:p>
      <w:pPr>
        <w:spacing w:line="240" w:lineRule="auto" w:before="4"/>
        <w:rPr>
          <w:rFonts w:ascii="宋体" w:hAnsi="宋体" w:cs="宋体" w:eastAsia="宋体" w:hint="default"/>
          <w:sz w:val="25"/>
          <w:szCs w:val="25"/>
        </w:rPr>
      </w:pPr>
    </w:p>
    <w:p>
      <w:pPr>
        <w:pStyle w:val="BodyText"/>
        <w:spacing w:line="316" w:lineRule="auto"/>
        <w:ind w:left="1493" w:right="0" w:firstLine="1"/>
        <w:jc w:val="left"/>
      </w:pPr>
      <w:r>
        <w:rPr>
          <w:rFonts w:ascii="宋体" w:hAnsi="宋体" w:cs="宋体" w:eastAsia="宋体" w:hint="default"/>
          <w:b/>
          <w:bCs/>
        </w:rPr>
        <w:t>（四）行业特征</w:t>
      </w:r>
      <w:r>
        <w:rPr>
          <w:rFonts w:ascii="宋体" w:hAnsi="宋体" w:cs="宋体" w:eastAsia="宋体" w:hint="default"/>
          <w:b/>
          <w:bCs/>
          <w:w w:val="99"/>
        </w:rPr>
        <w:t> </w:t>
      </w:r>
      <w:r>
        <w:rPr>
          <w:rFonts w:ascii="宋体" w:hAnsi="宋体" w:cs="宋体" w:eastAsia="宋体" w:hint="default"/>
          <w:spacing w:val="-2"/>
        </w:rPr>
        <w:t>IT</w:t>
      </w:r>
      <w:r>
        <w:rPr>
          <w:spacing w:val="-2"/>
        </w:rPr>
        <w:t>服务行业作为高科技行业，核心竞争力主要体现在专业素质、创新能力、行业经验等方面，与传统的制造业、消费品</w:t>
      </w:r>
    </w:p>
    <w:p>
      <w:pPr>
        <w:pStyle w:val="BodyText"/>
        <w:spacing w:line="316" w:lineRule="auto" w:before="19"/>
        <w:ind w:left="1133" w:right="1131"/>
        <w:jc w:val="both"/>
      </w:pPr>
      <w:r>
        <w:rPr>
          <w:spacing w:val="-2"/>
        </w:rPr>
        <w:t>行业有显著不同。</w:t>
      </w:r>
      <w:r>
        <w:rPr>
          <w:rFonts w:ascii="宋体" w:hAnsi="宋体" w:cs="宋体" w:eastAsia="宋体" w:hint="default"/>
          <w:spacing w:val="-2"/>
        </w:rPr>
        <w:t>IT</w:t>
      </w:r>
      <w:r>
        <w:rPr>
          <w:spacing w:val="-2"/>
        </w:rPr>
        <w:t>服务企业使用软件开发工具进行软件的开发与测试，通过专业人才实施服务，利用长期积累的专业知识</w:t>
      </w:r>
      <w:r>
        <w:rPr>
          <w:spacing w:val="-64"/>
        </w:rPr>
        <w:t> </w:t>
      </w:r>
      <w:r>
        <w:rPr>
          <w:spacing w:val="-64"/>
        </w:rPr>
      </w:r>
      <w:r>
        <w:rPr>
          <w:spacing w:val="-2"/>
        </w:rPr>
        <w:t>与行业经验客户提供符合个性化需求的</w:t>
      </w:r>
      <w:r>
        <w:rPr>
          <w:rFonts w:ascii="宋体" w:hAnsi="宋体" w:cs="宋体" w:eastAsia="宋体" w:hint="default"/>
          <w:spacing w:val="-2"/>
        </w:rPr>
        <w:t>IT</w:t>
      </w:r>
      <w:r>
        <w:rPr>
          <w:spacing w:val="-2"/>
        </w:rPr>
        <w:t>解决方案。从经营流程和投入要素来看，</w:t>
      </w:r>
      <w:r>
        <w:rPr>
          <w:rFonts w:ascii="宋体" w:hAnsi="宋体" w:cs="宋体" w:eastAsia="宋体" w:hint="default"/>
          <w:spacing w:val="-2"/>
        </w:rPr>
        <w:t>IT</w:t>
      </w:r>
      <w:r>
        <w:rPr>
          <w:spacing w:val="-2"/>
        </w:rPr>
        <w:t>服务行业企业在设计研发、服务、运营</w:t>
      </w:r>
      <w:r>
        <w:rPr>
          <w:spacing w:val="-62"/>
        </w:rPr>
        <w:t> </w:t>
      </w:r>
      <w:r>
        <w:rPr>
          <w:spacing w:val="-62"/>
        </w:rPr>
      </w:r>
      <w:r>
        <w:rPr/>
        <w:t>等方面的知识和人才投入大大高于传统行业，固定资产占总资产的比重也远低于传统行业。</w:t>
      </w:r>
    </w:p>
    <w:p>
      <w:pPr>
        <w:pStyle w:val="BodyText"/>
        <w:spacing w:line="319" w:lineRule="auto" w:before="19"/>
        <w:ind w:left="1133" w:right="0" w:firstLine="360"/>
        <w:jc w:val="left"/>
      </w:pPr>
      <w:r>
        <w:rPr>
          <w:rFonts w:ascii="宋体" w:hAnsi="宋体" w:cs="宋体" w:eastAsia="宋体" w:hint="default"/>
          <w:spacing w:val="-2"/>
        </w:rPr>
        <w:t>IT</w:t>
      </w:r>
      <w:r>
        <w:rPr>
          <w:spacing w:val="-2"/>
        </w:rPr>
        <w:t>基础设施建设是国内</w:t>
      </w:r>
      <w:r>
        <w:rPr>
          <w:rFonts w:ascii="宋体" w:hAnsi="宋体" w:cs="宋体" w:eastAsia="宋体" w:hint="default"/>
          <w:spacing w:val="-2"/>
        </w:rPr>
        <w:t>IT</w:t>
      </w:r>
      <w:r>
        <w:rPr>
          <w:spacing w:val="-2"/>
        </w:rPr>
        <w:t>服务行业的传统服务项目，该业务根据客户的系统建设需求为其采购相应的软硬件产品，并将</w:t>
      </w:r>
      <w:r>
        <w:rPr/>
        <w:t> </w:t>
      </w:r>
      <w:r>
        <w:rPr>
          <w:spacing w:val="-2"/>
        </w:rPr>
        <w:t>其集成到一个能够满足客户个性化需求的</w:t>
      </w:r>
      <w:r>
        <w:rPr>
          <w:rFonts w:ascii="宋体" w:hAnsi="宋体" w:cs="宋体" w:eastAsia="宋体" w:hint="default"/>
          <w:spacing w:val="-2"/>
        </w:rPr>
        <w:t>IT</w:t>
      </w:r>
      <w:r>
        <w:rPr>
          <w:spacing w:val="-2"/>
        </w:rPr>
        <w:t>系统中。由于软硬件产品厂商竞争充分，产品定价非常透明，所以该业务的行业</w:t>
      </w:r>
      <w:r>
        <w:rPr>
          <w:spacing w:val="-64"/>
        </w:rPr>
        <w:t> </w:t>
      </w:r>
      <w:r>
        <w:rPr>
          <w:spacing w:val="-64"/>
        </w:rPr>
      </w:r>
      <w:r>
        <w:rPr>
          <w:spacing w:val="-4"/>
        </w:rPr>
        <w:t>利润水平较低。行业内的领先企业一般通过新技术应用、提供多厂商或多产品的整体解决方案以及提升自身管理水平等手段，</w:t>
      </w:r>
      <w:r>
        <w:rPr>
          <w:spacing w:val="-44"/>
        </w:rPr>
        <w:t> </w:t>
      </w:r>
      <w:r>
        <w:rPr>
          <w:spacing w:val="-44"/>
        </w:rPr>
      </w:r>
      <w:r>
        <w:rPr/>
        <w:t>提升其竞争力与盈利能力。</w:t>
      </w:r>
    </w:p>
    <w:p>
      <w:pPr>
        <w:pStyle w:val="BodyText"/>
        <w:spacing w:line="316" w:lineRule="auto" w:before="17"/>
        <w:ind w:left="1133" w:right="1131" w:firstLine="360"/>
        <w:jc w:val="both"/>
      </w:pPr>
      <w:r>
        <w:rPr>
          <w:spacing w:val="-2"/>
        </w:rPr>
        <w:t>软件解决方案所需成本主要为人工成本，专业性强，技术附加值较高，毛利率处于较高水平。未来几年我国银行业信息</w:t>
      </w:r>
      <w:r>
        <w:rPr/>
        <w:t> </w:t>
      </w:r>
      <w:r>
        <w:rPr>
          <w:spacing w:val="-2"/>
        </w:rPr>
        <w:t>化建设仍处于较快发展时期，</w:t>
      </w:r>
      <w:r>
        <w:rPr>
          <w:rFonts w:ascii="宋体" w:hAnsi="宋体" w:cs="宋体" w:eastAsia="宋体" w:hint="default"/>
          <w:spacing w:val="-2"/>
        </w:rPr>
        <w:t>IT</w:t>
      </w:r>
      <w:r>
        <w:rPr>
          <w:spacing w:val="-2"/>
        </w:rPr>
        <w:t>应用系统建设需求强劲，而由于多数银行自主研发与</w:t>
      </w:r>
      <w:r>
        <w:rPr>
          <w:rFonts w:ascii="宋体" w:hAnsi="宋体" w:cs="宋体" w:eastAsia="宋体" w:hint="default"/>
          <w:spacing w:val="-2"/>
        </w:rPr>
        <w:t>IT</w:t>
      </w:r>
      <w:r>
        <w:rPr>
          <w:spacing w:val="-2"/>
        </w:rPr>
        <w:t>建设能力难以覆盖其整体需求且经济</w:t>
      </w:r>
      <w:r>
        <w:rPr>
          <w:spacing w:val="-60"/>
        </w:rPr>
        <w:t> </w:t>
      </w:r>
      <w:r>
        <w:rPr>
          <w:spacing w:val="-2"/>
        </w:rPr>
        <w:t>性不强，以公司为代表的专业化软件服务商已经成为银行业</w:t>
      </w:r>
      <w:r>
        <w:rPr>
          <w:rFonts w:ascii="宋体" w:hAnsi="宋体" w:cs="宋体" w:eastAsia="宋体" w:hint="default"/>
          <w:spacing w:val="-2"/>
        </w:rPr>
        <w:t>IT</w:t>
      </w:r>
      <w:r>
        <w:rPr>
          <w:spacing w:val="-2"/>
        </w:rPr>
        <w:t>应用系统建设中不可或缺的一员。因此，银行业软件解决方案</w:t>
      </w:r>
    </w:p>
    <w:p>
      <w:pPr>
        <w:spacing w:after="0" w:line="316" w:lineRule="auto"/>
        <w:jc w:val="both"/>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left="1494" w:right="0" w:hanging="360"/>
        <w:jc w:val="left"/>
      </w:pPr>
      <w:r>
        <w:rPr/>
        <w:t>仍有望保持较高的利润水平。 </w:t>
      </w:r>
      <w:r>
        <w:rPr>
          <w:spacing w:val="-2"/>
        </w:rPr>
        <w:t>随着云计算的日益普及，行业客户对</w:t>
      </w:r>
      <w:r>
        <w:rPr>
          <w:rFonts w:ascii="宋体" w:hAnsi="宋体" w:cs="宋体" w:eastAsia="宋体" w:hint="default"/>
          <w:spacing w:val="-2"/>
        </w:rPr>
        <w:t>IT</w:t>
      </w:r>
      <w:r>
        <w:rPr>
          <w:spacing w:val="-2"/>
        </w:rPr>
        <w:t>运维服务的需求呈现快速增长态势，运维服务质量的要求也在不断提高，行业客</w:t>
      </w:r>
    </w:p>
    <w:p>
      <w:pPr>
        <w:pStyle w:val="BodyText"/>
        <w:spacing w:line="316" w:lineRule="auto" w:before="19"/>
        <w:ind w:left="1133" w:right="1118"/>
        <w:jc w:val="left"/>
      </w:pPr>
      <w:r>
        <w:rPr>
          <w:spacing w:val="-2"/>
        </w:rPr>
        <w:t>户已经认识到专业运维服务的存在价值，这使得国内银行业</w:t>
      </w:r>
      <w:r>
        <w:rPr>
          <w:rFonts w:ascii="宋体" w:hAnsi="宋体" w:cs="宋体" w:eastAsia="宋体" w:hint="default"/>
          <w:spacing w:val="-2"/>
        </w:rPr>
        <w:t>IT</w:t>
      </w:r>
      <w:r>
        <w:rPr>
          <w:spacing w:val="-2"/>
        </w:rPr>
        <w:t>运维服务市场仍有较大增长空间，业务未来也将保持较好的利</w:t>
      </w:r>
      <w:r>
        <w:rPr>
          <w:spacing w:val="-62"/>
        </w:rPr>
        <w:t> </w:t>
      </w:r>
      <w:r>
        <w:rPr>
          <w:spacing w:val="-62"/>
        </w:rPr>
      </w:r>
      <w:r>
        <w:rPr/>
        <w:t>润水平。</w:t>
      </w:r>
    </w:p>
    <w:p>
      <w:pPr>
        <w:spacing w:line="240" w:lineRule="auto" w:before="4"/>
        <w:rPr>
          <w:rFonts w:ascii="宋体" w:hAnsi="宋体" w:cs="宋体" w:eastAsia="宋体" w:hint="default"/>
          <w:sz w:val="25"/>
          <w:szCs w:val="25"/>
        </w:rPr>
      </w:pPr>
    </w:p>
    <w:p>
      <w:pPr>
        <w:pStyle w:val="BodyText"/>
        <w:spacing w:line="316" w:lineRule="auto"/>
        <w:ind w:left="1494" w:right="0" w:firstLine="1"/>
        <w:jc w:val="left"/>
      </w:pPr>
      <w:r>
        <w:rPr>
          <w:rFonts w:ascii="宋体" w:hAnsi="宋体" w:cs="宋体" w:eastAsia="宋体" w:hint="default"/>
          <w:b/>
          <w:bCs/>
        </w:rPr>
        <w:t>（五）行业地位</w:t>
      </w:r>
      <w:r>
        <w:rPr>
          <w:rFonts w:ascii="宋体" w:hAnsi="宋体" w:cs="宋体" w:eastAsia="宋体" w:hint="default"/>
          <w:b/>
          <w:bCs/>
          <w:w w:val="99"/>
        </w:rPr>
        <w:t> </w:t>
      </w:r>
      <w:r>
        <w:rPr>
          <w:spacing w:val="-2"/>
        </w:rPr>
        <w:t>公司是国内银行业</w:t>
      </w:r>
      <w:r>
        <w:rPr>
          <w:rFonts w:ascii="宋体" w:hAnsi="宋体" w:cs="宋体" w:eastAsia="宋体" w:hint="default"/>
          <w:spacing w:val="-2"/>
        </w:rPr>
        <w:t>IT</w:t>
      </w:r>
      <w:r>
        <w:rPr>
          <w:spacing w:val="-2"/>
        </w:rPr>
        <w:t>服务行业的重要参与者，是国内少数几家同时为工商银行、建设银行、农业银行、中国银行、交通</w:t>
      </w:r>
    </w:p>
    <w:p>
      <w:pPr>
        <w:pStyle w:val="BodyText"/>
        <w:spacing w:line="316" w:lineRule="auto" w:before="19"/>
        <w:ind w:right="0"/>
        <w:jc w:val="left"/>
      </w:pPr>
      <w:r>
        <w:rPr/>
        <w:t>银行、邮政储蓄银行提供</w:t>
      </w:r>
      <w:r>
        <w:rPr>
          <w:rFonts w:ascii="宋体" w:hAnsi="宋体" w:cs="宋体" w:eastAsia="宋体" w:hint="default"/>
        </w:rPr>
        <w:t>IT</w:t>
      </w:r>
      <w:r>
        <w:rPr/>
        <w:t>基础设施建设及运维服务的服务商之一；公司在省级农信市场覆盖率较高，金融交易平台系统</w:t>
      </w:r>
      <w:r>
        <w:rPr>
          <w:spacing w:val="-8"/>
        </w:rPr>
        <w:t> </w:t>
      </w:r>
      <w:r>
        <w:rPr>
          <w:spacing w:val="-8"/>
        </w:rPr>
      </w:r>
      <w:r>
        <w:rPr>
          <w:rFonts w:ascii="宋体" w:hAnsi="宋体" w:cs="宋体" w:eastAsia="宋体" w:hint="default"/>
        </w:rPr>
        <w:t>Starring</w:t>
      </w:r>
      <w:r>
        <w:rPr/>
        <w:t>在农信市场广泛使用；同时，公司也是国内银行业务处理、大数据领域知名的软件解决方案供应商。</w:t>
      </w:r>
    </w:p>
    <w:p>
      <w:pPr>
        <w:pStyle w:val="BodyText"/>
        <w:spacing w:line="240" w:lineRule="auto" w:before="19"/>
        <w:ind w:left="1494" w:right="0"/>
        <w:jc w:val="left"/>
      </w:pPr>
      <w:r>
        <w:rPr/>
        <w:t>公司获得的重要资质、认证、荣誉如下表所示：</w:t>
      </w:r>
    </w:p>
    <w:p>
      <w:pPr>
        <w:spacing w:line="240" w:lineRule="auto" w:before="4"/>
        <w:rPr>
          <w:rFonts w:ascii="宋体" w:hAnsi="宋体" w:cs="宋体" w:eastAsia="宋体" w:hint="default"/>
          <w:sz w:val="6"/>
          <w:szCs w:val="6"/>
        </w:rPr>
      </w:pPr>
    </w:p>
    <w:p>
      <w:pPr>
        <w:spacing w:line="9535" w:lineRule="exact"/>
        <w:ind w:left="1494" w:right="0" w:firstLine="0"/>
        <w:rPr>
          <w:rFonts w:ascii="宋体" w:hAnsi="宋体" w:cs="宋体" w:eastAsia="宋体" w:hint="default"/>
          <w:sz w:val="20"/>
          <w:szCs w:val="20"/>
        </w:rPr>
      </w:pPr>
      <w:r>
        <w:rPr>
          <w:rFonts w:ascii="宋体" w:hAnsi="宋体" w:cs="宋体" w:eastAsia="宋体" w:hint="default"/>
          <w:position w:val="-190"/>
          <w:sz w:val="20"/>
          <w:szCs w:val="20"/>
        </w:rPr>
        <w:drawing>
          <wp:inline distT="0" distB="0" distL="0" distR="0">
            <wp:extent cx="5748638" cy="6055233"/>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3" cstate="print"/>
                    <a:stretch>
                      <a:fillRect/>
                    </a:stretch>
                  </pic:blipFill>
                  <pic:spPr>
                    <a:xfrm>
                      <a:off x="0" y="0"/>
                      <a:ext cx="5748638" cy="6055233"/>
                    </a:xfrm>
                    <a:prstGeom prst="rect">
                      <a:avLst/>
                    </a:prstGeom>
                  </pic:spPr>
                </pic:pic>
              </a:graphicData>
            </a:graphic>
          </wp:inline>
        </w:drawing>
      </w:r>
      <w:r>
        <w:rPr>
          <w:rFonts w:ascii="宋体" w:hAnsi="宋体" w:cs="宋体" w:eastAsia="宋体" w:hint="default"/>
          <w:position w:val="-190"/>
          <w:sz w:val="20"/>
          <w:szCs w:val="20"/>
        </w:rPr>
      </w:r>
    </w:p>
    <w:p>
      <w:pPr>
        <w:spacing w:after="0" w:line="9535" w:lineRule="exact"/>
        <w:rPr>
          <w:rFonts w:ascii="宋体" w:hAnsi="宋体" w:cs="宋体" w:eastAsia="宋体" w:hint="default"/>
          <w:sz w:val="20"/>
          <w:szCs w:val="20"/>
        </w:rPr>
        <w:sectPr>
          <w:pgSz w:w="11910" w:h="16840"/>
          <w:pgMar w:header="907" w:footer="1019" w:top="1100" w:bottom="1200" w:left="0" w:right="0"/>
        </w:sectPr>
      </w:pPr>
    </w:p>
    <w:p>
      <w:pPr>
        <w:spacing w:line="240" w:lineRule="auto" w:before="9"/>
        <w:rPr>
          <w:rFonts w:ascii="宋体" w:hAnsi="宋体" w:cs="宋体" w:eastAsia="宋体" w:hint="default"/>
          <w:sz w:val="20"/>
          <w:szCs w:val="20"/>
        </w:rPr>
      </w:pPr>
    </w:p>
    <w:p>
      <w:pPr>
        <w:pStyle w:val="Heading3"/>
        <w:spacing w:line="240" w:lineRule="auto" w:before="26"/>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052"/>
        <w:gridCol w:w="6517"/>
      </w:tblGrid>
      <w:tr>
        <w:trPr>
          <w:trHeight w:val="765"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026"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对外投资设立西藏银汐企业管理合伙企</w:t>
            </w:r>
            <w:r>
              <w:rPr>
                <w:rFonts w:ascii="宋体" w:hAnsi="宋体" w:cs="宋体" w:eastAsia="宋体" w:hint="default"/>
                <w:spacing w:val="-45"/>
                <w:sz w:val="18"/>
                <w:szCs w:val="18"/>
              </w:rPr>
              <w:t>业</w:t>
            </w:r>
            <w:r>
              <w:rPr>
                <w:rFonts w:ascii="宋体" w:hAnsi="宋体" w:cs="宋体" w:eastAsia="宋体" w:hint="default"/>
                <w:sz w:val="18"/>
                <w:szCs w:val="18"/>
              </w:rPr>
              <w:t>（有限合伙</w:t>
            </w: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期末长期股权投资余额为</w:t>
            </w:r>
          </w:p>
          <w:p>
            <w:pPr>
              <w:pStyle w:val="TableParagraph"/>
              <w:spacing w:line="240" w:lineRule="auto" w:before="75"/>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94,619,029.35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元；对外投资北京泛融科技有限公司，期末长期股权投资余额为</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7,797,064.70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自研资本化项目取得软件著作权并形成无形资产。</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133" w:right="7693"/>
        <w:jc w:val="left"/>
      </w:pPr>
      <w:r>
        <w:rPr/>
        <w:t>公司是否需要遵守特殊行业的披露要求 否</w:t>
      </w:r>
    </w:p>
    <w:p>
      <w:pPr>
        <w:pStyle w:val="BodyText"/>
        <w:spacing w:line="316" w:lineRule="auto" w:before="25"/>
        <w:ind w:right="0" w:firstLine="360"/>
        <w:jc w:val="left"/>
      </w:pPr>
      <w:r>
        <w:rPr>
          <w:spacing w:val="-2"/>
        </w:rPr>
        <w:t>公司自成立以来，深耕银行业</w:t>
      </w:r>
      <w:r>
        <w:rPr>
          <w:rFonts w:ascii="宋体" w:hAnsi="宋体" w:cs="宋体" w:eastAsia="宋体" w:hint="default"/>
          <w:spacing w:val="-2"/>
        </w:rPr>
        <w:t>IT</w:t>
      </w:r>
      <w:r>
        <w:rPr>
          <w:spacing w:val="-2"/>
        </w:rPr>
        <w:t>服务，在客户资源与品牌、产品、人才与团队、技术与经验、供应商合作、营销服务网</w:t>
      </w:r>
      <w:r>
        <w:rPr/>
        <w:t> 络分布方面形成了独特的竞争优势，使公司在高度分散的银行业</w:t>
      </w:r>
      <w:r>
        <w:rPr>
          <w:rFonts w:ascii="宋体" w:hAnsi="宋体" w:cs="宋体" w:eastAsia="宋体" w:hint="default"/>
        </w:rPr>
        <w:t>IT</w:t>
      </w:r>
      <w:r>
        <w:rPr/>
        <w:t>服务市场中拥有良好的口碑。</w:t>
      </w:r>
    </w:p>
    <w:p>
      <w:pPr>
        <w:pStyle w:val="BodyText"/>
        <w:spacing w:line="316" w:lineRule="auto" w:before="19"/>
        <w:ind w:left="1494" w:right="0"/>
        <w:jc w:val="left"/>
      </w:pPr>
      <w:r>
        <w:rPr>
          <w:rFonts w:ascii="宋体" w:hAnsi="宋体" w:cs="宋体" w:eastAsia="宋体" w:hint="default"/>
        </w:rPr>
        <w:t>1</w:t>
      </w:r>
      <w:r>
        <w:rPr/>
        <w:t>、客户资源与品牌优势 </w:t>
      </w:r>
      <w:r>
        <w:rPr>
          <w:spacing w:val="-2"/>
        </w:rPr>
        <w:t>经过十余年的发展，公司积累了国有大型商业银行、全国性股份制商业银行、区域性银行等众多的高端客户。信息技术</w:t>
      </w:r>
    </w:p>
    <w:p>
      <w:pPr>
        <w:pStyle w:val="BodyText"/>
        <w:spacing w:line="316" w:lineRule="auto" w:before="19"/>
        <w:ind w:right="1131"/>
        <w:jc w:val="both"/>
      </w:pPr>
      <w:r>
        <w:rPr>
          <w:spacing w:val="-2"/>
        </w:rPr>
        <w:t>是现代银行业稳定运行的关键，因此，银行业客户倾向于与有良好合作历史的服务商合作。在公司的业务拓展过程中，大部</w:t>
      </w:r>
      <w:r>
        <w:rPr>
          <w:spacing w:val="-66"/>
        </w:rPr>
        <w:t> </w:t>
      </w:r>
      <w:r>
        <w:rPr>
          <w:spacing w:val="-66"/>
        </w:rPr>
      </w:r>
      <w:r>
        <w:rPr>
          <w:spacing w:val="-2"/>
        </w:rPr>
        <w:t>分客户与公司建立了持续多年的业务合作关系。依靠稳固的客户基础，公司在客户提出新需求时具备了先发优势，也得以分</w:t>
      </w:r>
      <w:r>
        <w:rPr>
          <w:spacing w:val="-66"/>
        </w:rPr>
        <w:t> </w:t>
      </w:r>
      <w:r>
        <w:rPr>
          <w:spacing w:val="-66"/>
        </w:rPr>
      </w:r>
      <w:r>
        <w:rPr/>
        <w:t>享银行业持续建设需求带来的巨大市场空间。</w:t>
      </w:r>
    </w:p>
    <w:p>
      <w:pPr>
        <w:pStyle w:val="BodyText"/>
        <w:spacing w:line="316" w:lineRule="auto" w:before="19"/>
        <w:ind w:left="1133" w:right="0" w:firstLine="360"/>
        <w:jc w:val="left"/>
      </w:pPr>
      <w:r>
        <w:rPr>
          <w:spacing w:val="-2"/>
        </w:rPr>
        <w:t>银行业的特殊性对</w:t>
      </w:r>
      <w:r>
        <w:rPr>
          <w:rFonts w:ascii="宋体" w:hAnsi="宋体" w:cs="宋体" w:eastAsia="宋体" w:hint="default"/>
          <w:spacing w:val="-2"/>
        </w:rPr>
        <w:t>IT</w:t>
      </w:r>
      <w:r>
        <w:rPr>
          <w:spacing w:val="-2"/>
        </w:rPr>
        <w:t>服务商的技术水平和服务能力提出了较高的要求。公司的平台软件产品均是承担银行</w:t>
      </w:r>
      <w:r>
        <w:rPr>
          <w:rFonts w:ascii="宋体" w:hAnsi="宋体" w:cs="宋体" w:eastAsia="宋体" w:hint="default"/>
          <w:spacing w:val="-2"/>
        </w:rPr>
        <w:t>IT</w:t>
      </w:r>
      <w:r>
        <w:rPr>
          <w:spacing w:val="-2"/>
        </w:rPr>
        <w:t>系统关键交</w:t>
      </w:r>
      <w:r>
        <w:rPr/>
        <w:t> </w:t>
      </w:r>
      <w:r>
        <w:rPr>
          <w:spacing w:val="-4"/>
        </w:rPr>
        <w:t>易信息与数据交换的基础平台，产品可靠性要求苛刻。公司与大中型银行客户稳固的业务关系在业内形成了良好的示范效应。</w:t>
      </w:r>
      <w:r>
        <w:rPr>
          <w:spacing w:val="-44"/>
        </w:rPr>
        <w:t> </w:t>
      </w:r>
      <w:r>
        <w:rPr>
          <w:spacing w:val="-44"/>
        </w:rPr>
      </w:r>
      <w:r>
        <w:rPr>
          <w:spacing w:val="-2"/>
        </w:rPr>
        <w:t>在对国内银行业客户的长期服务过程中，公司的技术水平与服务能力不断增强，而公司高质量的服务水平、高可靠性的软件</w:t>
      </w:r>
      <w:r>
        <w:rPr>
          <w:spacing w:val="-66"/>
        </w:rPr>
        <w:t> </w:t>
      </w:r>
      <w:r>
        <w:rPr>
          <w:spacing w:val="-66"/>
        </w:rPr>
      </w:r>
      <w:r>
        <w:rPr>
          <w:spacing w:val="-2"/>
        </w:rPr>
        <w:t>产品及稳健的经营风格也获得了良好口碑，进一步提高了公司的品牌知名度。近年来，公司良好的品牌形象有力地促进了公</w:t>
      </w:r>
      <w:r>
        <w:rPr>
          <w:spacing w:val="-66"/>
        </w:rPr>
        <w:t> </w:t>
      </w:r>
      <w:r>
        <w:rPr>
          <w:spacing w:val="-66"/>
        </w:rPr>
      </w:r>
      <w:r>
        <w:rPr>
          <w:spacing w:val="-2"/>
        </w:rPr>
        <w:t>司拓展和维护银行业及其他行业的优质客户，特别是</w:t>
      </w:r>
      <w:r>
        <w:rPr>
          <w:rFonts w:ascii="宋体" w:hAnsi="宋体" w:cs="宋体" w:eastAsia="宋体" w:hint="default"/>
          <w:spacing w:val="-2"/>
        </w:rPr>
        <w:t>IT</w:t>
      </w:r>
      <w:r>
        <w:rPr>
          <w:spacing w:val="-2"/>
        </w:rPr>
        <w:t>系统建设需求快速发展的中小银行客户，形成了全面的市场覆盖，使</w:t>
      </w:r>
      <w:r>
        <w:rPr>
          <w:spacing w:val="-64"/>
        </w:rPr>
        <w:t> </w:t>
      </w:r>
      <w:r>
        <w:rPr>
          <w:spacing w:val="-64"/>
        </w:rPr>
      </w:r>
      <w:r>
        <w:rPr/>
        <w:t>公司的客户资源与品牌优势持续提升。</w:t>
      </w:r>
    </w:p>
    <w:p>
      <w:pPr>
        <w:pStyle w:val="BodyText"/>
        <w:spacing w:line="240" w:lineRule="auto" w:before="19"/>
        <w:ind w:left="1494" w:right="0"/>
        <w:jc w:val="left"/>
      </w:pPr>
      <w:r>
        <w:rPr>
          <w:rFonts w:ascii="宋体" w:hAnsi="宋体" w:cs="宋体" w:eastAsia="宋体" w:hint="default"/>
        </w:rPr>
        <w:t>2</w:t>
      </w:r>
      <w:r>
        <w:rPr/>
        <w:t>、产品优势</w:t>
      </w:r>
    </w:p>
    <w:p>
      <w:pPr>
        <w:pStyle w:val="BodyText"/>
        <w:spacing w:line="316" w:lineRule="auto" w:before="76"/>
        <w:ind w:left="1494" w:right="0"/>
        <w:jc w:val="left"/>
      </w:pPr>
      <w:r>
        <w:rPr/>
        <w:t>（</w:t>
      </w:r>
      <w:r>
        <w:rPr>
          <w:rFonts w:ascii="宋体" w:hAnsi="宋体" w:cs="宋体" w:eastAsia="宋体" w:hint="default"/>
        </w:rPr>
        <w:t>1</w:t>
      </w:r>
      <w:r>
        <w:rPr/>
        <w:t>）软件产品具有高粘性优势 </w:t>
      </w:r>
      <w:r>
        <w:rPr>
          <w:spacing w:val="-2"/>
        </w:rPr>
        <w:t>公司绝大多数软件解决方案基于自主研发的开发运行管理平台，是封装于客户各</w:t>
      </w:r>
      <w:r>
        <w:rPr>
          <w:rFonts w:ascii="宋体" w:hAnsi="宋体" w:cs="宋体" w:eastAsia="宋体" w:hint="default"/>
          <w:spacing w:val="-2"/>
        </w:rPr>
        <w:t>IT</w:t>
      </w:r>
      <w:r>
        <w:rPr>
          <w:spacing w:val="-2"/>
        </w:rPr>
        <w:t>系统之上的平台软件产品，客户粘性</w:t>
      </w:r>
    </w:p>
    <w:p>
      <w:pPr>
        <w:pStyle w:val="BodyText"/>
        <w:spacing w:line="319" w:lineRule="auto" w:before="19"/>
        <w:ind w:left="1133" w:right="1133"/>
        <w:jc w:val="both"/>
      </w:pPr>
      <w:r>
        <w:rPr>
          <w:spacing w:val="-2"/>
        </w:rPr>
        <w:t>极强。另一方面，由于应用型系统的成功实施需要与平台软件有效结合，公司在承接后续应用型系统开发项目方面具有明显</w:t>
      </w:r>
      <w:r>
        <w:rPr>
          <w:spacing w:val="-66"/>
        </w:rPr>
        <w:t> </w:t>
      </w:r>
      <w:r>
        <w:rPr>
          <w:spacing w:val="-66"/>
        </w:rPr>
      </w:r>
      <w:r>
        <w:rPr/>
        <w:t>的优势。此外，公司在平台软件基础上构建的新应用型软件产品由于已有大量用户基础，也会有较好的推广前景。</w:t>
      </w:r>
    </w:p>
    <w:p>
      <w:pPr>
        <w:pStyle w:val="BodyText"/>
        <w:spacing w:line="316" w:lineRule="auto" w:before="17"/>
        <w:ind w:left="1493" w:right="0"/>
        <w:jc w:val="left"/>
      </w:pPr>
      <w:r>
        <w:rPr/>
        <w:t>（</w:t>
      </w:r>
      <w:r>
        <w:rPr>
          <w:rFonts w:ascii="宋体" w:hAnsi="宋体" w:cs="宋体" w:eastAsia="宋体" w:hint="default"/>
        </w:rPr>
        <w:t>2</w:t>
      </w:r>
      <w:r>
        <w:rPr/>
        <w:t>）公司细分业务之间形成了协同效应 </w:t>
      </w:r>
      <w:r>
        <w:rPr>
          <w:spacing w:val="-2"/>
        </w:rPr>
        <w:t>公司的软件解决方案、</w:t>
      </w:r>
      <w:r>
        <w:rPr>
          <w:rFonts w:ascii="宋体" w:hAnsi="宋体" w:cs="宋体" w:eastAsia="宋体" w:hint="default"/>
          <w:spacing w:val="-2"/>
        </w:rPr>
        <w:t>IT</w:t>
      </w:r>
      <w:r>
        <w:rPr>
          <w:spacing w:val="-2"/>
        </w:rPr>
        <w:t>基础设施建设、</w:t>
      </w:r>
      <w:r>
        <w:rPr>
          <w:rFonts w:ascii="宋体" w:hAnsi="宋体" w:cs="宋体" w:eastAsia="宋体" w:hint="default"/>
          <w:spacing w:val="-2"/>
        </w:rPr>
        <w:t>IT</w:t>
      </w:r>
      <w:r>
        <w:rPr>
          <w:spacing w:val="-2"/>
        </w:rPr>
        <w:t>运维服务三类细分业务相辅相成，面向同类客户，每条业务线都能够在销售</w:t>
      </w:r>
    </w:p>
    <w:p>
      <w:pPr>
        <w:pStyle w:val="BodyText"/>
        <w:spacing w:line="316" w:lineRule="auto" w:before="19"/>
        <w:ind w:left="1493" w:right="0" w:hanging="360"/>
        <w:jc w:val="left"/>
      </w:pPr>
      <w:r>
        <w:rPr/>
        <w:t>和实施中为其他业务线创造机会，实现交叉销售，也积累了较多的成功经验。 </w:t>
      </w:r>
      <w:r>
        <w:rPr>
          <w:spacing w:val="-2"/>
        </w:rPr>
        <w:t>公司业务范围全面涵盖了</w:t>
      </w:r>
      <w:r>
        <w:rPr>
          <w:rFonts w:ascii="宋体" w:hAnsi="宋体" w:cs="宋体" w:eastAsia="宋体" w:hint="default"/>
          <w:spacing w:val="-2"/>
        </w:rPr>
        <w:t>IT</w:t>
      </w:r>
      <w:r>
        <w:rPr>
          <w:spacing w:val="-2"/>
        </w:rPr>
        <w:t>服务三大领域，这使得公司具备对客户全方位的综合服务能力，同时在三项业务开展过程中</w:t>
      </w:r>
    </w:p>
    <w:p>
      <w:pPr>
        <w:spacing w:after="0" w:line="316"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right="1131"/>
        <w:jc w:val="both"/>
      </w:pPr>
      <w:r>
        <w:rPr>
          <w:spacing w:val="-2"/>
        </w:rPr>
        <w:t>也使得公司对银行类客户的需求具备更加全面、深入的理解，进而令公司在产品研发、市场开拓、后续服务方面拥有明显的</w:t>
      </w:r>
      <w:r>
        <w:rPr>
          <w:spacing w:val="-66"/>
        </w:rPr>
        <w:t> </w:t>
      </w:r>
      <w:r>
        <w:rPr>
          <w:spacing w:val="-66"/>
        </w:rPr>
      </w:r>
      <w:r>
        <w:rPr/>
        <w:t>竞争优势。</w:t>
      </w:r>
    </w:p>
    <w:p>
      <w:pPr>
        <w:pStyle w:val="BodyText"/>
        <w:spacing w:line="316" w:lineRule="auto" w:before="19"/>
        <w:ind w:left="1494" w:right="0"/>
        <w:jc w:val="left"/>
      </w:pPr>
      <w:r>
        <w:rPr>
          <w:rFonts w:ascii="宋体" w:hAnsi="宋体" w:cs="宋体" w:eastAsia="宋体" w:hint="default"/>
        </w:rPr>
        <w:t>3</w:t>
      </w:r>
      <w:r>
        <w:rPr/>
        <w:t>、人才与团队优势 </w:t>
      </w:r>
      <w:r>
        <w:rPr>
          <w:spacing w:val="-2"/>
        </w:rPr>
        <w:t>公司在十多年的项目实施过程中，培养了一批银行业</w:t>
      </w:r>
      <w:r>
        <w:rPr>
          <w:rFonts w:ascii="宋体" w:hAnsi="宋体" w:cs="宋体" w:eastAsia="宋体" w:hint="default"/>
          <w:spacing w:val="-2"/>
        </w:rPr>
        <w:t>IT</w:t>
      </w:r>
      <w:r>
        <w:rPr>
          <w:spacing w:val="-2"/>
        </w:rPr>
        <w:t>领域的专家级人才，形成了一支基于公司多年积累的、熟悉国内</w:t>
      </w:r>
    </w:p>
    <w:p>
      <w:pPr>
        <w:pStyle w:val="BodyText"/>
        <w:spacing w:line="316" w:lineRule="auto" w:before="19"/>
        <w:ind w:left="1133" w:right="1129"/>
        <w:jc w:val="both"/>
      </w:pPr>
      <w:r>
        <w:rPr/>
        <w:t>银行管理模式和业务特点的技术队伍。截至报告期末，公司技术人员及研发人员总数达</w:t>
      </w:r>
      <w:r>
        <w:rPr>
          <w:rFonts w:ascii="宋体" w:hAnsi="宋体" w:cs="宋体" w:eastAsia="宋体" w:hint="default"/>
        </w:rPr>
        <w:t>1,232</w:t>
      </w:r>
      <w:r>
        <w:rPr/>
        <w:t>人，占公司员工总数的比例达</w:t>
      </w:r>
      <w:r>
        <w:rPr>
          <w:spacing w:val="-82"/>
        </w:rPr>
        <w:t> </w:t>
      </w:r>
      <w:r>
        <w:rPr>
          <w:spacing w:val="-82"/>
        </w:rPr>
      </w:r>
      <w:r>
        <w:rPr>
          <w:rFonts w:ascii="宋体" w:hAnsi="宋体" w:cs="宋体" w:eastAsia="宋体" w:hint="default"/>
        </w:rPr>
        <w:t>87.81%</w:t>
      </w:r>
      <w:r>
        <w:rPr/>
        <w:t>。公司的服务团队成员均经过严格的培训，拥有符合银行业</w:t>
      </w:r>
      <w:r>
        <w:rPr>
          <w:rFonts w:ascii="宋体" w:hAnsi="宋体" w:cs="宋体" w:eastAsia="宋体" w:hint="default"/>
        </w:rPr>
        <w:t>IT</w:t>
      </w:r>
      <w:r>
        <w:rPr/>
        <w:t>服务需求的专业技能储备。</w:t>
      </w:r>
    </w:p>
    <w:p>
      <w:pPr>
        <w:pStyle w:val="BodyText"/>
        <w:spacing w:line="316" w:lineRule="auto" w:before="19"/>
        <w:ind w:right="1130" w:firstLine="360"/>
        <w:jc w:val="both"/>
      </w:pPr>
      <w:r>
        <w:rPr>
          <w:spacing w:val="-2"/>
        </w:rPr>
        <w:t>公司管理层与核心团队长期专注于银行业</w:t>
      </w:r>
      <w:r>
        <w:rPr>
          <w:rFonts w:ascii="宋体" w:hAnsi="宋体" w:cs="宋体" w:eastAsia="宋体" w:hint="default"/>
          <w:spacing w:val="-2"/>
        </w:rPr>
        <w:t>IT</w:t>
      </w:r>
      <w:r>
        <w:rPr>
          <w:spacing w:val="-2"/>
        </w:rPr>
        <w:t>服务行业，管理层与核心技术人员的平均从业年限超过</w:t>
      </w:r>
      <w:r>
        <w:rPr>
          <w:rFonts w:ascii="宋体" w:hAnsi="宋体" w:cs="宋体" w:eastAsia="宋体" w:hint="default"/>
          <w:spacing w:val="-2"/>
        </w:rPr>
        <w:t>20</w:t>
      </w:r>
      <w:r>
        <w:rPr>
          <w:spacing w:val="-2"/>
        </w:rPr>
        <w:t>年，均是公司的创</w:t>
      </w:r>
      <w:r>
        <w:rPr/>
        <w:t> </w:t>
      </w:r>
      <w:r>
        <w:rPr>
          <w:spacing w:val="-2"/>
        </w:rPr>
        <w:t>业团队成员。公司建立了人性化的管理办法和具有市场竞争力的考核激励机制，形成了务实稳健的公司文化。公司的管理层</w:t>
      </w:r>
      <w:r>
        <w:rPr>
          <w:spacing w:val="-66"/>
        </w:rPr>
        <w:t> </w:t>
      </w:r>
      <w:r>
        <w:rPr>
          <w:spacing w:val="-66"/>
        </w:rPr>
      </w:r>
      <w:r>
        <w:rPr/>
        <w:t>与核心团队深刻认同公司的经营理念，使公司核心团队保持长期稳定。</w:t>
      </w:r>
    </w:p>
    <w:p>
      <w:pPr>
        <w:pStyle w:val="BodyText"/>
        <w:spacing w:line="316" w:lineRule="auto" w:before="19"/>
        <w:ind w:left="1494" w:right="4812"/>
        <w:jc w:val="left"/>
      </w:pPr>
      <w:r>
        <w:rPr>
          <w:rFonts w:ascii="宋体" w:hAnsi="宋体" w:cs="宋体" w:eastAsia="宋体" w:hint="default"/>
        </w:rPr>
        <w:t>4</w:t>
      </w:r>
      <w:r>
        <w:rPr/>
        <w:t>、技术创新与项目经验优势 公司拥有雄厚的技术创新实力，以及领先的技术研发和项目实施经验。</w:t>
      </w:r>
    </w:p>
    <w:p>
      <w:pPr>
        <w:pStyle w:val="BodyText"/>
        <w:spacing w:line="316" w:lineRule="auto" w:before="19"/>
        <w:ind w:left="1133" w:right="1033" w:firstLine="360"/>
        <w:jc w:val="left"/>
      </w:pPr>
      <w:r>
        <w:rPr>
          <w:rFonts w:ascii="宋体" w:hAnsi="宋体" w:cs="宋体" w:eastAsia="宋体" w:hint="default"/>
        </w:rPr>
        <w:t>IT</w:t>
      </w:r>
      <w:r>
        <w:rPr/>
        <w:t>基础设施建设及</w:t>
      </w:r>
      <w:r>
        <w:rPr>
          <w:rFonts w:ascii="宋体" w:hAnsi="宋体" w:cs="宋体" w:eastAsia="宋体" w:hint="default"/>
        </w:rPr>
        <w:t>IT</w:t>
      </w:r>
      <w:r>
        <w:rPr/>
        <w:t>运维服务方面，公司拥有信息系统集成及服务一级资质，并通过了</w:t>
      </w:r>
      <w:r>
        <w:rPr>
          <w:rFonts w:ascii="宋体" w:hAnsi="宋体" w:cs="宋体" w:eastAsia="宋体" w:hint="default"/>
        </w:rPr>
        <w:t>CMMI L3</w:t>
      </w:r>
      <w:r>
        <w:rPr/>
        <w:t>、</w:t>
      </w:r>
      <w:r>
        <w:rPr>
          <w:rFonts w:ascii="宋体" w:hAnsi="宋体" w:cs="宋体" w:eastAsia="宋体" w:hint="default"/>
        </w:rPr>
        <w:t>ISO9001</w:t>
      </w:r>
      <w:r>
        <w:rPr/>
        <w:t>、</w:t>
      </w:r>
      <w:r>
        <w:rPr>
          <w:rFonts w:ascii="宋体" w:hAnsi="宋体" w:cs="宋体" w:eastAsia="宋体" w:hint="default"/>
        </w:rPr>
        <w:t>ISO20000</w:t>
      </w:r>
      <w:r>
        <w:rPr/>
        <w:t>、 </w:t>
      </w:r>
      <w:r>
        <w:rPr>
          <w:rFonts w:ascii="宋体" w:hAnsi="宋体" w:cs="宋体" w:eastAsia="宋体" w:hint="default"/>
        </w:rPr>
        <w:t>ISO27001</w:t>
      </w:r>
      <w:r>
        <w:rPr/>
        <w:t>、</w:t>
      </w:r>
      <w:r>
        <w:rPr>
          <w:rFonts w:ascii="宋体" w:hAnsi="宋体" w:cs="宋体" w:eastAsia="宋体" w:hint="default"/>
        </w:rPr>
        <w:t>ITSS</w:t>
      </w:r>
      <w:r>
        <w:rPr/>
        <w:t>等核心资质认证，具备了行业领先的</w:t>
      </w:r>
      <w:r>
        <w:rPr>
          <w:rFonts w:ascii="宋体" w:hAnsi="宋体" w:cs="宋体" w:eastAsia="宋体" w:hint="default"/>
        </w:rPr>
        <w:t>IT</w:t>
      </w:r>
      <w:r>
        <w:rPr/>
        <w:t>基础设施服务认证保障。</w:t>
      </w:r>
    </w:p>
    <w:p>
      <w:pPr>
        <w:pStyle w:val="BodyText"/>
        <w:spacing w:line="316" w:lineRule="auto" w:before="19"/>
        <w:ind w:left="1133" w:right="1130" w:firstLine="360"/>
        <w:jc w:val="both"/>
      </w:pPr>
      <w:r>
        <w:rPr>
          <w:spacing w:val="-2"/>
        </w:rPr>
        <w:t>公司基于长期的专业服务经验，建立了服务运营管理平台，结合公司广泛的服务网点分布，实现了对服务产品运营、交</w:t>
      </w:r>
      <w:r>
        <w:rPr/>
        <w:t> </w:t>
      </w:r>
      <w:r>
        <w:rPr>
          <w:spacing w:val="-2"/>
        </w:rPr>
        <w:t>付及审计的全流程信息化管理，有效降低了单纯依靠人工手段维护可能引发的系统性风险，保证了对客户的服务品质，形成</w:t>
      </w:r>
      <w:r>
        <w:rPr>
          <w:spacing w:val="-66"/>
        </w:rPr>
        <w:t> </w:t>
      </w:r>
      <w:r>
        <w:rPr>
          <w:spacing w:val="-66"/>
        </w:rPr>
      </w:r>
      <w:r>
        <w:rPr>
          <w:spacing w:val="-2"/>
        </w:rPr>
        <w:t>了从架构设计、选型、安装调试到日常运营维护的全流程</w:t>
      </w:r>
      <w:r>
        <w:rPr>
          <w:rFonts w:ascii="宋体" w:hAnsi="宋体" w:cs="宋体" w:eastAsia="宋体" w:hint="default"/>
          <w:spacing w:val="-2"/>
        </w:rPr>
        <w:t>IT</w:t>
      </w:r>
      <w:r>
        <w:rPr>
          <w:spacing w:val="-2"/>
        </w:rPr>
        <w:t>基础设施服务模式。经过大量、广泛的项目经验积累，公司对主</w:t>
      </w:r>
      <w:r>
        <w:rPr>
          <w:spacing w:val="-64"/>
        </w:rPr>
        <w:t> </w:t>
      </w:r>
      <w:r>
        <w:rPr>
          <w:spacing w:val="-64"/>
        </w:rPr>
      </w:r>
      <w:r>
        <w:rPr>
          <w:spacing w:val="-2"/>
        </w:rPr>
        <w:t>要客户的</w:t>
      </w:r>
      <w:r>
        <w:rPr>
          <w:rFonts w:ascii="宋体" w:hAnsi="宋体" w:cs="宋体" w:eastAsia="宋体" w:hint="default"/>
          <w:spacing w:val="-2"/>
        </w:rPr>
        <w:t>IT</w:t>
      </w:r>
      <w:r>
        <w:rPr>
          <w:spacing w:val="-2"/>
        </w:rPr>
        <w:t>环境已经非常熟悉，能够快速完成现有客户的系统服务工作，同时也可以通过已积累的经验知识对新客户的系统</w:t>
      </w:r>
      <w:r>
        <w:rPr>
          <w:spacing w:val="-62"/>
        </w:rPr>
        <w:t> </w:t>
      </w:r>
      <w:r>
        <w:rPr>
          <w:spacing w:val="-62"/>
        </w:rPr>
      </w:r>
      <w:r>
        <w:rPr>
          <w:spacing w:val="-2"/>
        </w:rPr>
        <w:t>问题作出有效预判。公司借助运维服务管理平台，在传统</w:t>
      </w:r>
      <w:r>
        <w:rPr>
          <w:rFonts w:ascii="宋体" w:hAnsi="宋体" w:cs="宋体" w:eastAsia="宋体" w:hint="default"/>
          <w:spacing w:val="-2"/>
        </w:rPr>
        <w:t>IT</w:t>
      </w:r>
      <w:r>
        <w:rPr>
          <w:spacing w:val="-2"/>
        </w:rPr>
        <w:t>运维服务的基础上推出系统运维服务等创新服务模式，通过电子</w:t>
      </w:r>
      <w:r>
        <w:rPr>
          <w:spacing w:val="-64"/>
        </w:rPr>
        <w:t> </w:t>
      </w:r>
      <w:r>
        <w:rPr>
          <w:spacing w:val="-64"/>
        </w:rPr>
      </w:r>
      <w:r>
        <w:rPr>
          <w:spacing w:val="-2"/>
        </w:rPr>
        <w:t>化、自动化的流程管理打包负责客户</w:t>
      </w:r>
      <w:r>
        <w:rPr>
          <w:rFonts w:ascii="宋体" w:hAnsi="宋体" w:cs="宋体" w:eastAsia="宋体" w:hint="default"/>
          <w:spacing w:val="-2"/>
        </w:rPr>
        <w:t>IT</w:t>
      </w:r>
      <w:r>
        <w:rPr>
          <w:spacing w:val="-2"/>
        </w:rPr>
        <w:t>系统的全流程运营维护，提升</w:t>
      </w:r>
      <w:r>
        <w:rPr>
          <w:rFonts w:ascii="宋体" w:hAnsi="宋体" w:cs="宋体" w:eastAsia="宋体" w:hint="default"/>
          <w:spacing w:val="-2"/>
        </w:rPr>
        <w:t>IT</w:t>
      </w:r>
      <w:r>
        <w:rPr>
          <w:spacing w:val="-2"/>
        </w:rPr>
        <w:t>运维服务对客户的价值，该类高附加值业务亦有望成</w:t>
      </w:r>
      <w:r>
        <w:rPr>
          <w:spacing w:val="-62"/>
        </w:rPr>
        <w:t> </w:t>
      </w:r>
      <w:r>
        <w:rPr>
          <w:spacing w:val="-62"/>
        </w:rPr>
      </w:r>
      <w:r>
        <w:rPr/>
        <w:t>为公司未来新的利润增长点。</w:t>
      </w:r>
    </w:p>
    <w:p>
      <w:pPr>
        <w:pStyle w:val="BodyText"/>
        <w:spacing w:line="319" w:lineRule="auto" w:before="19"/>
        <w:ind w:right="0" w:firstLine="360"/>
        <w:jc w:val="left"/>
      </w:pPr>
      <w:r>
        <w:rPr>
          <w:spacing w:val="-2"/>
        </w:rPr>
        <w:t>软件解决方案方面，由于银行业</w:t>
      </w:r>
      <w:r>
        <w:rPr>
          <w:rFonts w:ascii="宋体" w:hAnsi="宋体" w:cs="宋体" w:eastAsia="宋体" w:hint="default"/>
          <w:spacing w:val="-2"/>
        </w:rPr>
        <w:t>IT</w:t>
      </w:r>
      <w:r>
        <w:rPr>
          <w:spacing w:val="-2"/>
        </w:rPr>
        <w:t>系统的复杂性，套装软件产品难以满足客户个性化的业务需求。公司专注银行业软件</w:t>
      </w:r>
      <w:r>
        <w:rPr/>
        <w:t> </w:t>
      </w:r>
      <w:r>
        <w:rPr>
          <w:spacing w:val="-2"/>
        </w:rPr>
        <w:t>解决方案的开发，将在定制化软件开发项目中具有普适性需求的功能汇总形成基础平台软件，并在持续开发过程中不断补充</w:t>
      </w:r>
      <w:r>
        <w:rPr>
          <w:spacing w:val="-64"/>
        </w:rPr>
        <w:t> </w:t>
      </w:r>
      <w:r>
        <w:rPr>
          <w:spacing w:val="-64"/>
        </w:rPr>
      </w:r>
      <w:r>
        <w:rPr>
          <w:spacing w:val="-4"/>
        </w:rPr>
        <w:t>完善，在银行业务处理、数据管理与商业智能应用领域形成了一系列成熟的平台软件产品，大大提高了项目开发效率。目前，</w:t>
      </w:r>
      <w:r>
        <w:rPr>
          <w:spacing w:val="-46"/>
        </w:rPr>
        <w:t> </w:t>
      </w:r>
      <w:r>
        <w:rPr>
          <w:spacing w:val="-46"/>
        </w:rPr>
      </w:r>
      <w:r>
        <w:rPr/>
        <w:t>公司最具代表性的核心平台软件产品</w:t>
      </w:r>
      <w:r>
        <w:rPr>
          <w:rFonts w:ascii="宋体" w:hAnsi="宋体" w:cs="宋体" w:eastAsia="宋体" w:hint="default"/>
        </w:rPr>
        <w:t>Starring</w:t>
      </w:r>
      <w:r>
        <w:rPr/>
        <w:t>、</w:t>
      </w:r>
      <w:r>
        <w:rPr>
          <w:rFonts w:ascii="宋体" w:hAnsi="宋体" w:cs="宋体" w:eastAsia="宋体" w:hint="default"/>
        </w:rPr>
        <w:t>iMOIA</w:t>
      </w:r>
      <w:r>
        <w:rPr/>
        <w:t>、</w:t>
      </w:r>
      <w:r>
        <w:rPr>
          <w:rFonts w:ascii="宋体" w:hAnsi="宋体" w:cs="宋体" w:eastAsia="宋体" w:hint="default"/>
        </w:rPr>
        <w:t>BDPAS</w:t>
      </w:r>
      <w:r>
        <w:rPr/>
        <w:t>已成为业内知名产品。</w:t>
      </w:r>
    </w:p>
    <w:p>
      <w:pPr>
        <w:pStyle w:val="BodyText"/>
        <w:spacing w:line="316" w:lineRule="auto" w:before="17"/>
        <w:ind w:left="1133" w:right="1033" w:firstLine="360"/>
        <w:jc w:val="left"/>
      </w:pPr>
      <w:r>
        <w:rPr>
          <w:spacing w:val="-2"/>
        </w:rPr>
        <w:t>公司软件核心技术团队在技术支持、客户化开发方面积累了丰富的经验，核心技术人员均拥有较高的技术能力和创新能</w:t>
      </w:r>
      <w:r>
        <w:rPr/>
        <w:t> </w:t>
      </w:r>
      <w:r>
        <w:rPr>
          <w:spacing w:val="-2"/>
        </w:rPr>
        <w:t>力。基于银行业</w:t>
      </w:r>
      <w:r>
        <w:rPr>
          <w:rFonts w:ascii="宋体" w:hAnsi="宋体" w:cs="宋体" w:eastAsia="宋体" w:hint="default"/>
          <w:spacing w:val="-2"/>
        </w:rPr>
        <w:t>IT</w:t>
      </w:r>
      <w:r>
        <w:rPr>
          <w:spacing w:val="-2"/>
        </w:rPr>
        <w:t>系统的异构性及定制化需求等特点，公司的平台软件产品秉承“产品包”式的模块化开发与销售模式，采</w:t>
      </w:r>
      <w:r>
        <w:rPr>
          <w:spacing w:val="-64"/>
        </w:rPr>
        <w:t> </w:t>
      </w:r>
      <w:r>
        <w:rPr>
          <w:spacing w:val="-64"/>
        </w:rPr>
      </w:r>
      <w:r>
        <w:rPr/>
        <w:t>取开放性的技术原则，使平台软件可以很容易地集成第三方软件产品，产品包中各模块既可以拼装销售，也可以独立部署， 在避免资源浪费的同时提高了产品销售的灵活性。</w:t>
      </w:r>
    </w:p>
    <w:p>
      <w:pPr>
        <w:pStyle w:val="BodyText"/>
        <w:spacing w:line="316" w:lineRule="auto" w:before="19"/>
        <w:ind w:left="1494" w:right="0"/>
        <w:jc w:val="left"/>
      </w:pPr>
      <w:r>
        <w:rPr>
          <w:rFonts w:ascii="宋体" w:hAnsi="宋体" w:cs="宋体" w:eastAsia="宋体" w:hint="default"/>
        </w:rPr>
        <w:t>5</w:t>
      </w:r>
      <w:r>
        <w:rPr/>
        <w:t>、供应商合作优势 </w:t>
      </w:r>
      <w:r>
        <w:rPr>
          <w:spacing w:val="-2"/>
        </w:rPr>
        <w:t>公司与</w:t>
      </w:r>
      <w:r>
        <w:rPr>
          <w:rFonts w:ascii="宋体" w:hAnsi="宋体" w:cs="宋体" w:eastAsia="宋体" w:hint="default"/>
          <w:spacing w:val="-2"/>
        </w:rPr>
        <w:t>IT</w:t>
      </w:r>
      <w:r>
        <w:rPr>
          <w:spacing w:val="-2"/>
        </w:rPr>
        <w:t>服务行业上下游厂商建立了良好的合作关系，能够获得较多的优惠支持，包括快速订货渠道、优先配送权、更</w:t>
      </w:r>
    </w:p>
    <w:p>
      <w:pPr>
        <w:pStyle w:val="BodyText"/>
        <w:spacing w:line="316" w:lineRule="auto" w:before="19"/>
        <w:ind w:left="1133" w:right="1130"/>
        <w:jc w:val="both"/>
      </w:pPr>
      <w:r>
        <w:rPr>
          <w:spacing w:val="-2"/>
        </w:rPr>
        <w:t>长账期等，可有效缩短项目工期，提高服务响应速度，减少资金占用，进而形成公司的市场竞争优势。同时，公司与厂商共</w:t>
      </w:r>
      <w:r>
        <w:rPr>
          <w:spacing w:val="-67"/>
        </w:rPr>
        <w:t> </w:t>
      </w:r>
      <w:r>
        <w:rPr>
          <w:spacing w:val="-67"/>
        </w:rPr>
      </w:r>
      <w:r>
        <w:rPr/>
        <w:t>享双方的销售渠道，将双方的销售优势形成合力，大大提高了获取订单的能力。</w:t>
      </w:r>
    </w:p>
    <w:p>
      <w:pPr>
        <w:pStyle w:val="BodyText"/>
        <w:spacing w:line="316" w:lineRule="auto" w:before="19"/>
        <w:ind w:left="1494" w:right="0"/>
        <w:jc w:val="left"/>
      </w:pPr>
      <w:r>
        <w:rPr>
          <w:rFonts w:ascii="宋体" w:hAnsi="宋体" w:cs="宋体" w:eastAsia="宋体" w:hint="default"/>
        </w:rPr>
        <w:t>6</w:t>
      </w:r>
      <w:r>
        <w:rPr/>
        <w:t>、营销服务网络优势 </w:t>
      </w:r>
      <w:r>
        <w:rPr>
          <w:spacing w:val="-2"/>
        </w:rPr>
        <w:t>银行普遍拥有大量的、地理分布广泛的分支机构和业务网点，</w:t>
      </w:r>
      <w:r>
        <w:rPr>
          <w:rFonts w:ascii="宋体" w:hAnsi="宋体" w:cs="宋体" w:eastAsia="宋体" w:hint="default"/>
          <w:spacing w:val="-2"/>
        </w:rPr>
        <w:t>IT</w:t>
      </w:r>
      <w:r>
        <w:rPr>
          <w:spacing w:val="-2"/>
        </w:rPr>
        <w:t>服务商必须拥有相应规模的网点分布和技术资源，才能</w:t>
      </w:r>
    </w:p>
    <w:p>
      <w:pPr>
        <w:pStyle w:val="BodyText"/>
        <w:spacing w:line="316" w:lineRule="auto" w:before="19"/>
        <w:ind w:left="1133" w:right="1131"/>
        <w:jc w:val="both"/>
      </w:pPr>
      <w:r>
        <w:rPr>
          <w:spacing w:val="-2"/>
        </w:rPr>
        <w:t>满足银行跨区域的服务需求。公司经过多年积累，已经在全国主要的省会或中心城市建立了</w:t>
      </w:r>
      <w:r>
        <w:rPr>
          <w:rFonts w:ascii="宋体" w:hAnsi="宋体" w:cs="宋体" w:eastAsia="宋体" w:hint="default"/>
          <w:spacing w:val="-2"/>
        </w:rPr>
        <w:t>31</w:t>
      </w:r>
      <w:r>
        <w:rPr>
          <w:spacing w:val="-2"/>
        </w:rPr>
        <w:t>个技术服务网点，同时依托北</w:t>
      </w:r>
      <w:r>
        <w:rPr>
          <w:spacing w:val="-64"/>
        </w:rPr>
        <w:t> </w:t>
      </w:r>
      <w:r>
        <w:rPr>
          <w:spacing w:val="-64"/>
        </w:rPr>
      </w:r>
      <w:r>
        <w:rPr>
          <w:spacing w:val="-2"/>
        </w:rPr>
        <w:t>京总部成立了服务支持中心和备件库，形成了行业领先的网络覆盖。广泛分布的营销服务网络使公司有能力向全国性的大中</w:t>
      </w:r>
      <w:r>
        <w:rPr>
          <w:spacing w:val="-64"/>
        </w:rPr>
        <w:t> </w:t>
      </w:r>
      <w:r>
        <w:rPr>
          <w:spacing w:val="-64"/>
        </w:rPr>
      </w:r>
      <w:r>
        <w:rPr>
          <w:spacing w:val="-2"/>
        </w:rPr>
        <w:t>型商业银行及各地区的本地金融机构提供及时的</w:t>
      </w:r>
      <w:r>
        <w:rPr>
          <w:rFonts w:ascii="宋体" w:hAnsi="宋体" w:cs="宋体" w:eastAsia="宋体" w:hint="default"/>
          <w:spacing w:val="-2"/>
        </w:rPr>
        <w:t>IT</w:t>
      </w:r>
      <w:r>
        <w:rPr>
          <w:spacing w:val="-2"/>
        </w:rPr>
        <w:t>服务，同时也使公司具备了对大范围、多网点、多层次服务网络的管理经</w:t>
      </w:r>
      <w:r>
        <w:rPr>
          <w:spacing w:val="-64"/>
        </w:rPr>
        <w:t> </w:t>
      </w:r>
      <w:r>
        <w:rPr>
          <w:spacing w:val="-64"/>
        </w:rPr>
      </w:r>
      <w:r>
        <w:rPr/>
        <w:t>验。</w:t>
      </w:r>
    </w:p>
    <w:p>
      <w:pPr>
        <w:spacing w:after="0" w:line="316" w:lineRule="auto"/>
        <w:jc w:val="both"/>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946" w:right="0"/>
        <w:jc w:val="left"/>
        <w:rPr>
          <w:b w:val="0"/>
          <w:bCs w:val="0"/>
        </w:rPr>
      </w:pPr>
      <w:bookmarkStart w:name="第四节 经营情况讨论与分析" w:id="22"/>
      <w:bookmarkEnd w:id="22"/>
      <w:r>
        <w:rPr>
          <w:b w:val="0"/>
          <w:bCs w:val="0"/>
        </w:rPr>
      </w:r>
      <w:bookmarkStart w:name="_bookmark3"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left="1133" w:right="0"/>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1130" w:firstLine="360"/>
        <w:jc w:val="both"/>
      </w:pPr>
      <w:r>
        <w:rPr/>
        <w:t>报告期内，公司实现营业收入</w:t>
      </w:r>
      <w:r>
        <w:rPr>
          <w:rFonts w:ascii="宋体" w:hAnsi="宋体" w:cs="宋体" w:eastAsia="宋体" w:hint="default"/>
        </w:rPr>
        <w:t>101,176.28</w:t>
      </w:r>
      <w:r>
        <w:rPr/>
        <w:t>万元，同比增长</w:t>
      </w:r>
      <w:r>
        <w:rPr>
          <w:rFonts w:ascii="宋体" w:hAnsi="宋体" w:cs="宋体" w:eastAsia="宋体" w:hint="default"/>
        </w:rPr>
        <w:t>3.18%</w:t>
      </w:r>
      <w:r>
        <w:rPr/>
        <w:t>。从收入构成看，来自国有大型商业银行的收入明显下 </w:t>
      </w:r>
      <w:r>
        <w:rPr>
          <w:spacing w:val="-2"/>
        </w:rPr>
        <w:t>降，来自非银行金融机构及非金融机构客户的收入有较大幅度增长，来自区域性银行的收入小幅增长。</w:t>
      </w:r>
      <w:r>
        <w:rPr>
          <w:rFonts w:ascii="宋体" w:hAnsi="宋体" w:cs="宋体" w:eastAsia="宋体" w:hint="default"/>
          <w:spacing w:val="-2"/>
        </w:rPr>
        <w:t>2016</w:t>
      </w:r>
      <w:r>
        <w:rPr>
          <w:spacing w:val="-2"/>
        </w:rPr>
        <w:t>年以来，为缓解</w:t>
      </w:r>
      <w:r>
        <w:rPr>
          <w:spacing w:val="-61"/>
        </w:rPr>
        <w:t> </w:t>
      </w:r>
      <w:r>
        <w:rPr>
          <w:spacing w:val="-61"/>
        </w:rPr>
      </w:r>
      <w:r>
        <w:rPr/>
        <w:t>传统大客户</w:t>
      </w:r>
      <w:r>
        <w:rPr>
          <w:rFonts w:ascii="宋体" w:hAnsi="宋体" w:cs="宋体" w:eastAsia="宋体" w:hint="default"/>
        </w:rPr>
        <w:t>IT</w:t>
      </w:r>
      <w:r>
        <w:rPr/>
        <w:t>采购总体需求降低的局面，公司加大了区域银行及非传统客户的营销力度，取得了一定的成果。</w:t>
      </w:r>
    </w:p>
    <w:p>
      <w:pPr>
        <w:pStyle w:val="BodyText"/>
        <w:spacing w:line="316" w:lineRule="auto" w:before="19"/>
        <w:ind w:right="1032" w:firstLine="360"/>
        <w:jc w:val="left"/>
      </w:pPr>
      <w:r>
        <w:rPr>
          <w:spacing w:val="-3"/>
        </w:rPr>
        <w:t>报告期内，公司实现净利润</w:t>
      </w:r>
      <w:r>
        <w:rPr>
          <w:rFonts w:ascii="宋体" w:hAnsi="宋体" w:cs="宋体" w:eastAsia="宋体" w:hint="default"/>
          <w:spacing w:val="-3"/>
        </w:rPr>
        <w:t>4,293.01</w:t>
      </w:r>
      <w:r>
        <w:rPr>
          <w:spacing w:val="-3"/>
        </w:rPr>
        <w:t>万元，同比下降</w:t>
      </w:r>
      <w:r>
        <w:rPr>
          <w:rFonts w:ascii="宋体" w:hAnsi="宋体" w:cs="宋体" w:eastAsia="宋体" w:hint="default"/>
          <w:spacing w:val="-3"/>
        </w:rPr>
        <w:t>27.86%</w:t>
      </w:r>
      <w:r>
        <w:rPr>
          <w:spacing w:val="-3"/>
        </w:rPr>
        <w:t>，公司净利润下降由毛利率下降及费用增长两方面因素造成。</w:t>
      </w:r>
      <w:r>
        <w:rPr/>
        <w:t> </w:t>
      </w:r>
      <w:r>
        <w:rPr>
          <w:spacing w:val="-2"/>
        </w:rPr>
        <w:t>报告期内，公司</w:t>
      </w:r>
      <w:r>
        <w:rPr>
          <w:rFonts w:ascii="宋体" w:hAnsi="宋体" w:cs="宋体" w:eastAsia="宋体" w:hint="default"/>
          <w:spacing w:val="-2"/>
        </w:rPr>
        <w:t>IT</w:t>
      </w:r>
      <w:r>
        <w:rPr>
          <w:spacing w:val="-2"/>
        </w:rPr>
        <w:t>基础设施业务毛利率下降较为明显，造成公司综合毛利率小幅下降。按客户划分，公司来自非传统客户收</w:t>
      </w:r>
      <w:r>
        <w:rPr>
          <w:spacing w:val="-64"/>
        </w:rPr>
        <w:t> </w:t>
      </w:r>
      <w:r>
        <w:rPr>
          <w:spacing w:val="-64"/>
        </w:rPr>
      </w:r>
      <w:r>
        <w:rPr/>
        <w:t>入的毛利率下降较为明显，公司在拓展该类客户市场过程中面临更为激烈的竞争。</w:t>
      </w:r>
    </w:p>
    <w:p>
      <w:pPr>
        <w:pStyle w:val="BodyText"/>
        <w:spacing w:line="316" w:lineRule="auto" w:before="19"/>
        <w:ind w:right="1132" w:firstLine="360"/>
        <w:jc w:val="both"/>
      </w:pPr>
      <w:r>
        <w:rPr>
          <w:spacing w:val="-2"/>
        </w:rPr>
        <w:t>报告期内，公司销售费用增长较为明显。为应对公司传统大客户</w:t>
      </w:r>
      <w:r>
        <w:rPr>
          <w:rFonts w:ascii="宋体" w:hAnsi="宋体" w:cs="宋体" w:eastAsia="宋体" w:hint="default"/>
          <w:spacing w:val="-2"/>
        </w:rPr>
        <w:t>IT</w:t>
      </w:r>
      <w:r>
        <w:rPr>
          <w:spacing w:val="-2"/>
        </w:rPr>
        <w:t>采购规模降低，公司着力拓展非银行金融机构及非金</w:t>
      </w:r>
      <w:r>
        <w:rPr/>
        <w:t> </w:t>
      </w:r>
      <w:r>
        <w:rPr>
          <w:spacing w:val="4"/>
        </w:rPr>
        <w:t>融机构客户，该类客户对公司产品与解决方案了解程度低，需要更多的售前技术交流及针对客户具体应用的验证性测试</w:t>
      </w:r>
    </w:p>
    <w:p>
      <w:pPr>
        <w:pStyle w:val="BodyText"/>
        <w:spacing w:line="316" w:lineRule="auto" w:before="19"/>
        <w:ind w:right="0"/>
        <w:jc w:val="left"/>
      </w:pPr>
      <w:r>
        <w:rPr>
          <w:spacing w:val="-5"/>
        </w:rPr>
        <w:t>（</w:t>
      </w:r>
      <w:r>
        <w:rPr>
          <w:rFonts w:ascii="宋体" w:hAnsi="宋体" w:cs="宋体" w:eastAsia="宋体" w:hint="default"/>
          <w:spacing w:val="-5"/>
        </w:rPr>
        <w:t>POC</w:t>
      </w:r>
      <w:r>
        <w:rPr>
          <w:spacing w:val="-5"/>
        </w:rPr>
        <w:t>），使得公司报告期内售前技术支持投入增加较多。中小客户较为分散，订单规模普遍较小，销售资源的投入相对较高。</w:t>
      </w:r>
      <w:r>
        <w:rPr>
          <w:spacing w:val="-71"/>
        </w:rPr>
        <w:t> </w:t>
      </w:r>
      <w:r>
        <w:rPr>
          <w:spacing w:val="-71"/>
        </w:rPr>
      </w:r>
      <w:r>
        <w:rPr>
          <w:spacing w:val="-2"/>
        </w:rPr>
        <w:t>另外，公司在后期增加了针对新产品及解决方案的市场营销活动，也带来了销售费用的增长。公司认为，销售费用增加对公</w:t>
      </w:r>
      <w:r>
        <w:rPr>
          <w:spacing w:val="-66"/>
        </w:rPr>
        <w:t> </w:t>
      </w:r>
      <w:r>
        <w:rPr>
          <w:spacing w:val="-66"/>
        </w:rPr>
      </w:r>
      <w:r>
        <w:rPr/>
        <w:t>司短期业绩造成压力，客户结构多元化有利于公司长期业务发展。</w:t>
      </w:r>
    </w:p>
    <w:p>
      <w:pPr>
        <w:pStyle w:val="BodyText"/>
        <w:spacing w:line="316" w:lineRule="auto" w:before="19"/>
        <w:ind w:right="1131" w:firstLine="360"/>
        <w:jc w:val="both"/>
      </w:pPr>
      <w:r>
        <w:rPr>
          <w:spacing w:val="-2"/>
        </w:rPr>
        <w:t>报告期内，为实现募投项目的预定投资计划，公司加大了研发投入，导致公司研发费用增长。期间公司管理费用增长主</w:t>
      </w:r>
      <w:r>
        <w:rPr/>
        <w:t> 要来自研发费用增长，扣除研发费用外的其他公司管理费用则有所降低。</w:t>
      </w:r>
    </w:p>
    <w:p>
      <w:pPr>
        <w:pStyle w:val="BodyText"/>
        <w:spacing w:line="316" w:lineRule="auto" w:before="19"/>
        <w:ind w:left="1133" w:right="0" w:firstLine="360"/>
        <w:jc w:val="left"/>
      </w:pPr>
      <w:r>
        <w:rPr>
          <w:spacing w:val="-2"/>
        </w:rPr>
        <w:t>报告期内，公司经营工作的重点是推进募投项目的顺利实施及客户化应用，并在基于分布式架构的金融交易云平台及应</w:t>
      </w:r>
      <w:r>
        <w:rPr/>
        <w:t> </w:t>
      </w:r>
      <w:r>
        <w:rPr>
          <w:spacing w:val="-2"/>
        </w:rPr>
        <w:t>用、大数据平台及基于大数据平台的数据应用、基于</w:t>
      </w:r>
      <w:r>
        <w:rPr>
          <w:rFonts w:ascii="宋体" w:hAnsi="宋体" w:cs="宋体" w:eastAsia="宋体" w:hint="default"/>
          <w:spacing w:val="-2"/>
        </w:rPr>
        <w:t>SDN</w:t>
      </w:r>
      <w:r>
        <w:rPr>
          <w:spacing w:val="-2"/>
        </w:rPr>
        <w:t>（软件定义网络）全生命周期网络自动化运维平台系统等三个领域，</w:t>
      </w:r>
      <w:r>
        <w:rPr>
          <w:spacing w:val="-62"/>
        </w:rPr>
        <w:t> </w:t>
      </w:r>
      <w:r>
        <w:rPr>
          <w:spacing w:val="-62"/>
        </w:rPr>
      </w:r>
      <w:r>
        <w:rPr/>
        <w:t>取得了明显进展。</w:t>
      </w:r>
    </w:p>
    <w:p>
      <w:pPr>
        <w:pStyle w:val="BodyText"/>
        <w:spacing w:line="316" w:lineRule="auto" w:before="19"/>
        <w:ind w:right="1131" w:firstLine="360"/>
        <w:jc w:val="both"/>
      </w:pPr>
      <w:r>
        <w:rPr>
          <w:spacing w:val="-1"/>
        </w:rPr>
        <w:t>报告期内，金融交易业务云平台系统</w:t>
      </w:r>
      <w:r>
        <w:rPr>
          <w:rFonts w:ascii="宋体" w:hAnsi="宋体" w:cs="宋体" w:eastAsia="宋体" w:hint="default"/>
          <w:spacing w:val="-1"/>
        </w:rPr>
        <w:t>Staring</w:t>
      </w:r>
      <w:r>
        <w:rPr>
          <w:rFonts w:ascii="宋体" w:hAnsi="宋体" w:cs="宋体" w:eastAsia="宋体" w:hint="default"/>
          <w:spacing w:val="-33"/>
        </w:rPr>
        <w:t> </w:t>
      </w:r>
      <w:r>
        <w:rPr>
          <w:rFonts w:ascii="宋体" w:hAnsi="宋体" w:cs="宋体" w:eastAsia="宋体" w:hint="default"/>
          <w:spacing w:val="-1"/>
        </w:rPr>
        <w:t>V6</w:t>
      </w:r>
      <w:r>
        <w:rPr>
          <w:spacing w:val="-1"/>
        </w:rPr>
        <w:t>正式发布，并在某大型银行类金融机构成功投产，在行业内产生了较大</w:t>
      </w:r>
      <w:r>
        <w:rPr/>
        <w:t> 影响，截止报告期末，该产品已在多个客户应用项目中推广使用。</w:t>
      </w:r>
    </w:p>
    <w:p>
      <w:pPr>
        <w:pStyle w:val="BodyText"/>
        <w:spacing w:line="316" w:lineRule="auto" w:before="19"/>
        <w:ind w:right="1130" w:firstLine="360"/>
        <w:jc w:val="both"/>
      </w:pPr>
      <w:r>
        <w:rPr>
          <w:spacing w:val="-2"/>
        </w:rPr>
        <w:t>截止报告期末，大数据平台及系列应用产品研发工作已接近尾声，平台涵盖数据采集、数据检核、元数据管理、数据模</w:t>
      </w:r>
      <w:r>
        <w:rPr/>
        <w:t> </w:t>
      </w:r>
      <w:r>
        <w:rPr>
          <w:spacing w:val="-2"/>
        </w:rPr>
        <w:t>型、数据作业自动化、作业调度、数据服务、数据展现等端到端数据服务全流程，对公司巩固在大数据领域的市场地位，将</w:t>
      </w:r>
      <w:r>
        <w:rPr>
          <w:spacing w:val="-67"/>
        </w:rPr>
        <w:t> </w:t>
      </w:r>
      <w:r>
        <w:rPr>
          <w:spacing w:val="-67"/>
        </w:rPr>
      </w:r>
      <w:r>
        <w:rPr>
          <w:spacing w:val="-2"/>
        </w:rPr>
        <w:t>起到决定性作用。报告期内，公司大数据平台及应用在多个客户项目中成功使用，同时公司基于大数据平台的反欺诈系统及</w:t>
      </w:r>
      <w:r>
        <w:rPr>
          <w:spacing w:val="-65"/>
        </w:rPr>
        <w:t> </w:t>
      </w:r>
      <w:r>
        <w:rPr>
          <w:spacing w:val="-65"/>
        </w:rPr>
      </w:r>
      <w:r>
        <w:rPr/>
        <w:t>商业银行指标管理系统也已发布，并开始客户试点工作。</w:t>
      </w:r>
    </w:p>
    <w:p>
      <w:pPr>
        <w:pStyle w:val="BodyText"/>
        <w:spacing w:line="316" w:lineRule="auto" w:before="19"/>
        <w:ind w:left="1133" w:right="1130" w:firstLine="360"/>
        <w:jc w:val="both"/>
      </w:pPr>
      <w:r>
        <w:rPr/>
        <w:t>报告期内，公司网络系统全生命周期自动化运维产品</w:t>
      </w:r>
      <w:r>
        <w:rPr>
          <w:spacing w:val="-16"/>
        </w:rPr>
        <w:t> </w:t>
      </w:r>
      <w:r>
        <w:rPr>
          <w:rFonts w:ascii="宋体" w:hAnsi="宋体" w:cs="宋体" w:eastAsia="宋体" w:hint="default"/>
        </w:rPr>
        <w:t>ANOS</w:t>
      </w:r>
      <w:r>
        <w:rPr>
          <w:rFonts w:ascii="宋体" w:hAnsi="宋体" w:cs="宋体" w:eastAsia="宋体" w:hint="default"/>
          <w:spacing w:val="-53"/>
        </w:rPr>
        <w:t> </w:t>
      </w:r>
      <w:r>
        <w:rPr>
          <w:rFonts w:ascii="宋体" w:hAnsi="宋体" w:cs="宋体" w:eastAsia="宋体" w:hint="default"/>
        </w:rPr>
        <w:t>1.0</w:t>
      </w:r>
      <w:r>
        <w:rPr>
          <w:rFonts w:ascii="宋体" w:hAnsi="宋体" w:cs="宋体" w:eastAsia="宋体" w:hint="default"/>
          <w:spacing w:val="-16"/>
        </w:rPr>
        <w:t> </w:t>
      </w:r>
      <w:r>
        <w:rPr/>
        <w:t>成功发布，该产品是公司</w:t>
      </w:r>
      <w:r>
        <w:rPr>
          <w:rFonts w:ascii="宋体" w:hAnsi="宋体" w:cs="宋体" w:eastAsia="宋体" w:hint="default"/>
        </w:rPr>
        <w:t>IT</w:t>
      </w:r>
      <w:r>
        <w:rPr/>
        <w:t>运维服务的核心产品，对降 </w:t>
      </w:r>
      <w:r>
        <w:rPr>
          <w:spacing w:val="-2"/>
        </w:rPr>
        <w:t>低数据中心的运行风险、提升各类网络资源使用的灵活性等起着重要的作用，该产品也已在某全国性股份制商业银行投入使</w:t>
      </w:r>
      <w:r>
        <w:rPr>
          <w:spacing w:val="-64"/>
        </w:rPr>
        <w:t> </w:t>
      </w:r>
      <w:r>
        <w:rPr>
          <w:spacing w:val="-64"/>
        </w:rPr>
      </w:r>
      <w:r>
        <w:rPr/>
        <w:t>用。</w:t>
      </w:r>
    </w:p>
    <w:p>
      <w:pPr>
        <w:pStyle w:val="BodyText"/>
        <w:spacing w:line="316" w:lineRule="auto" w:before="19"/>
        <w:ind w:right="1131" w:firstLine="360"/>
        <w:jc w:val="both"/>
      </w:pPr>
      <w:r>
        <w:rPr>
          <w:spacing w:val="-2"/>
        </w:rPr>
        <w:t>公司管理层面，公司重点调整了软件业务体系，形成三个产品与解决方案中心及多个地区性业务中心的两维结构，形成</w:t>
      </w:r>
      <w:r>
        <w:rPr/>
        <w:t> </w:t>
      </w:r>
      <w:r>
        <w:rPr>
          <w:spacing w:val="-2"/>
        </w:rPr>
        <w:t>产品解决方案研发与区域服务双轮驱动业务模式，经过一年的磨合，已趋于成熟，为公司软件业务长期发展奠定了良好的基</w:t>
      </w:r>
      <w:r>
        <w:rPr>
          <w:spacing w:val="-65"/>
        </w:rPr>
        <w:t> </w:t>
      </w:r>
      <w:r>
        <w:rPr>
          <w:spacing w:val="-65"/>
        </w:rPr>
      </w:r>
      <w:r>
        <w:rPr/>
        <w:t>础。</w:t>
      </w:r>
    </w:p>
    <w:p>
      <w:pPr>
        <w:pStyle w:val="BodyText"/>
        <w:spacing w:line="316" w:lineRule="auto" w:before="19"/>
        <w:ind w:left="1133" w:right="1131" w:firstLine="360"/>
        <w:jc w:val="both"/>
      </w:pPr>
      <w:r>
        <w:rPr>
          <w:spacing w:val="-2"/>
        </w:rPr>
        <w:t>销售与营销层面，面对公司传统客户</w:t>
      </w:r>
      <w:r>
        <w:rPr>
          <w:rFonts w:ascii="宋体" w:hAnsi="宋体" w:cs="宋体" w:eastAsia="宋体" w:hint="default"/>
          <w:spacing w:val="-2"/>
        </w:rPr>
        <w:t>IT</w:t>
      </w:r>
      <w:r>
        <w:rPr>
          <w:spacing w:val="-2"/>
        </w:rPr>
        <w:t>基础设施项目延期、投资规模下降、市场竞争激烈、毛利率降低等情况，公司积</w:t>
      </w:r>
      <w:r>
        <w:rPr/>
        <w:t> </w:t>
      </w:r>
      <w:r>
        <w:rPr>
          <w:spacing w:val="-2"/>
        </w:rPr>
        <w:t>极应对，加强市场营销，举办了多次较大规模的针对性营销活动，增进非传统客户对公司产品及解决方案的了解，开拓新市</w:t>
      </w:r>
      <w:r>
        <w:rPr>
          <w:spacing w:val="-66"/>
        </w:rPr>
        <w:t> </w:t>
      </w:r>
      <w:r>
        <w:rPr>
          <w:spacing w:val="-66"/>
        </w:rPr>
      </w:r>
      <w:r>
        <w:rPr/>
        <w:t>场，特别是非金融市场，取得了明显进展。</w:t>
      </w:r>
    </w:p>
    <w:p>
      <w:pPr>
        <w:spacing w:line="240" w:lineRule="auto" w:before="10"/>
        <w:rPr>
          <w:rFonts w:ascii="宋体" w:hAnsi="宋体" w:cs="宋体" w:eastAsia="宋体" w:hint="default"/>
          <w:sz w:val="20"/>
          <w:szCs w:val="20"/>
        </w:rPr>
      </w:pPr>
    </w:p>
    <w:p>
      <w:pPr>
        <w:pStyle w:val="Heading3"/>
        <w:spacing w:line="240" w:lineRule="auto"/>
        <w:ind w:left="1133"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3" w:right="0"/>
        <w:jc w:val="left"/>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参见“经营情况讨论与分析”中的“一、概述”相关内容。</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5"/>
        <w:spacing w:line="240" w:lineRule="auto" w:before="35"/>
        <w:ind w:right="0"/>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6972"/>
        <w:jc w:val="left"/>
      </w:pPr>
      <w:r>
        <w:rPr/>
        <w:t>公司是否需要遵守光伏产业链相关业的披露要求 否</w:t>
      </w:r>
    </w:p>
    <w:p>
      <w:pPr>
        <w:pStyle w:val="BodyText"/>
        <w:spacing w:line="338" w:lineRule="auto" w:before="29"/>
        <w:ind w:left="1133" w:right="1394"/>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2"/>
        <w:ind w:left="1133" w:right="1574"/>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38" w:lineRule="auto" w:before="40"/>
        <w:ind w:left="1133" w:right="1136"/>
        <w:jc w:val="left"/>
      </w:pPr>
      <w:r>
        <w:rPr/>
        <w:t>公司是否需遵守《深圳证券交易所创业板行业信息披露指引第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38" w:lineRule="auto" w:before="43"/>
        <w:ind w:left="1133" w:right="1664"/>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240" w:lineRule="auto" w:before="42"/>
        <w:ind w:right="0"/>
        <w:jc w:val="left"/>
      </w:pPr>
      <w:r>
        <w:rPr/>
        <w:t>营业收入整体情况</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0"/>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1,011,762,811.34</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980,588,378.49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3.18%</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16"/>
                <w:szCs w:val="16"/>
              </w:rPr>
            </w:pPr>
            <w:r>
              <w:rPr>
                <w:rFonts w:ascii="宋体" w:hAnsi="宋体" w:cs="宋体" w:eastAsia="宋体" w:hint="default"/>
                <w:sz w:val="16"/>
                <w:szCs w:val="16"/>
              </w:rPr>
              <w:t>国有大型商业银行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441,236,806.62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43.61%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519,646,962.44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-15.09%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16"/>
                <w:szCs w:val="16"/>
              </w:rPr>
            </w:pPr>
            <w:r>
              <w:rPr>
                <w:rFonts w:ascii="宋体" w:hAnsi="宋体" w:cs="宋体" w:eastAsia="宋体" w:hint="default"/>
                <w:sz w:val="16"/>
                <w:szCs w:val="16"/>
              </w:rPr>
              <w:t>区域性银行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184,264,716.48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18.21%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174,939,408.66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5.33%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16"/>
                <w:szCs w:val="16"/>
              </w:rPr>
            </w:pPr>
            <w:r>
              <w:rPr>
                <w:rFonts w:ascii="宋体" w:hAnsi="宋体" w:cs="宋体" w:eastAsia="宋体" w:hint="default"/>
                <w:sz w:val="16"/>
                <w:szCs w:val="16"/>
              </w:rPr>
              <w:t>非银行业金融机构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58,051,877.35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40,628,907.98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42.88%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3"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328,209,410.89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32.44%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245,373,099.41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33.76%</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基础设施建设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659,673,370.48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65.20%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626,777,150.09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63.92%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5.25%</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软件解决方案及 专业服务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228,219,862.45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22.56%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212,580,442.41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7.36%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运行维护服务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123,869,578.41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141,230,785.99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-12.29%</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52,543,416.71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39,151,713.54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34.20%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500,019,907.00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49.42%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477,361,078.44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24,530,643.64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24,375,129.53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0.64%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166,032,367.79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204,229,917.88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-18.70%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53,793,566.07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51,007,323.78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5.46%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103,988,245.87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68,018,966.33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52.88%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110,854,664.26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116,444,248.99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-4.80%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5"/>
        <w:spacing w:line="240" w:lineRule="auto" w:before="35"/>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0" w:right="0"/>
        </w:sectPr>
      </w:pPr>
    </w:p>
    <w:p>
      <w:pPr>
        <w:pStyle w:val="BodyText"/>
        <w:spacing w:line="360" w:lineRule="auto" w:before="44"/>
        <w:ind w:right="-20"/>
        <w:jc w:val="left"/>
      </w:pPr>
      <w:r>
        <w:rPr/>
        <w:t>√ 适用 □ 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113" w:right="1112"/>
        <w:jc w:val="center"/>
      </w:pPr>
      <w:r>
        <w:rPr/>
        <w:t>单位：元</w:t>
      </w:r>
    </w:p>
    <w:p>
      <w:pPr>
        <w:spacing w:after="0" w:line="240" w:lineRule="auto"/>
        <w:jc w:val="center"/>
        <w:sectPr>
          <w:type w:val="continuous"/>
          <w:pgSz w:w="11910" w:h="16840"/>
          <w:pgMar w:top="1100" w:bottom="1200" w:left="0" w:right="0"/>
          <w:cols w:num="2" w:equalWidth="0">
            <w:col w:w="4195" w:space="4725"/>
            <w:col w:w="299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137"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137" w:hanging="91"/>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20" w:right="139"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2"/>
              <w:jc w:val="left"/>
              <w:rPr>
                <w:rFonts w:ascii="宋体" w:hAnsi="宋体" w:cs="宋体" w:eastAsia="宋体" w:hint="default"/>
                <w:sz w:val="18"/>
                <w:szCs w:val="18"/>
              </w:rPr>
            </w:pPr>
            <w:r>
              <w:rPr>
                <w:rFonts w:ascii="宋体" w:hAnsi="宋体" w:cs="宋体" w:eastAsia="宋体" w:hint="default"/>
                <w:sz w:val="18"/>
                <w:szCs w:val="18"/>
              </w:rPr>
              <w:t>国有大型商业 银行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441,236,806.62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360,294,347.67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-14.57%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区域性银行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184,264,716.48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117,445,386.92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36.26%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4.89%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0.26%</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328,209,410.89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298,834,353.59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33.76%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36.71%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-1.97%</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基础设施建</w:t>
            </w:r>
            <w:r>
              <w:rPr>
                <w:rFonts w:ascii="宋体" w:hAnsi="宋体" w:cs="宋体" w:eastAsia="宋体" w:hint="default"/>
                <w:w w:val="99"/>
                <w:sz w:val="18"/>
                <w:szCs w:val="18"/>
              </w:rPr>
              <w:t> </w:t>
            </w:r>
            <w:r>
              <w:rPr>
                <w:rFonts w:ascii="宋体" w:hAnsi="宋体" w:cs="宋体" w:eastAsia="宋体" w:hint="default"/>
                <w:sz w:val="18"/>
                <w:szCs w:val="18"/>
              </w:rPr>
              <w:t>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659,673,370.48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596,995,040.70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7.25%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2"/>
              <w:jc w:val="left"/>
              <w:rPr>
                <w:rFonts w:ascii="宋体" w:hAnsi="宋体" w:cs="宋体" w:eastAsia="宋体" w:hint="default"/>
                <w:sz w:val="18"/>
                <w:szCs w:val="18"/>
              </w:rPr>
            </w:pPr>
            <w:r>
              <w:rPr>
                <w:rFonts w:ascii="宋体" w:hAnsi="宋体" w:cs="宋体" w:eastAsia="宋体" w:hint="default"/>
                <w:sz w:val="18"/>
                <w:szCs w:val="18"/>
              </w:rPr>
              <w:t>软件解决方案 及专业服务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228,219,862.45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133,728,899.39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0.70%</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运行维护服</w:t>
            </w:r>
            <w:r>
              <w:rPr>
                <w:rFonts w:ascii="宋体" w:hAnsi="宋体" w:cs="宋体" w:eastAsia="宋体" w:hint="default"/>
                <w:w w:val="99"/>
                <w:sz w:val="18"/>
                <w:szCs w:val="18"/>
              </w:rPr>
              <w:t> </w:t>
            </w:r>
            <w:r>
              <w:rPr>
                <w:rFonts w:ascii="宋体" w:hAnsi="宋体" w:cs="宋体" w:eastAsia="宋体" w:hint="default"/>
                <w:sz w:val="18"/>
                <w:szCs w:val="18"/>
              </w:rPr>
              <w:t>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123,869,578.41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94,252,986.04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-1.86%</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500,019,907.00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440,521,068.81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2"/>
                <w:sz w:val="18"/>
              </w:rPr>
              <w:t>11.90%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8.65%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-3.17%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166,032,367.79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130,172,722.29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-18.70%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2"/>
                <w:sz w:val="18"/>
              </w:rPr>
              <w:t>-20.11%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1.38%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center"/>
              <w:rPr>
                <w:rFonts w:ascii="Times New Roman" w:hAnsi="Times New Roman" w:cs="Times New Roman" w:eastAsia="Times New Roman" w:hint="default"/>
                <w:sz w:val="18"/>
                <w:szCs w:val="18"/>
              </w:rPr>
            </w:pPr>
            <w:r>
              <w:rPr>
                <w:rFonts w:ascii="Times New Roman"/>
                <w:sz w:val="18"/>
              </w:rPr>
              <w:t>103,988,245.87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73,081,146.05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29.72%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72.68%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-8.06%</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 w:right="0"/>
              <w:jc w:val="center"/>
              <w:rPr>
                <w:rFonts w:ascii="Times New Roman" w:hAnsi="Times New Roman" w:cs="Times New Roman" w:eastAsia="Times New Roman" w:hint="default"/>
                <w:sz w:val="18"/>
                <w:szCs w:val="18"/>
              </w:rPr>
            </w:pPr>
            <w:r>
              <w:rPr>
                <w:rFonts w:ascii="Times New Roman"/>
                <w:sz w:val="18"/>
              </w:rPr>
              <w:t>110,854,664.26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82,317,725.77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25.74%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2"/>
                <w:sz w:val="18"/>
              </w:rPr>
              <w:t>-11.16%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5.32%</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2"/>
        <w:ind w:left="1133" w:right="0"/>
        <w:jc w:val="left"/>
      </w:pPr>
      <w:r>
        <w:rPr/>
        <w:t>□ 适用 √ 不适用</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是 √ 否</w:t>
      </w:r>
    </w:p>
    <w:p>
      <w:pPr>
        <w:spacing w:line="240" w:lineRule="auto" w:before="11"/>
        <w:rPr>
          <w:rFonts w:ascii="宋体" w:hAnsi="宋体" w:cs="宋体" w:eastAsia="宋体" w:hint="default"/>
          <w:sz w:val="26"/>
          <w:szCs w:val="26"/>
        </w:rPr>
      </w:pPr>
    </w:p>
    <w:p>
      <w:pPr>
        <w:pStyle w:val="Heading5"/>
        <w:spacing w:line="240" w:lineRule="auto"/>
        <w:ind w:left="1133"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行业和产品分类</w:t>
      </w:r>
    </w:p>
    <w:p>
      <w:pPr>
        <w:spacing w:after="0" w:line="240" w:lineRule="auto"/>
        <w:jc w:val="left"/>
        <w:sectPr>
          <w:type w:val="continuous"/>
          <w:pgSz w:w="11910" w:h="16840"/>
          <w:pgMar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137" w:hanging="450"/>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138" w:hanging="451"/>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4"/>
              <w:jc w:val="left"/>
              <w:rPr>
                <w:rFonts w:ascii="宋体" w:hAnsi="宋体" w:cs="宋体" w:eastAsia="宋体" w:hint="default"/>
                <w:sz w:val="18"/>
                <w:szCs w:val="18"/>
              </w:rPr>
            </w:pPr>
            <w:r>
              <w:rPr>
                <w:rFonts w:ascii="宋体" w:hAnsi="宋体" w:cs="宋体" w:eastAsia="宋体" w:hint="default"/>
                <w:sz w:val="18"/>
                <w:szCs w:val="18"/>
              </w:rPr>
              <w:t>国有大型商业 银行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210,696,608.80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99" w:right="0"/>
              <w:jc w:val="left"/>
              <w:rPr>
                <w:rFonts w:ascii="Times New Roman" w:hAnsi="Times New Roman" w:cs="Times New Roman" w:eastAsia="Times New Roman" w:hint="default"/>
                <w:sz w:val="18"/>
                <w:szCs w:val="18"/>
              </w:rPr>
            </w:pPr>
            <w:r>
              <w:rPr>
                <w:rFonts w:ascii="Times New Roman"/>
                <w:sz w:val="18"/>
              </w:rPr>
              <w:t>25.54%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271,649,943.72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34.49%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9" w:right="0"/>
              <w:jc w:val="left"/>
              <w:rPr>
                <w:rFonts w:ascii="Times New Roman" w:hAnsi="Times New Roman" w:cs="Times New Roman" w:eastAsia="Times New Roman" w:hint="default"/>
                <w:sz w:val="18"/>
                <w:szCs w:val="18"/>
              </w:rPr>
            </w:pPr>
            <w:r>
              <w:rPr>
                <w:rFonts w:ascii="Times New Roman"/>
                <w:sz w:val="18"/>
              </w:rPr>
              <w:t>-22.44%</w:t>
            </w:r>
          </w:p>
        </w:tc>
      </w:tr>
    </w:tbl>
    <w:p>
      <w:pPr>
        <w:pStyle w:val="BodyText"/>
        <w:spacing w:line="240" w:lineRule="auto" w:before="51"/>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3"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137" w:hanging="450"/>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138" w:hanging="451"/>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41"/>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基础设施建</w:t>
            </w:r>
            <w:r>
              <w:rPr>
                <w:rFonts w:ascii="宋体" w:hAnsi="宋体" w:cs="宋体" w:eastAsia="宋体" w:hint="default"/>
                <w:w w:val="99"/>
                <w:sz w:val="18"/>
                <w:szCs w:val="18"/>
              </w:rPr>
              <w:t> </w:t>
            </w:r>
            <w:r>
              <w:rPr>
                <w:rFonts w:ascii="宋体" w:hAnsi="宋体" w:cs="宋体" w:eastAsia="宋体" w:hint="default"/>
                <w:sz w:val="18"/>
                <w:szCs w:val="18"/>
              </w:rPr>
              <w:t>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518,104,385.30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62.80%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541,338,237.10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68.74%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软件解决方案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直接工资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114,978,331.25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13.94%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105,336,587.88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13.38%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9.15%</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41"/>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运行维护服</w:t>
            </w:r>
            <w:r>
              <w:rPr>
                <w:rFonts w:ascii="宋体" w:hAnsi="宋体" w:cs="宋体" w:eastAsia="宋体" w:hint="default"/>
                <w:w w:val="99"/>
                <w:sz w:val="18"/>
                <w:szCs w:val="18"/>
              </w:rPr>
              <w:t> </w:t>
            </w:r>
            <w:r>
              <w:rPr>
                <w:rFonts w:ascii="宋体" w:hAnsi="宋体" w:cs="宋体" w:eastAsia="宋体" w:hint="default"/>
                <w:sz w:val="18"/>
                <w:szCs w:val="18"/>
              </w:rPr>
              <w:t>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66,226,837.66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80,355,414.95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-17.58%</w:t>
            </w:r>
          </w:p>
        </w:tc>
      </w:tr>
    </w:tbl>
    <w:p>
      <w:pPr>
        <w:pStyle w:val="BodyText"/>
        <w:spacing w:line="240" w:lineRule="auto" w:before="51"/>
        <w:ind w:right="0"/>
        <w:jc w:val="left"/>
      </w:pPr>
      <w:r>
        <w:rPr/>
        <w:t>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是 □ 否</w:t>
      </w:r>
    </w:p>
    <w:p>
      <w:pPr>
        <w:pStyle w:val="BodyText"/>
        <w:spacing w:line="316" w:lineRule="auto" w:before="115"/>
        <w:ind w:right="1130" w:firstLine="360"/>
        <w:jc w:val="both"/>
      </w:pPr>
      <w:r>
        <w:rPr>
          <w:spacing w:val="-2"/>
        </w:rPr>
        <w:t>公司第二届董事会</w:t>
      </w:r>
      <w:r>
        <w:rPr>
          <w:rFonts w:ascii="宋体" w:hAnsi="宋体" w:cs="宋体" w:eastAsia="宋体" w:hint="default"/>
          <w:spacing w:val="-2"/>
        </w:rPr>
        <w:t>2016</w:t>
      </w:r>
      <w:r>
        <w:rPr>
          <w:spacing w:val="-2"/>
        </w:rPr>
        <w:t>年第二次定期会议审议通过了《关于对外投资暨设立全资子公司广州先进数通的议案》，同意公</w:t>
      </w:r>
      <w:r>
        <w:rPr/>
        <w:t> 司在广州设立全资子公司广州先进数通，该子公司于</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25</w:t>
      </w:r>
      <w:r>
        <w:rPr/>
        <w:t>日办理完成工商登记注册，并领取了营业执照。广州先进</w:t>
      </w:r>
      <w:r>
        <w:rPr>
          <w:spacing w:val="-82"/>
        </w:rPr>
        <w:t> </w:t>
      </w:r>
      <w:r>
        <w:rPr>
          <w:spacing w:val="-82"/>
        </w:rPr>
      </w:r>
      <w:r>
        <w:rPr/>
        <w:t>数通注册资本人民币</w:t>
      </w:r>
      <w:r>
        <w:rPr>
          <w:rFonts w:ascii="宋体" w:hAnsi="宋体" w:cs="宋体" w:eastAsia="宋体" w:hint="default"/>
        </w:rPr>
        <w:t>1000</w:t>
      </w:r>
      <w:r>
        <w:rPr/>
        <w:t>万元，截止本期末完成出资，广州先进数通信息技术股份公司纳入本期合并范围。</w:t>
      </w:r>
    </w:p>
    <w:p>
      <w:pPr>
        <w:spacing w:line="240" w:lineRule="auto" w:before="7"/>
        <w:rPr>
          <w:rFonts w:ascii="宋体" w:hAnsi="宋体" w:cs="宋体" w:eastAsia="宋体" w:hint="default"/>
          <w:sz w:val="22"/>
          <w:szCs w:val="22"/>
        </w:rPr>
      </w:pPr>
    </w:p>
    <w:p>
      <w:pPr>
        <w:pStyle w:val="Heading5"/>
        <w:spacing w:line="240" w:lineRule="auto"/>
        <w:ind w:left="1133"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23"/>
        <w:gridCol w:w="4860"/>
      </w:tblGrid>
      <w:tr>
        <w:trPr>
          <w:trHeight w:val="402" w:hRule="exact"/>
        </w:trPr>
        <w:tc>
          <w:tcPr>
            <w:tcW w:w="4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396,796,637.14</w:t>
            </w:r>
          </w:p>
        </w:tc>
      </w:tr>
      <w:tr>
        <w:trPr>
          <w:trHeight w:val="402" w:hRule="exact"/>
        </w:trPr>
        <w:tc>
          <w:tcPr>
            <w:tcW w:w="4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39.22%</w:t>
            </w:r>
          </w:p>
        </w:tc>
      </w:tr>
      <w:tr>
        <w:trPr>
          <w:trHeight w:val="402" w:hRule="exact"/>
        </w:trPr>
        <w:tc>
          <w:tcPr>
            <w:tcW w:w="4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02"/>
        <w:gridCol w:w="3302"/>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151,221,363.04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14.95%</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100,282,745.51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62,666,087.31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6.19%</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802"/>
        <w:gridCol w:w="3302"/>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45,830,900.85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4.53%</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36,795,540.43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3.64%</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396,796,637.14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39.22%</w:t>
            </w:r>
          </w:p>
        </w:tc>
      </w:tr>
    </w:tbl>
    <w:p>
      <w:pPr>
        <w:pStyle w:val="BodyText"/>
        <w:spacing w:line="240" w:lineRule="auto" w:before="51"/>
        <w:ind w:right="0"/>
        <w:jc w:val="left"/>
      </w:pPr>
      <w:r>
        <w:rPr/>
        <w:t>主要客户其他情况说明</w:t>
      </w:r>
    </w:p>
    <w:p>
      <w:pPr>
        <w:pStyle w:val="BodyText"/>
        <w:spacing w:line="357" w:lineRule="auto" w:before="117"/>
        <w:ind w:right="9132"/>
        <w:jc w:val="left"/>
      </w:pPr>
      <w:r>
        <w:rPr/>
        <w:t>□ 适用 √ 不适用 公司主要供应商情况</w:t>
      </w: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502,561,427.87</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59.13%</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 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68"/>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177,119,114.96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20.84%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129,424,554.93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15.23%</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80,045,710.89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9.42%</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65,031,945.56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7.65%</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50,940,101.53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5.99%</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502,561,427.87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59.13%</w:t>
            </w:r>
          </w:p>
        </w:tc>
      </w:tr>
    </w:tbl>
    <w:p>
      <w:pPr>
        <w:pStyle w:val="BodyText"/>
        <w:spacing w:line="240" w:lineRule="auto" w:before="51"/>
        <w:ind w:right="0"/>
        <w:jc w:val="left"/>
      </w:pPr>
      <w:r>
        <w:rPr/>
        <w:t>主要供应商其他情况说明</w:t>
      </w:r>
    </w:p>
    <w:p>
      <w:pPr>
        <w:pStyle w:val="BodyText"/>
        <w:spacing w:line="240" w:lineRule="auto" w:before="117"/>
        <w:ind w:right="0"/>
        <w:jc w:val="left"/>
      </w:pPr>
      <w:r>
        <w:rPr/>
        <w:t>□ 适用 √ 不适用</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42,532,442.93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0" w:right="0"/>
              <w:jc w:val="left"/>
              <w:rPr>
                <w:rFonts w:ascii="Times New Roman" w:hAnsi="Times New Roman" w:cs="Times New Roman" w:eastAsia="Times New Roman" w:hint="default"/>
                <w:sz w:val="18"/>
                <w:szCs w:val="18"/>
              </w:rPr>
            </w:pPr>
            <w:r>
              <w:rPr>
                <w:rFonts w:ascii="Times New Roman"/>
                <w:sz w:val="18"/>
              </w:rPr>
              <w:t>35,058,840.38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21.32%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售前费用增加</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77,909,766.45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0" w:right="0"/>
              <w:jc w:val="left"/>
              <w:rPr>
                <w:rFonts w:ascii="Times New Roman" w:hAnsi="Times New Roman" w:cs="Times New Roman" w:eastAsia="Times New Roman" w:hint="default"/>
                <w:sz w:val="18"/>
                <w:szCs w:val="18"/>
              </w:rPr>
            </w:pPr>
            <w:r>
              <w:rPr>
                <w:rFonts w:ascii="Times New Roman"/>
                <w:sz w:val="18"/>
              </w:rPr>
              <w:t>76,070,224.94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7,950,251.87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0" w:right="0"/>
              <w:jc w:val="left"/>
              <w:rPr>
                <w:rFonts w:ascii="Times New Roman" w:hAnsi="Times New Roman" w:cs="Times New Roman" w:eastAsia="Times New Roman" w:hint="default"/>
                <w:sz w:val="18"/>
                <w:szCs w:val="18"/>
              </w:rPr>
            </w:pPr>
            <w:r>
              <w:rPr>
                <w:rFonts w:ascii="Times New Roman"/>
                <w:sz w:val="18"/>
              </w:rPr>
              <w:t>10,216,984.85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-22.19%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本期获得银行理财收益增加</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493" w:right="1118" w:hanging="360"/>
        <w:jc w:val="left"/>
      </w:pPr>
      <w:r>
        <w:rPr/>
        <w:t>√ 适用 □ 不适用 </w:t>
      </w:r>
      <w:r>
        <w:rPr>
          <w:spacing w:val="-2"/>
        </w:rPr>
        <w:t>报告期内，公司研发投入重点为公司首次公开发行股票并在创业板上市募集资金投资项目，募投项目目标参见公司招股</w:t>
      </w:r>
    </w:p>
    <w:p>
      <w:pPr>
        <w:pStyle w:val="BodyText"/>
        <w:spacing w:line="224" w:lineRule="exact"/>
        <w:ind w:left="1133" w:right="0"/>
        <w:jc w:val="left"/>
      </w:pPr>
      <w:r>
        <w:rPr/>
        <w:t>说明书，募</w:t>
      </w:r>
      <w:r>
        <w:rPr>
          <w:spacing w:val="1"/>
        </w:rPr>
        <w:t>投</w:t>
      </w:r>
      <w:r>
        <w:rPr/>
        <w:t>项目的进展</w:t>
      </w:r>
      <w:r>
        <w:rPr>
          <w:spacing w:val="1"/>
        </w:rPr>
        <w:t>情</w:t>
      </w:r>
      <w:r>
        <w:rPr/>
        <w:t>况参见本节</w:t>
      </w:r>
      <w:r>
        <w:rPr>
          <w:spacing w:val="1"/>
        </w:rPr>
        <w:t>之</w:t>
      </w:r>
      <w:r>
        <w:rPr/>
        <w:t>“五、投资</w:t>
      </w:r>
      <w:r>
        <w:rPr>
          <w:spacing w:val="1"/>
        </w:rPr>
        <w:t>状</w:t>
      </w:r>
      <w:r>
        <w:rPr/>
        <w:t>况分析</w:t>
      </w:r>
      <w:r>
        <w:rPr>
          <w:spacing w:val="-90"/>
        </w:rPr>
        <w:t>”</w:t>
      </w:r>
      <w:r>
        <w:rPr/>
        <w:t>。募</w:t>
      </w:r>
      <w:r>
        <w:rPr>
          <w:spacing w:val="1"/>
        </w:rPr>
        <w:t>投</w:t>
      </w:r>
      <w:r>
        <w:rPr/>
        <w:t>项目的顺利</w:t>
      </w:r>
      <w:r>
        <w:rPr>
          <w:spacing w:val="1"/>
        </w:rPr>
        <w:t>实</w:t>
      </w:r>
      <w:r>
        <w:rPr/>
        <w:t>施，对公司</w:t>
      </w:r>
      <w:r>
        <w:rPr>
          <w:spacing w:val="1"/>
        </w:rPr>
        <w:t>保</w:t>
      </w:r>
      <w:r>
        <w:rPr/>
        <w:t>持并提升市</w:t>
      </w:r>
      <w:r>
        <w:rPr>
          <w:spacing w:val="1"/>
        </w:rPr>
        <w:t>场</w:t>
      </w:r>
      <w:r>
        <w:rPr/>
        <w:t>地位，扩大</w:t>
      </w:r>
    </w:p>
    <w:p>
      <w:pPr>
        <w:pStyle w:val="BodyText"/>
        <w:spacing w:line="316" w:lineRule="auto" w:before="77"/>
        <w:ind w:left="1493" w:right="0" w:hanging="360"/>
        <w:jc w:val="left"/>
      </w:pPr>
      <w:r>
        <w:rPr/>
        <w:t>业务规模，具有战略意义。未来公司将持续推进募投项目的实施，并力争达成项目目标。 </w:t>
      </w:r>
      <w:r>
        <w:rPr>
          <w:spacing w:val="-4"/>
        </w:rPr>
        <w:t>报告期内，公司投入的另一类研发项目，是根据特定客户需求而立项研发的项目。此类项目具有在其他客户的推广价值，</w:t>
      </w:r>
    </w:p>
    <w:p>
      <w:pPr>
        <w:pStyle w:val="BodyText"/>
        <w:spacing w:line="316" w:lineRule="auto" w:before="19"/>
        <w:ind w:left="1133" w:right="1118"/>
        <w:jc w:val="left"/>
      </w:pPr>
      <w:r>
        <w:rPr>
          <w:spacing w:val="-2"/>
        </w:rPr>
        <w:t>或为维护公司大客户的长期合作关系而设立，项目研发目标及方案一般经过公司与客户方论证，完成后经客户验收后在客户</w:t>
      </w:r>
      <w:r>
        <w:rPr>
          <w:spacing w:val="-64"/>
        </w:rPr>
        <w:t> </w:t>
      </w:r>
      <w:r>
        <w:rPr>
          <w:spacing w:val="-64"/>
        </w:rPr>
      </w:r>
      <w:r>
        <w:rPr/>
        <w:t>方投入使用。</w:t>
      </w:r>
    </w:p>
    <w:p>
      <w:pPr>
        <w:spacing w:after="0" w:line="316" w:lineRule="auto"/>
        <w:jc w:val="left"/>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近三年公司研发投入金额及占营业收入的比例</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101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93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7.20%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6.73%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40,376,905.77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35,002,911.61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38,014,675.85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3.39%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研发支出资本化的金</w:t>
            </w:r>
            <w:r>
              <w:rPr>
                <w:rFonts w:ascii="宋体" w:hAnsi="宋体" w:cs="宋体" w:eastAsia="宋体" w:hint="default"/>
                <w:spacing w:val="-75"/>
                <w:sz w:val="18"/>
                <w:szCs w:val="18"/>
              </w:rPr>
              <w:t>额</w:t>
            </w:r>
            <w:r>
              <w:rPr>
                <w:rFonts w:ascii="宋体" w:hAnsi="宋体" w:cs="宋体" w:eastAsia="宋体" w:hint="default"/>
                <w:sz w:val="18"/>
                <w:szCs w:val="18"/>
              </w:rPr>
              <w:t>（元）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9,359,114.35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4,905,180.84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1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23.18%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1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21.80%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研发投入总额占营业收入的比重较上年发生显著变化的原因</w:t>
      </w:r>
    </w:p>
    <w:p>
      <w:pPr>
        <w:pStyle w:val="BodyText"/>
        <w:spacing w:line="360" w:lineRule="auto" w:before="116"/>
        <w:ind w:right="6792"/>
        <w:jc w:val="left"/>
      </w:pPr>
      <w:r>
        <w:rPr/>
        <w:t>□ 适用 √ 不适用 研发投入资本化率大幅变动的原因及其合理性说明</w:t>
      </w:r>
    </w:p>
    <w:p>
      <w:pPr>
        <w:pStyle w:val="BodyText"/>
        <w:spacing w:line="240" w:lineRule="auto" w:before="26"/>
        <w:ind w:right="0"/>
        <w:jc w:val="left"/>
      </w:pPr>
      <w:r>
        <w:rPr/>
        <w:t>□ 适用 √ 不适用</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1,066,501,321.38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1,000,763,072.14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6.57%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1,205,030,383.16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1,077,581,786.15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2"/>
                <w:sz w:val="18"/>
              </w:rPr>
              <w:t>11.83%</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1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-138,529,061.78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-76,818,714.01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80.33%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178,787,558.78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2,223,063.97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7,942.39%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1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-178,787,558.78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-2,223,063.97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-7,942.39%</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511,829,839.02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626,324,265.20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-18.28%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287,829,134.60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336,419,034.90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-14.44%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1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224,000,704.42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289,905,230.30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-22.73%</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-93,452,174.34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211,049,023.23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-144.28%</w:t>
            </w:r>
            <w:r>
              <w:rPr>
                <w:rFonts w:ascii="Times New Roman"/>
                <w:sz w:val="18"/>
              </w:rPr>
            </w:r>
          </w:p>
        </w:tc>
      </w:tr>
    </w:tbl>
    <w:p>
      <w:pPr>
        <w:pStyle w:val="BodyText"/>
        <w:spacing w:line="240" w:lineRule="auto" w:before="51"/>
        <w:ind w:right="0"/>
        <w:jc w:val="left"/>
      </w:pPr>
      <w:r>
        <w:rPr/>
        <w:t>相关数据同比发生重大变动的主要影响因素说明</w:t>
      </w:r>
    </w:p>
    <w:p>
      <w:pPr>
        <w:pStyle w:val="BodyText"/>
        <w:spacing w:line="357" w:lineRule="auto" w:before="116"/>
        <w:ind w:left="1493" w:right="1123" w:hanging="360"/>
        <w:jc w:val="left"/>
      </w:pPr>
      <w:r>
        <w:rPr/>
        <w:t>√ 适用 □ 不适用 经营活动产生的现金流量净额较上年减少</w:t>
      </w:r>
      <w:r>
        <w:rPr>
          <w:rFonts w:ascii="宋体" w:hAnsi="宋体" w:cs="宋体" w:eastAsia="宋体" w:hint="default"/>
        </w:rPr>
        <w:t>61,710,347.77</w:t>
      </w:r>
      <w:r>
        <w:rPr/>
        <w:t>元，减幅</w:t>
      </w:r>
      <w:r>
        <w:rPr>
          <w:rFonts w:ascii="宋体" w:hAnsi="宋体" w:cs="宋体" w:eastAsia="宋体" w:hint="default"/>
        </w:rPr>
        <w:t>80.33%</w:t>
      </w:r>
      <w:r>
        <w:rPr/>
        <w:t>，主要系本期期末签署合同较多，需要采购相</w:t>
      </w:r>
    </w:p>
    <w:p>
      <w:pPr>
        <w:pStyle w:val="BodyText"/>
        <w:spacing w:line="224" w:lineRule="exact"/>
        <w:ind w:right="0"/>
        <w:jc w:val="left"/>
      </w:pPr>
      <w:r>
        <w:rPr/>
        <w:t>应的原材料，支付货款增加，即购买商品、接受劳务支付的现金增加所致；</w:t>
      </w:r>
    </w:p>
    <w:p>
      <w:pPr>
        <w:pStyle w:val="BodyText"/>
        <w:spacing w:line="316" w:lineRule="auto" w:before="76"/>
        <w:ind w:left="1133" w:right="0" w:firstLine="360"/>
        <w:jc w:val="left"/>
      </w:pPr>
      <w:r>
        <w:rPr>
          <w:spacing w:val="-2"/>
        </w:rPr>
        <w:t>投资活动产生的现金流量净额较上年减少</w:t>
      </w:r>
      <w:r>
        <w:rPr>
          <w:rFonts w:ascii="宋体" w:hAnsi="宋体" w:cs="宋体" w:eastAsia="宋体" w:hint="default"/>
          <w:spacing w:val="-2"/>
        </w:rPr>
        <w:t>176,564,494.81</w:t>
      </w:r>
      <w:r>
        <w:rPr>
          <w:spacing w:val="-2"/>
        </w:rPr>
        <w:t>元，减幅</w:t>
      </w:r>
      <w:r>
        <w:rPr>
          <w:rFonts w:ascii="宋体" w:hAnsi="宋体" w:cs="宋体" w:eastAsia="宋体" w:hint="default"/>
          <w:spacing w:val="-2"/>
        </w:rPr>
        <w:t>7942.39%</w:t>
      </w:r>
      <w:r>
        <w:rPr>
          <w:spacing w:val="-2"/>
        </w:rPr>
        <w:t>，主要系本期参股投资产业投资基金以及对</w:t>
      </w:r>
      <w:r>
        <w:rPr/>
        <w:t> 外股权投资增加；</w:t>
      </w:r>
    </w:p>
    <w:p>
      <w:pPr>
        <w:spacing w:after="0" w:line="316"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left="1133" w:right="1131" w:firstLine="360"/>
        <w:jc w:val="both"/>
      </w:pPr>
      <w:r>
        <w:rPr/>
        <w:t>现金及现金等价物净增加额较上年减少</w:t>
      </w:r>
      <w:r>
        <w:rPr>
          <w:rFonts w:ascii="宋体" w:hAnsi="宋体" w:cs="宋体" w:eastAsia="宋体" w:hint="default"/>
        </w:rPr>
        <w:t>304,501,197.57</w:t>
      </w:r>
      <w:r>
        <w:rPr/>
        <w:t>，减幅</w:t>
      </w:r>
      <w:r>
        <w:rPr>
          <w:rFonts w:ascii="宋体" w:hAnsi="宋体" w:cs="宋体" w:eastAsia="宋体" w:hint="default"/>
        </w:rPr>
        <w:t>144.28%</w:t>
      </w:r>
      <w:r>
        <w:rPr/>
        <w:t>，主要系本期经营活动产生的现金流净额及投资 活动产生的现金流净额减少所致。</w:t>
      </w:r>
    </w:p>
    <w:p>
      <w:pPr>
        <w:pStyle w:val="BodyText"/>
        <w:spacing w:line="240" w:lineRule="auto" w:before="59"/>
        <w:ind w:left="1133" w:right="0"/>
        <w:jc w:val="left"/>
      </w:pPr>
      <w:r>
        <w:rPr/>
        <w:t>报告期内公司经营活动产生的现金净流量与本年度净利润存在重大差异的原因说明</w:t>
      </w:r>
    </w:p>
    <w:p>
      <w:pPr>
        <w:pStyle w:val="BodyText"/>
        <w:spacing w:line="357" w:lineRule="auto" w:before="117"/>
        <w:ind w:left="1493" w:right="1118" w:hanging="360"/>
        <w:jc w:val="left"/>
      </w:pPr>
      <w:r>
        <w:rPr/>
        <w:t>√ 适用 □ 不适用 </w:t>
      </w:r>
      <w:r>
        <w:rPr>
          <w:spacing w:val="-2"/>
        </w:rPr>
        <w:t>报告期内，公司部分大客户采购延后至年末，相关收入无法在报告期内确认收入，相关工程的设备采购造成公司经营性</w:t>
      </w:r>
    </w:p>
    <w:p>
      <w:pPr>
        <w:pStyle w:val="BodyText"/>
        <w:spacing w:line="224" w:lineRule="exact"/>
        <w:ind w:left="1133" w:right="0"/>
        <w:jc w:val="left"/>
      </w:pPr>
      <w:r>
        <w:rPr/>
        <w:t>现金流出增加，相应公司预付款项及存货增加。</w:t>
      </w:r>
    </w:p>
    <w:p>
      <w:pPr>
        <w:pStyle w:val="BodyText"/>
        <w:spacing w:line="316" w:lineRule="auto" w:before="76"/>
        <w:ind w:left="1133" w:right="1131" w:firstLine="360"/>
        <w:jc w:val="both"/>
      </w:pPr>
      <w:r>
        <w:rPr>
          <w:spacing w:val="-2"/>
        </w:rPr>
        <w:t>报告期内，公司应收账款增加也较为明显，公司银行客户付款政策比较稳定，但不同客户差异较大，报告期内公司付款</w:t>
      </w:r>
      <w:r>
        <w:rPr/>
        <w:t> </w:t>
      </w:r>
      <w:r>
        <w:rPr>
          <w:spacing w:val="-2"/>
        </w:rPr>
        <w:t>周期较长的客户收入占比加大，导致公司银行类客户资金周转率降低；报告期内，公司来自非银行客户的</w:t>
      </w:r>
      <w:r>
        <w:rPr>
          <w:rFonts w:ascii="宋体" w:hAnsi="宋体" w:cs="宋体" w:eastAsia="宋体" w:hint="default"/>
          <w:spacing w:val="-2"/>
        </w:rPr>
        <w:t>IT</w:t>
      </w:r>
      <w:r>
        <w:rPr>
          <w:spacing w:val="-2"/>
        </w:rPr>
        <w:t>基础设施业务收</w:t>
      </w:r>
      <w:r>
        <w:rPr>
          <w:spacing w:val="-63"/>
        </w:rPr>
        <w:t> </w:t>
      </w:r>
      <w:r>
        <w:rPr/>
        <w:t>入增加，部分非银行客户收款周期较长，也是造成应收款增加的原因。</w:t>
      </w:r>
    </w:p>
    <w:p>
      <w:pPr>
        <w:spacing w:line="240" w:lineRule="auto" w:before="10"/>
        <w:rPr>
          <w:rFonts w:ascii="宋体" w:hAnsi="宋体" w:cs="宋体" w:eastAsia="宋体" w:hint="default"/>
          <w:sz w:val="20"/>
          <w:szCs w:val="20"/>
        </w:rPr>
      </w:pPr>
    </w:p>
    <w:p>
      <w:pPr>
        <w:pStyle w:val="Heading3"/>
        <w:spacing w:line="240" w:lineRule="auto"/>
        <w:ind w:left="1133"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1133" w:right="0"/>
        <w:jc w:val="left"/>
      </w:pPr>
      <w:r>
        <w:rPr/>
        <w:t>√ 适用 □ 不适用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23"/>
        <w:gridCol w:w="1549"/>
        <w:gridCol w:w="1624"/>
        <w:gridCol w:w="3027"/>
        <w:gridCol w:w="1800"/>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7"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-1,669,666.76</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-3.28%</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股权投资确认的投资损失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4,403,010.87</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8.65%</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应收款项按账龄计提的坏账准备</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278,974.19</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0.55%</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无需支付的款项及其他营业外收入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44,964.94</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0.09%</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处置固定资产损失等</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302" w:right="125"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6"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6"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345,175,989.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436,839,633.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40.65%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-14.70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05"/>
              <w:jc w:val="left"/>
              <w:rPr>
                <w:rFonts w:ascii="宋体" w:hAnsi="宋体" w:cs="宋体" w:eastAsia="宋体" w:hint="default"/>
                <w:sz w:val="18"/>
                <w:szCs w:val="18"/>
              </w:rPr>
            </w:pPr>
            <w:r>
              <w:rPr>
                <w:rFonts w:ascii="宋体" w:hAnsi="宋体" w:cs="宋体" w:eastAsia="宋体" w:hint="default"/>
                <w:sz w:val="18"/>
                <w:szCs w:val="18"/>
              </w:rPr>
              <w:t>主要系随着募投项目的投入，募集 资金减少所致。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522,726,049.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443,317,554.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-1.95%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226,609,158.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163,679,938.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1.81%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102,416,094.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7.70%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7.70%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2" w:right="105"/>
              <w:jc w:val="both"/>
              <w:rPr>
                <w:rFonts w:ascii="宋体" w:hAnsi="宋体" w:cs="宋体" w:eastAsia="宋体" w:hint="default"/>
                <w:sz w:val="18"/>
                <w:szCs w:val="18"/>
              </w:rPr>
            </w:pPr>
            <w:r>
              <w:rPr>
                <w:rFonts w:ascii="宋体" w:hAnsi="宋体" w:cs="宋体" w:eastAsia="宋体" w:hint="default"/>
                <w:sz w:val="18"/>
                <w:szCs w:val="18"/>
              </w:rPr>
              <w:t>主要系本期投资西藏银汐企业管理 合伙企业（有限合伙）及北京泛融 科技有限公司所致。</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6,416,918.16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6,030,440.50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0.56%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101,000,000.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16.91%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2" w:right="105"/>
              <w:jc w:val="left"/>
              <w:rPr>
                <w:rFonts w:ascii="宋体" w:hAnsi="宋体" w:cs="宋体" w:eastAsia="宋体" w:hint="default"/>
                <w:sz w:val="18"/>
                <w:szCs w:val="18"/>
              </w:rPr>
            </w:pPr>
            <w:r>
              <w:rPr>
                <w:rFonts w:ascii="宋体" w:hAnsi="宋体" w:cs="宋体" w:eastAsia="宋体" w:hint="default"/>
                <w:sz w:val="18"/>
                <w:szCs w:val="18"/>
              </w:rPr>
              <w:t>主要系补充流动资金，银行借款增 加所致。</w:t>
            </w:r>
          </w:p>
        </w:tc>
      </w:tr>
    </w:tbl>
    <w:p>
      <w:pPr>
        <w:spacing w:after="0" w:line="316"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5"/>
        <w:spacing w:line="240" w:lineRule="auto" w:before="35"/>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截至报告期末，公司除</w:t>
      </w:r>
      <w:r>
        <w:rPr>
          <w:rFonts w:ascii="宋体" w:hAnsi="宋体" w:cs="宋体" w:eastAsia="宋体" w:hint="default"/>
        </w:rPr>
        <w:t>3,766,109.09</w:t>
      </w:r>
      <w:r>
        <w:rPr/>
        <w:t>元保函保证金受限外，不存在资产被查封、扣押、冻结或者被抵押、质押的情况。</w:t>
      </w:r>
    </w:p>
    <w:p>
      <w:pPr>
        <w:spacing w:line="240" w:lineRule="auto" w:before="2"/>
        <w:rPr>
          <w:rFonts w:ascii="宋体" w:hAnsi="宋体" w:cs="宋体" w:eastAsia="宋体" w:hint="default"/>
          <w:sz w:val="25"/>
          <w:szCs w:val="25"/>
        </w:rPr>
      </w:pPr>
    </w:p>
    <w:p>
      <w:pPr>
        <w:pStyle w:val="Heading3"/>
        <w:spacing w:line="240" w:lineRule="auto"/>
        <w:ind w:left="1133"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7" w:right="0"/>
              <w:jc w:val="left"/>
              <w:rPr>
                <w:rFonts w:ascii="Times New Roman" w:hAnsi="Times New Roman" w:cs="Times New Roman" w:eastAsia="Times New Roman" w:hint="default"/>
                <w:sz w:val="18"/>
                <w:szCs w:val="18"/>
              </w:rPr>
            </w:pPr>
            <w:r>
              <w:rPr>
                <w:rFonts w:ascii="Times New Roman"/>
                <w:sz w:val="18"/>
              </w:rPr>
              <w:t>114,000,000.00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924" w:type="dxa"/>
        <w:tblLayout w:type="fixed"/>
        <w:tblCellMar>
          <w:top w:w="0" w:type="dxa"/>
          <w:left w:w="0" w:type="dxa"/>
          <w:bottom w:w="0" w:type="dxa"/>
          <w:right w:w="0" w:type="dxa"/>
        </w:tblCellMar>
        <w:tblLook w:val="01E0"/>
      </w:tblPr>
      <w:tblGrid>
        <w:gridCol w:w="695"/>
        <w:gridCol w:w="1237"/>
        <w:gridCol w:w="662"/>
        <w:gridCol w:w="662"/>
        <w:gridCol w:w="661"/>
        <w:gridCol w:w="520"/>
        <w:gridCol w:w="658"/>
        <w:gridCol w:w="655"/>
        <w:gridCol w:w="658"/>
        <w:gridCol w:w="629"/>
        <w:gridCol w:w="740"/>
        <w:gridCol w:w="592"/>
        <w:gridCol w:w="733"/>
        <w:gridCol w:w="947"/>
      </w:tblGrid>
      <w:tr>
        <w:trPr>
          <w:trHeight w:val="1338" w:hRule="exact"/>
        </w:trPr>
        <w:tc>
          <w:tcPr>
            <w:tcW w:w="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2" w:right="161"/>
              <w:jc w:val="both"/>
              <w:rPr>
                <w:rFonts w:ascii="宋体" w:hAnsi="宋体" w:cs="宋体" w:eastAsia="宋体" w:hint="default"/>
                <w:sz w:val="18"/>
                <w:szCs w:val="18"/>
              </w:rPr>
            </w:pPr>
            <w:r>
              <w:rPr>
                <w:rFonts w:ascii="宋体" w:hAnsi="宋体" w:cs="宋体" w:eastAsia="宋体" w:hint="default"/>
                <w:sz w:val="18"/>
                <w:szCs w:val="18"/>
              </w:rPr>
              <w:t>被投 资公 司名 称</w:t>
            </w:r>
          </w:p>
        </w:tc>
        <w:tc>
          <w:tcPr>
            <w:tcW w:w="1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46" w:right="144"/>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46" w:right="144"/>
              <w:jc w:val="left"/>
              <w:rPr>
                <w:rFonts w:ascii="宋体" w:hAnsi="宋体" w:cs="宋体" w:eastAsia="宋体" w:hint="default"/>
                <w:sz w:val="18"/>
                <w:szCs w:val="18"/>
              </w:rPr>
            </w:pPr>
            <w:r>
              <w:rPr>
                <w:rFonts w:ascii="宋体" w:hAnsi="宋体" w:cs="宋体" w:eastAsia="宋体" w:hint="default"/>
                <w:sz w:val="18"/>
                <w:szCs w:val="18"/>
              </w:rPr>
              <w:t>投资 金额</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45" w:right="144"/>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4" w:right="163"/>
              <w:jc w:val="both"/>
              <w:rPr>
                <w:rFonts w:ascii="宋体" w:hAnsi="宋体" w:cs="宋体" w:eastAsia="宋体" w:hint="default"/>
                <w:sz w:val="18"/>
                <w:szCs w:val="18"/>
              </w:rPr>
            </w:pPr>
            <w:r>
              <w:rPr>
                <w:rFonts w:ascii="宋体" w:hAnsi="宋体" w:cs="宋体" w:eastAsia="宋体" w:hint="default"/>
                <w:sz w:val="18"/>
                <w:szCs w:val="18"/>
              </w:rPr>
              <w:t>资 金 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3" w:right="143" w:hanging="90"/>
              <w:jc w:val="left"/>
              <w:rPr>
                <w:rFonts w:ascii="宋体" w:hAnsi="宋体" w:cs="宋体" w:eastAsia="宋体" w:hint="default"/>
                <w:sz w:val="18"/>
                <w:szCs w:val="18"/>
              </w:rPr>
            </w:pPr>
            <w:r>
              <w:rPr>
                <w:rFonts w:ascii="宋体" w:hAnsi="宋体" w:cs="宋体" w:eastAsia="宋体" w:hint="default"/>
                <w:sz w:val="18"/>
                <w:szCs w:val="18"/>
              </w:rPr>
              <w:t>合作 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42" w:right="140"/>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43" w:right="143"/>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9" w:right="127"/>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5" w:right="182"/>
              <w:jc w:val="both"/>
              <w:rPr>
                <w:rFonts w:ascii="宋体" w:hAnsi="宋体" w:cs="宋体" w:eastAsia="宋体" w:hint="default"/>
                <w:sz w:val="18"/>
                <w:szCs w:val="18"/>
              </w:rPr>
            </w:pPr>
            <w:r>
              <w:rPr>
                <w:rFonts w:ascii="宋体" w:hAnsi="宋体" w:cs="宋体" w:eastAsia="宋体" w:hint="default"/>
                <w:sz w:val="18"/>
                <w:szCs w:val="18"/>
              </w:rPr>
              <w:t>本期 投资 盈亏</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0" w:right="109"/>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179"/>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319" w:lineRule="auto" w:before="19"/>
              <w:ind w:left="182" w:right="179"/>
              <w:jc w:val="left"/>
              <w:rPr>
                <w:rFonts w:ascii="宋体" w:hAnsi="宋体" w:cs="宋体" w:eastAsia="宋体" w:hint="default"/>
                <w:sz w:val="18"/>
                <w:szCs w:val="18"/>
              </w:rPr>
            </w:pPr>
            <w:r>
              <w:rPr>
                <w:rFonts w:ascii="宋体" w:hAnsi="宋体" w:cs="宋体" w:eastAsia="宋体" w:hint="default"/>
                <w:sz w:val="18"/>
                <w:szCs w:val="18"/>
              </w:rPr>
              <w:t>（如 有）</w:t>
            </w:r>
          </w:p>
        </w:tc>
        <w:tc>
          <w:tcPr>
            <w:tcW w:w="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7" w:right="0"/>
              <w:jc w:val="left"/>
              <w:rPr>
                <w:rFonts w:ascii="宋体" w:hAnsi="宋体" w:cs="宋体" w:eastAsia="宋体" w:hint="default"/>
                <w:sz w:val="18"/>
                <w:szCs w:val="18"/>
              </w:rPr>
            </w:pPr>
            <w:r>
              <w:rPr>
                <w:rFonts w:ascii="宋体" w:hAnsi="宋体" w:cs="宋体" w:eastAsia="宋体" w:hint="default"/>
                <w:sz w:val="18"/>
                <w:szCs w:val="18"/>
              </w:rPr>
              <w:t>披露索引</w:t>
            </w:r>
          </w:p>
          <w:p>
            <w:pPr>
              <w:pStyle w:val="TableParagraph"/>
              <w:spacing w:line="240" w:lineRule="auto" w:before="76"/>
              <w:ind w:left="107" w:right="0"/>
              <w:jc w:val="left"/>
              <w:rPr>
                <w:rFonts w:ascii="宋体" w:hAnsi="宋体" w:cs="宋体" w:eastAsia="宋体" w:hint="default"/>
                <w:sz w:val="18"/>
                <w:szCs w:val="18"/>
              </w:rPr>
            </w:pPr>
            <w:r>
              <w:rPr>
                <w:rFonts w:ascii="宋体" w:hAnsi="宋体" w:cs="宋体" w:eastAsia="宋体" w:hint="default"/>
                <w:sz w:val="18"/>
                <w:szCs w:val="18"/>
              </w:rPr>
              <w:t>（如有）</w:t>
            </w:r>
          </w:p>
        </w:tc>
      </w:tr>
      <w:tr>
        <w:trPr>
          <w:trHeight w:val="4770" w:hRule="exact"/>
        </w:trPr>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103" w:right="221"/>
              <w:jc w:val="both"/>
              <w:rPr>
                <w:rFonts w:ascii="宋体" w:hAnsi="宋体" w:cs="宋体" w:eastAsia="宋体" w:hint="default"/>
                <w:sz w:val="18"/>
                <w:szCs w:val="18"/>
              </w:rPr>
            </w:pPr>
            <w:r>
              <w:rPr>
                <w:rFonts w:ascii="宋体" w:hAnsi="宋体" w:cs="宋体" w:eastAsia="宋体" w:hint="default"/>
                <w:sz w:val="18"/>
                <w:szCs w:val="18"/>
              </w:rPr>
              <w:t>西藏 银汐 企业 管理 合伙 企业</w:t>
            </w:r>
          </w:p>
          <w:p>
            <w:pPr>
              <w:pStyle w:val="TableParagraph"/>
              <w:spacing w:line="319" w:lineRule="auto" w:before="19"/>
              <w:ind w:left="103" w:right="221"/>
              <w:jc w:val="both"/>
              <w:rPr>
                <w:rFonts w:ascii="宋体" w:hAnsi="宋体" w:cs="宋体" w:eastAsia="宋体" w:hint="default"/>
                <w:sz w:val="18"/>
                <w:szCs w:val="18"/>
              </w:rPr>
            </w:pPr>
            <w:r>
              <w:rPr>
                <w:rFonts w:ascii="宋体" w:hAnsi="宋体" w:cs="宋体" w:eastAsia="宋体" w:hint="default"/>
                <w:sz w:val="18"/>
                <w:szCs w:val="18"/>
              </w:rPr>
              <w:t>（有 限合 伙）</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01"/>
              <w:jc w:val="left"/>
              <w:rPr>
                <w:rFonts w:ascii="宋体" w:hAnsi="宋体" w:cs="宋体" w:eastAsia="宋体" w:hint="default"/>
                <w:sz w:val="18"/>
                <w:szCs w:val="18"/>
              </w:rPr>
            </w:pPr>
            <w:r>
              <w:rPr>
                <w:rFonts w:ascii="宋体" w:hAnsi="宋体" w:cs="宋体" w:eastAsia="宋体" w:hint="default"/>
                <w:sz w:val="18"/>
                <w:szCs w:val="18"/>
              </w:rPr>
              <w:t>企业管理服 </w:t>
            </w:r>
            <w:r>
              <w:rPr>
                <w:rFonts w:ascii="宋体" w:hAnsi="宋体" w:cs="宋体" w:eastAsia="宋体" w:hint="default"/>
                <w:spacing w:val="-10"/>
                <w:sz w:val="18"/>
                <w:szCs w:val="18"/>
              </w:rPr>
              <w:t>务（不含投资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管理和投资 </w:t>
            </w:r>
            <w:r>
              <w:rPr>
                <w:rFonts w:ascii="宋体" w:hAnsi="宋体" w:cs="宋体" w:eastAsia="宋体" w:hint="default"/>
                <w:spacing w:val="-15"/>
                <w:sz w:val="18"/>
                <w:szCs w:val="18"/>
              </w:rPr>
              <w:t>咨询）；企业</w:t>
            </w:r>
            <w:r>
              <w:rPr>
                <w:rFonts w:ascii="宋体" w:hAnsi="宋体" w:cs="宋体" w:eastAsia="宋体" w:hint="default"/>
                <w:sz w:val="18"/>
                <w:szCs w:val="18"/>
              </w:rPr>
              <w:t> </w:t>
            </w:r>
            <w:r>
              <w:rPr>
                <w:rFonts w:ascii="宋体" w:hAnsi="宋体" w:cs="宋体" w:eastAsia="宋体" w:hint="default"/>
                <w:spacing w:val="-10"/>
                <w:sz w:val="18"/>
                <w:szCs w:val="18"/>
              </w:rPr>
              <w:t>形象策划；商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务信息服务</w:t>
            </w:r>
          </w:p>
          <w:p>
            <w:pPr>
              <w:pStyle w:val="TableParagraph"/>
              <w:spacing w:line="316" w:lineRule="auto" w:before="19"/>
              <w:ind w:left="102" w:right="133"/>
              <w:jc w:val="left"/>
              <w:rPr>
                <w:rFonts w:ascii="宋体" w:hAnsi="宋体" w:cs="宋体" w:eastAsia="宋体" w:hint="default"/>
                <w:sz w:val="18"/>
                <w:szCs w:val="18"/>
              </w:rPr>
            </w:pPr>
            <w:r>
              <w:rPr>
                <w:rFonts w:ascii="宋体" w:hAnsi="宋体" w:cs="宋体" w:eastAsia="宋体" w:hint="default"/>
                <w:sz w:val="18"/>
                <w:szCs w:val="18"/>
              </w:rPr>
              <w:t>（不含投资 </w:t>
            </w:r>
            <w:r>
              <w:rPr>
                <w:rFonts w:ascii="宋体" w:hAnsi="宋体" w:cs="宋体" w:eastAsia="宋体" w:hint="default"/>
                <w:spacing w:val="-15"/>
                <w:sz w:val="18"/>
                <w:szCs w:val="18"/>
              </w:rPr>
              <w:t>咨询）；市场</w:t>
            </w:r>
            <w:r>
              <w:rPr>
                <w:rFonts w:ascii="宋体" w:hAnsi="宋体" w:cs="宋体" w:eastAsia="宋体" w:hint="default"/>
                <w:sz w:val="18"/>
                <w:szCs w:val="18"/>
              </w:rPr>
              <w:t> 营销策划。</w:t>
            </w:r>
          </w:p>
          <w:p>
            <w:pPr>
              <w:pStyle w:val="TableParagraph"/>
              <w:spacing w:line="319" w:lineRule="auto" w:before="19"/>
              <w:ind w:left="102" w:right="43"/>
              <w:jc w:val="left"/>
              <w:rPr>
                <w:rFonts w:ascii="宋体" w:hAnsi="宋体" w:cs="宋体" w:eastAsia="宋体" w:hint="default"/>
                <w:sz w:val="18"/>
                <w:szCs w:val="18"/>
              </w:rPr>
            </w:pPr>
            <w:r>
              <w:rPr>
                <w:rFonts w:ascii="宋体" w:hAnsi="宋体" w:cs="宋体" w:eastAsia="宋体" w:hint="default"/>
                <w:sz w:val="18"/>
                <w:szCs w:val="18"/>
              </w:rPr>
              <w:t>【依法须经 批准的项目， 经相关部门 批准后方可 开展经营活 </w:t>
            </w:r>
            <w:r>
              <w:rPr>
                <w:rFonts w:ascii="宋体" w:hAnsi="宋体" w:cs="宋体" w:eastAsia="宋体" w:hint="default"/>
                <w:spacing w:val="-30"/>
                <w:sz w:val="18"/>
                <w:szCs w:val="18"/>
              </w:rPr>
              <w:t>动。】</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4"/>
              <w:ind w:left="14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35" w:right="0"/>
              <w:jc w:val="left"/>
              <w:rPr>
                <w:rFonts w:ascii="Times New Roman" w:hAnsi="Times New Roman" w:cs="Times New Roman" w:eastAsia="Times New Roman" w:hint="default"/>
                <w:sz w:val="18"/>
                <w:szCs w:val="18"/>
              </w:rPr>
            </w:pPr>
            <w:r>
              <w:rPr>
                <w:rFonts w:ascii="Times New Roman"/>
                <w:sz w:val="18"/>
              </w:rPr>
              <w:t>0.00</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36.63</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03" w:right="224"/>
              <w:jc w:val="left"/>
              <w:rPr>
                <w:rFonts w:ascii="宋体" w:hAnsi="宋体" w:cs="宋体" w:eastAsia="宋体" w:hint="default"/>
                <w:sz w:val="18"/>
                <w:szCs w:val="18"/>
              </w:rPr>
            </w:pPr>
            <w:r>
              <w:rPr>
                <w:rFonts w:ascii="宋体" w:hAnsi="宋体" w:cs="宋体" w:eastAsia="宋体" w:hint="default"/>
                <w:sz w:val="18"/>
                <w:szCs w:val="18"/>
              </w:rPr>
              <w:t>自 有</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103" w:right="182"/>
              <w:jc w:val="both"/>
              <w:rPr>
                <w:rFonts w:ascii="宋体" w:hAnsi="宋体" w:cs="宋体" w:eastAsia="宋体" w:hint="default"/>
                <w:sz w:val="18"/>
                <w:szCs w:val="18"/>
              </w:rPr>
            </w:pPr>
            <w:r>
              <w:rPr>
                <w:rFonts w:ascii="宋体" w:hAnsi="宋体" w:cs="宋体" w:eastAsia="宋体" w:hint="default"/>
                <w:sz w:val="18"/>
                <w:szCs w:val="18"/>
              </w:rPr>
              <w:t>北京 基锐 资本 管理 有限 公司</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104"/>
              <w:ind w:left="103" w:right="0"/>
              <w:jc w:val="left"/>
              <w:rPr>
                <w:rFonts w:ascii="Times New Roman" w:hAnsi="Times New Roman" w:cs="Times New Roman" w:eastAsia="Times New Roman" w:hint="default"/>
                <w:sz w:val="18"/>
                <w:szCs w:val="18"/>
              </w:rPr>
            </w:pPr>
            <w:r>
              <w:rPr>
                <w:rFonts w:ascii="Times New Roman"/>
                <w:sz w:val="18"/>
              </w:rPr>
              <w:t>2/4--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2037/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03" w:right="182"/>
              <w:jc w:val="left"/>
              <w:rPr>
                <w:rFonts w:ascii="宋体" w:hAnsi="宋体" w:cs="宋体" w:eastAsia="宋体" w:hint="default"/>
                <w:sz w:val="18"/>
                <w:szCs w:val="18"/>
              </w:rPr>
            </w:pPr>
            <w:r>
              <w:rPr>
                <w:rFonts w:ascii="宋体" w:hAnsi="宋体" w:cs="宋体" w:eastAsia="宋体" w:hint="default"/>
                <w:sz w:val="18"/>
                <w:szCs w:val="18"/>
              </w:rPr>
              <w:t>不适 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-5,380,</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970.65</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103" w:right="113"/>
              <w:jc w:val="both"/>
              <w:rPr>
                <w:rFonts w:ascii="宋体" w:hAnsi="宋体" w:cs="宋体" w:eastAsia="宋体" w:hint="default"/>
                <w:sz w:val="18"/>
                <w:szCs w:val="18"/>
              </w:rPr>
            </w:pPr>
            <w:r>
              <w:rPr>
                <w:rFonts w:ascii="宋体" w:hAnsi="宋体" w:cs="宋体" w:eastAsia="宋体" w:hint="default"/>
                <w:sz w:val="18"/>
                <w:szCs w:val="18"/>
              </w:rPr>
              <w:t>巨潮资讯 网：第二 届董事会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ind w:left="103" w:right="113"/>
              <w:jc w:val="both"/>
              <w:rPr>
                <w:rFonts w:ascii="宋体" w:hAnsi="宋体" w:cs="宋体" w:eastAsia="宋体" w:hint="default"/>
                <w:sz w:val="18"/>
                <w:szCs w:val="18"/>
              </w:rPr>
            </w:pPr>
            <w:r>
              <w:rPr>
                <w:rFonts w:ascii="宋体" w:hAnsi="宋体" w:cs="宋体" w:eastAsia="宋体" w:hint="default"/>
                <w:sz w:val="18"/>
                <w:szCs w:val="18"/>
              </w:rPr>
              <w:t>第一次临 时会议决 议公告</w:t>
            </w:r>
          </w:p>
          <w:p>
            <w:pPr>
              <w:pStyle w:val="TableParagraph"/>
              <w:spacing w:line="240" w:lineRule="auto" w:before="19"/>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w:t>
            </w:r>
          </w:p>
          <w:p>
            <w:pPr>
              <w:pStyle w:val="TableParagraph"/>
              <w:spacing w:line="240" w:lineRule="auto" w:before="64"/>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宋体" w:hAnsi="宋体" w:cs="宋体" w:eastAsia="宋体" w:hint="default"/>
                <w:sz w:val="18"/>
                <w:szCs w:val="18"/>
              </w:rPr>
              <w:t>）</w:t>
            </w:r>
          </w:p>
        </w:tc>
      </w:tr>
      <w:tr>
        <w:trPr>
          <w:trHeight w:val="1299" w:hRule="exact"/>
        </w:trPr>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1"/>
              <w:jc w:val="both"/>
              <w:rPr>
                <w:rFonts w:ascii="宋体" w:hAnsi="宋体" w:cs="宋体" w:eastAsia="宋体" w:hint="default"/>
                <w:sz w:val="18"/>
                <w:szCs w:val="18"/>
              </w:rPr>
            </w:pPr>
            <w:r>
              <w:rPr>
                <w:rFonts w:ascii="宋体" w:hAnsi="宋体" w:cs="宋体" w:eastAsia="宋体" w:hint="default"/>
                <w:sz w:val="18"/>
                <w:szCs w:val="18"/>
              </w:rPr>
              <w:t>北京 泛融 科技 有限</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01"/>
              <w:jc w:val="both"/>
              <w:rPr>
                <w:rFonts w:ascii="宋体" w:hAnsi="宋体" w:cs="宋体" w:eastAsia="宋体" w:hint="default"/>
                <w:sz w:val="18"/>
                <w:szCs w:val="18"/>
              </w:rPr>
            </w:pPr>
            <w:r>
              <w:rPr>
                <w:rFonts w:ascii="宋体" w:hAnsi="宋体" w:cs="宋体" w:eastAsia="宋体" w:hint="default"/>
                <w:spacing w:val="-10"/>
                <w:sz w:val="18"/>
                <w:szCs w:val="18"/>
              </w:rPr>
              <w:t>技术开发、技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术推广、技术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转让、技术咨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询、技术服</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5"/>
              <w:ind w:left="86"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00</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43" w:right="0"/>
              <w:jc w:val="left"/>
              <w:rPr>
                <w:rFonts w:ascii="Times New Roman" w:hAnsi="Times New Roman" w:cs="Times New Roman" w:eastAsia="Times New Roman" w:hint="default"/>
                <w:sz w:val="18"/>
                <w:szCs w:val="18"/>
              </w:rPr>
            </w:pPr>
            <w:r>
              <w:rPr>
                <w:rFonts w:ascii="Times New Roman"/>
                <w:sz w:val="18"/>
              </w:rPr>
              <w:t>25.00</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103" w:right="224"/>
              <w:jc w:val="left"/>
              <w:rPr>
                <w:rFonts w:ascii="宋体" w:hAnsi="宋体" w:cs="宋体" w:eastAsia="宋体" w:hint="default"/>
                <w:sz w:val="18"/>
                <w:szCs w:val="18"/>
              </w:rPr>
            </w:pPr>
            <w:r>
              <w:rPr>
                <w:rFonts w:ascii="宋体" w:hAnsi="宋体" w:cs="宋体" w:eastAsia="宋体" w:hint="default"/>
                <w:sz w:val="18"/>
                <w:szCs w:val="18"/>
              </w:rPr>
              <w:t>自 有</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103" w:right="182"/>
              <w:jc w:val="left"/>
              <w:rPr>
                <w:rFonts w:ascii="宋体" w:hAnsi="宋体" w:cs="宋体" w:eastAsia="宋体" w:hint="default"/>
                <w:sz w:val="18"/>
                <w:szCs w:val="18"/>
              </w:rPr>
            </w:pPr>
            <w:r>
              <w:rPr>
                <w:rFonts w:ascii="宋体" w:hAnsi="宋体" w:cs="宋体" w:eastAsia="宋体" w:hint="default"/>
                <w:sz w:val="18"/>
                <w:szCs w:val="18"/>
              </w:rPr>
              <w:t>谭宜 勇</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103" w:right="182"/>
              <w:jc w:val="left"/>
              <w:rPr>
                <w:rFonts w:ascii="宋体" w:hAnsi="宋体" w:cs="宋体" w:eastAsia="宋体" w:hint="default"/>
                <w:sz w:val="18"/>
                <w:szCs w:val="18"/>
              </w:rPr>
            </w:pPr>
            <w:r>
              <w:rPr>
                <w:rFonts w:ascii="宋体" w:hAnsi="宋体" w:cs="宋体" w:eastAsia="宋体" w:hint="default"/>
                <w:sz w:val="18"/>
                <w:szCs w:val="18"/>
              </w:rPr>
              <w:t>不适 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62" w:right="0"/>
              <w:jc w:val="left"/>
              <w:rPr>
                <w:rFonts w:ascii="Times New Roman" w:hAnsi="Times New Roman" w:cs="Times New Roman" w:eastAsia="Times New Roman" w:hint="default"/>
                <w:sz w:val="18"/>
                <w:szCs w:val="18"/>
              </w:rPr>
            </w:pPr>
            <w:r>
              <w:rPr>
                <w:rFonts w:ascii="Times New Roman"/>
                <w:sz w:val="18"/>
              </w:rPr>
              <w:t>-202,9</w:t>
            </w:r>
          </w:p>
          <w:p>
            <w:pPr>
              <w:pStyle w:val="TableParagraph"/>
              <w:spacing w:line="240" w:lineRule="auto" w:before="106"/>
              <w:ind w:left="222" w:right="0"/>
              <w:jc w:val="left"/>
              <w:rPr>
                <w:rFonts w:ascii="Times New Roman" w:hAnsi="Times New Roman" w:cs="Times New Roman" w:eastAsia="Times New Roman" w:hint="default"/>
                <w:sz w:val="18"/>
                <w:szCs w:val="18"/>
              </w:rPr>
            </w:pPr>
            <w:r>
              <w:rPr>
                <w:rFonts w:ascii="Times New Roman"/>
                <w:sz w:val="18"/>
              </w:rPr>
              <w:t>35.30</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924" w:type="dxa"/>
        <w:tblLayout w:type="fixed"/>
        <w:tblCellMar>
          <w:top w:w="0" w:type="dxa"/>
          <w:left w:w="0" w:type="dxa"/>
          <w:bottom w:w="0" w:type="dxa"/>
          <w:right w:w="0" w:type="dxa"/>
        </w:tblCellMar>
        <w:tblLook w:val="01E0"/>
      </w:tblPr>
      <w:tblGrid>
        <w:gridCol w:w="695"/>
        <w:gridCol w:w="1237"/>
        <w:gridCol w:w="662"/>
        <w:gridCol w:w="662"/>
        <w:gridCol w:w="661"/>
        <w:gridCol w:w="520"/>
        <w:gridCol w:w="658"/>
        <w:gridCol w:w="655"/>
        <w:gridCol w:w="658"/>
        <w:gridCol w:w="629"/>
        <w:gridCol w:w="740"/>
        <w:gridCol w:w="592"/>
        <w:gridCol w:w="733"/>
        <w:gridCol w:w="947"/>
      </w:tblGrid>
      <w:tr>
        <w:trPr>
          <w:trHeight w:val="2859" w:hRule="exact"/>
        </w:trPr>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2" w:right="43"/>
              <w:jc w:val="left"/>
              <w:rPr>
                <w:rFonts w:ascii="宋体" w:hAnsi="宋体" w:cs="宋体" w:eastAsia="宋体" w:hint="default"/>
                <w:sz w:val="18"/>
                <w:szCs w:val="18"/>
              </w:rPr>
            </w:pPr>
            <w:r>
              <w:rPr>
                <w:rFonts w:ascii="宋体" w:hAnsi="宋体" w:cs="宋体" w:eastAsia="宋体" w:hint="default"/>
                <w:spacing w:val="-10"/>
                <w:sz w:val="18"/>
                <w:szCs w:val="18"/>
              </w:rPr>
              <w:t>务；销售自行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开发的产品； 计算机系统 </w:t>
            </w:r>
            <w:r>
              <w:rPr>
                <w:rFonts w:ascii="宋体" w:hAnsi="宋体" w:cs="宋体" w:eastAsia="宋体" w:hint="default"/>
                <w:spacing w:val="-10"/>
                <w:sz w:val="18"/>
                <w:szCs w:val="18"/>
              </w:rPr>
              <w:t>服务；基础软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件服务；应用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软件服务；软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件开发；软件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咨询；产品设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计等</w:t>
            </w: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108,0</w:t>
            </w:r>
          </w:p>
          <w:p>
            <w:pPr>
              <w:pStyle w:val="TableParagraph"/>
              <w:spacing w:line="240" w:lineRule="auto" w:before="104"/>
              <w:ind w:left="14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35" w:right="0"/>
              <w:jc w:val="left"/>
              <w:rPr>
                <w:rFonts w:ascii="Times New Roman" w:hAnsi="Times New Roman" w:cs="Times New Roman" w:eastAsia="Times New Roman" w:hint="default"/>
                <w:sz w:val="18"/>
                <w:szCs w:val="18"/>
              </w:rPr>
            </w:pPr>
            <w:r>
              <w:rPr>
                <w:rFonts w:ascii="Times New Roman"/>
                <w:sz w:val="18"/>
              </w:rPr>
              <w:t>0.00</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-5,583,</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905.95</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650"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37" w:right="156" w:hanging="180"/>
              <w:jc w:val="left"/>
              <w:rPr>
                <w:rFonts w:ascii="宋体" w:hAnsi="宋体" w:cs="宋体" w:eastAsia="宋体" w:hint="default"/>
                <w:sz w:val="18"/>
                <w:szCs w:val="18"/>
              </w:rPr>
            </w:pPr>
            <w:r>
              <w:rPr>
                <w:rFonts w:ascii="宋体" w:hAnsi="宋体" w:cs="宋体" w:eastAsia="宋体" w:hint="default"/>
                <w:sz w:val="18"/>
                <w:szCs w:val="18"/>
              </w:rPr>
              <w:t>募集年 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募集方 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59" w:right="158"/>
              <w:jc w:val="left"/>
              <w:rPr>
                <w:rFonts w:ascii="宋体" w:hAnsi="宋体" w:cs="宋体" w:eastAsia="宋体" w:hint="default"/>
                <w:sz w:val="18"/>
                <w:szCs w:val="18"/>
              </w:rPr>
            </w:pPr>
            <w:r>
              <w:rPr>
                <w:rFonts w:ascii="宋体" w:hAnsi="宋体" w:cs="宋体" w:eastAsia="宋体" w:hint="default"/>
                <w:sz w:val="18"/>
                <w:szCs w:val="18"/>
              </w:rPr>
              <w:t>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9" w:right="158"/>
              <w:jc w:val="both"/>
              <w:rPr>
                <w:rFonts w:ascii="宋体" w:hAnsi="宋体" w:cs="宋体" w:eastAsia="宋体" w:hint="default"/>
                <w:sz w:val="18"/>
                <w:szCs w:val="18"/>
              </w:rPr>
            </w:pPr>
            <w:r>
              <w:rPr>
                <w:rFonts w:ascii="宋体" w:hAnsi="宋体" w:cs="宋体" w:eastAsia="宋体" w:hint="default"/>
                <w:sz w:val="18"/>
                <w:szCs w:val="18"/>
              </w:rPr>
              <w:t>本期已 使用募 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9" w:right="159"/>
              <w:jc w:val="both"/>
              <w:rPr>
                <w:rFonts w:ascii="宋体" w:hAnsi="宋体" w:cs="宋体" w:eastAsia="宋体" w:hint="default"/>
                <w:sz w:val="18"/>
                <w:szCs w:val="18"/>
              </w:rPr>
            </w:pPr>
            <w:r>
              <w:rPr>
                <w:rFonts w:ascii="宋体" w:hAnsi="宋体" w:cs="宋体" w:eastAsia="宋体" w:hint="default"/>
                <w:sz w:val="18"/>
                <w:szCs w:val="18"/>
              </w:rPr>
              <w:t>已累计 使用募 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9" w:right="157"/>
              <w:jc w:val="both"/>
              <w:rPr>
                <w:rFonts w:ascii="宋体" w:hAnsi="宋体" w:cs="宋体" w:eastAsia="宋体" w:hint="default"/>
                <w:sz w:val="18"/>
                <w:szCs w:val="18"/>
              </w:rPr>
            </w:pPr>
            <w:r>
              <w:rPr>
                <w:rFonts w:ascii="宋体" w:hAnsi="宋体" w:cs="宋体" w:eastAsia="宋体" w:hint="default"/>
                <w:sz w:val="18"/>
                <w:szCs w:val="18"/>
              </w:rPr>
              <w:t>报告期 内变更 用途的 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9" w:right="158"/>
              <w:jc w:val="center"/>
              <w:rPr>
                <w:rFonts w:ascii="宋体" w:hAnsi="宋体" w:cs="宋体" w:eastAsia="宋体" w:hint="default"/>
                <w:sz w:val="18"/>
                <w:szCs w:val="18"/>
              </w:rPr>
            </w:pPr>
            <w:r>
              <w:rPr>
                <w:rFonts w:ascii="宋体" w:hAnsi="宋体" w:cs="宋体" w:eastAsia="宋体" w:hint="default"/>
                <w:sz w:val="18"/>
                <w:szCs w:val="18"/>
              </w:rPr>
              <w:t>累计变 更用途 的募集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9" w:right="158"/>
              <w:jc w:val="both"/>
              <w:rPr>
                <w:rFonts w:ascii="宋体" w:hAnsi="宋体" w:cs="宋体" w:eastAsia="宋体" w:hint="default"/>
                <w:sz w:val="18"/>
                <w:szCs w:val="18"/>
              </w:rPr>
            </w:pPr>
            <w:r>
              <w:rPr>
                <w:rFonts w:ascii="宋体" w:hAnsi="宋体" w:cs="宋体" w:eastAsia="宋体" w:hint="default"/>
                <w:sz w:val="18"/>
                <w:szCs w:val="18"/>
              </w:rPr>
              <w:t>累计变 更用途 的募集 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60" w:right="158"/>
              <w:jc w:val="center"/>
              <w:rPr>
                <w:rFonts w:ascii="宋体" w:hAnsi="宋体" w:cs="宋体" w:eastAsia="宋体" w:hint="default"/>
                <w:sz w:val="18"/>
                <w:szCs w:val="18"/>
              </w:rPr>
            </w:pPr>
            <w:r>
              <w:rPr>
                <w:rFonts w:ascii="宋体" w:hAnsi="宋体" w:cs="宋体" w:eastAsia="宋体" w:hint="default"/>
                <w:sz w:val="18"/>
                <w:szCs w:val="18"/>
              </w:rPr>
              <w:t>尚未使 用募集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9" w:right="158"/>
              <w:jc w:val="center"/>
              <w:rPr>
                <w:rFonts w:ascii="宋体" w:hAnsi="宋体" w:cs="宋体" w:eastAsia="宋体" w:hint="default"/>
                <w:sz w:val="18"/>
                <w:szCs w:val="18"/>
              </w:rPr>
            </w:pPr>
            <w:r>
              <w:rPr>
                <w:rFonts w:ascii="宋体" w:hAnsi="宋体" w:cs="宋体" w:eastAsia="宋体" w:hint="default"/>
                <w:sz w:val="18"/>
                <w:szCs w:val="18"/>
              </w:rPr>
              <w:t>尚未使 用募集 资金用 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9" w:right="157"/>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215"/>
              <w:jc w:val="left"/>
              <w:rPr>
                <w:rFonts w:ascii="宋体" w:hAnsi="宋体" w:cs="宋体" w:eastAsia="宋体" w:hint="default"/>
                <w:sz w:val="18"/>
                <w:szCs w:val="18"/>
              </w:rPr>
            </w:pPr>
            <w:r>
              <w:rPr>
                <w:rFonts w:ascii="宋体" w:hAnsi="宋体" w:cs="宋体" w:eastAsia="宋体" w:hint="default"/>
                <w:sz w:val="18"/>
                <w:szCs w:val="18"/>
              </w:rPr>
              <w:t>公开发 行股票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33,210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9,469.64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Times New Roman" w:hAnsi="Times New Roman" w:cs="Times New Roman" w:eastAsia="Times New Roman" w:hint="default"/>
                <w:sz w:val="16"/>
                <w:szCs w:val="16"/>
              </w:rPr>
            </w:pPr>
            <w:r>
              <w:rPr>
                <w:rFonts w:ascii="Times New Roman"/>
                <w:sz w:val="16"/>
              </w:rPr>
              <w:t>21,647.57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8,862.43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66"/>
              <w:ind w:left="103" w:right="116"/>
              <w:jc w:val="both"/>
              <w:rPr>
                <w:rFonts w:ascii="宋体" w:hAnsi="宋体" w:cs="宋体" w:eastAsia="宋体" w:hint="default"/>
                <w:sz w:val="16"/>
                <w:szCs w:val="16"/>
              </w:rPr>
            </w:pPr>
            <w:r>
              <w:rPr>
                <w:rFonts w:ascii="宋体" w:hAnsi="宋体" w:cs="宋体" w:eastAsia="宋体" w:hint="default"/>
                <w:sz w:val="16"/>
                <w:szCs w:val="16"/>
              </w:rPr>
              <w:t>存放于募</w:t>
            </w:r>
            <w:r>
              <w:rPr>
                <w:rFonts w:ascii="宋体" w:hAnsi="宋体" w:cs="宋体" w:eastAsia="宋体" w:hint="default"/>
                <w:w w:val="99"/>
                <w:sz w:val="16"/>
                <w:szCs w:val="16"/>
              </w:rPr>
              <w:t> </w:t>
            </w:r>
            <w:r>
              <w:rPr>
                <w:rFonts w:ascii="宋体" w:hAnsi="宋体" w:cs="宋体" w:eastAsia="宋体" w:hint="default"/>
                <w:sz w:val="16"/>
                <w:szCs w:val="16"/>
              </w:rPr>
              <w:t>集资金专</w:t>
            </w:r>
            <w:r>
              <w:rPr>
                <w:rFonts w:ascii="宋体" w:hAnsi="宋体" w:cs="宋体" w:eastAsia="宋体" w:hint="default"/>
                <w:w w:val="99"/>
                <w:sz w:val="16"/>
                <w:szCs w:val="16"/>
              </w:rPr>
              <w:t> </w:t>
            </w:r>
            <w:r>
              <w:rPr>
                <w:rFonts w:ascii="宋体" w:hAnsi="宋体" w:cs="宋体" w:eastAsia="宋体" w:hint="default"/>
                <w:sz w:val="16"/>
                <w:szCs w:val="16"/>
              </w:rPr>
              <w:t>户中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33,210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9,469.64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7" w:right="0"/>
              <w:jc w:val="left"/>
              <w:rPr>
                <w:rFonts w:ascii="Times New Roman" w:hAnsi="Times New Roman" w:cs="Times New Roman" w:eastAsia="Times New Roman" w:hint="default"/>
                <w:sz w:val="16"/>
                <w:szCs w:val="16"/>
              </w:rPr>
            </w:pPr>
            <w:r>
              <w:rPr>
                <w:rFonts w:ascii="Times New Roman"/>
                <w:sz w:val="16"/>
              </w:rPr>
              <w:t>21,647.57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8,862.43</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026"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（一）扣除发行费用后的实际募集资金金额、资金到账时间</w:t>
            </w:r>
          </w:p>
          <w:p>
            <w:pPr>
              <w:pStyle w:val="TableParagraph"/>
              <w:spacing w:line="300" w:lineRule="auto" w:before="116"/>
              <w:ind w:left="103" w:right="99"/>
              <w:jc w:val="left"/>
              <w:rPr>
                <w:rFonts w:ascii="宋体" w:hAnsi="宋体" w:cs="宋体" w:eastAsia="宋体" w:hint="default"/>
                <w:sz w:val="18"/>
                <w:szCs w:val="18"/>
              </w:rPr>
            </w:pPr>
            <w:r>
              <w:rPr>
                <w:rFonts w:ascii="宋体" w:hAnsi="宋体" w:cs="宋体" w:eastAsia="宋体" w:hint="default"/>
                <w:sz w:val="18"/>
                <w:szCs w:val="18"/>
              </w:rPr>
              <w:t>经中国证券监督管理委员会</w:t>
            </w:r>
            <w:r>
              <w:rPr>
                <w:rFonts w:ascii="宋体" w:hAnsi="宋体" w:cs="宋体" w:eastAsia="宋体" w:hint="default"/>
                <w:spacing w:val="-66"/>
                <w:sz w:val="18"/>
                <w:szCs w:val="18"/>
              </w:rPr>
              <w:t> </w:t>
            </w:r>
            <w:r>
              <w:rPr>
                <w:rFonts w:ascii="宋体" w:hAnsi="宋体" w:cs="宋体" w:eastAsia="宋体" w:hint="default"/>
                <w:sz w:val="18"/>
                <w:szCs w:val="18"/>
              </w:rPr>
              <w:t>《关于核准北京先进数通信息技术股份公司首次公开发行股票的批复</w:t>
            </w:r>
            <w:r>
              <w:rPr>
                <w:rFonts w:ascii="宋体" w:hAnsi="宋体" w:cs="宋体" w:eastAsia="宋体" w:hint="default"/>
                <w:spacing w:val="-157"/>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[2016]1885 </w:t>
            </w:r>
            <w:r>
              <w:rPr>
                <w:rFonts w:ascii="宋体" w:hAnsi="宋体" w:cs="宋体" w:eastAsia="宋体" w:hint="default"/>
                <w:sz w:val="18"/>
                <w:szCs w:val="18"/>
              </w:rPr>
              <w:t>号）核准，北京先进数通信息技术股份公司（以下简称“公司”或“本公司</w:t>
            </w:r>
            <w:r>
              <w:rPr>
                <w:rFonts w:ascii="宋体" w:hAnsi="宋体" w:cs="宋体" w:eastAsia="宋体" w:hint="default"/>
                <w:spacing w:val="-90"/>
                <w:sz w:val="18"/>
                <w:szCs w:val="18"/>
              </w:rPr>
              <w:t>”</w:t>
            </w:r>
            <w:r>
              <w:rPr>
                <w:rFonts w:ascii="宋体" w:hAnsi="宋体" w:cs="宋体" w:eastAsia="宋体" w:hint="default"/>
                <w:sz w:val="18"/>
                <w:szCs w:val="18"/>
              </w:rPr>
              <w:t>）采用公开发行股票的方式发行人民币普</w:t>
            </w:r>
          </w:p>
        </w:tc>
      </w:tr>
    </w:tbl>
    <w:p>
      <w:pPr>
        <w:spacing w:after="0" w:line="30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宋体" w:hAnsi="宋体" w:cs="宋体" w:eastAsia="宋体" w:hint="default"/>
          <w:sz w:val="25"/>
          <w:szCs w:val="25"/>
        </w:rPr>
      </w:pPr>
    </w:p>
    <w:p>
      <w:pPr>
        <w:spacing w:line="3914" w:lineRule="exact"/>
        <w:ind w:left="1134" w:right="0" w:firstLine="0"/>
        <w:rPr>
          <w:rFonts w:ascii="宋体" w:hAnsi="宋体" w:cs="宋体" w:eastAsia="宋体" w:hint="default"/>
          <w:sz w:val="20"/>
          <w:szCs w:val="20"/>
        </w:rPr>
      </w:pPr>
      <w:r>
        <w:rPr>
          <w:rFonts w:ascii="宋体" w:hAnsi="宋体" w:cs="宋体" w:eastAsia="宋体" w:hint="default"/>
          <w:position w:val="-77"/>
          <w:sz w:val="20"/>
          <w:szCs w:val="20"/>
        </w:rPr>
        <w:pict>
          <v:shape style="width:478.2pt;height:195.75pt;mso-position-horizontal-relative:char;mso-position-vertical-relative:line" type="#_x0000_t202" filled="false" stroked="true" strokeweight=".48pt" strokecolor="#000000">
            <w10:anchorlock/>
            <v:textbox inset="0,0,0,0">
              <w:txbxContent>
                <w:p>
                  <w:pPr>
                    <w:pStyle w:val="BodyText"/>
                    <w:spacing w:line="300" w:lineRule="auto" w:before="10"/>
                    <w:ind w:left="103" w:right="103"/>
                    <w:jc w:val="both"/>
                  </w:pPr>
                  <w:r>
                    <w:rPr/>
                    <w:t>通股（</w:t>
                  </w:r>
                  <w:r>
                    <w:rPr>
                      <w:rFonts w:ascii="Times New Roman" w:hAnsi="Times New Roman" w:cs="Times New Roman" w:eastAsia="Times New Roman" w:hint="default"/>
                    </w:rPr>
                    <w:t>A</w:t>
                  </w:r>
                  <w:r>
                    <w:rPr>
                      <w:rFonts w:ascii="Times New Roman" w:hAnsi="Times New Roman" w:cs="Times New Roman" w:eastAsia="Times New Roman" w:hint="default"/>
                      <w:spacing w:val="34"/>
                    </w:rPr>
                    <w:t> </w:t>
                  </w:r>
                  <w:r>
                    <w:rPr/>
                    <w:t>股）</w:t>
                  </w:r>
                  <w:r>
                    <w:rPr>
                      <w:rFonts w:ascii="Times New Roman" w:hAnsi="Times New Roman" w:cs="Times New Roman" w:eastAsia="Times New Roman" w:hint="default"/>
                    </w:rPr>
                    <w:t>3000</w:t>
                  </w:r>
                  <w:r>
                    <w:rPr>
                      <w:rFonts w:ascii="Times New Roman" w:hAnsi="Times New Roman" w:cs="Times New Roman" w:eastAsia="Times New Roman" w:hint="default"/>
                      <w:spacing w:val="-2"/>
                    </w:rPr>
                    <w:t> </w:t>
                  </w:r>
                  <w:r>
                    <w:rPr/>
                    <w:t>万股，发行价格为每股</w:t>
                  </w:r>
                  <w:r>
                    <w:rPr>
                      <w:spacing w:val="-47"/>
                    </w:rPr>
                    <w:t> </w:t>
                  </w:r>
                  <w:r>
                    <w:rPr>
                      <w:rFonts w:ascii="Times New Roman" w:hAnsi="Times New Roman" w:cs="Times New Roman" w:eastAsia="Times New Roman" w:hint="default"/>
                    </w:rPr>
                    <w:t>11.07</w:t>
                  </w:r>
                  <w:r>
                    <w:rPr>
                      <w:rFonts w:ascii="Times New Roman" w:hAnsi="Times New Roman" w:cs="Times New Roman" w:eastAsia="Times New Roman" w:hint="default"/>
                      <w:spacing w:val="-1"/>
                    </w:rPr>
                    <w:t> </w:t>
                  </w:r>
                  <w:r>
                    <w:rPr/>
                    <w:t>元。截止</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日，本公司实际已向社会公开发行人民币普通 股（</w:t>
                  </w:r>
                  <w:r>
                    <w:rPr>
                      <w:rFonts w:ascii="Times New Roman" w:hAnsi="Times New Roman" w:cs="Times New Roman" w:eastAsia="Times New Roman" w:hint="default"/>
                    </w:rPr>
                    <w:t>A</w:t>
                  </w:r>
                  <w:r>
                    <w:rPr>
                      <w:rFonts w:ascii="Times New Roman" w:hAnsi="Times New Roman" w:cs="Times New Roman" w:eastAsia="Times New Roman" w:hint="default"/>
                      <w:spacing w:val="-5"/>
                    </w:rPr>
                    <w:t> </w:t>
                  </w:r>
                  <w:r>
                    <w:rPr/>
                    <w:t>股）</w:t>
                  </w:r>
                  <w:r>
                    <w:rPr>
                      <w:rFonts w:ascii="Times New Roman" w:hAnsi="Times New Roman" w:cs="Times New Roman" w:eastAsia="Times New Roman" w:hint="default"/>
                    </w:rPr>
                    <w:t>3000</w:t>
                  </w:r>
                  <w:r>
                    <w:rPr>
                      <w:rFonts w:ascii="Times New Roman" w:hAnsi="Times New Roman" w:cs="Times New Roman" w:eastAsia="Times New Roman" w:hint="default"/>
                      <w:spacing w:val="-5"/>
                    </w:rPr>
                    <w:t> </w:t>
                  </w:r>
                  <w:r>
                    <w:rPr/>
                    <w:t>万股，募集资金总额</w:t>
                  </w:r>
                  <w:r>
                    <w:rPr>
                      <w:spacing w:val="-50"/>
                    </w:rPr>
                    <w:t> </w:t>
                  </w:r>
                  <w:r>
                    <w:rPr>
                      <w:rFonts w:ascii="Times New Roman" w:hAnsi="Times New Roman" w:cs="Times New Roman" w:eastAsia="Times New Roman" w:hint="default"/>
                    </w:rPr>
                    <w:t>332,100,000.00</w:t>
                  </w:r>
                  <w:r>
                    <w:rPr>
                      <w:rFonts w:ascii="Times New Roman" w:hAnsi="Times New Roman" w:cs="Times New Roman" w:eastAsia="Times New Roman" w:hint="default"/>
                      <w:spacing w:val="-4"/>
                    </w:rPr>
                    <w:t> </w:t>
                  </w:r>
                  <w:r>
                    <w:rPr/>
                    <w:t>元，扣除承销费、保荐费、审计费、律师费、信息披露等发行费用 </w:t>
                  </w:r>
                  <w:r>
                    <w:rPr>
                      <w:rFonts w:ascii="Times New Roman" w:hAnsi="Times New Roman" w:cs="Times New Roman" w:eastAsia="Times New Roman" w:hint="default"/>
                    </w:rPr>
                    <w:t>27,000,000.00</w:t>
                  </w:r>
                  <w:r>
                    <w:rPr>
                      <w:rFonts w:ascii="Times New Roman" w:hAnsi="Times New Roman" w:cs="Times New Roman" w:eastAsia="Times New Roman" w:hint="default"/>
                      <w:spacing w:val="-1"/>
                    </w:rPr>
                    <w:t> </w:t>
                  </w:r>
                  <w:r>
                    <w:rPr/>
                    <w:t>元后，实际募集资金净额为人民币</w:t>
                  </w:r>
                  <w:r>
                    <w:rPr>
                      <w:spacing w:val="-47"/>
                    </w:rPr>
                    <w:t> </w:t>
                  </w:r>
                  <w:r>
                    <w:rPr>
                      <w:rFonts w:ascii="Times New Roman" w:hAnsi="Times New Roman" w:cs="Times New Roman" w:eastAsia="Times New Roman" w:hint="default"/>
                    </w:rPr>
                    <w:t>305,100,000.00</w:t>
                  </w:r>
                  <w:r>
                    <w:rPr>
                      <w:rFonts w:ascii="Times New Roman" w:hAnsi="Times New Roman" w:cs="Times New Roman" w:eastAsia="Times New Roman" w:hint="default"/>
                      <w:spacing w:val="-2"/>
                    </w:rPr>
                    <w:t> </w:t>
                  </w:r>
                  <w:r>
                    <w:rPr/>
                    <w:t>元。上述资金到位情况已经大信会计师事务所（特殊普</w:t>
                  </w:r>
                </w:p>
                <w:p>
                  <w:pPr>
                    <w:pStyle w:val="BodyText"/>
                    <w:spacing w:line="240" w:lineRule="auto" w:before="14"/>
                    <w:ind w:left="103" w:right="0"/>
                    <w:jc w:val="both"/>
                  </w:pPr>
                  <w:r>
                    <w:rPr/>
                    <w:t>通合伙）验证，并出具了大信验字</w:t>
                  </w:r>
                  <w:r>
                    <w:rPr>
                      <w:rFonts w:ascii="Times New Roman" w:hAnsi="Times New Roman" w:cs="Times New Roman" w:eastAsia="Times New Roman" w:hint="default"/>
                    </w:rPr>
                    <w:t>[2016]</w:t>
                  </w:r>
                  <w:r>
                    <w:rPr/>
                    <w:t>第</w:t>
                  </w:r>
                  <w:r>
                    <w:rPr>
                      <w:spacing w:val="-46"/>
                    </w:rPr>
                    <w:t> </w:t>
                  </w:r>
                  <w:r>
                    <w:rPr>
                      <w:rFonts w:ascii="Times New Roman" w:hAnsi="Times New Roman" w:cs="Times New Roman" w:eastAsia="Times New Roman" w:hint="default"/>
                    </w:rPr>
                    <w:t>1-00194</w:t>
                  </w:r>
                  <w:r>
                    <w:rPr>
                      <w:rFonts w:ascii="Times New Roman" w:hAnsi="Times New Roman" w:cs="Times New Roman" w:eastAsia="Times New Roman" w:hint="default"/>
                      <w:spacing w:val="-1"/>
                    </w:rPr>
                    <w:t> </w:t>
                  </w:r>
                  <w:r>
                    <w:rPr/>
                    <w:t>文号的验资报告。</w:t>
                  </w:r>
                </w:p>
                <w:p>
                  <w:pPr>
                    <w:pStyle w:val="BodyText"/>
                    <w:spacing w:line="240" w:lineRule="auto" w:before="104"/>
                    <w:ind w:left="103" w:right="0"/>
                    <w:jc w:val="both"/>
                  </w:pPr>
                  <w:r>
                    <w:rPr/>
                    <w:t>（二）以前年度已使用金额、本年度使用金额及当前余额</w:t>
                  </w:r>
                </w:p>
                <w:p>
                  <w:pPr>
                    <w:pStyle w:val="BodyText"/>
                    <w:spacing w:line="240" w:lineRule="auto" w:before="115"/>
                    <w:ind w:left="103" w:right="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年度，募集资金项目投入金额合计</w:t>
                  </w:r>
                  <w:r>
                    <w:rPr>
                      <w:spacing w:val="-46"/>
                    </w:rPr>
                    <w:t> </w:t>
                  </w:r>
                  <w:r>
                    <w:rPr>
                      <w:rFonts w:ascii="Times New Roman" w:hAnsi="Times New Roman" w:cs="Times New Roman" w:eastAsia="Times New Roman" w:hint="default"/>
                    </w:rPr>
                    <w:t>9,446.81 </w:t>
                  </w:r>
                  <w:r>
                    <w:rPr/>
                    <w:t>万元，均系直接投入承诺投资项目。另外，</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年度，本公司未使用</w:t>
                  </w:r>
                </w:p>
                <w:p>
                  <w:pPr>
                    <w:pStyle w:val="BodyText"/>
                    <w:spacing w:line="240" w:lineRule="auto" w:before="63"/>
                    <w:ind w:left="103" w:right="0"/>
                    <w:jc w:val="both"/>
                  </w:pPr>
                  <w:r>
                    <w:rPr/>
                    <w:t>闲置募集资金进行现金管理。截止</w:t>
                  </w:r>
                  <w:r>
                    <w:rPr>
                      <w:spacing w:val="-4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日，本公司募集资金账户余额为</w:t>
                  </w:r>
                  <w:r>
                    <w:rPr>
                      <w:spacing w:val="-48"/>
                    </w:rPr>
                    <w:t> </w:t>
                  </w:r>
                  <w:r>
                    <w:rPr>
                      <w:rFonts w:ascii="Times New Roman" w:hAnsi="Times New Roman" w:cs="Times New Roman" w:eastAsia="Times New Roman" w:hint="default"/>
                    </w:rPr>
                    <w:t>18,384.51</w:t>
                  </w:r>
                  <w:r>
                    <w:rPr>
                      <w:rFonts w:ascii="Times New Roman" w:hAnsi="Times New Roman" w:cs="Times New Roman" w:eastAsia="Times New Roman" w:hint="default"/>
                      <w:spacing w:val="-2"/>
                    </w:rPr>
                    <w:t> </w:t>
                  </w:r>
                  <w:r>
                    <w:rPr/>
                    <w:t>万元，其中活期存款账户</w:t>
                  </w:r>
                </w:p>
                <w:p>
                  <w:pPr>
                    <w:pStyle w:val="BodyText"/>
                    <w:spacing w:line="240" w:lineRule="auto" w:before="64"/>
                    <w:ind w:left="103" w:right="0"/>
                    <w:jc w:val="both"/>
                  </w:pPr>
                  <w:r>
                    <w:rPr/>
                    <w:t>余额为</w:t>
                  </w:r>
                  <w:r>
                    <w:rPr>
                      <w:spacing w:val="-47"/>
                    </w:rPr>
                    <w:t> </w:t>
                  </w:r>
                  <w:r>
                    <w:rPr>
                      <w:rFonts w:ascii="Times New Roman" w:hAnsi="Times New Roman" w:cs="Times New Roman" w:eastAsia="Times New Roman" w:hint="default"/>
                    </w:rPr>
                    <w:t>18,384.51</w:t>
                  </w:r>
                  <w:r>
                    <w:rPr>
                      <w:rFonts w:ascii="Times New Roman" w:hAnsi="Times New Roman" w:cs="Times New Roman" w:eastAsia="Times New Roman" w:hint="default"/>
                      <w:spacing w:val="-2"/>
                    </w:rPr>
                    <w:t> </w:t>
                  </w:r>
                  <w:r>
                    <w:rPr/>
                    <w:t>万元。</w:t>
                  </w:r>
                </w:p>
                <w:p>
                  <w:pPr>
                    <w:pStyle w:val="BodyText"/>
                    <w:spacing w:line="240" w:lineRule="auto" w:before="101"/>
                    <w:ind w:left="103" w:right="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年度，募集资金项目投入金额合计</w:t>
                  </w:r>
                  <w:r>
                    <w:rPr>
                      <w:spacing w:val="-46"/>
                    </w:rPr>
                    <w:t> </w:t>
                  </w:r>
                  <w:r>
                    <w:rPr>
                      <w:rFonts w:ascii="Times New Roman" w:hAnsi="Times New Roman" w:cs="Times New Roman" w:eastAsia="Times New Roman" w:hint="default"/>
                    </w:rPr>
                    <w:t>9,469.64 </w:t>
                  </w:r>
                  <w:r>
                    <w:rPr/>
                    <w:t>万元，均系直接投入承诺投资项目。另外，截至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240" w:lineRule="auto" w:before="63"/>
                    <w:ind w:left="103" w:right="0"/>
                    <w:jc w:val="both"/>
                  </w:pPr>
                  <w:r>
                    <w:rPr/>
                    <w:t>本公司使用闲置募集资金进行现金管理余额共计</w:t>
                  </w:r>
                  <w:r>
                    <w:rPr>
                      <w:spacing w:val="-42"/>
                    </w:rPr>
                    <w:t> </w:t>
                  </w:r>
                  <w:r>
                    <w:rPr>
                      <w:rFonts w:ascii="Times New Roman" w:hAnsi="Times New Roman" w:cs="Times New Roman" w:eastAsia="Times New Roman" w:hint="default"/>
                    </w:rPr>
                    <w:t>8,800.00</w:t>
                  </w:r>
                  <w:r>
                    <w:rPr>
                      <w:rFonts w:ascii="Times New Roman" w:hAnsi="Times New Roman" w:cs="Times New Roman" w:eastAsia="Times New Roman" w:hint="default"/>
                      <w:spacing w:val="1"/>
                    </w:rPr>
                    <w:t> </w:t>
                  </w:r>
                  <w:r>
                    <w:rPr>
                      <w:spacing w:val="-3"/>
                    </w:rPr>
                    <w:t>万元，募集资金专户利息收入</w:t>
                  </w:r>
                  <w:r>
                    <w:rPr>
                      <w:spacing w:val="-44"/>
                    </w:rPr>
                    <w:t> </w:t>
                  </w:r>
                  <w:r>
                    <w:rPr>
                      <w:rFonts w:ascii="Times New Roman" w:hAnsi="Times New Roman" w:cs="Times New Roman" w:eastAsia="Times New Roman" w:hint="default"/>
                    </w:rPr>
                    <w:t>299.37</w:t>
                  </w:r>
                  <w:r>
                    <w:rPr>
                      <w:rFonts w:ascii="Times New Roman" w:hAnsi="Times New Roman" w:cs="Times New Roman" w:eastAsia="Times New Roman" w:hint="default"/>
                      <w:spacing w:val="3"/>
                    </w:rPr>
                    <w:t> </w:t>
                  </w:r>
                  <w:r>
                    <w:rPr>
                      <w:spacing w:val="-3"/>
                    </w:rPr>
                    <w:t>万元，募集资金专户手续</w:t>
                  </w:r>
                </w:p>
                <w:p>
                  <w:pPr>
                    <w:pStyle w:val="BodyText"/>
                    <w:spacing w:line="240" w:lineRule="auto" w:before="63"/>
                    <w:ind w:left="103" w:right="0"/>
                    <w:jc w:val="both"/>
                    <w:rPr>
                      <w:rFonts w:ascii="Times New Roman" w:hAnsi="Times New Roman" w:cs="Times New Roman" w:eastAsia="Times New Roman" w:hint="default"/>
                    </w:rPr>
                  </w:pPr>
                  <w:r>
                    <w:rPr/>
                    <w:t>费支出</w:t>
                  </w:r>
                  <w:r>
                    <w:rPr>
                      <w:spacing w:val="-48"/>
                    </w:rPr>
                    <w:t> </w:t>
                  </w:r>
                  <w:r>
                    <w:rPr>
                      <w:rFonts w:ascii="Times New Roman" w:hAnsi="Times New Roman" w:cs="Times New Roman" w:eastAsia="Times New Roman" w:hint="default"/>
                    </w:rPr>
                    <w:t>0.12</w:t>
                  </w:r>
                  <w:r>
                    <w:rPr>
                      <w:rFonts w:ascii="Times New Roman" w:hAnsi="Times New Roman" w:cs="Times New Roman" w:eastAsia="Times New Roman" w:hint="default"/>
                      <w:spacing w:val="-3"/>
                    </w:rPr>
                    <w:t> </w:t>
                  </w:r>
                  <w:r>
                    <w:rPr/>
                    <w:t>万元，截止</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日，本公司募集资金账户余额为</w:t>
                  </w:r>
                  <w:r>
                    <w:rPr>
                      <w:spacing w:val="-48"/>
                    </w:rPr>
                    <w:t> </w:t>
                  </w:r>
                  <w:r>
                    <w:rPr>
                      <w:rFonts w:ascii="Times New Roman" w:hAnsi="Times New Roman" w:cs="Times New Roman" w:eastAsia="Times New Roman" w:hint="default"/>
                    </w:rPr>
                    <w:t>414.11</w:t>
                  </w:r>
                  <w:r>
                    <w:rPr>
                      <w:rFonts w:ascii="Times New Roman" w:hAnsi="Times New Roman" w:cs="Times New Roman" w:eastAsia="Times New Roman" w:hint="default"/>
                      <w:spacing w:val="-3"/>
                    </w:rPr>
                    <w:t> </w:t>
                  </w:r>
                  <w:r>
                    <w:rPr/>
                    <w:t>万元，其中活期存款账户余额为</w:t>
                  </w:r>
                  <w:r>
                    <w:rPr>
                      <w:spacing w:val="-48"/>
                    </w:rPr>
                    <w:t> </w:t>
                  </w:r>
                  <w:r>
                    <w:rPr>
                      <w:rFonts w:ascii="Times New Roman" w:hAnsi="Times New Roman" w:cs="Times New Roman" w:eastAsia="Times New Roman" w:hint="default"/>
                    </w:rPr>
                    <w:t>414.11</w:t>
                  </w:r>
                </w:p>
                <w:p>
                  <w:pPr>
                    <w:pStyle w:val="BodyText"/>
                    <w:spacing w:line="240" w:lineRule="auto" w:before="64"/>
                    <w:ind w:left="103" w:right="0"/>
                    <w:jc w:val="both"/>
                  </w:pPr>
                  <w:r>
                    <w:rPr/>
                    <w:t>万元。</w:t>
                  </w:r>
                </w:p>
              </w:txbxContent>
            </v:textbox>
          </v:shape>
        </w:pict>
      </w:r>
      <w:r>
        <w:rPr>
          <w:rFonts w:ascii="宋体" w:hAnsi="宋体" w:cs="宋体" w:eastAsia="宋体" w:hint="default"/>
          <w:position w:val="-77"/>
          <w:sz w:val="20"/>
          <w:szCs w:val="20"/>
        </w:rPr>
      </w:r>
    </w:p>
    <w:p>
      <w:pPr>
        <w:spacing w:line="240" w:lineRule="auto" w:before="8"/>
        <w:rPr>
          <w:rFonts w:ascii="宋体" w:hAnsi="宋体" w:cs="宋体" w:eastAsia="宋体" w:hint="default"/>
          <w:sz w:val="19"/>
          <w:szCs w:val="19"/>
        </w:rPr>
      </w:pPr>
    </w:p>
    <w:p>
      <w:pPr>
        <w:pStyle w:val="Heading5"/>
        <w:spacing w:line="240" w:lineRule="auto" w:before="35"/>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650"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29" w:right="15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4" w:right="11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 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5" w:right="11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5"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3" w:right="113"/>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5"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115" w:right="11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5" w:right="11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5" w:right="113"/>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5" w:right="113"/>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5" w:right="113"/>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25"/>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SOA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架构的金 融渠道和业务平台 </w:t>
            </w:r>
            <w:r>
              <w:rPr>
                <w:rFonts w:ascii="Times New Roman" w:hAnsi="Times New Roman" w:cs="Times New Roman" w:eastAsia="Times New Roman" w:hint="default"/>
                <w:sz w:val="18"/>
                <w:szCs w:val="18"/>
              </w:rPr>
              <w:t>Starring6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6"/>
                <w:szCs w:val="16"/>
              </w:rPr>
            </w:pPr>
            <w:r>
              <w:rPr>
                <w:rFonts w:ascii="Times New Roman"/>
                <w:sz w:val="16"/>
              </w:rPr>
              <w:t>1,091.39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w w:val="95"/>
                <w:sz w:val="16"/>
              </w:rPr>
              <w:t>2,376.84</w:t>
            </w:r>
            <w:r>
              <w:rPr>
                <w:rFonts w:ascii="Times New Roman"/>
                <w:sz w:val="16"/>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52.82%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2018 </w:t>
            </w:r>
            <w:r>
              <w:rPr>
                <w:rFonts w:ascii="宋体" w:hAnsi="宋体" w:cs="宋体" w:eastAsia="宋体" w:hint="default"/>
                <w:sz w:val="13"/>
                <w:szCs w:val="13"/>
              </w:rPr>
              <w:t>年</w:t>
            </w:r>
            <w:r>
              <w:rPr>
                <w:rFonts w:ascii="宋体" w:hAnsi="宋体" w:cs="宋体" w:eastAsia="宋体" w:hint="default"/>
                <w:spacing w:val="-55"/>
                <w:sz w:val="13"/>
                <w:szCs w:val="13"/>
              </w:rPr>
              <w:t> </w:t>
            </w:r>
            <w:r>
              <w:rPr>
                <w:rFonts w:ascii="Times New Roman" w:hAnsi="Times New Roman" w:cs="Times New Roman" w:eastAsia="Times New Roman" w:hint="default"/>
                <w:sz w:val="13"/>
                <w:szCs w:val="13"/>
              </w:rPr>
              <w:t>09</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30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6"/>
                <w:szCs w:val="16"/>
              </w:rPr>
            </w:pPr>
            <w:r>
              <w:rPr>
                <w:rFonts w:ascii="Times New Roman"/>
                <w:sz w:val="16"/>
              </w:rPr>
              <w:t>1,422.57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66"/>
              <w:ind w:left="103" w:right="216"/>
              <w:jc w:val="left"/>
              <w:rPr>
                <w:rFonts w:ascii="宋体" w:hAnsi="宋体" w:cs="宋体" w:eastAsia="宋体" w:hint="default"/>
                <w:sz w:val="16"/>
                <w:szCs w:val="16"/>
              </w:rPr>
            </w:pPr>
            <w:r>
              <w:rPr>
                <w:rFonts w:ascii="宋体" w:hAnsi="宋体" w:cs="宋体" w:eastAsia="宋体" w:hint="default"/>
                <w:sz w:val="16"/>
                <w:szCs w:val="16"/>
              </w:rPr>
              <w:t>企业数据管理及应用</w:t>
            </w:r>
            <w:r>
              <w:rPr>
                <w:rFonts w:ascii="宋体" w:hAnsi="宋体" w:cs="宋体" w:eastAsia="宋体" w:hint="default"/>
                <w:w w:val="99"/>
                <w:sz w:val="16"/>
                <w:szCs w:val="16"/>
              </w:rPr>
              <w:t> </w:t>
            </w:r>
            <w:r>
              <w:rPr>
                <w:rFonts w:ascii="宋体" w:hAnsi="宋体" w:cs="宋体" w:eastAsia="宋体" w:hint="default"/>
                <w:sz w:val="16"/>
                <w:szCs w:val="16"/>
              </w:rPr>
              <w:t>软件包</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iMOIA</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83" w:right="0"/>
              <w:jc w:val="center"/>
              <w:rPr>
                <w:rFonts w:ascii="Times New Roman" w:hAnsi="Times New Roman" w:cs="Times New Roman" w:eastAsia="Times New Roman" w:hint="default"/>
                <w:sz w:val="16"/>
                <w:szCs w:val="16"/>
              </w:rPr>
            </w:pPr>
            <w:r>
              <w:rPr>
                <w:rFonts w:ascii="Times New Roman"/>
                <w:sz w:val="16"/>
              </w:rPr>
              <w:t>1,749.9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w w:val="95"/>
                <w:sz w:val="16"/>
              </w:rPr>
              <w:t>1,999.88</w:t>
            </w:r>
            <w:r>
              <w:rPr>
                <w:rFonts w:ascii="Times New Roman"/>
                <w:sz w:val="16"/>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2018 </w:t>
            </w:r>
            <w:r>
              <w:rPr>
                <w:rFonts w:ascii="宋体" w:hAnsi="宋体" w:cs="宋体" w:eastAsia="宋体" w:hint="default"/>
                <w:sz w:val="13"/>
                <w:szCs w:val="13"/>
              </w:rPr>
              <w:t>年</w:t>
            </w:r>
            <w:r>
              <w:rPr>
                <w:rFonts w:ascii="宋体" w:hAnsi="宋体" w:cs="宋体" w:eastAsia="宋体" w:hint="default"/>
                <w:spacing w:val="-55"/>
                <w:sz w:val="13"/>
                <w:szCs w:val="13"/>
              </w:rPr>
              <w:t> </w:t>
            </w:r>
            <w:r>
              <w:rPr>
                <w:rFonts w:ascii="Times New Roman" w:hAnsi="Times New Roman" w:cs="Times New Roman" w:eastAsia="Times New Roman" w:hint="default"/>
                <w:sz w:val="13"/>
                <w:szCs w:val="13"/>
              </w:rPr>
              <w:t>09</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30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-216.22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统一客户服务平台</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UCSP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6"/>
                <w:szCs w:val="16"/>
              </w:rPr>
            </w:pPr>
            <w:r>
              <w:rPr>
                <w:rFonts w:ascii="Times New Roman"/>
                <w:sz w:val="16"/>
              </w:rPr>
              <w:t>1,068.34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w w:val="95"/>
                <w:sz w:val="16"/>
              </w:rPr>
              <w:t>1,303.16</w:t>
            </w:r>
            <w:r>
              <w:rPr>
                <w:rFonts w:ascii="Times New Roman"/>
                <w:sz w:val="16"/>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52.13%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2018 </w:t>
            </w:r>
            <w:r>
              <w:rPr>
                <w:rFonts w:ascii="宋体" w:hAnsi="宋体" w:cs="宋体" w:eastAsia="宋体" w:hint="default"/>
                <w:sz w:val="13"/>
                <w:szCs w:val="13"/>
              </w:rPr>
              <w:t>年</w:t>
            </w:r>
            <w:r>
              <w:rPr>
                <w:rFonts w:ascii="宋体" w:hAnsi="宋体" w:cs="宋体" w:eastAsia="宋体" w:hint="default"/>
                <w:spacing w:val="-55"/>
                <w:sz w:val="13"/>
                <w:szCs w:val="13"/>
              </w:rPr>
              <w:t> </w:t>
            </w:r>
            <w:r>
              <w:rPr>
                <w:rFonts w:ascii="Times New Roman" w:hAnsi="Times New Roman" w:cs="Times New Roman" w:eastAsia="Times New Roman" w:hint="default"/>
                <w:sz w:val="13"/>
                <w:szCs w:val="13"/>
              </w:rPr>
              <w:t>09</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30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-670.13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66"/>
              <w:ind w:left="103" w:right="216"/>
              <w:jc w:val="left"/>
              <w:rPr>
                <w:rFonts w:ascii="宋体" w:hAnsi="宋体" w:cs="宋体" w:eastAsia="宋体" w:hint="default"/>
                <w:sz w:val="16"/>
                <w:szCs w:val="16"/>
              </w:rPr>
            </w:pPr>
            <w:r>
              <w:rPr>
                <w:rFonts w:ascii="宋体" w:hAnsi="宋体" w:cs="宋体" w:eastAsia="宋体" w:hint="default"/>
                <w:sz w:val="16"/>
                <w:szCs w:val="16"/>
              </w:rPr>
              <w:t>统一通信平台及应用</w:t>
            </w:r>
            <w:r>
              <w:rPr>
                <w:rFonts w:ascii="宋体" w:hAnsi="宋体" w:cs="宋体" w:eastAsia="宋体" w:hint="default"/>
                <w:w w:val="99"/>
                <w:sz w:val="16"/>
                <w:szCs w:val="16"/>
              </w:rPr>
              <w:t> </w:t>
            </w:r>
            <w:r>
              <w:rPr>
                <w:rFonts w:ascii="宋体" w:hAnsi="宋体" w:cs="宋体" w:eastAsia="宋体" w:hint="default"/>
                <w:sz w:val="16"/>
                <w:szCs w:val="16"/>
              </w:rPr>
              <w:t>软件包</w:t>
            </w:r>
            <w:r>
              <w:rPr>
                <w:rFonts w:ascii="宋体" w:hAnsi="宋体" w:cs="宋体" w:eastAsia="宋体" w:hint="default"/>
                <w:spacing w:val="-40"/>
                <w:sz w:val="16"/>
                <w:szCs w:val="16"/>
              </w:rPr>
              <w:t> </w:t>
            </w:r>
            <w:r>
              <w:rPr>
                <w:rFonts w:ascii="Times New Roman" w:hAnsi="Times New Roman" w:cs="Times New Roman" w:eastAsia="Times New Roman" w:hint="default"/>
                <w:sz w:val="16"/>
                <w:szCs w:val="16"/>
              </w:rPr>
              <w:t>AUC2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2018 </w:t>
            </w:r>
            <w:r>
              <w:rPr>
                <w:rFonts w:ascii="宋体" w:hAnsi="宋体" w:cs="宋体" w:eastAsia="宋体" w:hint="default"/>
                <w:sz w:val="13"/>
                <w:szCs w:val="13"/>
              </w:rPr>
              <w:t>年</w:t>
            </w:r>
            <w:r>
              <w:rPr>
                <w:rFonts w:ascii="宋体" w:hAnsi="宋体" w:cs="宋体" w:eastAsia="宋体" w:hint="default"/>
                <w:spacing w:val="-55"/>
                <w:sz w:val="13"/>
                <w:szCs w:val="13"/>
              </w:rPr>
              <w:t> </w:t>
            </w:r>
            <w:r>
              <w:rPr>
                <w:rFonts w:ascii="Times New Roman" w:hAnsi="Times New Roman" w:cs="Times New Roman" w:eastAsia="Times New Roman" w:hint="default"/>
                <w:sz w:val="13"/>
                <w:szCs w:val="13"/>
              </w:rPr>
              <w:t>09</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30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5"/>
              <w:jc w:val="left"/>
              <w:rPr>
                <w:rFonts w:ascii="Times New Roman" w:hAnsi="Times New Roman" w:cs="Times New Roman" w:eastAsia="Times New Roman" w:hint="default"/>
                <w:sz w:val="18"/>
                <w:szCs w:val="18"/>
              </w:rPr>
            </w:pPr>
            <w:r>
              <w:rPr>
                <w:rFonts w:ascii="宋体" w:hAnsi="宋体" w:cs="宋体" w:eastAsia="宋体" w:hint="default"/>
                <w:sz w:val="18"/>
                <w:szCs w:val="18"/>
              </w:rPr>
              <w:t>大数据平台及应用 项目</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BDPAS</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4,510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6"/>
                <w:szCs w:val="16"/>
              </w:rPr>
            </w:pPr>
            <w:r>
              <w:rPr>
                <w:rFonts w:ascii="Times New Roman"/>
                <w:sz w:val="16"/>
              </w:rPr>
              <w:t>1,950.62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w w:val="95"/>
                <w:sz w:val="16"/>
              </w:rPr>
              <w:t>3,749.5</w:t>
            </w:r>
            <w:r>
              <w:rPr>
                <w:rFonts w:ascii="Times New Roman"/>
                <w:sz w:val="16"/>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83.14%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2018 </w:t>
            </w:r>
            <w:r>
              <w:rPr>
                <w:rFonts w:ascii="宋体" w:hAnsi="宋体" w:cs="宋体" w:eastAsia="宋体" w:hint="default"/>
                <w:sz w:val="13"/>
                <w:szCs w:val="13"/>
              </w:rPr>
              <w:t>年</w:t>
            </w:r>
            <w:r>
              <w:rPr>
                <w:rFonts w:ascii="宋体" w:hAnsi="宋体" w:cs="宋体" w:eastAsia="宋体" w:hint="default"/>
                <w:spacing w:val="-55"/>
                <w:sz w:val="13"/>
                <w:szCs w:val="13"/>
              </w:rPr>
              <w:t> </w:t>
            </w:r>
            <w:r>
              <w:rPr>
                <w:rFonts w:ascii="Times New Roman" w:hAnsi="Times New Roman" w:cs="Times New Roman" w:eastAsia="Times New Roman" w:hint="default"/>
                <w:sz w:val="13"/>
                <w:szCs w:val="13"/>
              </w:rPr>
              <w:t>09</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30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-466.71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8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运维服务体系建</w:t>
            </w:r>
            <w:r>
              <w:rPr>
                <w:rFonts w:ascii="宋体" w:hAnsi="宋体" w:cs="宋体" w:eastAsia="宋体" w:hint="default"/>
                <w:w w:val="99"/>
                <w:sz w:val="18"/>
                <w:szCs w:val="18"/>
              </w:rPr>
              <w:t> </w:t>
            </w:r>
            <w:r>
              <w:rPr>
                <w:rFonts w:ascii="宋体" w:hAnsi="宋体" w:cs="宋体" w:eastAsia="宋体" w:hint="default"/>
                <w:sz w:val="18"/>
                <w:szCs w:val="18"/>
              </w:rPr>
              <w:t>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6"/>
                <w:szCs w:val="16"/>
              </w:rPr>
            </w:pPr>
            <w:r>
              <w:rPr>
                <w:rFonts w:ascii="Times New Roman"/>
                <w:sz w:val="16"/>
              </w:rPr>
              <w:t>3,609.39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w w:val="95"/>
                <w:sz w:val="16"/>
              </w:rPr>
              <w:t>4,218.19</w:t>
            </w:r>
            <w:r>
              <w:rPr>
                <w:rFonts w:ascii="Times New Roman"/>
                <w:sz w:val="16"/>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60.26%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2018 </w:t>
            </w:r>
            <w:r>
              <w:rPr>
                <w:rFonts w:ascii="宋体" w:hAnsi="宋体" w:cs="宋体" w:eastAsia="宋体" w:hint="default"/>
                <w:sz w:val="13"/>
                <w:szCs w:val="13"/>
              </w:rPr>
              <w:t>年</w:t>
            </w:r>
            <w:r>
              <w:rPr>
                <w:rFonts w:ascii="宋体" w:hAnsi="宋体" w:cs="宋体" w:eastAsia="宋体" w:hint="default"/>
                <w:spacing w:val="-55"/>
                <w:sz w:val="13"/>
                <w:szCs w:val="13"/>
              </w:rPr>
              <w:t> </w:t>
            </w:r>
            <w:r>
              <w:rPr>
                <w:rFonts w:ascii="Times New Roman" w:hAnsi="Times New Roman" w:cs="Times New Roman" w:eastAsia="Times New Roman" w:hint="default"/>
                <w:sz w:val="13"/>
                <w:szCs w:val="13"/>
              </w:rPr>
              <w:t>09</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30</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662.53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偿还银行贷款</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w w:val="95"/>
                <w:sz w:val="16"/>
              </w:rPr>
              <w:t>4,000</w:t>
            </w:r>
            <w:r>
              <w:rPr>
                <w:rFonts w:ascii="Times New Roman"/>
                <w:sz w:val="16"/>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7" w:right="0"/>
              <w:jc w:val="center"/>
              <w:rPr>
                <w:rFonts w:ascii="Times New Roman" w:hAnsi="Times New Roman" w:cs="Times New Roman" w:eastAsia="Times New Roman" w:hint="default"/>
                <w:sz w:val="15"/>
                <w:szCs w:val="15"/>
              </w:rPr>
            </w:pPr>
            <w:r>
              <w:rPr>
                <w:rFonts w:ascii="Times New Roman"/>
                <w:sz w:val="15"/>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2016 </w:t>
            </w:r>
            <w:r>
              <w:rPr>
                <w:rFonts w:ascii="宋体" w:hAnsi="宋体" w:cs="宋体" w:eastAsia="宋体" w:hint="default"/>
                <w:sz w:val="13"/>
                <w:szCs w:val="13"/>
              </w:rPr>
              <w:t>年</w:t>
            </w:r>
            <w:r>
              <w:rPr>
                <w:rFonts w:ascii="宋体" w:hAnsi="宋体" w:cs="宋体" w:eastAsia="宋体" w:hint="default"/>
                <w:spacing w:val="-55"/>
                <w:sz w:val="13"/>
                <w:szCs w:val="13"/>
              </w:rPr>
              <w:t> </w:t>
            </w:r>
            <w:r>
              <w:rPr>
                <w:rFonts w:ascii="Times New Roman" w:hAnsi="Times New Roman" w:cs="Times New Roman" w:eastAsia="Times New Roman" w:hint="default"/>
                <w:sz w:val="13"/>
                <w:szCs w:val="13"/>
              </w:rPr>
              <w:t>09</w:t>
            </w: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02</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补充营运资金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w w:val="95"/>
                <w:sz w:val="16"/>
              </w:rPr>
              <w:t>4,000</w:t>
            </w:r>
            <w:r>
              <w:rPr>
                <w:rFonts w:ascii="Times New Roman"/>
                <w:sz w:val="16"/>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7" w:right="0"/>
              <w:jc w:val="center"/>
              <w:rPr>
                <w:rFonts w:ascii="Times New Roman" w:hAnsi="Times New Roman" w:cs="Times New Roman" w:eastAsia="Times New Roman" w:hint="default"/>
                <w:sz w:val="15"/>
                <w:szCs w:val="15"/>
              </w:rPr>
            </w:pPr>
            <w:r>
              <w:rPr>
                <w:rFonts w:ascii="Times New Roman"/>
                <w:sz w:val="15"/>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2016 </w:t>
            </w:r>
            <w:r>
              <w:rPr>
                <w:rFonts w:ascii="宋体" w:hAnsi="宋体" w:cs="宋体" w:eastAsia="宋体" w:hint="default"/>
                <w:sz w:val="13"/>
                <w:szCs w:val="13"/>
              </w:rPr>
              <w:t>年</w:t>
            </w:r>
            <w:r>
              <w:rPr>
                <w:rFonts w:ascii="宋体" w:hAnsi="宋体" w:cs="宋体" w:eastAsia="宋体" w:hint="default"/>
                <w:spacing w:val="-55"/>
                <w:sz w:val="13"/>
                <w:szCs w:val="13"/>
              </w:rPr>
              <w:t> </w:t>
            </w:r>
            <w:r>
              <w:rPr>
                <w:rFonts w:ascii="Times New Roman" w:hAnsi="Times New Roman" w:cs="Times New Roman" w:eastAsia="Times New Roman" w:hint="default"/>
                <w:sz w:val="13"/>
                <w:szCs w:val="13"/>
              </w:rPr>
              <w:t>12</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月</w:t>
            </w:r>
            <w:r>
              <w:rPr>
                <w:rFonts w:ascii="宋体" w:hAnsi="宋体" w:cs="宋体" w:eastAsia="宋体" w:hint="default"/>
                <w:spacing w:val="-34"/>
                <w:sz w:val="13"/>
                <w:szCs w:val="13"/>
              </w:rPr>
              <w:t> </w:t>
            </w:r>
            <w:r>
              <w:rPr>
                <w:rFonts w:ascii="Times New Roman" w:hAnsi="Times New Roman" w:cs="Times New Roman" w:eastAsia="Times New Roman" w:hint="default"/>
                <w:sz w:val="13"/>
                <w:szCs w:val="13"/>
              </w:rPr>
              <w:t>31</w:t>
            </w:r>
            <w:r>
              <w:rPr>
                <w:rFonts w:ascii="Times New Roman" w:hAnsi="Times New Roman" w:cs="Times New Roman" w:eastAsia="Times New Roman" w:hint="default"/>
                <w:spacing w:val="-2"/>
                <w:sz w:val="13"/>
                <w:szCs w:val="13"/>
              </w:rPr>
              <w:t> </w:t>
            </w:r>
            <w:r>
              <w:rPr>
                <w:rFonts w:ascii="宋体" w:hAnsi="宋体" w:cs="宋体" w:eastAsia="宋体" w:hint="default"/>
                <w:sz w:val="13"/>
                <w:szCs w:val="13"/>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40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30,510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30,510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Times New Roman" w:hAnsi="Times New Roman" w:cs="Times New Roman" w:eastAsia="Times New Roman" w:hint="default"/>
                <w:sz w:val="16"/>
                <w:szCs w:val="16"/>
              </w:rPr>
            </w:pPr>
            <w:r>
              <w:rPr>
                <w:rFonts w:ascii="Times New Roman"/>
                <w:sz w:val="16"/>
              </w:rPr>
              <w:t>9,469.64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21,647.57</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732.04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30,510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30,510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Times New Roman" w:hAnsi="Times New Roman" w:cs="Times New Roman" w:eastAsia="Times New Roman" w:hint="default"/>
                <w:sz w:val="16"/>
                <w:szCs w:val="16"/>
              </w:rPr>
            </w:pPr>
            <w:r>
              <w:rPr>
                <w:rFonts w:ascii="Times New Roman"/>
                <w:sz w:val="16"/>
              </w:rPr>
              <w:t>9,469.64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21,647.57</w:t>
            </w:r>
            <w:r>
              <w:rPr>
                <w:rFonts w:ascii="Times New Roman"/>
                <w:sz w:val="13"/>
              </w:rPr>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732.04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35"/>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15"/>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3" w:right="101"/>
              <w:jc w:val="left"/>
              <w:rPr>
                <w:rFonts w:ascii="宋体" w:hAnsi="宋体" w:cs="宋体" w:eastAsia="宋体" w:hint="default"/>
                <w:sz w:val="18"/>
                <w:szCs w:val="18"/>
              </w:rPr>
            </w:pPr>
            <w:r>
              <w:rPr>
                <w:rFonts w:ascii="宋体" w:hAnsi="宋体" w:cs="宋体" w:eastAsia="宋体" w:hint="default"/>
                <w:spacing w:val="-8"/>
                <w:sz w:val="18"/>
                <w:szCs w:val="18"/>
              </w:rPr>
              <w:t>超募资金的金额、用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途及使用进展情况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103" w:right="215"/>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103" w:right="215"/>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9" w:lineRule="auto"/>
              <w:ind w:left="103" w:right="215"/>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日，公司第二届董事会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年第五次临时会议、第二届监事会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w:t>
            </w:r>
            <w:r>
              <w:rPr>
                <w:rFonts w:ascii="宋体" w:hAnsi="宋体" w:cs="宋体" w:eastAsia="宋体" w:hint="default"/>
                <w:spacing w:val="-4"/>
                <w:sz w:val="18"/>
                <w:szCs w:val="18"/>
              </w:rPr>
              <w:t>时会议分别审议通过了《关于使用部分闲置募集资金进行现金管理的议案》，同意公司在确保不影</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响募集资金投资项目建设和正常生产经营的情况下，滚动使用不超过</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11,000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万元的闲置募集资金 进行现金管理，用于购买安全性高、流动性好、有保本约定的理财产品。授权有效期为董事会审 议通过该议案之日起一年。</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日公司第二届董事会</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年第九次临时会议、第二</w:t>
            </w:r>
          </w:p>
          <w:p>
            <w:pPr>
              <w:pStyle w:val="TableParagraph"/>
              <w:spacing w:line="309" w:lineRule="auto" w:before="5"/>
              <w:ind w:left="103" w:right="100"/>
              <w:jc w:val="both"/>
              <w:rPr>
                <w:rFonts w:ascii="宋体" w:hAnsi="宋体" w:cs="宋体" w:eastAsia="宋体" w:hint="default"/>
                <w:sz w:val="18"/>
                <w:szCs w:val="18"/>
              </w:rPr>
            </w:pPr>
            <w:r>
              <w:rPr>
                <w:rFonts w:ascii="宋体" w:hAnsi="宋体" w:cs="宋体" w:eastAsia="宋体" w:hint="default"/>
                <w:sz w:val="18"/>
                <w:szCs w:val="18"/>
              </w:rPr>
              <w:t>届监事会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年第四次临时会议分别审议通过了《关于使用部分闲置募集资金进行现金管理的 </w:t>
            </w:r>
            <w:r>
              <w:rPr>
                <w:rFonts w:ascii="宋体" w:hAnsi="宋体" w:cs="宋体" w:eastAsia="宋体" w:hint="default"/>
                <w:spacing w:val="-4"/>
                <w:sz w:val="18"/>
                <w:szCs w:val="18"/>
              </w:rPr>
              <w:t>议案》，同意公司在确保不影响募集资金投资项目建设和正常生产经营的情况下，滚动使用不超过</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Times New Roman" w:hAnsi="Times New Roman" w:cs="Times New Roman" w:eastAsia="Times New Roman" w:hint="default"/>
                <w:sz w:val="18"/>
                <w:szCs w:val="18"/>
              </w:rPr>
              <w:t>9,000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万元的暂时闲置募集资金进行现金管理，用于购买安全性高、流动性好、有保本约定的理</w:t>
            </w:r>
          </w:p>
          <w:p>
            <w:pPr>
              <w:pStyle w:val="TableParagraph"/>
              <w:spacing w:line="240" w:lineRule="auto" w:before="5"/>
              <w:ind w:left="103" w:right="0"/>
              <w:jc w:val="both"/>
              <w:rPr>
                <w:rFonts w:ascii="宋体" w:hAnsi="宋体" w:cs="宋体" w:eastAsia="宋体" w:hint="default"/>
                <w:sz w:val="18"/>
                <w:szCs w:val="18"/>
              </w:rPr>
            </w:pPr>
            <w:r>
              <w:rPr>
                <w:rFonts w:ascii="宋体" w:hAnsi="宋体" w:cs="宋体" w:eastAsia="宋体" w:hint="default"/>
                <w:sz w:val="18"/>
                <w:szCs w:val="18"/>
              </w:rPr>
              <w:t>财产品，使用期限为自公司董事会审议通过之日起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个月。到期前公司应及时足额将上述资金</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归还至募集资金专用账户。截至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公司使用闲置资金进行资金管理余额共计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p>
            <w:pPr>
              <w:pStyle w:val="TableParagraph"/>
              <w:spacing w:line="302" w:lineRule="auto" w:before="63"/>
              <w:ind w:left="103" w:right="168"/>
              <w:jc w:val="both"/>
              <w:rPr>
                <w:rFonts w:ascii="宋体" w:hAnsi="宋体" w:cs="宋体" w:eastAsia="宋体" w:hint="default"/>
                <w:sz w:val="18"/>
                <w:szCs w:val="18"/>
              </w:rPr>
            </w:pP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万元。其他尚未使用的募集资金均存放于公司的募集资金专户中，公司将严格按照募集资金 的用途使用。</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募集资金使用及披</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Times New Roman" w:hAnsi="Times New Roman" w:cs="Times New Roman" w:eastAsia="Times New Roman" w:hint="default"/>
          <w:sz w:val="28"/>
          <w:szCs w:val="28"/>
        </w:rPr>
      </w:pPr>
    </w:p>
    <w:p>
      <w:pPr>
        <w:spacing w:line="693" w:lineRule="exact"/>
        <w:ind w:left="112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478.95pt;height:34.7pt;mso-position-horizontal-relative:char;mso-position-vertical-relative:line" coordorigin="0,0" coordsize="9579,694">
            <v:group style="position:absolute;left:10;top:14;width:104;height:665" coordorigin="10,14" coordsize="104,665">
              <v:shape style="position:absolute;left:10;top:14;width:104;height:665" coordorigin="10,14" coordsize="104,665" path="m10,679l113,679,113,14,10,14,10,679xe" filled="true" fillcolor="#d2d2d2" stroked="false">
                <v:path arrowok="t"/>
                <v:fill type="solid"/>
              </v:shape>
            </v:group>
            <v:group style="position:absolute;left:1667;top:14;width:104;height:665" coordorigin="1667,14" coordsize="104,665">
              <v:shape style="position:absolute;left:1667;top:14;width:104;height:665" coordorigin="1667,14" coordsize="104,665" path="m1667,679l1770,679,1770,14,1667,14,1667,679xe" filled="true" fillcolor="#d2d2d2" stroked="false">
                <v:path arrowok="t"/>
                <v:fill type="solid"/>
              </v:shape>
            </v:group>
            <v:group style="position:absolute;left:113;top:14;width:1555;height:312" coordorigin="113,14" coordsize="1555,312">
              <v:shape style="position:absolute;left:113;top:14;width:1555;height:312" coordorigin="113,14" coordsize="1555,312" path="m113,326l1667,326,1667,14,113,14,113,326xe" filled="true" fillcolor="#d2d2d2" stroked="false">
                <v:path arrowok="t"/>
                <v:fill type="solid"/>
              </v:shape>
            </v:group>
            <v:group style="position:absolute;left:113;top:326;width:1555;height:353" coordorigin="113,326" coordsize="1555,353">
              <v:shape style="position:absolute;left:113;top:326;width:1555;height:353" coordorigin="113,326" coordsize="1555,353" path="m113,679l1667,679,1667,326,113,326,113,679xe" filled="true" fillcolor="#d2d2d2" stroked="false">
                <v:path arrowok="t"/>
                <v:fill type="solid"/>
              </v:shape>
            </v:group>
            <v:group style="position:absolute;left:10;top:10;width:1761;height:2" coordorigin="10,10" coordsize="1761,2">
              <v:shape style="position:absolute;left:10;top:10;width:1761;height:2" coordorigin="10,10" coordsize="1761,0" path="m10,10l1770,10e" filled="false" stroked="true" strokeweight=".48pt" strokecolor="#000000">
                <v:path arrowok="t"/>
              </v:shape>
            </v:group>
            <v:group style="position:absolute;left:1780;top:10;width:7789;height:2" coordorigin="1780,10" coordsize="7789,2">
              <v:shape style="position:absolute;left:1780;top:10;width:7789;height:2" coordorigin="1780,10" coordsize="7789,0" path="m1780,10l9569,10e" filled="false" stroked="true" strokeweight=".48pt" strokecolor="#000000">
                <v:path arrowok="t"/>
              </v:shape>
            </v:group>
            <v:group style="position:absolute;left:5;top:5;width:2;height:684" coordorigin="5,5" coordsize="2,684">
              <v:shape style="position:absolute;left:5;top:5;width:2;height:684" coordorigin="5,5" coordsize="0,684" path="m5,5l5,689e" filled="false" stroked="true" strokeweight=".48pt" strokecolor="#000000">
                <v:path arrowok="t"/>
              </v:shape>
            </v:group>
            <v:group style="position:absolute;left:10;top:684;width:1761;height:2" coordorigin="10,684" coordsize="1761,2">
              <v:shape style="position:absolute;left:10;top:684;width:1761;height:2" coordorigin="10,684" coordsize="1761,0" path="m10,684l1770,684e" filled="false" stroked="true" strokeweight=".48pt" strokecolor="#000000">
                <v:path arrowok="t"/>
              </v:shape>
            </v:group>
            <v:group style="position:absolute;left:1775;top:5;width:2;height:684" coordorigin="1775,5" coordsize="2,684">
              <v:shape style="position:absolute;left:1775;top:5;width:2;height:684" coordorigin="1775,5" coordsize="0,684" path="m1775,5l1775,689e" filled="false" stroked="true" strokeweight=".48pt" strokecolor="#000000">
                <v:path arrowok="t"/>
              </v:shape>
            </v:group>
            <v:group style="position:absolute;left:1780;top:684;width:7789;height:2" coordorigin="1780,684" coordsize="7789,2">
              <v:shape style="position:absolute;left:1780;top:684;width:7789;height:2" coordorigin="1780,684" coordsize="7789,0" path="m1780,684l9569,684e" filled="false" stroked="true" strokeweight=".48pt" strokecolor="#000000">
                <v:path arrowok="t"/>
              </v:shape>
            </v:group>
            <v:group style="position:absolute;left:9574;top:5;width:2;height:684" coordorigin="9574,5" coordsize="2,684">
              <v:shape style="position:absolute;left:9574;top:5;width:2;height:684" coordorigin="9574,5" coordsize="0,684" path="m9574,5l9574,689e" filled="false" stroked="true" strokeweight=".48pt" strokecolor="#000000">
                <v:path arrowok="t"/>
              </v:shape>
              <v:shape style="position:absolute;left:5;top:10;width:1771;height:675" type="#_x0000_t202" filled="false" stroked="false">
                <v:textbox inset="0,0,0,0">
                  <w:txbxContent>
                    <w:p>
                      <w:pPr>
                        <w:spacing w:line="319" w:lineRule="auto" w:before="15"/>
                        <w:ind w:left="107" w:right="220" w:firstLine="0"/>
                        <w:jc w:val="left"/>
                        <w:rPr>
                          <w:rFonts w:ascii="宋体" w:hAnsi="宋体" w:cs="宋体" w:eastAsia="宋体" w:hint="default"/>
                          <w:sz w:val="18"/>
                          <w:szCs w:val="18"/>
                        </w:rPr>
                      </w:pPr>
                      <w:r>
                        <w:rPr>
                          <w:rFonts w:ascii="宋体" w:hAnsi="宋体" w:cs="宋体" w:eastAsia="宋体" w:hint="default"/>
                          <w:sz w:val="18"/>
                          <w:szCs w:val="18"/>
                        </w:rPr>
                        <w:t>露中存在的问题或 其他情况</w:t>
                      </w:r>
                    </w:p>
                  </w:txbxContent>
                </v:textbox>
                <w10:wrap type="none"/>
              </v:shape>
            </v:group>
          </v:group>
        </w:pict>
      </w:r>
      <w:r>
        <w:rPr>
          <w:rFonts w:ascii="Times New Roman" w:hAnsi="Times New Roman" w:cs="Times New Roman" w:eastAsia="Times New Roman" w:hint="default"/>
          <w:position w:val="-13"/>
          <w:sz w:val="20"/>
          <w:szCs w:val="20"/>
        </w:rPr>
      </w:r>
    </w:p>
    <w:p>
      <w:pPr>
        <w:spacing w:line="240" w:lineRule="auto" w:before="5"/>
        <w:rPr>
          <w:rFonts w:ascii="Times New Roman" w:hAnsi="Times New Roman" w:cs="Times New Roman" w:eastAsia="Times New Roman" w:hint="default"/>
          <w:sz w:val="21"/>
          <w:szCs w:val="21"/>
        </w:rPr>
      </w:pPr>
    </w:p>
    <w:p>
      <w:pPr>
        <w:pStyle w:val="Heading5"/>
        <w:spacing w:line="240" w:lineRule="auto" w:before="35"/>
        <w:ind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332"/>
        <w:jc w:val="left"/>
      </w:pPr>
      <w:r>
        <w:rPr/>
        <w:t>□ 适用 √ 不适用 公司报告期不存在募集资金变更项目情况。</w:t>
      </w:r>
    </w:p>
    <w:p>
      <w:pPr>
        <w:spacing w:line="240" w:lineRule="auto" w:before="4"/>
        <w:rPr>
          <w:rFonts w:ascii="宋体" w:hAnsi="宋体" w:cs="宋体" w:eastAsia="宋体" w:hint="default"/>
          <w:sz w:val="18"/>
          <w:szCs w:val="18"/>
        </w:rPr>
      </w:pPr>
    </w:p>
    <w:p>
      <w:pPr>
        <w:pStyle w:val="Heading3"/>
        <w:spacing w:line="240" w:lineRule="auto"/>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 适用 √ 不适用 公司报告期未出售重大资产。</w:t>
      </w:r>
    </w:p>
    <w:p>
      <w:pPr>
        <w:spacing w:line="240" w:lineRule="auto" w:before="13"/>
        <w:rPr>
          <w:rFonts w:ascii="宋体" w:hAnsi="宋体" w:cs="宋体" w:eastAsia="宋体" w:hint="default"/>
          <w:sz w:val="19"/>
          <w:szCs w:val="19"/>
        </w:rPr>
      </w:pPr>
    </w:p>
    <w:p>
      <w:pPr>
        <w:pStyle w:val="Heading5"/>
        <w:spacing w:line="240" w:lineRule="auto"/>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6612"/>
        <w:jc w:val="left"/>
      </w:pPr>
      <w:r>
        <w:rPr/>
        <w:t>□ 适用 √ 不适用 公司报告期内无应当披露的重要控股参股公司信息。</w:t>
      </w:r>
    </w:p>
    <w:p>
      <w:pPr>
        <w:spacing w:line="240" w:lineRule="auto" w:before="4"/>
        <w:rPr>
          <w:rFonts w:ascii="宋体" w:hAnsi="宋体" w:cs="宋体" w:eastAsia="宋体" w:hint="default"/>
          <w:sz w:val="18"/>
          <w:szCs w:val="18"/>
        </w:rPr>
      </w:pPr>
    </w:p>
    <w:p>
      <w:pPr>
        <w:pStyle w:val="Heading3"/>
        <w:spacing w:line="240" w:lineRule="auto"/>
        <w:ind w:right="0"/>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93" w:right="1123" w:firstLine="1"/>
        <w:jc w:val="left"/>
      </w:pPr>
      <w:r>
        <w:rPr>
          <w:rFonts w:ascii="宋体" w:hAnsi="宋体" w:cs="宋体" w:eastAsia="宋体" w:hint="default"/>
          <w:b/>
          <w:bCs/>
        </w:rPr>
        <w:t>（一）行业发展趋势</w:t>
      </w:r>
      <w:r>
        <w:rPr>
          <w:rFonts w:ascii="宋体" w:hAnsi="宋体" w:cs="宋体" w:eastAsia="宋体" w:hint="default"/>
          <w:b/>
          <w:bCs/>
          <w:w w:val="99"/>
        </w:rPr>
        <w:t> </w:t>
      </w:r>
      <w:r>
        <w:rPr>
          <w:rFonts w:ascii="宋体" w:hAnsi="宋体" w:cs="宋体" w:eastAsia="宋体" w:hint="default"/>
        </w:rPr>
        <w:t>2017</w:t>
      </w:r>
      <w:r>
        <w:rPr/>
        <w:t>年，中央第五次全国金融工作会议对中国金融业务未来五年的工作重点做了部署，明确三大基本任务：</w:t>
      </w:r>
      <w:r>
        <w:rPr>
          <w:rFonts w:ascii="宋体" w:hAnsi="宋体" w:cs="宋体" w:eastAsia="宋体" w:hint="default"/>
        </w:rPr>
        <w:t>1</w:t>
      </w:r>
      <w:r>
        <w:rPr/>
        <w:t>、推动资</w:t>
      </w:r>
    </w:p>
    <w:p>
      <w:pPr>
        <w:pStyle w:val="BodyText"/>
        <w:spacing w:line="316" w:lineRule="auto" w:before="19"/>
        <w:ind w:right="1118"/>
        <w:jc w:val="left"/>
      </w:pPr>
      <w:r>
        <w:rPr>
          <w:spacing w:val="-2"/>
        </w:rPr>
        <w:t>金重新脱虚向实，构建普惠金融体系；</w:t>
      </w:r>
      <w:r>
        <w:rPr>
          <w:rFonts w:ascii="宋体" w:hAnsi="宋体" w:cs="宋体" w:eastAsia="宋体" w:hint="default"/>
          <w:spacing w:val="-2"/>
        </w:rPr>
        <w:t>2</w:t>
      </w:r>
      <w:r>
        <w:rPr>
          <w:spacing w:val="-2"/>
        </w:rPr>
        <w:t>、强化监管，防范风险，金融行业从追求数量向追求质量方向发展；</w:t>
      </w:r>
      <w:r>
        <w:rPr>
          <w:rFonts w:ascii="宋体" w:hAnsi="宋体" w:cs="宋体" w:eastAsia="宋体" w:hint="default"/>
          <w:spacing w:val="-2"/>
        </w:rPr>
        <w:t>3</w:t>
      </w:r>
      <w:r>
        <w:rPr>
          <w:spacing w:val="-2"/>
        </w:rPr>
        <w:t>、深化金融改</w:t>
      </w:r>
      <w:r>
        <w:rPr>
          <w:spacing w:val="-68"/>
        </w:rPr>
        <w:t> </w:t>
      </w:r>
      <w:r>
        <w:rPr>
          <w:spacing w:val="-68"/>
        </w:rPr>
      </w:r>
      <w:r>
        <w:rPr/>
        <w:t>革。</w:t>
      </w:r>
    </w:p>
    <w:p>
      <w:pPr>
        <w:pStyle w:val="BodyText"/>
        <w:spacing w:line="316" w:lineRule="auto" w:before="19"/>
        <w:ind w:left="1133" w:right="1033" w:firstLine="360"/>
        <w:jc w:val="left"/>
      </w:pPr>
      <w:r>
        <w:rPr>
          <w:spacing w:val="-2"/>
        </w:rPr>
        <w:t>中央金融工作会议的精神指明了金融业务的发展方向。脱虚向实，需要金融机构扩大实体经济的服务范围，向广泛的的</w:t>
      </w:r>
      <w:r>
        <w:rPr/>
        <w:t> </w:t>
      </w:r>
      <w:r>
        <w:rPr>
          <w:spacing w:val="-2"/>
        </w:rPr>
        <w:t>中小客户延伸。快速获客、信用机制建设、小微企业贷款、业务移动化、</w:t>
      </w:r>
      <w:r>
        <w:rPr>
          <w:rFonts w:ascii="宋体" w:hAnsi="宋体" w:cs="宋体" w:eastAsia="宋体" w:hint="default"/>
          <w:spacing w:val="-2"/>
        </w:rPr>
        <w:t>7</w:t>
      </w:r>
      <w:r>
        <w:rPr>
          <w:rFonts w:ascii="宋体" w:hAnsi="宋体" w:cs="宋体" w:eastAsia="宋体" w:hint="default"/>
          <w:spacing w:val="-35"/>
        </w:rPr>
        <w:t> </w:t>
      </w:r>
      <w:r>
        <w:rPr>
          <w:rFonts w:ascii="宋体" w:hAnsi="宋体" w:cs="宋体" w:eastAsia="宋体" w:hint="default"/>
        </w:rPr>
        <w:t>x</w:t>
      </w:r>
      <w:r>
        <w:rPr>
          <w:rFonts w:ascii="宋体" w:hAnsi="宋体" w:cs="宋体" w:eastAsia="宋体" w:hint="default"/>
          <w:spacing w:val="-35"/>
        </w:rPr>
        <w:t> </w:t>
      </w:r>
      <w:r>
        <w:rPr>
          <w:rFonts w:ascii="宋体" w:hAnsi="宋体" w:cs="宋体" w:eastAsia="宋体" w:hint="default"/>
          <w:spacing w:val="-2"/>
        </w:rPr>
        <w:t>24</w:t>
      </w:r>
      <w:r>
        <w:rPr>
          <w:spacing w:val="-2"/>
        </w:rPr>
        <w:t>服务、互联网金融、场景金融、供应链金融、</w:t>
      </w:r>
      <w:r>
        <w:rPr>
          <w:spacing w:val="-88"/>
        </w:rPr>
        <w:t> </w:t>
      </w:r>
      <w:r>
        <w:rPr>
          <w:spacing w:val="-88"/>
        </w:rPr>
      </w:r>
      <w:r>
        <w:rPr>
          <w:spacing w:val="-2"/>
        </w:rPr>
        <w:t>良好的用户体验等等，所有的一切都需要信息系统和先进信息技术来支撑。特别是云数据中心的建设、数据治理、大数据分</w:t>
      </w:r>
      <w:r>
        <w:rPr>
          <w:spacing w:val="-66"/>
        </w:rPr>
        <w:t> </w:t>
      </w:r>
      <w:r>
        <w:rPr>
          <w:spacing w:val="-66"/>
        </w:rPr>
      </w:r>
      <w:r>
        <w:rPr/>
        <w:t>析、互联网技术、区块链、人工智能和机器学习等都是金融机构极其关注的方向。</w:t>
      </w:r>
    </w:p>
    <w:p>
      <w:pPr>
        <w:pStyle w:val="BodyText"/>
        <w:spacing w:line="319" w:lineRule="auto" w:before="19"/>
        <w:ind w:left="1133" w:right="1132" w:firstLine="360"/>
        <w:jc w:val="both"/>
      </w:pPr>
      <w:r>
        <w:rPr>
          <w:rFonts w:ascii="宋体" w:hAnsi="宋体" w:cs="宋体" w:eastAsia="宋体" w:hint="default"/>
          <w:spacing w:val="-2"/>
        </w:rPr>
        <w:t>2018</w:t>
      </w:r>
      <w:r>
        <w:rPr>
          <w:spacing w:val="-2"/>
        </w:rPr>
        <w:t>年降杠杆、防范系统性风险，成为热议的词汇。中国金融行业经过多年的快速发展，自身积累一定的风险。加强金</w:t>
      </w:r>
      <w:r>
        <w:rPr/>
        <w:t> </w:t>
      </w:r>
      <w:r>
        <w:rPr>
          <w:spacing w:val="-2"/>
        </w:rPr>
        <w:t>融监管，降低金融风险，控制不良，成为</w:t>
      </w:r>
      <w:r>
        <w:rPr>
          <w:rFonts w:ascii="宋体" w:hAnsi="宋体" w:cs="宋体" w:eastAsia="宋体" w:hint="default"/>
          <w:spacing w:val="-2"/>
        </w:rPr>
        <w:t>2018</w:t>
      </w:r>
      <w:r>
        <w:rPr>
          <w:spacing w:val="-2"/>
        </w:rPr>
        <w:t>年各大金融机构的主要工作。未来围绕风险防范、风险监管方面的系统建设将</w:t>
      </w:r>
      <w:r>
        <w:rPr>
          <w:spacing w:val="-62"/>
        </w:rPr>
        <w:t> </w:t>
      </w:r>
      <w:r>
        <w:rPr>
          <w:spacing w:val="-62"/>
        </w:rPr>
      </w:r>
      <w:r>
        <w:rPr/>
        <w:t>会带来新的机会。</w:t>
      </w:r>
    </w:p>
    <w:p>
      <w:pPr>
        <w:pStyle w:val="BodyText"/>
        <w:spacing w:line="316" w:lineRule="auto" w:before="17"/>
        <w:ind w:left="1133" w:right="1131" w:firstLine="360"/>
        <w:jc w:val="both"/>
      </w:pPr>
      <w:r>
        <w:rPr>
          <w:spacing w:val="-2"/>
        </w:rPr>
        <w:t>为引导银行业金融机构加强数据治理，充分发挥数据价值，全面向高质量发展转变，银监会起草了《银行业金融机构数</w:t>
      </w:r>
      <w:r>
        <w:rPr/>
        <w:t> </w:t>
      </w:r>
      <w:r>
        <w:rPr>
          <w:spacing w:val="-8"/>
        </w:rPr>
        <w:t>据治理指引（征求意见稿）》（以下简称《指引》）。其中，明确要求银行业开展数据治理，并将数据治理与公司治理评价、监</w:t>
      </w:r>
      <w:r>
        <w:rPr/>
        <w:t> 管评级等挂钩。可以预计</w:t>
      </w:r>
      <w:r>
        <w:rPr>
          <w:rFonts w:ascii="宋体" w:hAnsi="宋体" w:cs="宋体" w:eastAsia="宋体" w:hint="default"/>
        </w:rPr>
        <w:t>2018</w:t>
      </w:r>
      <w:r>
        <w:rPr/>
        <w:t>年围绕数据线产品及解决方案将会有新的机会。</w:t>
      </w:r>
    </w:p>
    <w:p>
      <w:pPr>
        <w:spacing w:after="0" w:line="316" w:lineRule="auto"/>
        <w:jc w:val="both"/>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right="1133" w:firstLine="360"/>
        <w:jc w:val="both"/>
      </w:pPr>
      <w:r>
        <w:rPr>
          <w:spacing w:val="-2"/>
        </w:rPr>
        <w:t>金融业务系统的移动化、场景化，要求各类计算资源更加具有弹性和可管理性，基于分布式架构云数据中心建设成为近</w:t>
      </w:r>
      <w:r>
        <w:rPr/>
        <w:t> 年来建设的主题。同时各类应用系统的向云架构迁移，也是明显的发展趋势。</w:t>
      </w:r>
    </w:p>
    <w:p>
      <w:pPr>
        <w:pStyle w:val="BodyText"/>
        <w:spacing w:line="319" w:lineRule="auto" w:before="19"/>
        <w:ind w:right="1130" w:firstLine="360"/>
        <w:jc w:val="both"/>
      </w:pPr>
      <w:r>
        <w:rPr>
          <w:spacing w:val="-2"/>
        </w:rPr>
        <w:t>信息系统安全是金融风险防范的重要命题之一，</w:t>
      </w:r>
      <w:r>
        <w:rPr>
          <w:color w:val="6C6C6C"/>
          <w:spacing w:val="-2"/>
        </w:rPr>
      </w:r>
      <w:hyperlink r:id="rId14">
        <w:r>
          <w:rPr>
            <w:color w:val="6C6C6C"/>
            <w:spacing w:val="-2"/>
            <w:u w:val="single" w:color="6C6C6C"/>
          </w:rPr>
          <w:t>金融业</w:t>
        </w:r>
        <w:r>
          <w:rPr>
            <w:color w:val="6C6C6C"/>
            <w:spacing w:val="-2"/>
          </w:rPr>
        </w:r>
      </w:hyperlink>
      <w:r>
        <w:rPr>
          <w:spacing w:val="-2"/>
        </w:rPr>
        <w:t>信息化程度不断提高，对金融业改革、发展、壮大发挥了重要的</w:t>
      </w:r>
      <w:r>
        <w:rPr/>
        <w:t> </w:t>
      </w:r>
      <w:r>
        <w:rPr>
          <w:spacing w:val="-2"/>
        </w:rPr>
        <w:t>促进作用。同时，金融业对信息技术的依赖程度越来越大，信息安全保障工作的难度不断加大，</w:t>
      </w:r>
      <w:hyperlink r:id="rId15">
        <w:r>
          <w:rPr>
            <w:color w:val="6C6C6C"/>
            <w:spacing w:val="-2"/>
          </w:rPr>
        </w:r>
        <w:r>
          <w:rPr>
            <w:color w:val="6C6C6C"/>
            <w:spacing w:val="-2"/>
            <w:u w:val="single" w:color="6C6C6C"/>
          </w:rPr>
          <w:t>互联网</w:t>
        </w:r>
        <w:r>
          <w:rPr>
            <w:color w:val="6C6C6C"/>
            <w:spacing w:val="-2"/>
          </w:rPr>
        </w:r>
      </w:hyperlink>
      <w:r>
        <w:rPr>
          <w:spacing w:val="-2"/>
        </w:rPr>
        <w:t>应用又进一步加大了</w:t>
      </w:r>
      <w:r>
        <w:rPr>
          <w:spacing w:val="-65"/>
        </w:rPr>
        <w:t> </w:t>
      </w:r>
      <w:r>
        <w:rPr>
          <w:spacing w:val="-65"/>
        </w:rPr>
      </w:r>
      <w:hyperlink r:id="rId16">
        <w:r>
          <w:rPr>
            <w:color w:val="6C6C6C"/>
            <w:spacing w:val="-65"/>
          </w:rPr>
        </w:r>
        <w:r>
          <w:rPr>
            <w:color w:val="6C6C6C"/>
            <w:u w:val="single" w:color="6C6C6C"/>
          </w:rPr>
          <w:t>信息安全</w:t>
        </w:r>
        <w:r>
          <w:rPr>
            <w:color w:val="6C6C6C"/>
          </w:rPr>
        </w:r>
      </w:hyperlink>
      <w:r>
        <w:rPr/>
        <w:t>风险的扩散效应。信息安全体系的建设，越来越成为金融机构高度关注的题目。</w:t>
      </w:r>
    </w:p>
    <w:p>
      <w:pPr>
        <w:pStyle w:val="BodyText"/>
        <w:spacing w:line="316" w:lineRule="auto" w:before="17"/>
        <w:ind w:left="1133" w:right="1130" w:firstLine="360"/>
        <w:jc w:val="both"/>
      </w:pPr>
      <w:r>
        <w:rPr>
          <w:spacing w:val="-2"/>
        </w:rPr>
        <w:t>近期，金融信息科技发展趋于活跃并呈现多元化格局，云数据中心建设、数据驱动业务、信息安全、风险控制、获客营</w:t>
      </w:r>
      <w:r>
        <w:rPr/>
        <w:t> </w:t>
      </w:r>
      <w:r>
        <w:rPr>
          <w:spacing w:val="-4"/>
        </w:rPr>
        <w:t>销、区块链、大数据分析、软件定义网络（</w:t>
      </w:r>
      <w:r>
        <w:rPr>
          <w:rFonts w:ascii="宋体" w:hAnsi="宋体" w:cs="宋体" w:eastAsia="宋体" w:hint="default"/>
          <w:spacing w:val="-4"/>
        </w:rPr>
        <w:t>SDN</w:t>
      </w:r>
      <w:r>
        <w:rPr>
          <w:spacing w:val="-4"/>
        </w:rPr>
        <w:t>）、快速放贷、供应链金融、垮行业服务等，为信息科技行业带来了更多机会</w:t>
      </w:r>
      <w:r>
        <w:rPr>
          <w:spacing w:val="-41"/>
        </w:rPr>
        <w:t> </w:t>
      </w:r>
      <w:r>
        <w:rPr>
          <w:spacing w:val="-41"/>
        </w:rPr>
      </w:r>
      <w:r>
        <w:rPr/>
        <w:t>与挑战，本公司将本着聚焦资源、聚焦能力，结合金融业信息科技的发展趋势，着力打造自身的核心能力。</w:t>
      </w:r>
    </w:p>
    <w:p>
      <w:pPr>
        <w:spacing w:line="240" w:lineRule="auto" w:before="4"/>
        <w:rPr>
          <w:rFonts w:ascii="宋体" w:hAnsi="宋体" w:cs="宋体" w:eastAsia="宋体" w:hint="default"/>
          <w:sz w:val="25"/>
          <w:szCs w:val="25"/>
        </w:rPr>
      </w:pPr>
    </w:p>
    <w:p>
      <w:pPr>
        <w:spacing w:line="316" w:lineRule="auto" w:before="0"/>
        <w:ind w:left="1493" w:right="0" w:firstLine="1"/>
        <w:jc w:val="left"/>
        <w:rPr>
          <w:rFonts w:ascii="宋体" w:hAnsi="宋体" w:cs="宋体" w:eastAsia="宋体" w:hint="default"/>
          <w:sz w:val="18"/>
          <w:szCs w:val="18"/>
        </w:rPr>
      </w:pPr>
      <w:r>
        <w:rPr>
          <w:rFonts w:ascii="宋体" w:hAnsi="宋体" w:cs="宋体" w:eastAsia="宋体" w:hint="default"/>
          <w:b/>
          <w:bCs/>
          <w:sz w:val="18"/>
          <w:szCs w:val="18"/>
        </w:rPr>
        <w:t>（二）公司</w:t>
      </w:r>
      <w:r>
        <w:rPr>
          <w:rFonts w:ascii="宋体" w:hAnsi="宋体" w:cs="宋体" w:eastAsia="宋体" w:hint="default"/>
          <w:b/>
          <w:bCs/>
          <w:sz w:val="18"/>
          <w:szCs w:val="18"/>
        </w:rPr>
        <w:t>2018</w:t>
      </w:r>
      <w:r>
        <w:rPr>
          <w:rFonts w:ascii="宋体" w:hAnsi="宋体" w:cs="宋体" w:eastAsia="宋体" w:hint="default"/>
          <w:b/>
          <w:bCs/>
          <w:sz w:val="18"/>
          <w:szCs w:val="18"/>
        </w:rPr>
        <w:t>年经营计划</w:t>
      </w:r>
      <w:r>
        <w:rPr>
          <w:rFonts w:ascii="宋体" w:hAnsi="宋体" w:cs="宋体" w:eastAsia="宋体" w:hint="default"/>
          <w:b/>
          <w:bCs/>
          <w:w w:val="99"/>
          <w:sz w:val="18"/>
          <w:szCs w:val="18"/>
        </w:rPr>
        <w:t> </w:t>
      </w:r>
      <w:r>
        <w:rPr>
          <w:rFonts w:ascii="宋体" w:hAnsi="宋体" w:cs="宋体" w:eastAsia="宋体" w:hint="default"/>
          <w:spacing w:val="-2"/>
          <w:sz w:val="18"/>
          <w:szCs w:val="18"/>
        </w:rPr>
        <w:t>2018</w:t>
      </w:r>
      <w:r>
        <w:rPr>
          <w:rFonts w:ascii="宋体" w:hAnsi="宋体" w:cs="宋体" w:eastAsia="宋体" w:hint="default"/>
          <w:spacing w:val="-2"/>
          <w:sz w:val="18"/>
          <w:szCs w:val="18"/>
        </w:rPr>
        <w:t>年，公司将继续围绕金融交易云、金融大数据、云数据中心建设和自动化运维三大解决方案，加强新产品、新解决</w:t>
      </w:r>
    </w:p>
    <w:p>
      <w:pPr>
        <w:pStyle w:val="BodyText"/>
        <w:spacing w:line="316" w:lineRule="auto" w:before="19"/>
        <w:ind w:left="1493" w:right="0" w:hanging="360"/>
        <w:jc w:val="left"/>
      </w:pPr>
      <w:r>
        <w:rPr/>
        <w:t>方案的推广力度，保障营业收入稳定。 </w:t>
      </w:r>
      <w:r>
        <w:rPr>
          <w:spacing w:val="-2"/>
        </w:rPr>
        <w:t>针对</w:t>
      </w:r>
      <w:r>
        <w:rPr>
          <w:rFonts w:ascii="宋体" w:hAnsi="宋体" w:cs="宋体" w:eastAsia="宋体" w:hint="default"/>
          <w:spacing w:val="-2"/>
        </w:rPr>
        <w:t>IT</w:t>
      </w:r>
      <w:r>
        <w:rPr>
          <w:spacing w:val="-2"/>
        </w:rPr>
        <w:t>基础设施建设业务毛利率持续下降的趋势，公司将着力拓展非银行金融机构及非金融机构市场，同时进一步扩大</w:t>
      </w:r>
    </w:p>
    <w:p>
      <w:pPr>
        <w:pStyle w:val="BodyText"/>
        <w:spacing w:line="316" w:lineRule="auto" w:before="19"/>
        <w:ind w:left="1493" w:right="1118" w:hanging="360"/>
        <w:jc w:val="left"/>
      </w:pPr>
      <w:r>
        <w:rPr>
          <w:rFonts w:ascii="宋体" w:hAnsi="宋体" w:cs="宋体" w:eastAsia="宋体" w:hint="default"/>
        </w:rPr>
        <w:t>IT</w:t>
      </w:r>
      <w:r>
        <w:rPr/>
        <w:t>服务产品线。 </w:t>
      </w:r>
      <w:r>
        <w:rPr>
          <w:rFonts w:ascii="宋体" w:hAnsi="宋体" w:cs="宋体" w:eastAsia="宋体" w:hint="default"/>
          <w:spacing w:val="-2"/>
        </w:rPr>
        <w:t>IT</w:t>
      </w:r>
      <w:r>
        <w:rPr>
          <w:spacing w:val="-2"/>
        </w:rPr>
        <w:t>运维服务业务，公司将充分利用网络运维领域的优势，凭借公司网络自动化运维</w:t>
      </w:r>
      <w:r>
        <w:rPr>
          <w:rFonts w:ascii="宋体" w:hAnsi="宋体" w:cs="宋体" w:eastAsia="宋体" w:hint="default"/>
          <w:spacing w:val="-2"/>
        </w:rPr>
        <w:t>ANOS</w:t>
      </w:r>
      <w:r>
        <w:rPr>
          <w:spacing w:val="-2"/>
        </w:rPr>
        <w:t>解决方案，重点拓展区域银行市</w:t>
      </w:r>
    </w:p>
    <w:p>
      <w:pPr>
        <w:pStyle w:val="BodyText"/>
        <w:spacing w:line="240" w:lineRule="auto" w:before="19"/>
        <w:ind w:left="1133" w:right="0"/>
        <w:jc w:val="left"/>
      </w:pPr>
      <w:r>
        <w:rPr/>
        <w:t>场。</w:t>
      </w:r>
    </w:p>
    <w:p>
      <w:pPr>
        <w:pStyle w:val="BodyText"/>
        <w:spacing w:line="316" w:lineRule="auto" w:before="76"/>
        <w:ind w:right="1133" w:firstLine="360"/>
        <w:jc w:val="both"/>
      </w:pPr>
      <w:r>
        <w:rPr>
          <w:spacing w:val="-2"/>
        </w:rPr>
        <w:t>软件及解决方案业务，公司将加大金融交易云、大数据产品及解决方案的市场推广力度，进一步扩大区域银行市场覆盖</w:t>
      </w:r>
      <w:r>
        <w:rPr/>
        <w:t> 率，并积极寻求相关产品及解决方案在非银行金融机构的覆盖率。</w:t>
      </w:r>
    </w:p>
    <w:p>
      <w:pPr>
        <w:pStyle w:val="BodyText"/>
        <w:spacing w:line="316" w:lineRule="auto" w:before="19"/>
        <w:ind w:right="1132" w:firstLine="360"/>
        <w:jc w:val="both"/>
      </w:pPr>
      <w:r>
        <w:rPr>
          <w:rFonts w:ascii="宋体" w:hAnsi="宋体" w:cs="宋体" w:eastAsia="宋体" w:hint="default"/>
          <w:spacing w:val="-2"/>
        </w:rPr>
        <w:t>2018</w:t>
      </w:r>
      <w:r>
        <w:rPr>
          <w:spacing w:val="-2"/>
        </w:rPr>
        <w:t>年，公司将维持较强的营销力度，并希望在客户拓展方面取得更大成果，同时将积极推进投资参股企业产品在公司</w:t>
      </w:r>
      <w:r>
        <w:rPr/>
        <w:t> </w:t>
      </w:r>
      <w:r>
        <w:rPr>
          <w:spacing w:val="-2"/>
        </w:rPr>
        <w:t>现有客户群中的推广使用。公司将加强与上游产品供应商在新技术、新产品及新的业务领域的战略合作关系，进一步完善业</w:t>
      </w:r>
      <w:r>
        <w:rPr>
          <w:spacing w:val="-66"/>
        </w:rPr>
        <w:t> </w:t>
      </w:r>
      <w:r>
        <w:rPr>
          <w:spacing w:val="-66"/>
        </w:rPr>
      </w:r>
      <w:r>
        <w:rPr/>
        <w:t>务中心及产品研发体系，提升软件业务竞争力。</w:t>
      </w:r>
    </w:p>
    <w:p>
      <w:pPr>
        <w:spacing w:line="240" w:lineRule="auto" w:before="4"/>
        <w:rPr>
          <w:rFonts w:ascii="宋体" w:hAnsi="宋体" w:cs="宋体" w:eastAsia="宋体" w:hint="default"/>
          <w:sz w:val="25"/>
          <w:szCs w:val="25"/>
        </w:rPr>
      </w:pPr>
    </w:p>
    <w:p>
      <w:pPr>
        <w:spacing w:line="316" w:lineRule="auto" w:before="0"/>
        <w:ind w:left="1494" w:right="6882" w:firstLine="1"/>
        <w:jc w:val="left"/>
        <w:rPr>
          <w:rFonts w:ascii="宋体" w:hAnsi="宋体" w:cs="宋体" w:eastAsia="宋体" w:hint="default"/>
          <w:sz w:val="18"/>
          <w:szCs w:val="18"/>
        </w:rPr>
      </w:pPr>
      <w:r>
        <w:rPr>
          <w:rFonts w:ascii="宋体" w:hAnsi="宋体" w:cs="宋体" w:eastAsia="宋体" w:hint="default"/>
          <w:b/>
          <w:bCs/>
          <w:sz w:val="18"/>
          <w:szCs w:val="18"/>
        </w:rPr>
        <w:t>（三）风险因素</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、传统客户、传统业务需求下降带来的风险</w:t>
      </w:r>
    </w:p>
    <w:p>
      <w:pPr>
        <w:pStyle w:val="BodyText"/>
        <w:spacing w:line="316" w:lineRule="auto" w:before="19"/>
        <w:ind w:left="1133" w:right="1130" w:firstLine="360"/>
        <w:jc w:val="both"/>
      </w:pPr>
      <w:r>
        <w:rPr>
          <w:spacing w:val="-2"/>
        </w:rPr>
        <w:t>公司主要客户是以商业银行为主的大型金融机构，经过多年的建设，公司主要客户已建成了较为完善的</w:t>
      </w:r>
      <w:r>
        <w:rPr>
          <w:rFonts w:ascii="宋体" w:hAnsi="宋体" w:cs="宋体" w:eastAsia="宋体" w:hint="default"/>
          <w:spacing w:val="-2"/>
        </w:rPr>
        <w:t>IT</w:t>
      </w:r>
      <w:r>
        <w:rPr>
          <w:spacing w:val="-2"/>
        </w:rPr>
        <w:t>基础设施及应</w:t>
      </w:r>
      <w:r>
        <w:rPr/>
        <w:t> </w:t>
      </w:r>
      <w:r>
        <w:rPr>
          <w:spacing w:val="-2"/>
        </w:rPr>
        <w:t>用软件体系，如果未发生较大的行业性变革，公司传统客户对公司现有产品和服务的需求将趋于稳定，如果公司不能迅速获</w:t>
      </w:r>
      <w:r>
        <w:rPr>
          <w:spacing w:val="-66"/>
        </w:rPr>
        <w:t> </w:t>
      </w:r>
      <w:r>
        <w:rPr>
          <w:spacing w:val="-66"/>
        </w:rPr>
      </w:r>
      <w:r>
        <w:rPr/>
        <w:t>取新的客户或不断开发现有客户新需求，公司营业收入、利润水平将面临停滞，甚至下降的风险。</w:t>
      </w:r>
    </w:p>
    <w:p>
      <w:pPr>
        <w:pStyle w:val="BodyText"/>
        <w:spacing w:line="316" w:lineRule="auto" w:before="19"/>
        <w:ind w:left="1494" w:right="1032"/>
        <w:jc w:val="left"/>
      </w:pPr>
      <w:r>
        <w:rPr>
          <w:rFonts w:ascii="宋体" w:hAnsi="宋体" w:cs="宋体" w:eastAsia="宋体" w:hint="default"/>
        </w:rPr>
        <w:t>2</w:t>
      </w:r>
      <w:r>
        <w:rPr/>
        <w:t>、市场竞争风险 虽然银行业</w:t>
      </w:r>
      <w:r>
        <w:rPr>
          <w:rFonts w:ascii="宋体" w:hAnsi="宋体" w:cs="宋体" w:eastAsia="宋体" w:hint="default"/>
        </w:rPr>
        <w:t>IT</w:t>
      </w:r>
      <w:r>
        <w:rPr/>
        <w:t>服务行业市场容量较大，但由于服务商较多、竞争格局高度分散，且公司的主要竞争对手亦在不断进步，</w:t>
      </w:r>
    </w:p>
    <w:p>
      <w:pPr>
        <w:pStyle w:val="BodyText"/>
        <w:spacing w:line="240" w:lineRule="auto" w:before="19"/>
        <w:ind w:right="0"/>
        <w:jc w:val="left"/>
      </w:pPr>
      <w:r>
        <w:rPr/>
        <w:t>公司在行业市场中尚未占据绝对优势，使公司面临如下市场压力：</w:t>
      </w:r>
    </w:p>
    <w:p>
      <w:pPr>
        <w:pStyle w:val="BodyText"/>
        <w:spacing w:line="316" w:lineRule="auto" w:before="76"/>
        <w:ind w:right="1131" w:firstLine="360"/>
        <w:jc w:val="both"/>
      </w:pPr>
      <w:r>
        <w:rPr/>
        <w:t>（</w:t>
      </w:r>
      <w:r>
        <w:rPr>
          <w:rFonts w:ascii="宋体" w:hAnsi="宋体" w:cs="宋体" w:eastAsia="宋体" w:hint="default"/>
        </w:rPr>
        <w:t>1</w:t>
      </w:r>
      <w:r>
        <w:rPr/>
        <w:t>）公司目前主要客户为国有大型商业银行、股份制商业银行与省级农信社，对增长潜力较大的城市商业银行覆盖不 </w:t>
      </w:r>
      <w:r>
        <w:rPr>
          <w:spacing w:val="-2"/>
        </w:rPr>
        <w:t>足。由于服务商纷纷看好中小银行市场，参与竞争的服务商快速增加，使公司在这一细分市场的拓展中面临较激烈的市场竞</w:t>
      </w:r>
      <w:r>
        <w:rPr>
          <w:spacing w:val="-66"/>
        </w:rPr>
        <w:t> </w:t>
      </w:r>
      <w:r>
        <w:rPr>
          <w:spacing w:val="-66"/>
        </w:rPr>
      </w:r>
      <w:r>
        <w:rPr/>
        <w:t>争。</w:t>
      </w:r>
    </w:p>
    <w:p>
      <w:pPr>
        <w:pStyle w:val="BodyText"/>
        <w:spacing w:line="316" w:lineRule="auto" w:before="19"/>
        <w:ind w:right="1131" w:firstLine="360"/>
        <w:jc w:val="both"/>
      </w:pPr>
      <w:r>
        <w:rPr/>
        <w:t>（</w:t>
      </w:r>
      <w:r>
        <w:rPr>
          <w:rFonts w:ascii="宋体" w:hAnsi="宋体" w:cs="宋体" w:eastAsia="宋体" w:hint="default"/>
        </w:rPr>
        <w:t>2</w:t>
      </w:r>
      <w:r>
        <w:rPr/>
        <w:t>）由于银行业</w:t>
      </w:r>
      <w:r>
        <w:rPr>
          <w:rFonts w:ascii="宋体" w:hAnsi="宋体" w:cs="宋体" w:eastAsia="宋体" w:hint="default"/>
        </w:rPr>
        <w:t>IT</w:t>
      </w:r>
      <w:r>
        <w:rPr/>
        <w:t>系统的复杂性，银行对服务商的选择与更换较为慎重，如果其他服务商已经在为公司的目标客户服 务，则将拥有较强的先发优势，使公司在争取业务机会时面临较激烈的市场竞争。</w:t>
      </w:r>
    </w:p>
    <w:p>
      <w:pPr>
        <w:pStyle w:val="BodyText"/>
        <w:spacing w:line="316" w:lineRule="auto" w:before="19"/>
        <w:ind w:left="1494" w:right="0"/>
        <w:jc w:val="left"/>
      </w:pPr>
      <w:r>
        <w:rPr>
          <w:rFonts w:ascii="宋体" w:hAnsi="宋体" w:cs="宋体" w:eastAsia="宋体" w:hint="default"/>
        </w:rPr>
        <w:t>3</w:t>
      </w:r>
      <w:r>
        <w:rPr/>
        <w:t>、客户集中风险 </w:t>
      </w:r>
      <w:r>
        <w:rPr>
          <w:spacing w:val="-2"/>
        </w:rPr>
        <w:t>公司面向以商业银行为主的客户，提供</w:t>
      </w:r>
      <w:r>
        <w:rPr>
          <w:rFonts w:ascii="宋体" w:hAnsi="宋体" w:cs="宋体" w:eastAsia="宋体" w:hint="default"/>
          <w:spacing w:val="-2"/>
        </w:rPr>
        <w:t>IT</w:t>
      </w:r>
      <w:r>
        <w:rPr>
          <w:spacing w:val="-2"/>
        </w:rPr>
        <w:t>解决方案及服务，销售收入主要来源于银行业。</w:t>
      </w:r>
      <w:r>
        <w:rPr>
          <w:rFonts w:ascii="宋体" w:hAnsi="宋体" w:cs="宋体" w:eastAsia="宋体" w:hint="default"/>
          <w:spacing w:val="-2"/>
        </w:rPr>
        <w:t>2017</w:t>
      </w:r>
      <w:r>
        <w:rPr>
          <w:spacing w:val="-2"/>
        </w:rPr>
        <w:t>年，公司来源于银行业客</w:t>
      </w:r>
    </w:p>
    <w:p>
      <w:pPr>
        <w:pStyle w:val="BodyText"/>
        <w:spacing w:line="316" w:lineRule="auto" w:before="19"/>
        <w:ind w:left="1133" w:right="0"/>
        <w:jc w:val="left"/>
      </w:pPr>
      <w:r>
        <w:rPr>
          <w:spacing w:val="-2"/>
        </w:rPr>
        <w:t>户的收入占营业总收入的比例为</w:t>
      </w:r>
      <w:r>
        <w:rPr>
          <w:rFonts w:ascii="宋体" w:hAnsi="宋体" w:cs="宋体" w:eastAsia="宋体" w:hint="default"/>
          <w:spacing w:val="-2"/>
        </w:rPr>
        <w:t>61.82%</w:t>
      </w:r>
      <w:r>
        <w:rPr>
          <w:spacing w:val="-2"/>
        </w:rPr>
        <w:t>，银行业客户集中度较高。银行业客户的发展战略、投资规模、经营决策将对公司的</w:t>
      </w:r>
      <w:r>
        <w:rPr>
          <w:spacing w:val="-60"/>
        </w:rPr>
        <w:t> </w:t>
      </w:r>
      <w:r>
        <w:rPr>
          <w:spacing w:val="-60"/>
        </w:rPr>
      </w:r>
      <w:r>
        <w:rPr/>
        <w:t>业务发展速度和规模等经营状况产生较大的影响。</w:t>
      </w:r>
    </w:p>
    <w:p>
      <w:pPr>
        <w:pStyle w:val="BodyText"/>
        <w:spacing w:line="319" w:lineRule="auto" w:before="19"/>
        <w:ind w:left="1133" w:right="1131" w:firstLine="360"/>
        <w:jc w:val="both"/>
      </w:pPr>
      <w:r>
        <w:rPr>
          <w:rFonts w:ascii="宋体" w:hAnsi="宋体" w:cs="宋体" w:eastAsia="宋体" w:hint="default"/>
          <w:spacing w:val="-2"/>
        </w:rPr>
        <w:t>2017</w:t>
      </w:r>
      <w:r>
        <w:rPr>
          <w:spacing w:val="-2"/>
        </w:rPr>
        <w:t>年，公司对前五大客户的收入占营业总收入的比重较高，为</w:t>
      </w:r>
      <w:r>
        <w:rPr>
          <w:rFonts w:ascii="宋体" w:hAnsi="宋体" w:cs="宋体" w:eastAsia="宋体" w:hint="default"/>
          <w:spacing w:val="-2"/>
        </w:rPr>
        <w:t>39.22%</w:t>
      </w:r>
      <w:r>
        <w:rPr>
          <w:spacing w:val="-2"/>
        </w:rPr>
        <w:t>。若今后国内外经济形势出现较大变动，主要客</w:t>
      </w:r>
      <w:r>
        <w:rPr/>
        <w:t> </w:t>
      </w:r>
      <w:r>
        <w:rPr>
          <w:spacing w:val="-2"/>
        </w:rPr>
        <w:t>户放缓信息化建设的速度；或采购政策等发生变化，采购规模出现下降；则公司会由于客户较为集中、对单一客户销售收入</w:t>
      </w:r>
      <w:r>
        <w:rPr>
          <w:spacing w:val="-66"/>
        </w:rPr>
        <w:t> </w:t>
      </w:r>
      <w:r>
        <w:rPr>
          <w:spacing w:val="-66"/>
        </w:rPr>
      </w:r>
      <w:r>
        <w:rPr/>
        <w:t>占比较高而面临经营波动的风险。</w:t>
      </w:r>
    </w:p>
    <w:p>
      <w:pPr>
        <w:pStyle w:val="BodyText"/>
        <w:spacing w:line="316" w:lineRule="auto" w:before="17"/>
        <w:ind w:left="1494" w:right="0"/>
        <w:jc w:val="left"/>
      </w:pPr>
      <w:r>
        <w:rPr>
          <w:rFonts w:ascii="宋体" w:hAnsi="宋体" w:cs="宋体" w:eastAsia="宋体" w:hint="default"/>
        </w:rPr>
        <w:t>4</w:t>
      </w:r>
      <w:r>
        <w:rPr/>
        <w:t>、毛利率波动风险 </w:t>
      </w:r>
      <w:r>
        <w:rPr>
          <w:spacing w:val="-2"/>
        </w:rPr>
        <w:t>公司主营业务分为</w:t>
      </w:r>
      <w:r>
        <w:rPr>
          <w:rFonts w:ascii="宋体" w:hAnsi="宋体" w:cs="宋体" w:eastAsia="宋体" w:hint="default"/>
          <w:spacing w:val="-2"/>
        </w:rPr>
        <w:t>IT</w:t>
      </w:r>
      <w:r>
        <w:rPr>
          <w:spacing w:val="-2"/>
        </w:rPr>
        <w:t>基础设施建设业务、软件解决方案业务及</w:t>
      </w:r>
      <w:r>
        <w:rPr>
          <w:rFonts w:ascii="宋体" w:hAnsi="宋体" w:cs="宋体" w:eastAsia="宋体" w:hint="default"/>
          <w:spacing w:val="-2"/>
        </w:rPr>
        <w:t>IT</w:t>
      </w:r>
      <w:r>
        <w:rPr>
          <w:spacing w:val="-2"/>
        </w:rPr>
        <w:t>运维服务业务。</w:t>
      </w:r>
      <w:r>
        <w:rPr>
          <w:rFonts w:ascii="宋体" w:hAnsi="宋体" w:cs="宋体" w:eastAsia="宋体" w:hint="default"/>
          <w:spacing w:val="-2"/>
        </w:rPr>
        <w:t>IT</w:t>
      </w:r>
      <w:r>
        <w:rPr>
          <w:spacing w:val="-2"/>
        </w:rPr>
        <w:t>基础设施建设业务行业竞争激烈，行</w:t>
      </w:r>
    </w:p>
    <w:p>
      <w:pPr>
        <w:spacing w:after="0" w:line="316"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left="1133" w:right="1131"/>
        <w:jc w:val="both"/>
      </w:pPr>
      <w:r>
        <w:rPr>
          <w:spacing w:val="-2"/>
        </w:rPr>
        <w:t>业毛利率整体处于较低水平，上游设备生产厂商和下游客户的议价能力较强，毛利率受供应商和客户的影响较大。软件解决</w:t>
      </w:r>
      <w:r>
        <w:rPr>
          <w:spacing w:val="-66"/>
        </w:rPr>
        <w:t> </w:t>
      </w:r>
      <w:r>
        <w:rPr>
          <w:spacing w:val="-66"/>
        </w:rPr>
      </w:r>
      <w:r>
        <w:rPr>
          <w:spacing w:val="-2"/>
        </w:rPr>
        <w:t>方案业务和</w:t>
      </w:r>
      <w:r>
        <w:rPr>
          <w:rFonts w:ascii="宋体" w:hAnsi="宋体" w:cs="宋体" w:eastAsia="宋体" w:hint="default"/>
          <w:spacing w:val="-2"/>
        </w:rPr>
        <w:t>IT</w:t>
      </w:r>
      <w:r>
        <w:rPr>
          <w:spacing w:val="-2"/>
        </w:rPr>
        <w:t>运维服务业务的毛利率受人力成本、服务价格等因素的影响较大。如果公司经营模式、服务价格、技术更新速</w:t>
      </w:r>
      <w:r>
        <w:rPr>
          <w:spacing w:val="-64"/>
        </w:rPr>
        <w:t> </w:t>
      </w:r>
      <w:r>
        <w:rPr>
          <w:spacing w:val="-64"/>
        </w:rPr>
      </w:r>
      <w:r>
        <w:rPr>
          <w:spacing w:val="-2"/>
        </w:rPr>
        <w:t>度、市场竞争环境、人力资源成本等因素发生变化，可能导致公司各项业务的毛利率水平出现一定幅度的波动，从而影响公</w:t>
      </w:r>
      <w:r>
        <w:rPr>
          <w:spacing w:val="-66"/>
        </w:rPr>
        <w:t> </w:t>
      </w:r>
      <w:r>
        <w:rPr>
          <w:spacing w:val="-66"/>
        </w:rPr>
      </w:r>
      <w:r>
        <w:rPr/>
        <w:t>司的盈利水平。</w:t>
      </w:r>
    </w:p>
    <w:p>
      <w:pPr>
        <w:pStyle w:val="BodyText"/>
        <w:spacing w:line="316" w:lineRule="auto" w:before="19"/>
        <w:ind w:left="1494" w:right="0"/>
        <w:jc w:val="left"/>
      </w:pPr>
      <w:r>
        <w:rPr>
          <w:rFonts w:ascii="宋体" w:hAnsi="宋体" w:cs="宋体" w:eastAsia="宋体" w:hint="default"/>
        </w:rPr>
        <w:t>5</w:t>
      </w:r>
      <w:r>
        <w:rPr/>
        <w:t>、人力资源与人力成本风险 </w:t>
      </w:r>
      <w:r>
        <w:rPr>
          <w:spacing w:val="-2"/>
        </w:rPr>
        <w:t>银行业</w:t>
      </w:r>
      <w:r>
        <w:rPr>
          <w:rFonts w:ascii="宋体" w:hAnsi="宋体" w:cs="宋体" w:eastAsia="宋体" w:hint="default"/>
          <w:spacing w:val="-2"/>
        </w:rPr>
        <w:t>IT</w:t>
      </w:r>
      <w:r>
        <w:rPr>
          <w:spacing w:val="-2"/>
        </w:rPr>
        <w:t>服务行业是智力密集型行业，行业企业对人才争夺较为激烈。公司经过多年发展，建立起了技术精湛、经验丰</w:t>
      </w:r>
    </w:p>
    <w:p>
      <w:pPr>
        <w:pStyle w:val="BodyText"/>
        <w:spacing w:line="316" w:lineRule="auto" w:before="19"/>
        <w:ind w:left="1133" w:right="1131"/>
        <w:jc w:val="both"/>
      </w:pPr>
      <w:r>
        <w:rPr>
          <w:spacing w:val="-2"/>
        </w:rPr>
        <w:t>富、团结合作的技术与管理团队，并成为公司市场竞争力的重要来源。若公司不能及时培养和引进所需的人才，则将对公司</w:t>
      </w:r>
      <w:r>
        <w:rPr>
          <w:spacing w:val="-66"/>
        </w:rPr>
        <w:t> </w:t>
      </w:r>
      <w:r>
        <w:rPr>
          <w:spacing w:val="-66"/>
        </w:rPr>
      </w:r>
      <w:r>
        <w:rPr>
          <w:spacing w:val="-2"/>
        </w:rPr>
        <w:t>业务规模的扩大造成较大限制；若公司的核心研发人员、技术服务人员与管理人员流失，也将对公司竞争力的保持造成不利</w:t>
      </w:r>
      <w:r>
        <w:rPr>
          <w:spacing w:val="-66"/>
        </w:rPr>
        <w:t> </w:t>
      </w:r>
      <w:r>
        <w:rPr>
          <w:spacing w:val="-66"/>
        </w:rPr>
      </w:r>
      <w:r>
        <w:rPr/>
        <w:t>影响。</w:t>
      </w:r>
    </w:p>
    <w:p>
      <w:pPr>
        <w:pStyle w:val="BodyText"/>
        <w:spacing w:line="316" w:lineRule="auto" w:before="19"/>
        <w:ind w:right="1032" w:firstLine="360"/>
        <w:jc w:val="left"/>
      </w:pPr>
      <w:r>
        <w:rPr/>
        <w:t>近年来，随着国内物价水平的持续上涨，公司员工工资及福利也呈现上涨趋势，从而面临营业成本及费用上升的局面。 </w:t>
      </w:r>
      <w:r>
        <w:rPr>
          <w:spacing w:val="-2"/>
        </w:rPr>
        <w:t>随着公司规模的扩大，特别是上市后募投项目的逐步实施，若公司未能有效提高营业收入水平、控制人力成本，则将面临盈</w:t>
      </w:r>
      <w:r>
        <w:rPr>
          <w:spacing w:val="-66"/>
        </w:rPr>
        <w:t> </w:t>
      </w:r>
      <w:r>
        <w:rPr>
          <w:spacing w:val="-66"/>
        </w:rPr>
      </w:r>
      <w:r>
        <w:rPr/>
        <w:t>利能力下降的风险。</w:t>
      </w:r>
    </w:p>
    <w:p>
      <w:pPr>
        <w:pStyle w:val="BodyText"/>
        <w:spacing w:line="316" w:lineRule="auto" w:before="19"/>
        <w:ind w:left="1493" w:right="1033"/>
        <w:jc w:val="left"/>
      </w:pPr>
      <w:r>
        <w:rPr>
          <w:rFonts w:ascii="宋体" w:hAnsi="宋体" w:cs="宋体" w:eastAsia="宋体" w:hint="default"/>
        </w:rPr>
        <w:t>6</w:t>
      </w:r>
      <w:r>
        <w:rPr/>
        <w:t>、技术风险 银行业</w:t>
      </w:r>
      <w:r>
        <w:rPr>
          <w:rFonts w:ascii="宋体" w:hAnsi="宋体" w:cs="宋体" w:eastAsia="宋体" w:hint="default"/>
        </w:rPr>
        <w:t>IT</w:t>
      </w:r>
      <w:r>
        <w:rPr/>
        <w:t>技术发展迅速，技术和产品更新换代较快，对技术储备要求较高。公司的软件解决方案是基于自主平台软件、</w:t>
      </w:r>
    </w:p>
    <w:p>
      <w:pPr>
        <w:pStyle w:val="BodyText"/>
        <w:spacing w:line="316" w:lineRule="auto" w:before="19"/>
        <w:ind w:left="1133" w:right="1131"/>
        <w:jc w:val="both"/>
      </w:pPr>
      <w:r>
        <w:rPr>
          <w:spacing w:val="-2"/>
        </w:rPr>
        <w:t>针对银行业特定应用需求而开发的，能够有效提升客户应用软件的开发效率。若公司不能持续创新以适应银行业特定应用需</w:t>
      </w:r>
      <w:r>
        <w:rPr>
          <w:spacing w:val="-64"/>
        </w:rPr>
        <w:t> </w:t>
      </w:r>
      <w:r>
        <w:rPr>
          <w:spacing w:val="-64"/>
        </w:rPr>
      </w:r>
      <w:r>
        <w:rPr/>
        <w:t>求的变化，或在技术开发方向上发生决策失误，则将对公司软件业务的市场前景造成较大的不利影响。</w:t>
      </w:r>
    </w:p>
    <w:p>
      <w:pPr>
        <w:pStyle w:val="BodyText"/>
        <w:spacing w:line="316" w:lineRule="auto" w:before="19"/>
        <w:ind w:right="1131" w:firstLine="360"/>
        <w:jc w:val="both"/>
      </w:pPr>
      <w:r>
        <w:rPr>
          <w:rFonts w:ascii="宋体" w:hAnsi="宋体" w:cs="宋体" w:eastAsia="宋体" w:hint="default"/>
          <w:spacing w:val="-2"/>
        </w:rPr>
        <w:t>IT</w:t>
      </w:r>
      <w:r>
        <w:rPr>
          <w:spacing w:val="-2"/>
        </w:rPr>
        <w:t>基础设施建设及</w:t>
      </w:r>
      <w:r>
        <w:rPr>
          <w:rFonts w:ascii="宋体" w:hAnsi="宋体" w:cs="宋体" w:eastAsia="宋体" w:hint="default"/>
          <w:spacing w:val="-2"/>
        </w:rPr>
        <w:t>IT</w:t>
      </w:r>
      <w:r>
        <w:rPr>
          <w:spacing w:val="-2"/>
        </w:rPr>
        <w:t>运维服务涉及到众多厂商的设备及系统软件。如果公司的技术储备不够充分或不能快速更新，则不</w:t>
      </w:r>
      <w:r>
        <w:rPr/>
        <w:t> 能高效满足客户的需求，公司可能丧失现有技术和市场的优势地位。</w:t>
      </w:r>
    </w:p>
    <w:p>
      <w:pPr>
        <w:pStyle w:val="BodyText"/>
        <w:spacing w:line="316" w:lineRule="auto" w:before="19"/>
        <w:ind w:right="1131" w:firstLine="360"/>
        <w:jc w:val="both"/>
      </w:pPr>
      <w:r>
        <w:rPr>
          <w:spacing w:val="-2"/>
        </w:rPr>
        <w:t>信息技术发展变化较快，目前，云计算、大数据、移动互联网等技术的成熟为银行业</w:t>
      </w:r>
      <w:r>
        <w:rPr>
          <w:rFonts w:ascii="宋体" w:hAnsi="宋体" w:cs="宋体" w:eastAsia="宋体" w:hint="default"/>
          <w:spacing w:val="-2"/>
        </w:rPr>
        <w:t>IT</w:t>
      </w:r>
      <w:r>
        <w:rPr>
          <w:spacing w:val="-2"/>
        </w:rPr>
        <w:t>系统开拓了新的发展方向，并在</w:t>
      </w:r>
      <w:r>
        <w:rPr/>
        <w:t> </w:t>
      </w:r>
      <w:r>
        <w:rPr>
          <w:spacing w:val="-2"/>
        </w:rPr>
        <w:t>基础架构、运行性能上对软硬件系统水平提出了更高的要求。若公司的产品与服务不能准确把握行业技术的发展趋势，或不</w:t>
      </w:r>
      <w:r>
        <w:rPr>
          <w:spacing w:val="-65"/>
        </w:rPr>
        <w:t> </w:t>
      </w:r>
      <w:r>
        <w:rPr>
          <w:spacing w:val="-65"/>
        </w:rPr>
      </w:r>
      <w:r>
        <w:rPr/>
        <w:t>能将新技术应用于公司产品的开发和升级，将使公司面临一定的技术风险。</w:t>
      </w:r>
    </w:p>
    <w:p>
      <w:pPr>
        <w:pStyle w:val="BodyText"/>
        <w:spacing w:line="240" w:lineRule="auto" w:before="19"/>
        <w:ind w:left="1494" w:right="0"/>
        <w:jc w:val="left"/>
      </w:pPr>
      <w:r>
        <w:rPr>
          <w:rFonts w:ascii="宋体" w:hAnsi="宋体" w:cs="宋体" w:eastAsia="宋体" w:hint="default"/>
        </w:rPr>
        <w:t>7</w:t>
      </w:r>
      <w:r>
        <w:rPr/>
        <w:t>、应收账款回收风险</w:t>
      </w:r>
    </w:p>
    <w:p>
      <w:pPr>
        <w:pStyle w:val="BodyText"/>
        <w:spacing w:line="240" w:lineRule="auto" w:before="77"/>
        <w:ind w:left="1494" w:right="0"/>
        <w:jc w:val="left"/>
      </w:pPr>
      <w:r>
        <w:rPr>
          <w:rFonts w:ascii="宋体" w:hAnsi="宋体" w:cs="宋体" w:eastAsia="宋体" w:hint="default"/>
        </w:rPr>
        <w:t>2015</w:t>
      </w:r>
      <w:r>
        <w:rPr/>
        <w:t>年至</w:t>
      </w:r>
      <w:r>
        <w:rPr>
          <w:rFonts w:ascii="宋体" w:hAnsi="宋体" w:cs="宋体" w:eastAsia="宋体" w:hint="default"/>
        </w:rPr>
        <w:t>2017</w:t>
      </w:r>
      <w:r>
        <w:rPr/>
        <w:t>年，公司应收账款分别为</w:t>
      </w:r>
      <w:r>
        <w:rPr>
          <w:rFonts w:ascii="宋体" w:hAnsi="宋体" w:cs="宋体" w:eastAsia="宋体" w:hint="default"/>
        </w:rPr>
        <w:t>31,692.59</w:t>
      </w:r>
      <w:r>
        <w:rPr/>
        <w:t>万元、</w:t>
      </w:r>
      <w:r>
        <w:rPr>
          <w:rFonts w:ascii="宋体" w:hAnsi="宋体" w:cs="宋体" w:eastAsia="宋体" w:hint="default"/>
        </w:rPr>
        <w:t>44,331.76</w:t>
      </w:r>
      <w:r>
        <w:rPr/>
        <w:t>万元和</w:t>
      </w:r>
      <w:r>
        <w:rPr>
          <w:rFonts w:ascii="宋体" w:hAnsi="宋体" w:cs="宋体" w:eastAsia="宋体" w:hint="default"/>
        </w:rPr>
        <w:t>52,272.60</w:t>
      </w:r>
      <w:r>
        <w:rPr/>
        <w:t>万元，占总资产比重分别为</w:t>
      </w:r>
      <w:r>
        <w:rPr>
          <w:rFonts w:ascii="宋体" w:hAnsi="宋体" w:cs="宋体" w:eastAsia="宋体" w:hint="default"/>
        </w:rPr>
        <w:t>43.82%</w:t>
      </w:r>
      <w:r>
        <w:rPr/>
        <w:t>、</w:t>
      </w:r>
    </w:p>
    <w:p>
      <w:pPr>
        <w:pStyle w:val="BodyText"/>
        <w:spacing w:line="316" w:lineRule="auto" w:before="76"/>
        <w:ind w:left="1133" w:right="1131"/>
        <w:jc w:val="both"/>
      </w:pPr>
      <w:r>
        <w:rPr>
          <w:rFonts w:ascii="宋体" w:hAnsi="宋体" w:cs="宋体" w:eastAsia="宋体" w:hint="default"/>
        </w:rPr>
        <w:t>41.25%</w:t>
      </w:r>
      <w:r>
        <w:rPr/>
        <w:t>和</w:t>
      </w:r>
      <w:r>
        <w:rPr>
          <w:rFonts w:ascii="宋体" w:hAnsi="宋体" w:cs="宋体" w:eastAsia="宋体" w:hint="default"/>
        </w:rPr>
        <w:t>39.30%</w:t>
      </w:r>
      <w:r>
        <w:rPr/>
        <w:t>，是公司资产的重要组成部分。截至报告期末，账龄在</w:t>
      </w:r>
      <w:r>
        <w:rPr>
          <w:rFonts w:ascii="宋体" w:hAnsi="宋体" w:cs="宋体" w:eastAsia="宋体" w:hint="default"/>
        </w:rPr>
        <w:t>1</w:t>
      </w:r>
      <w:r>
        <w:rPr/>
        <w:t>年以内的应收账款账面余额占公司应收账款账面余</w:t>
      </w:r>
      <w:r>
        <w:rPr>
          <w:spacing w:val="-84"/>
        </w:rPr>
        <w:t> </w:t>
      </w:r>
      <w:r>
        <w:rPr>
          <w:spacing w:val="-84"/>
        </w:rPr>
      </w:r>
      <w:r>
        <w:rPr>
          <w:spacing w:val="-2"/>
        </w:rPr>
        <w:t>额的比重为</w:t>
      </w:r>
      <w:r>
        <w:rPr>
          <w:rFonts w:ascii="宋体" w:hAnsi="宋体" w:cs="宋体" w:eastAsia="宋体" w:hint="default"/>
          <w:spacing w:val="-2"/>
        </w:rPr>
        <w:t>85.35%</w:t>
      </w:r>
      <w:r>
        <w:rPr>
          <w:spacing w:val="-2"/>
        </w:rPr>
        <w:t>。公司主要应收账款客户是银行类金融机构等信誉较高的客户。尽管如此，若主要客户经营状况发生重大</w:t>
      </w:r>
      <w:r>
        <w:rPr>
          <w:spacing w:val="-60"/>
        </w:rPr>
        <w:t> </w:t>
      </w:r>
      <w:r>
        <w:rPr>
          <w:spacing w:val="-60"/>
        </w:rPr>
      </w:r>
      <w:r>
        <w:rPr/>
        <w:t>不利变化，应收账款不能及时收回或产生坏账，将对公司资产质量以及财务状况产生较大不利影响。</w:t>
      </w:r>
    </w:p>
    <w:p>
      <w:pPr>
        <w:pStyle w:val="BodyText"/>
        <w:spacing w:line="316" w:lineRule="auto" w:before="19"/>
        <w:ind w:left="1493" w:right="1033"/>
        <w:jc w:val="left"/>
      </w:pPr>
      <w:r>
        <w:rPr>
          <w:rFonts w:ascii="宋体" w:hAnsi="宋体" w:cs="宋体" w:eastAsia="宋体" w:hint="default"/>
        </w:rPr>
        <w:t>8</w:t>
      </w:r>
      <w:r>
        <w:rPr/>
        <w:t>、收入及净利润季节性波动风险 公司的主要客户为银行类金融机构，银行业用户的采购计划主要在上年年底到第二年的一季度制定，需经过方案审查、</w:t>
      </w:r>
    </w:p>
    <w:p>
      <w:pPr>
        <w:pStyle w:val="BodyText"/>
        <w:spacing w:line="316" w:lineRule="auto" w:before="19"/>
        <w:ind w:left="1133" w:right="1130"/>
        <w:jc w:val="both"/>
      </w:pPr>
      <w:r>
        <w:rPr>
          <w:spacing w:val="-2"/>
        </w:rPr>
        <w:t>立项批复、采购申请、招投标、合同签订等严格的程序，这导致产品采购主要集中在每年下半年完成。受此影响，服务商的</w:t>
      </w:r>
      <w:r>
        <w:rPr>
          <w:spacing w:val="-68"/>
        </w:rPr>
        <w:t> </w:t>
      </w:r>
      <w:r>
        <w:rPr>
          <w:spacing w:val="-68"/>
        </w:rPr>
      </w:r>
      <w:r>
        <w:rPr>
          <w:spacing w:val="-2"/>
        </w:rPr>
        <w:t>收入多数在每年下半年才能得以确认，经营业绩存在明显的季节性特征。从公司上、下半年营业收入、净利润占全年比重来</w:t>
      </w:r>
      <w:r>
        <w:rPr>
          <w:spacing w:val="-65"/>
        </w:rPr>
        <w:t> </w:t>
      </w:r>
      <w:r>
        <w:rPr>
          <w:spacing w:val="-65"/>
        </w:rPr>
      </w:r>
      <w:r>
        <w:rPr>
          <w:spacing w:val="-2"/>
        </w:rPr>
        <w:t>看，公司下半年营业收入及净利润占全年收入比重较高，呈现较强的季节性特征，投资者不宜以季度或半年度数据推测公司</w:t>
      </w:r>
      <w:r>
        <w:rPr>
          <w:spacing w:val="-66"/>
        </w:rPr>
        <w:t> </w:t>
      </w:r>
      <w:r>
        <w:rPr>
          <w:spacing w:val="-66"/>
        </w:rPr>
      </w:r>
      <w:r>
        <w:rPr/>
        <w:t>全年业绩情况。</w:t>
      </w:r>
    </w:p>
    <w:p>
      <w:pPr>
        <w:pStyle w:val="BodyText"/>
        <w:spacing w:line="240" w:lineRule="auto" w:before="19"/>
        <w:ind w:left="1493" w:right="0"/>
        <w:jc w:val="left"/>
      </w:pPr>
      <w:r>
        <w:rPr>
          <w:rFonts w:ascii="宋体" w:hAnsi="宋体" w:cs="宋体" w:eastAsia="宋体" w:hint="default"/>
        </w:rPr>
        <w:t>9</w:t>
      </w:r>
      <w:r>
        <w:rPr/>
        <w:t>、净资产收益率下降的风险</w:t>
      </w:r>
    </w:p>
    <w:p>
      <w:pPr>
        <w:pStyle w:val="BodyText"/>
        <w:spacing w:line="316" w:lineRule="auto" w:before="76"/>
        <w:ind w:left="1133" w:right="1131" w:firstLine="360"/>
        <w:jc w:val="both"/>
      </w:pPr>
      <w:r>
        <w:rPr>
          <w:rFonts w:ascii="宋体" w:hAnsi="宋体" w:cs="宋体" w:eastAsia="宋体" w:hint="default"/>
        </w:rPr>
        <w:t>2015</w:t>
      </w:r>
      <w:r>
        <w:rPr/>
        <w:t>年至</w:t>
      </w:r>
      <w:r>
        <w:rPr>
          <w:rFonts w:ascii="宋体" w:hAnsi="宋体" w:cs="宋体" w:eastAsia="宋体" w:hint="default"/>
        </w:rPr>
        <w:t>2017</w:t>
      </w:r>
      <w:r>
        <w:rPr/>
        <w:t>年，公司扣除非经常损益后加权平均净资产收益率分别为</w:t>
      </w:r>
      <w:r>
        <w:rPr>
          <w:rFonts w:ascii="宋体" w:hAnsi="宋体" w:cs="宋体" w:eastAsia="宋体" w:hint="default"/>
        </w:rPr>
        <w:t>19.37%</w:t>
      </w:r>
      <w:r>
        <w:rPr/>
        <w:t>、</w:t>
      </w:r>
      <w:r>
        <w:rPr>
          <w:rFonts w:ascii="宋体" w:hAnsi="宋体" w:cs="宋体" w:eastAsia="宋体" w:hint="default"/>
        </w:rPr>
        <w:t>13.19%</w:t>
      </w:r>
      <w:r>
        <w:rPr/>
        <w:t>和</w:t>
      </w:r>
      <w:r>
        <w:rPr>
          <w:rFonts w:ascii="宋体" w:hAnsi="宋体" w:cs="宋体" w:eastAsia="宋体" w:hint="default"/>
        </w:rPr>
        <w:t>5.87%</w:t>
      </w:r>
      <w:r>
        <w:rPr/>
        <w:t>。公司首次公开发行并 </w:t>
      </w:r>
      <w:r>
        <w:rPr>
          <w:spacing w:val="-2"/>
        </w:rPr>
        <w:t>在创业板上市后，公司净资产规模大幅提高。由于募集资金投资项目的实施需要一定时间，在项目建成投产后才能达到预计</w:t>
      </w:r>
      <w:r>
        <w:rPr>
          <w:spacing w:val="-66"/>
        </w:rPr>
        <w:t> </w:t>
      </w:r>
      <w:r>
        <w:rPr>
          <w:spacing w:val="-66"/>
        </w:rPr>
      </w:r>
      <w:r>
        <w:rPr/>
        <w:t>的收益水平，因此，公司存在因净资产增长较大而引发的净资产收益率下降的风险。</w:t>
      </w:r>
    </w:p>
    <w:p>
      <w:pPr>
        <w:pStyle w:val="BodyText"/>
        <w:spacing w:line="316" w:lineRule="auto" w:before="19"/>
        <w:ind w:left="1494" w:right="0"/>
        <w:jc w:val="left"/>
      </w:pPr>
      <w:r>
        <w:rPr>
          <w:rFonts w:ascii="宋体" w:hAnsi="宋体" w:cs="宋体" w:eastAsia="宋体" w:hint="default"/>
        </w:rPr>
        <w:t>10</w:t>
      </w:r>
      <w:r>
        <w:rPr/>
        <w:t>、募集资金投资项目未能实现预期效益的风险 </w:t>
      </w:r>
      <w:r>
        <w:rPr>
          <w:spacing w:val="-2"/>
        </w:rPr>
        <w:t>公司首次公开发行并在创业板上市募集资金主要投资于平台软件开发和</w:t>
      </w:r>
      <w:r>
        <w:rPr>
          <w:rFonts w:ascii="宋体" w:hAnsi="宋体" w:cs="宋体" w:eastAsia="宋体" w:hint="default"/>
          <w:spacing w:val="-2"/>
        </w:rPr>
        <w:t>IT</w:t>
      </w:r>
      <w:r>
        <w:rPr>
          <w:spacing w:val="-2"/>
        </w:rPr>
        <w:t>运维体系建设。公司已对各项目进行了充分的</w:t>
      </w:r>
    </w:p>
    <w:p>
      <w:pPr>
        <w:pStyle w:val="BodyText"/>
        <w:spacing w:line="319" w:lineRule="auto" w:before="19"/>
        <w:ind w:left="1133" w:right="1131"/>
        <w:jc w:val="both"/>
      </w:pPr>
      <w:r>
        <w:rPr>
          <w:spacing w:val="-2"/>
        </w:rPr>
        <w:t>市场调研和严格的可行性论证，但在项目开发建设过程中，受技术开发的不确定性、技术进步、宏观政策变化、市场变化等</w:t>
      </w:r>
      <w:r>
        <w:rPr>
          <w:spacing w:val="-66"/>
        </w:rPr>
        <w:t> </w:t>
      </w:r>
      <w:r>
        <w:rPr>
          <w:spacing w:val="-66"/>
        </w:rPr>
      </w:r>
      <w:r>
        <w:rPr>
          <w:spacing w:val="-2"/>
        </w:rPr>
        <w:t>诸多因素的影响，募集资金投资项目将可能存在市场发生变化、项目实施进度不能保证、市场营销不理想等方面的风险，可</w:t>
      </w:r>
      <w:r>
        <w:rPr>
          <w:spacing w:val="-66"/>
        </w:rPr>
        <w:t> </w:t>
      </w:r>
      <w:r>
        <w:rPr>
          <w:spacing w:val="-66"/>
        </w:rPr>
      </w:r>
      <w:r>
        <w:rPr/>
        <w:t>能影响项目的投资效益。</w:t>
      </w:r>
    </w:p>
    <w:p>
      <w:pPr>
        <w:pStyle w:val="BodyText"/>
        <w:spacing w:line="316" w:lineRule="auto" w:before="17"/>
        <w:ind w:left="1494" w:right="1122"/>
        <w:jc w:val="left"/>
      </w:pPr>
      <w:r>
        <w:rPr>
          <w:rFonts w:ascii="宋体" w:hAnsi="宋体" w:cs="宋体" w:eastAsia="宋体" w:hint="default"/>
        </w:rPr>
        <w:t>11</w:t>
      </w:r>
      <w:r>
        <w:rPr/>
        <w:t>、股权分散风险 本公司现有总股本</w:t>
      </w:r>
      <w:r>
        <w:rPr>
          <w:rFonts w:ascii="宋体" w:hAnsi="宋体" w:cs="宋体" w:eastAsia="宋体" w:hint="default"/>
        </w:rPr>
        <w:t>12,000</w:t>
      </w:r>
      <w:r>
        <w:rPr/>
        <w:t>万股，第一大股东范丽明女士持股比例为</w:t>
      </w:r>
      <w:r>
        <w:rPr>
          <w:rFonts w:ascii="宋体" w:hAnsi="宋体" w:cs="宋体" w:eastAsia="宋体" w:hint="default"/>
        </w:rPr>
        <w:t>6.71%</w:t>
      </w:r>
      <w:r>
        <w:rPr/>
        <w:t>，前五大股东持股比例为</w:t>
      </w:r>
      <w:r>
        <w:rPr>
          <w:rFonts w:ascii="宋体" w:hAnsi="宋体" w:cs="宋体" w:eastAsia="宋体" w:hint="default"/>
        </w:rPr>
        <w:t>28.10%</w:t>
      </w:r>
      <w:r>
        <w:rPr/>
        <w:t>，公司股权相</w:t>
      </w:r>
    </w:p>
    <w:p>
      <w:pPr>
        <w:pStyle w:val="BodyText"/>
        <w:spacing w:line="240" w:lineRule="auto" w:before="19"/>
        <w:ind w:left="1133" w:right="0"/>
        <w:jc w:val="both"/>
      </w:pPr>
      <w:r>
        <w:rPr/>
        <w:t>对分散，使得公司有可能成为被收购对象，如果公司被收购，会导致公司控制权发生变化，可能会给公司业务或经营管理等</w:t>
      </w:r>
    </w:p>
    <w:p>
      <w:pPr>
        <w:spacing w:after="0" w:line="240" w:lineRule="auto"/>
        <w:jc w:val="both"/>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240" w:lineRule="auto" w:before="44"/>
        <w:ind w:right="0"/>
        <w:jc w:val="left"/>
      </w:pPr>
      <w:r>
        <w:rPr/>
        <w:t>带来一定影响。</w:t>
      </w:r>
    </w:p>
    <w:p>
      <w:pPr>
        <w:spacing w:line="240" w:lineRule="auto" w:before="2"/>
        <w:rPr>
          <w:rFonts w:ascii="宋体" w:hAnsi="宋体" w:cs="宋体" w:eastAsia="宋体" w:hint="default"/>
          <w:sz w:val="25"/>
          <w:szCs w:val="25"/>
        </w:rPr>
      </w:pPr>
    </w:p>
    <w:p>
      <w:pPr>
        <w:pStyle w:val="Heading3"/>
        <w:spacing w:line="240" w:lineRule="auto"/>
        <w:ind w:left="1133" w:right="0"/>
        <w:jc w:val="left"/>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133" w:right="0"/>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 者关系活动记录表</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02"/>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日投资 者关系活动记录表</w:t>
            </w:r>
          </w:p>
        </w:tc>
      </w:tr>
      <w:tr>
        <w:trPr>
          <w:trHeight w:val="715"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02"/>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日投资 者关系活动记录表</w:t>
            </w:r>
          </w:p>
        </w:tc>
      </w:tr>
    </w:tbl>
    <w:p>
      <w:pPr>
        <w:spacing w:after="0" w:line="30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3403"/>
        <w:jc w:val="center"/>
        <w:rPr>
          <w:b w:val="0"/>
          <w:bCs w:val="0"/>
        </w:rPr>
      </w:pPr>
      <w:bookmarkStart w:name="第五节 重要事项" w:id="61"/>
      <w:bookmarkEnd w:id="61"/>
      <w:r>
        <w:rPr>
          <w:b w:val="0"/>
          <w:bCs w:val="0"/>
        </w:rPr>
      </w:r>
      <w:bookmarkStart w:name="_bookmark4" w:id="62"/>
      <w:bookmarkEnd w:id="62"/>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left="1133"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报告期内普通股利润分配政策，特别是现金分红政策的制定、执行或调整情况</w:t>
      </w:r>
    </w:p>
    <w:p>
      <w:pPr>
        <w:pStyle w:val="BodyText"/>
        <w:spacing w:line="357" w:lineRule="auto" w:before="117"/>
        <w:ind w:left="1493" w:right="1118" w:hanging="360"/>
        <w:jc w:val="left"/>
      </w:pPr>
      <w:r>
        <w:rPr/>
        <w:t>√ 适用 □ 不适用 </w:t>
      </w:r>
      <w:r>
        <w:rPr>
          <w:rFonts w:ascii="宋体" w:hAnsi="宋体" w:cs="宋体" w:eastAsia="宋体" w:hint="default"/>
          <w:spacing w:val="-2"/>
        </w:rPr>
        <w:t>1</w:t>
      </w:r>
      <w:r>
        <w:rPr>
          <w:spacing w:val="-2"/>
        </w:rPr>
        <w:t>、《公司章程》第一百五十四条规定，公司分配当年税后利润时，应当提取利润的</w:t>
      </w:r>
      <w:r>
        <w:rPr>
          <w:rFonts w:ascii="宋体" w:hAnsi="宋体" w:cs="宋体" w:eastAsia="宋体" w:hint="default"/>
          <w:spacing w:val="-2"/>
        </w:rPr>
        <w:t>10%</w:t>
      </w:r>
      <w:r>
        <w:rPr>
          <w:spacing w:val="-2"/>
        </w:rPr>
        <w:t>列入公司法定公积金。公司法定</w:t>
      </w:r>
    </w:p>
    <w:p>
      <w:pPr>
        <w:pStyle w:val="BodyText"/>
        <w:spacing w:line="224" w:lineRule="exact"/>
        <w:ind w:left="1133" w:right="0"/>
        <w:jc w:val="left"/>
      </w:pPr>
      <w:r>
        <w:rPr/>
        <w:t>公积金累计额为公司注册资本的</w:t>
      </w:r>
      <w:r>
        <w:rPr>
          <w:rFonts w:ascii="宋体" w:hAnsi="宋体" w:cs="宋体" w:eastAsia="宋体" w:hint="default"/>
        </w:rPr>
        <w:t>50%</w:t>
      </w:r>
      <w:r>
        <w:rPr/>
        <w:t>以上的，可以不再提取。</w:t>
      </w:r>
    </w:p>
    <w:p>
      <w:pPr>
        <w:pStyle w:val="BodyText"/>
        <w:spacing w:line="316" w:lineRule="auto" w:before="76"/>
        <w:ind w:left="1493" w:right="0"/>
        <w:jc w:val="left"/>
      </w:pPr>
      <w:r>
        <w:rPr/>
        <w:t>公司的法定公积金不足以弥补以前年度亏损的，在依照前款规定提取法定公积金之前，应当先用当年利润弥补亏损。 公司从税后利润中提取法定公积金后，经股东大会决议，还可以从税后利润中提取任意公积金。 </w:t>
      </w:r>
      <w:r>
        <w:rPr>
          <w:spacing w:val="-4"/>
        </w:rPr>
        <w:t>公司弥补亏损和提取公积金后所余税后利润，按照股东持有的股份比例分配，但公司章程规定不按持股比例分配的除外。</w:t>
      </w:r>
      <w:r>
        <w:rPr>
          <w:spacing w:val="-52"/>
        </w:rPr>
        <w:t> </w:t>
      </w:r>
      <w:r>
        <w:rPr>
          <w:spacing w:val="-52"/>
        </w:rPr>
      </w:r>
      <w:r>
        <w:rPr>
          <w:spacing w:val="-2"/>
        </w:rPr>
        <w:t>股东大会违反前款规定，在公司弥补亏损和提取法定公积金之前向股东分配利润的，股东必须将违反规定分配的利润退</w:t>
      </w:r>
    </w:p>
    <w:p>
      <w:pPr>
        <w:pStyle w:val="BodyText"/>
        <w:spacing w:line="240" w:lineRule="auto" w:before="19"/>
        <w:ind w:right="0"/>
        <w:jc w:val="left"/>
      </w:pPr>
      <w:r>
        <w:rPr/>
        <w:t>还公司。</w:t>
      </w:r>
    </w:p>
    <w:p>
      <w:pPr>
        <w:pStyle w:val="BodyText"/>
        <w:spacing w:line="316" w:lineRule="auto" w:before="76"/>
        <w:ind w:left="1494" w:right="2473"/>
        <w:jc w:val="left"/>
      </w:pPr>
      <w:r>
        <w:rPr/>
        <w:t>公司持有的本公司股份不参与分配利润。 </w:t>
      </w:r>
      <w:r>
        <w:rPr>
          <w:rFonts w:ascii="宋体" w:hAnsi="宋体" w:cs="宋体" w:eastAsia="宋体" w:hint="default"/>
          <w:spacing w:val="-3"/>
        </w:rPr>
        <w:t>2</w:t>
      </w:r>
      <w:r>
        <w:rPr>
          <w:spacing w:val="-3"/>
        </w:rPr>
        <w:t>、《公司章程》第一百五十六条规定，公司利润分配的原则、决策程序和机制如下：</w:t>
      </w:r>
    </w:p>
    <w:p>
      <w:pPr>
        <w:pStyle w:val="BodyText"/>
        <w:spacing w:line="316" w:lineRule="auto" w:before="19"/>
        <w:ind w:left="1494" w:right="0"/>
        <w:jc w:val="left"/>
      </w:pPr>
      <w:r>
        <w:rPr/>
        <w:t>（</w:t>
      </w:r>
      <w:r>
        <w:rPr>
          <w:rFonts w:ascii="宋体" w:hAnsi="宋体" w:cs="宋体" w:eastAsia="宋体" w:hint="default"/>
        </w:rPr>
        <w:t>1</w:t>
      </w:r>
      <w:r>
        <w:rPr/>
        <w:t>）利润分配政策的基本原则 </w:t>
      </w:r>
      <w:r>
        <w:rPr>
          <w:spacing w:val="-2"/>
        </w:rPr>
        <w:t>公司应根据自身的盈利情况、以前年度亏损弥补状况、未来的业务可持续发展规划、资金使用需求以及利润分配规划等</w:t>
      </w:r>
    </w:p>
    <w:p>
      <w:pPr>
        <w:pStyle w:val="BodyText"/>
        <w:spacing w:line="316" w:lineRule="auto" w:before="19"/>
        <w:ind w:right="0"/>
        <w:jc w:val="left"/>
      </w:pPr>
      <w:r>
        <w:rPr>
          <w:spacing w:val="-2"/>
        </w:rPr>
        <w:t>因素，以实现股东持续、稳定、合理的回报为出发点，并经过董事会充分论证，并充分考虑独立董事、外部监事（若有）和</w:t>
      </w:r>
      <w:r>
        <w:rPr>
          <w:spacing w:val="-68"/>
        </w:rPr>
        <w:t> </w:t>
      </w:r>
      <w:r>
        <w:rPr>
          <w:spacing w:val="-68"/>
        </w:rPr>
      </w:r>
      <w:r>
        <w:rPr/>
        <w:t>中小股东意见的前提下，保持利润分配政策的连续性和稳定性。</w:t>
      </w:r>
    </w:p>
    <w:p>
      <w:pPr>
        <w:pStyle w:val="BodyText"/>
        <w:spacing w:line="240" w:lineRule="auto" w:before="19"/>
        <w:ind w:left="1494" w:right="0"/>
        <w:jc w:val="left"/>
      </w:pPr>
      <w:r>
        <w:rPr/>
        <w:t>公司应当严格执行公司章程确定的利润分配政策以及股东大会审议批准的利润分配具体方案。</w:t>
      </w:r>
    </w:p>
    <w:p>
      <w:pPr>
        <w:pStyle w:val="BodyText"/>
        <w:spacing w:line="316" w:lineRule="auto" w:before="76"/>
        <w:ind w:left="1493" w:right="0"/>
        <w:jc w:val="left"/>
      </w:pPr>
      <w:r>
        <w:rPr/>
        <w:t>（</w:t>
      </w:r>
      <w:r>
        <w:rPr>
          <w:rFonts w:ascii="宋体" w:hAnsi="宋体" w:cs="宋体" w:eastAsia="宋体" w:hint="default"/>
        </w:rPr>
        <w:t>2</w:t>
      </w:r>
      <w:r>
        <w:rPr/>
        <w:t>）利润分配政策的决策程序和机制 </w:t>
      </w:r>
      <w:r>
        <w:rPr>
          <w:spacing w:val="-2"/>
        </w:rPr>
        <w:t>董事会应于年度报告或半年度报告公布后两个月内，制定利润分配预案，该预案应经全体董事过半数表决通过，独立董</w:t>
      </w:r>
    </w:p>
    <w:p>
      <w:pPr>
        <w:pStyle w:val="BodyText"/>
        <w:spacing w:line="316" w:lineRule="auto" w:before="19"/>
        <w:ind w:left="1133" w:right="0"/>
        <w:jc w:val="left"/>
      </w:pPr>
      <w:r>
        <w:rPr>
          <w:spacing w:val="-2"/>
        </w:rPr>
        <w:t>事应对利润分配预案发表明确意见。董事会在制定现金分红具体方案时，应当认真研究和论证公司现金分红的时机、条件和</w:t>
      </w:r>
      <w:r>
        <w:rPr>
          <w:spacing w:val="-66"/>
        </w:rPr>
        <w:t> </w:t>
      </w:r>
      <w:r>
        <w:rPr>
          <w:spacing w:val="-66"/>
        </w:rPr>
      </w:r>
      <w:r>
        <w:rPr/>
        <w:t>最低比例、调整的条件及其决策程序要求等事宜。</w:t>
      </w:r>
    </w:p>
    <w:p>
      <w:pPr>
        <w:pStyle w:val="BodyText"/>
        <w:spacing w:line="316" w:lineRule="auto" w:before="19"/>
        <w:ind w:left="1493" w:right="0"/>
        <w:jc w:val="left"/>
      </w:pPr>
      <w:r>
        <w:rPr/>
        <w:t>公司监事会应对利润分配预案进行审议，并经全体监事过半数表决通过，外部监事（若有）应当发表明确意见。 </w:t>
      </w:r>
      <w:r>
        <w:rPr>
          <w:spacing w:val="-2"/>
        </w:rPr>
        <w:t>利润分配预案经董事会和监事会审议通过后提交公司股东大会审议。股东大会对现金分红具体方案进行审议前，公司应</w:t>
      </w:r>
    </w:p>
    <w:p>
      <w:pPr>
        <w:pStyle w:val="BodyText"/>
        <w:spacing w:line="316" w:lineRule="auto" w:before="19"/>
        <w:ind w:left="1133" w:right="1033"/>
        <w:jc w:val="left"/>
      </w:pPr>
      <w:r>
        <w:rPr>
          <w:spacing w:val="-2"/>
        </w:rPr>
        <w:t>当通过多种渠道主动与股东特别是中小股东进行沟通和交流，充分听取中小股东的意见和诉求，及时答复中小股东关心的问</w:t>
      </w:r>
      <w:r>
        <w:rPr>
          <w:spacing w:val="-64"/>
        </w:rPr>
        <w:t> </w:t>
      </w:r>
      <w:r>
        <w:rPr>
          <w:spacing w:val="-64"/>
        </w:rPr>
      </w:r>
      <w:r>
        <w:rPr/>
        <w:t>题。股东大会对利润分配相关方案进行审议时，应采取现场投票和网络投票相结合的方式，便于中小股东充分行使表决权。 </w:t>
      </w:r>
      <w:r>
        <w:rPr>
          <w:spacing w:val="-2"/>
        </w:rPr>
        <w:t>除下述第（四）项另有规定外，利润分配预案应当经出席股东大会的股东（包括股东代理人）所持表决权的二分之一（</w:t>
      </w:r>
      <w:r>
        <w:rPr>
          <w:rFonts w:ascii="宋体" w:hAnsi="宋体" w:cs="宋体" w:eastAsia="宋体" w:hint="default"/>
          <w:spacing w:val="-2"/>
        </w:rPr>
        <w:t>1/2</w:t>
      </w:r>
      <w:r>
        <w:rPr>
          <w:spacing w:val="-2"/>
        </w:rPr>
        <w:t>）</w:t>
      </w:r>
      <w:r>
        <w:rPr>
          <w:spacing w:val="-64"/>
        </w:rPr>
        <w:t> </w:t>
      </w:r>
      <w:r>
        <w:rPr/>
        <w:t>以上通过。</w:t>
      </w:r>
    </w:p>
    <w:p>
      <w:pPr>
        <w:pStyle w:val="BodyText"/>
        <w:spacing w:line="316" w:lineRule="auto" w:before="19"/>
        <w:ind w:left="1494" w:right="1122"/>
        <w:jc w:val="left"/>
      </w:pPr>
      <w:r>
        <w:rPr/>
        <w:t>（</w:t>
      </w:r>
      <w:r>
        <w:rPr>
          <w:rFonts w:ascii="宋体" w:hAnsi="宋体" w:cs="宋体" w:eastAsia="宋体" w:hint="default"/>
        </w:rPr>
        <w:t>3</w:t>
      </w:r>
      <w:r>
        <w:rPr/>
        <w:t>）利润分配的实施 公司股东大会对利润分配方案作出决议后，公司董事会须在股东大会召开后</w:t>
      </w:r>
      <w:r>
        <w:rPr>
          <w:rFonts w:ascii="宋体" w:hAnsi="宋体" w:cs="宋体" w:eastAsia="宋体" w:hint="default"/>
        </w:rPr>
        <w:t>2</w:t>
      </w:r>
      <w:r>
        <w:rPr/>
        <w:t>个月内完成股利（或股份）的派发事项。</w:t>
      </w:r>
    </w:p>
    <w:p>
      <w:pPr>
        <w:pStyle w:val="BodyText"/>
        <w:spacing w:line="316" w:lineRule="auto" w:before="19"/>
        <w:ind w:left="1494" w:right="0"/>
        <w:jc w:val="left"/>
      </w:pPr>
      <w:r>
        <w:rPr/>
        <w:t>（</w:t>
      </w:r>
      <w:r>
        <w:rPr>
          <w:rFonts w:ascii="宋体" w:hAnsi="宋体" w:cs="宋体" w:eastAsia="宋体" w:hint="default"/>
        </w:rPr>
        <w:t>4</w:t>
      </w:r>
      <w:r>
        <w:rPr/>
        <w:t>）利润分配政策的调整 </w:t>
      </w:r>
      <w:r>
        <w:rPr>
          <w:spacing w:val="-2"/>
        </w:rPr>
        <w:t>公司根据生产经营情况、投资规划和长期发展的需要，或者外部经营环境发生变化，公司董事会确有必要对利润分配政</w:t>
      </w:r>
    </w:p>
    <w:p>
      <w:pPr>
        <w:pStyle w:val="BodyText"/>
        <w:spacing w:line="316" w:lineRule="auto" w:before="19"/>
        <w:ind w:right="0"/>
        <w:jc w:val="left"/>
      </w:pPr>
      <w:r>
        <w:rPr>
          <w:spacing w:val="-2"/>
        </w:rPr>
        <w:t>策（尤其是现金分红政策）进行调整或者变更的，应以股东权益尤其是中小股东利益保护为出发点，制订利润分配政策的修</w:t>
      </w:r>
      <w:r>
        <w:rPr>
          <w:spacing w:val="-66"/>
        </w:rPr>
        <w:t> </w:t>
      </w:r>
      <w:r>
        <w:rPr>
          <w:spacing w:val="-66"/>
        </w:rPr>
      </w:r>
      <w:r>
        <w:rPr/>
        <w:t>订方案，详细论证和说明修订原因。修订方案应经全体董事过半数表决通过，独立董事应当发表明确意见。</w:t>
      </w:r>
    </w:p>
    <w:p>
      <w:pPr>
        <w:pStyle w:val="BodyText"/>
        <w:spacing w:line="319" w:lineRule="auto" w:before="19"/>
        <w:ind w:left="1493" w:right="0"/>
        <w:jc w:val="left"/>
      </w:pPr>
      <w:r>
        <w:rPr/>
        <w:t>公司监事会应对利润分配修订方案进行审议，并经全体监事过半数表决通过，外部监事（若有）应当发表明确意见。 </w:t>
      </w:r>
      <w:r>
        <w:rPr>
          <w:spacing w:val="-2"/>
        </w:rPr>
        <w:t>利润分配修订方案经董事会和监事会审议通过后提交股东大会审议，并经出席股东大会的股东（包括股东代理人）所持</w:t>
      </w:r>
    </w:p>
    <w:p>
      <w:pPr>
        <w:pStyle w:val="BodyText"/>
        <w:spacing w:line="316" w:lineRule="auto" w:before="17"/>
        <w:ind w:right="1122"/>
        <w:jc w:val="left"/>
      </w:pPr>
      <w:r>
        <w:rPr/>
        <w:t>表决权的三分之二（</w:t>
      </w:r>
      <w:r>
        <w:rPr>
          <w:rFonts w:ascii="宋体" w:hAnsi="宋体" w:cs="宋体" w:eastAsia="宋体" w:hint="default"/>
        </w:rPr>
        <w:t>2/3</w:t>
      </w:r>
      <w:r>
        <w:rPr/>
        <w:t>）以上通过。调整后的利润分配政策不得违反中国证券监督管理委员会和深圳证券交易所的有关规</w:t>
      </w:r>
      <w:r>
        <w:rPr>
          <w:spacing w:val="-83"/>
        </w:rPr>
        <w:t> </w:t>
      </w:r>
      <w:r>
        <w:rPr>
          <w:spacing w:val="-83"/>
        </w:rPr>
      </w:r>
      <w:r>
        <w:rPr/>
        <w:t>定。</w:t>
      </w:r>
    </w:p>
    <w:p>
      <w:pPr>
        <w:pStyle w:val="BodyText"/>
        <w:spacing w:line="240" w:lineRule="auto" w:before="19"/>
        <w:ind w:left="1494" w:right="0"/>
        <w:jc w:val="left"/>
      </w:pPr>
      <w:r>
        <w:rPr>
          <w:rFonts w:ascii="宋体" w:hAnsi="宋体" w:cs="宋体" w:eastAsia="宋体" w:hint="default"/>
        </w:rPr>
        <w:t>3</w:t>
      </w:r>
      <w:r>
        <w:rPr>
          <w:spacing w:val="-90"/>
        </w:rPr>
        <w:t>、</w:t>
      </w:r>
      <w:r>
        <w:rPr/>
        <w:t>《公司章程》第一百五十七条规定，公司利润分配具体政策如下：</w:t>
      </w:r>
    </w:p>
    <w:p>
      <w:pPr>
        <w:pStyle w:val="BodyText"/>
        <w:spacing w:line="240" w:lineRule="auto" w:before="76"/>
        <w:ind w:left="1493" w:right="0"/>
        <w:jc w:val="left"/>
      </w:pPr>
      <w:r>
        <w:rPr/>
        <w:t>（</w:t>
      </w:r>
      <w:r>
        <w:rPr>
          <w:rFonts w:ascii="宋体" w:hAnsi="宋体" w:cs="宋体" w:eastAsia="宋体" w:hint="default"/>
        </w:rPr>
        <w:t>1</w:t>
      </w:r>
      <w:r>
        <w:rPr/>
        <w:t>）可分配利润</w:t>
      </w:r>
    </w:p>
    <w:p>
      <w:pPr>
        <w:spacing w:after="0" w:line="240"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right="1132" w:firstLine="360"/>
        <w:jc w:val="both"/>
      </w:pPr>
      <w:r>
        <w:rPr>
          <w:spacing w:val="-2"/>
        </w:rPr>
        <w:t>公司按公司章程第一百五十四条的规定确定可分配利润，利润分配不得超过公司累计可供分配利润的范围，不得损害公</w:t>
      </w:r>
      <w:r>
        <w:rPr/>
        <w:t> 司持续经营能力。</w:t>
      </w:r>
    </w:p>
    <w:p>
      <w:pPr>
        <w:pStyle w:val="BodyText"/>
        <w:spacing w:line="316" w:lineRule="auto" w:before="19"/>
        <w:ind w:left="1493" w:right="0"/>
        <w:jc w:val="left"/>
      </w:pPr>
      <w:r>
        <w:rPr/>
        <w:t>（</w:t>
      </w:r>
      <w:r>
        <w:rPr>
          <w:rFonts w:ascii="宋体" w:hAnsi="宋体" w:cs="宋体" w:eastAsia="宋体" w:hint="default"/>
        </w:rPr>
        <w:t>2</w:t>
      </w:r>
      <w:r>
        <w:rPr/>
        <w:t>）利润分配的形式及优先顺序 </w:t>
      </w:r>
      <w:r>
        <w:rPr>
          <w:spacing w:val="-2"/>
        </w:rPr>
        <w:t>公司可以采用现金、股票或者现金与股票相结合的方式或者法律、法规允许的其他方式分配利润。公司优先采用现金分</w:t>
      </w:r>
    </w:p>
    <w:p>
      <w:pPr>
        <w:pStyle w:val="BodyText"/>
        <w:spacing w:line="240" w:lineRule="auto" w:before="19"/>
        <w:ind w:left="1133" w:right="0"/>
        <w:jc w:val="left"/>
      </w:pPr>
      <w:r>
        <w:rPr/>
        <w:t>红的利润分配方式，并且，公司具备现金分红条件的，应当采用现金分红进行利润分配。</w:t>
      </w:r>
    </w:p>
    <w:p>
      <w:pPr>
        <w:pStyle w:val="BodyText"/>
        <w:spacing w:line="316" w:lineRule="auto" w:before="76"/>
        <w:ind w:left="1584" w:right="0" w:hanging="90"/>
        <w:jc w:val="left"/>
      </w:pPr>
      <w:r>
        <w:rPr/>
        <w:t>（</w:t>
      </w:r>
      <w:r>
        <w:rPr>
          <w:rFonts w:ascii="宋体" w:hAnsi="宋体" w:cs="宋体" w:eastAsia="宋体" w:hint="default"/>
        </w:rPr>
        <w:t>3</w:t>
      </w:r>
      <w:r>
        <w:rPr/>
        <w:t>）利润分配的条件、期间间隔和最低比例 </w:t>
      </w:r>
      <w:r>
        <w:rPr>
          <w:rFonts w:ascii="宋体" w:hAnsi="宋体" w:cs="宋体" w:eastAsia="宋体" w:hint="default"/>
          <w:spacing w:val="-2"/>
        </w:rPr>
        <w:t>1</w:t>
      </w:r>
      <w:r>
        <w:rPr>
          <w:spacing w:val="-2"/>
        </w:rPr>
        <w:t>）在公司累计未分配利润期末余额为正、当期可分配利润为正且公司现金流可以满足公司正常经营和可持续发展的情</w:t>
      </w:r>
    </w:p>
    <w:p>
      <w:pPr>
        <w:pStyle w:val="BodyText"/>
        <w:spacing w:line="316" w:lineRule="auto" w:before="19"/>
        <w:ind w:left="1133" w:right="0"/>
        <w:jc w:val="left"/>
      </w:pPr>
      <w:r>
        <w:rPr>
          <w:spacing w:val="-2"/>
        </w:rPr>
        <w:t>况下，公司原则上每年进行一次现金分红，未来三年以现金方式累计分配的利润不少于该三年实现的年均可分配利润的</w:t>
      </w:r>
      <w:r>
        <w:rPr>
          <w:rFonts w:ascii="宋体" w:hAnsi="宋体" w:cs="宋体" w:eastAsia="宋体" w:hint="default"/>
          <w:spacing w:val="-2"/>
        </w:rPr>
        <w:t>45%</w:t>
      </w:r>
      <w:r>
        <w:rPr>
          <w:spacing w:val="-2"/>
        </w:rPr>
        <w:t>。</w:t>
      </w:r>
      <w:r>
        <w:rPr>
          <w:spacing w:val="-59"/>
        </w:rPr>
        <w:t> </w:t>
      </w:r>
      <w:r>
        <w:rPr/>
        <w:t>在满足利润分配的具体条件时，公司每年以现金方式累计分配的利润不少于当年实现的可分配利润的</w:t>
      </w:r>
      <w:r>
        <w:rPr>
          <w:rFonts w:ascii="宋体" w:hAnsi="宋体" w:cs="宋体" w:eastAsia="宋体" w:hint="default"/>
        </w:rPr>
        <w:t>15%</w:t>
      </w:r>
      <w:r>
        <w:rPr/>
        <w:t>，确因特殊原因不</w:t>
      </w:r>
      <w:r>
        <w:rPr>
          <w:spacing w:val="-81"/>
        </w:rPr>
        <w:t> </w:t>
      </w:r>
      <w:r>
        <w:rPr>
          <w:spacing w:val="-81"/>
        </w:rPr>
      </w:r>
      <w:r>
        <w:rPr/>
        <w:t>能达到上述比例的，按照公司章程第一百五十六条第（四）款的规定处理。</w:t>
      </w:r>
    </w:p>
    <w:p>
      <w:pPr>
        <w:pStyle w:val="BodyText"/>
        <w:spacing w:line="316" w:lineRule="auto" w:before="19"/>
        <w:ind w:left="1133" w:right="1131" w:firstLine="360"/>
        <w:jc w:val="both"/>
      </w:pPr>
      <w:r>
        <w:rPr>
          <w:spacing w:val="-2"/>
        </w:rPr>
        <w:t>在确保足额现金股利分配的前提下，公司可以另行增加股票股利方式分配利润。公司采用股票股利进行利润分配的，应</w:t>
      </w:r>
      <w:r>
        <w:rPr/>
        <w:t> </w:t>
      </w:r>
      <w:r>
        <w:rPr>
          <w:spacing w:val="-2"/>
        </w:rPr>
        <w:t>当具有公司成长性、每股净资产的摊薄等真实合理因素，应充分考虑以股票方式分配利润后的总股本是否与公司目前的经营</w:t>
      </w:r>
      <w:r>
        <w:rPr>
          <w:spacing w:val="-64"/>
        </w:rPr>
        <w:t> </w:t>
      </w:r>
      <w:r>
        <w:rPr>
          <w:spacing w:val="-64"/>
        </w:rPr>
      </w:r>
      <w:r>
        <w:rPr/>
        <w:t>规模、盈利增长速度相适应，并考虑对未来债权融资成本的影响，以确保分配方案符合全体股东的整体利益。</w:t>
      </w:r>
    </w:p>
    <w:p>
      <w:pPr>
        <w:pStyle w:val="BodyText"/>
        <w:spacing w:line="316" w:lineRule="auto" w:before="19"/>
        <w:ind w:left="1493" w:right="0"/>
        <w:jc w:val="left"/>
      </w:pPr>
      <w:r>
        <w:rPr/>
        <w:t>公司董事会可以根据公司的实际经营状况提议公司进行中期现金分红。 利润分配不得超过累计可分配利润的范围，且利润分配政策不得违反国家相关法规的规定。 </w:t>
      </w:r>
      <w:r>
        <w:rPr>
          <w:rFonts w:ascii="宋体" w:hAnsi="宋体" w:cs="宋体" w:eastAsia="宋体" w:hint="default"/>
          <w:spacing w:val="-2"/>
        </w:rPr>
        <w:t>2</w:t>
      </w:r>
      <w:r>
        <w:rPr>
          <w:spacing w:val="-2"/>
        </w:rPr>
        <w:t>）公司董事会应当综合考虑所处行业特点、发展阶段、自身经营模式、盈利水平以及是否有重大资金支出安排等因素，</w:t>
      </w:r>
    </w:p>
    <w:p>
      <w:pPr>
        <w:pStyle w:val="BodyText"/>
        <w:spacing w:line="316" w:lineRule="auto" w:before="19"/>
        <w:ind w:left="1493" w:right="0" w:hanging="360"/>
        <w:jc w:val="left"/>
      </w:pPr>
      <w:r>
        <w:rPr/>
        <w:t>区分下列情形，并按照公司章程规定的程序，提出差异化的现金分红政策： 公司发展阶段属成熟期且无重大资金支出安排的，进行利润分配时，现金分红在本次利润分配中所占比例最低应达到</w:t>
      </w:r>
    </w:p>
    <w:p>
      <w:pPr>
        <w:pStyle w:val="BodyText"/>
        <w:spacing w:line="240" w:lineRule="auto" w:before="19"/>
        <w:ind w:left="1133" w:right="0"/>
        <w:jc w:val="left"/>
      </w:pPr>
      <w:r>
        <w:rPr>
          <w:rFonts w:ascii="宋体" w:hAnsi="宋体" w:cs="宋体" w:eastAsia="宋体" w:hint="default"/>
        </w:rPr>
        <w:t>80%</w:t>
      </w:r>
      <w:r>
        <w:rPr/>
        <w:t>；</w:t>
      </w:r>
    </w:p>
    <w:p>
      <w:pPr>
        <w:pStyle w:val="BodyText"/>
        <w:spacing w:line="316" w:lineRule="auto" w:before="76"/>
        <w:ind w:right="1139" w:firstLine="360"/>
        <w:jc w:val="both"/>
      </w:pPr>
      <w:r>
        <w:rPr/>
        <w:t>公司发展阶段属成熟期且有重大资金支出安排的，进行利润分配时，现金分红在本次利润分配中所占比例最低应达到 </w:t>
      </w:r>
      <w:r>
        <w:rPr>
          <w:rFonts w:ascii="宋体" w:hAnsi="宋体" w:cs="宋体" w:eastAsia="宋体" w:hint="default"/>
        </w:rPr>
        <w:t>40%</w:t>
      </w:r>
      <w:r>
        <w:rPr/>
        <w:t>；</w:t>
      </w:r>
    </w:p>
    <w:p>
      <w:pPr>
        <w:pStyle w:val="BodyText"/>
        <w:spacing w:line="319" w:lineRule="auto" w:before="19"/>
        <w:ind w:right="1139" w:firstLine="360"/>
        <w:jc w:val="both"/>
      </w:pPr>
      <w:r>
        <w:rPr/>
        <w:t>公司发展阶段属成长期且有重大资金支出安排的，进行利润分配时，现金分红在本次利润分配中所占比例最低应达到 </w:t>
      </w:r>
      <w:r>
        <w:rPr>
          <w:rFonts w:ascii="宋体" w:hAnsi="宋体" w:cs="宋体" w:eastAsia="宋体" w:hint="default"/>
        </w:rPr>
        <w:t>20%</w:t>
      </w:r>
      <w:r>
        <w:rPr/>
        <w:t>；</w:t>
      </w:r>
    </w:p>
    <w:p>
      <w:pPr>
        <w:pStyle w:val="BodyText"/>
        <w:spacing w:line="316" w:lineRule="auto" w:before="17"/>
        <w:ind w:left="1493" w:right="4453"/>
        <w:jc w:val="left"/>
      </w:pPr>
      <w:r>
        <w:rPr/>
        <w:t>公司发展阶段不易区分但有重大资金支出安排的，可以按照前项规定处理。 重大资金支出指下列情况之一：</w:t>
      </w:r>
    </w:p>
    <w:p>
      <w:pPr>
        <w:pStyle w:val="BodyText"/>
        <w:spacing w:line="316" w:lineRule="auto" w:before="19"/>
        <w:ind w:left="1133" w:right="1127" w:firstLine="360"/>
        <w:jc w:val="both"/>
      </w:pPr>
      <w:r>
        <w:rPr>
          <w:spacing w:val="3"/>
        </w:rPr>
        <w:t>公司未来十二个月内拟对外投资、收购资产或购买设备累计支出达到或超过公司最近一期经审计净资产的</w:t>
      </w:r>
      <w:r>
        <w:rPr>
          <w:rFonts w:ascii="宋体" w:hAnsi="宋体" w:cs="宋体" w:eastAsia="宋体" w:hint="default"/>
          <w:spacing w:val="3"/>
        </w:rPr>
        <w:t>50%</w:t>
      </w:r>
      <w:r>
        <w:rPr>
          <w:spacing w:val="3"/>
        </w:rPr>
        <w:t>且超过</w:t>
      </w:r>
      <w:r>
        <w:rPr>
          <w:spacing w:val="4"/>
        </w:rPr>
        <w:t> </w:t>
      </w:r>
      <w:r>
        <w:rPr>
          <w:rFonts w:ascii="宋体" w:hAnsi="宋体" w:cs="宋体" w:eastAsia="宋体" w:hint="default"/>
        </w:rPr>
        <w:t>3,000</w:t>
      </w:r>
      <w:r>
        <w:rPr/>
        <w:t>万元；</w:t>
      </w:r>
    </w:p>
    <w:p>
      <w:pPr>
        <w:pStyle w:val="BodyText"/>
        <w:spacing w:line="240" w:lineRule="auto" w:before="19"/>
        <w:ind w:left="1494" w:right="0"/>
        <w:jc w:val="left"/>
      </w:pPr>
      <w:r>
        <w:rPr/>
        <w:t>公司未来十二个月内拟对外投资、收购资产或购买设备累计支出达到或超过公司最近一期经审计总资产的</w:t>
      </w:r>
      <w:r>
        <w:rPr>
          <w:rFonts w:ascii="宋体" w:hAnsi="宋体" w:cs="宋体" w:eastAsia="宋体" w:hint="default"/>
        </w:rPr>
        <w:t>30%</w:t>
      </w:r>
      <w:r>
        <w:rPr/>
        <w:t>。</w:t>
      </w:r>
    </w:p>
    <w:p>
      <w:pPr>
        <w:pStyle w:val="BodyText"/>
        <w:spacing w:line="240" w:lineRule="auto" w:before="76"/>
        <w:ind w:left="1493" w:right="0"/>
        <w:jc w:val="left"/>
      </w:pPr>
      <w:r>
        <w:rPr/>
        <w:t>（</w:t>
      </w:r>
      <w:r>
        <w:rPr>
          <w:rFonts w:ascii="宋体" w:hAnsi="宋体" w:cs="宋体" w:eastAsia="宋体" w:hint="default"/>
        </w:rPr>
        <w:t>4</w:t>
      </w:r>
      <w:r>
        <w:rPr/>
        <w:t>）存在股东违规占用公司资金情况的，公司应当扣减该股东分配的现金红利，以偿还其占用的资金。</w:t>
      </w:r>
    </w:p>
    <w:p>
      <w:pPr>
        <w:spacing w:line="240" w:lineRule="auto" w:before="11"/>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 是否得到了充分保护：</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 透明：</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0"/>
        <w:jc w:val="left"/>
      </w:pPr>
      <w:r>
        <w:rPr/>
        <w:t>公司报告期利润分配预案及资本公积金转增股本预案与公司章程和分红管理办法等的相关规定一致</w:t>
      </w:r>
    </w:p>
    <w:p>
      <w:pPr>
        <w:pStyle w:val="BodyText"/>
        <w:spacing w:line="357" w:lineRule="auto" w:before="117"/>
        <w:ind w:right="4272"/>
        <w:jc w:val="left"/>
      </w:pPr>
      <w:r>
        <w:rPr/>
        <w:t>√ 是 □ 否 □ 不适用 公司报告期利润分配预案及资本公积金转增股本预案符合公司章程等的相关规定。</w:t>
      </w:r>
    </w:p>
    <w:p>
      <w:pPr>
        <w:spacing w:after="0" w:line="357" w:lineRule="auto"/>
        <w:jc w:val="left"/>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本年度利润分配及资本公积金转增股本预案</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718"/>
        <w:gridCol w:w="5851"/>
      </w:tblGrid>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120,000,000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234,278,293.12</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715"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5"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公司董事会提出的利润分配预案为</w:t>
            </w:r>
            <w:r>
              <w:rPr>
                <w:rFonts w:ascii="宋体" w:hAnsi="宋体" w:cs="宋体" w:eastAsia="宋体" w:hint="default"/>
                <w:spacing w:val="-14"/>
                <w:sz w:val="18"/>
                <w:szCs w:val="18"/>
              </w:rPr>
              <w:t>：</w:t>
            </w:r>
            <w:r>
              <w:rPr>
                <w:rFonts w:ascii="宋体" w:hAnsi="宋体" w:cs="宋体" w:eastAsia="宋体" w:hint="default"/>
                <w:sz w:val="18"/>
                <w:szCs w:val="18"/>
              </w:rPr>
              <w:t>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万股为基数</w:t>
            </w:r>
            <w:r>
              <w:rPr>
                <w:rFonts w:ascii="宋体" w:hAnsi="宋体" w:cs="宋体" w:eastAsia="宋体" w:hint="default"/>
                <w:spacing w:val="-14"/>
                <w:sz w:val="18"/>
                <w:szCs w:val="18"/>
              </w:rPr>
              <w:t>，</w:t>
            </w:r>
            <w:r>
              <w:rPr>
                <w:rFonts w:ascii="宋体" w:hAnsi="宋体" w:cs="宋体" w:eastAsia="宋体" w:hint="default"/>
                <w:sz w:val="18"/>
                <w:szCs w:val="18"/>
              </w:rPr>
              <w:t>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w:t>
            </w:r>
            <w:r>
              <w:rPr>
                <w:rFonts w:ascii="宋体" w:hAnsi="宋体" w:cs="宋体" w:eastAsia="宋体" w:hint="default"/>
                <w:spacing w:val="1"/>
                <w:sz w:val="18"/>
                <w:szCs w:val="18"/>
              </w:rPr>
              <w:t>现</w:t>
            </w:r>
            <w:r>
              <w:rPr>
                <w:rFonts w:ascii="宋体" w:hAnsi="宋体" w:cs="宋体" w:eastAsia="宋体" w:hint="default"/>
                <w:sz w:val="18"/>
                <w:szCs w:val="18"/>
              </w:rPr>
              <w:t>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元</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14"/>
                <w:sz w:val="18"/>
                <w:szCs w:val="18"/>
              </w:rPr>
              <w:t>，</w:t>
            </w:r>
            <w:r>
              <w:rPr>
                <w:rFonts w:ascii="宋体" w:hAnsi="宋体" w:cs="宋体" w:eastAsia="宋体" w:hint="default"/>
                <w:sz w:val="18"/>
                <w:szCs w:val="18"/>
              </w:rPr>
              <w:t>以资本公</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积金向全体股东每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240" w:lineRule="auto" w:before="102"/>
        <w:ind w:left="1133" w:right="0"/>
        <w:jc w:val="left"/>
      </w:pPr>
      <w:r>
        <w:rPr>
          <w:rFonts w:ascii="宋体" w:hAnsi="宋体" w:cs="宋体" w:eastAsia="宋体" w:hint="default"/>
        </w:rPr>
        <w:t>2015</w:t>
      </w:r>
      <w:r>
        <w:rPr>
          <w:rFonts w:ascii="宋体" w:hAnsi="宋体" w:cs="宋体" w:eastAsia="宋体" w:hint="default"/>
          <w:spacing w:val="-46"/>
        </w:rPr>
        <w:t> </w:t>
      </w:r>
      <w:r>
        <w:rPr/>
        <w:t>年度利润分配情况：</w:t>
      </w:r>
    </w:p>
    <w:p>
      <w:pPr>
        <w:pStyle w:val="BodyText"/>
        <w:spacing w:line="319" w:lineRule="auto" w:before="116"/>
        <w:ind w:right="1119" w:firstLine="360"/>
        <w:jc w:val="left"/>
      </w:pPr>
      <w:r>
        <w:rPr/>
        <w:t>公司</w:t>
      </w:r>
      <w:r>
        <w:rPr>
          <w:spacing w:val="-44"/>
        </w:rPr>
        <w:t> </w:t>
      </w:r>
      <w:r>
        <w:rPr>
          <w:rFonts w:ascii="宋体" w:hAnsi="宋体" w:cs="宋体" w:eastAsia="宋体" w:hint="default"/>
        </w:rPr>
        <w:t>2015</w:t>
      </w:r>
      <w:r>
        <w:rPr>
          <w:rFonts w:ascii="宋体" w:hAnsi="宋体" w:cs="宋体" w:eastAsia="宋体" w:hint="default"/>
          <w:spacing w:val="-45"/>
        </w:rPr>
        <w:t> </w:t>
      </w:r>
      <w:r>
        <w:rPr/>
        <w:t>年度实现的利润为</w:t>
      </w:r>
      <w:r>
        <w:rPr>
          <w:spacing w:val="-45"/>
        </w:rPr>
        <w:t> </w:t>
      </w:r>
      <w:r>
        <w:rPr>
          <w:rFonts w:ascii="宋体" w:hAnsi="宋体" w:cs="宋体" w:eastAsia="宋体" w:hint="default"/>
        </w:rPr>
        <w:t>60,959,021.44</w:t>
      </w:r>
      <w:r>
        <w:rPr>
          <w:rFonts w:ascii="宋体" w:hAnsi="宋体" w:cs="宋体" w:eastAsia="宋体" w:hint="default"/>
          <w:spacing w:val="-44"/>
        </w:rPr>
        <w:t> </w:t>
      </w:r>
      <w:r>
        <w:rPr/>
        <w:t>元，提取</w:t>
      </w:r>
      <w:r>
        <w:rPr>
          <w:spacing w:val="-45"/>
        </w:rPr>
        <w:t> </w:t>
      </w:r>
      <w:r>
        <w:rPr>
          <w:rFonts w:ascii="宋体" w:hAnsi="宋体" w:cs="宋体" w:eastAsia="宋体" w:hint="default"/>
        </w:rPr>
        <w:t>6,096,967.17</w:t>
      </w:r>
      <w:r>
        <w:rPr>
          <w:rFonts w:ascii="宋体" w:hAnsi="宋体" w:cs="宋体" w:eastAsia="宋体" w:hint="default"/>
          <w:spacing w:val="-45"/>
        </w:rPr>
        <w:t> </w:t>
      </w:r>
      <w:r>
        <w:rPr/>
        <w:t>元作为法定公积金，截至</w:t>
      </w:r>
      <w:r>
        <w:rPr>
          <w:spacing w:val="-44"/>
        </w:rPr>
        <w:t> </w:t>
      </w:r>
      <w:r>
        <w:rPr>
          <w:rFonts w:ascii="宋体" w:hAnsi="宋体" w:cs="宋体" w:eastAsia="宋体" w:hint="default"/>
        </w:rPr>
        <w:t>2015</w:t>
      </w:r>
      <w:r>
        <w:rPr>
          <w:rFonts w:ascii="宋体" w:hAnsi="宋体" w:cs="宋体" w:eastAsia="宋体" w:hint="default"/>
          <w:spacing w:val="-45"/>
        </w:rPr>
        <w:t> </w:t>
      </w:r>
      <w:r>
        <w:rPr/>
        <w:t>年末公司未分配利 润为</w:t>
      </w:r>
      <w:r>
        <w:rPr>
          <w:spacing w:val="-46"/>
        </w:rPr>
        <w:t> </w:t>
      </w:r>
      <w:r>
        <w:rPr>
          <w:rFonts w:ascii="宋体" w:hAnsi="宋体" w:cs="宋体" w:eastAsia="宋体" w:hint="default"/>
        </w:rPr>
        <w:t>154,292,784.92</w:t>
      </w:r>
      <w:r>
        <w:rPr>
          <w:rFonts w:ascii="宋体" w:hAnsi="宋体" w:cs="宋体" w:eastAsia="宋体" w:hint="default"/>
          <w:spacing w:val="-46"/>
        </w:rPr>
        <w:t> </w:t>
      </w:r>
      <w:r>
        <w:rPr/>
        <w:t>元。</w:t>
      </w:r>
      <w:r>
        <w:rPr>
          <w:rFonts w:ascii="宋体" w:hAnsi="宋体" w:cs="宋体" w:eastAsia="宋体" w:hint="default"/>
        </w:rPr>
        <w:t>2015</w:t>
      </w:r>
      <w:r>
        <w:rPr>
          <w:rFonts w:ascii="宋体" w:hAnsi="宋体" w:cs="宋体" w:eastAsia="宋体" w:hint="default"/>
          <w:spacing w:val="-46"/>
        </w:rPr>
        <w:t> </w:t>
      </w:r>
      <w:r>
        <w:rPr/>
        <w:t>年度未进行利润分配，未进行公积金转增股本。</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240" w:lineRule="auto"/>
        <w:ind w:left="1133" w:right="0"/>
        <w:jc w:val="left"/>
      </w:pPr>
      <w:r>
        <w:rPr>
          <w:rFonts w:ascii="宋体" w:hAnsi="宋体" w:cs="宋体" w:eastAsia="宋体" w:hint="default"/>
        </w:rPr>
        <w:t>2016</w:t>
      </w:r>
      <w:r>
        <w:rPr>
          <w:rFonts w:ascii="宋体" w:hAnsi="宋体" w:cs="宋体" w:eastAsia="宋体" w:hint="default"/>
          <w:spacing w:val="-46"/>
        </w:rPr>
        <w:t> </w:t>
      </w:r>
      <w:r>
        <w:rPr/>
        <w:t>年度利润分配情况：</w:t>
      </w:r>
    </w:p>
    <w:p>
      <w:pPr>
        <w:pStyle w:val="BodyText"/>
        <w:spacing w:line="240" w:lineRule="auto" w:before="116"/>
        <w:ind w:left="1494" w:right="0"/>
        <w:jc w:val="left"/>
      </w:pPr>
      <w:r>
        <w:rPr/>
        <w:t>公司</w:t>
      </w:r>
      <w:r>
        <w:rPr>
          <w:spacing w:val="-44"/>
        </w:rPr>
        <w:t> </w:t>
      </w:r>
      <w:r>
        <w:rPr>
          <w:rFonts w:ascii="宋体" w:hAnsi="宋体" w:cs="宋体" w:eastAsia="宋体" w:hint="default"/>
        </w:rPr>
        <w:t>2016</w:t>
      </w:r>
      <w:r>
        <w:rPr>
          <w:rFonts w:ascii="宋体" w:hAnsi="宋体" w:cs="宋体" w:eastAsia="宋体" w:hint="default"/>
          <w:spacing w:val="-45"/>
        </w:rPr>
        <w:t> </w:t>
      </w:r>
      <w:r>
        <w:rPr/>
        <w:t>年度实现的利润为</w:t>
      </w:r>
      <w:r>
        <w:rPr>
          <w:spacing w:val="-45"/>
        </w:rPr>
        <w:t> </w:t>
      </w:r>
      <w:r>
        <w:rPr>
          <w:rFonts w:ascii="宋体" w:hAnsi="宋体" w:cs="宋体" w:eastAsia="宋体" w:hint="default"/>
        </w:rPr>
        <w:t>59,507,668.12</w:t>
      </w:r>
      <w:r>
        <w:rPr>
          <w:rFonts w:ascii="宋体" w:hAnsi="宋体" w:cs="宋体" w:eastAsia="宋体" w:hint="default"/>
          <w:spacing w:val="-44"/>
        </w:rPr>
        <w:t> </w:t>
      </w:r>
      <w:r>
        <w:rPr/>
        <w:t>元，提取</w:t>
      </w:r>
      <w:r>
        <w:rPr>
          <w:spacing w:val="-45"/>
        </w:rPr>
        <w:t> </w:t>
      </w:r>
      <w:r>
        <w:rPr>
          <w:rFonts w:ascii="宋体" w:hAnsi="宋体" w:cs="宋体" w:eastAsia="宋体" w:hint="default"/>
        </w:rPr>
        <w:t>5,950,766.81</w:t>
      </w:r>
      <w:r>
        <w:rPr>
          <w:rFonts w:ascii="宋体" w:hAnsi="宋体" w:cs="宋体" w:eastAsia="宋体" w:hint="default"/>
          <w:spacing w:val="-45"/>
        </w:rPr>
        <w:t> </w:t>
      </w:r>
      <w:r>
        <w:rPr/>
        <w:t>元作为法定公积金，截至</w:t>
      </w:r>
      <w:r>
        <w:rPr>
          <w:spacing w:val="-44"/>
        </w:rPr>
        <w:t> </w:t>
      </w:r>
      <w:r>
        <w:rPr>
          <w:rFonts w:ascii="宋体" w:hAnsi="宋体" w:cs="宋体" w:eastAsia="宋体" w:hint="default"/>
        </w:rPr>
        <w:t>2016</w:t>
      </w:r>
      <w:r>
        <w:rPr>
          <w:rFonts w:ascii="宋体" w:hAnsi="宋体" w:cs="宋体" w:eastAsia="宋体" w:hint="default"/>
          <w:spacing w:val="-45"/>
        </w:rPr>
        <w:t> </w:t>
      </w:r>
      <w:r>
        <w:rPr/>
        <w:t>年末公司未分配利</w:t>
      </w:r>
    </w:p>
    <w:p>
      <w:pPr>
        <w:pStyle w:val="BodyText"/>
        <w:spacing w:line="240" w:lineRule="auto" w:before="76"/>
        <w:ind w:right="0"/>
        <w:jc w:val="left"/>
        <w:rPr>
          <w:rFonts w:ascii="宋体" w:hAnsi="宋体" w:cs="宋体" w:eastAsia="宋体" w:hint="default"/>
        </w:rPr>
      </w:pPr>
      <w:r>
        <w:rPr/>
        <w:t>润为</w:t>
      </w:r>
      <w:r>
        <w:rPr>
          <w:spacing w:val="-48"/>
        </w:rPr>
        <w:t> </w:t>
      </w:r>
      <w:r>
        <w:rPr>
          <w:rFonts w:ascii="宋体" w:hAnsi="宋体" w:cs="宋体" w:eastAsia="宋体" w:hint="default"/>
        </w:rPr>
        <w:t>207,826,384.07</w:t>
      </w:r>
      <w:r>
        <w:rPr>
          <w:rFonts w:ascii="宋体" w:hAnsi="宋体" w:cs="宋体" w:eastAsia="宋体" w:hint="default"/>
          <w:spacing w:val="-48"/>
        </w:rPr>
        <w:t> </w:t>
      </w:r>
      <w:r>
        <w:rPr/>
        <w:t>元</w:t>
      </w:r>
      <w:r>
        <w:rPr>
          <w:spacing w:val="-90"/>
        </w:rPr>
        <w:t>。</w:t>
      </w:r>
      <w:r>
        <w:rPr/>
        <w:t>公司以</w:t>
      </w:r>
      <w:r>
        <w:rPr>
          <w:spacing w:val="-48"/>
        </w:rPr>
        <w:t> </w:t>
      </w:r>
      <w:r>
        <w:rPr>
          <w:rFonts w:ascii="宋体" w:hAnsi="宋体" w:cs="宋体" w:eastAsia="宋体" w:hint="default"/>
        </w:rPr>
        <w:t>2016</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31</w:t>
      </w:r>
      <w:r>
        <w:rPr>
          <w:rFonts w:ascii="宋体" w:hAnsi="宋体" w:cs="宋体" w:eastAsia="宋体" w:hint="default"/>
          <w:spacing w:val="-48"/>
        </w:rPr>
        <w:t> </w:t>
      </w:r>
      <w:r>
        <w:rPr/>
        <w:t>日总股本</w:t>
      </w:r>
      <w:r>
        <w:rPr>
          <w:spacing w:val="-48"/>
        </w:rPr>
        <w:t> </w:t>
      </w:r>
      <w:r>
        <w:rPr>
          <w:rFonts w:ascii="宋体" w:hAnsi="宋体" w:cs="宋体" w:eastAsia="宋体" w:hint="default"/>
        </w:rPr>
        <w:t>12000</w:t>
      </w:r>
      <w:r>
        <w:rPr>
          <w:rFonts w:ascii="宋体" w:hAnsi="宋体" w:cs="宋体" w:eastAsia="宋体" w:hint="default"/>
          <w:spacing w:val="-48"/>
        </w:rPr>
        <w:t> </w:t>
      </w:r>
      <w:r>
        <w:rPr/>
        <w:t>万股为基数</w:t>
      </w:r>
      <w:r>
        <w:rPr>
          <w:spacing w:val="-90"/>
        </w:rPr>
        <w:t>，</w:t>
      </w:r>
      <w:r>
        <w:rPr/>
        <w:t>向全体股东每</w:t>
      </w:r>
      <w:r>
        <w:rPr>
          <w:spacing w:val="-48"/>
        </w:rPr>
        <w:t> </w:t>
      </w:r>
      <w:r>
        <w:rPr>
          <w:rFonts w:ascii="宋体" w:hAnsi="宋体" w:cs="宋体" w:eastAsia="宋体" w:hint="default"/>
        </w:rPr>
        <w:t>10</w:t>
      </w:r>
      <w:r>
        <w:rPr>
          <w:rFonts w:ascii="宋体" w:hAnsi="宋体" w:cs="宋体" w:eastAsia="宋体" w:hint="default"/>
          <w:spacing w:val="-48"/>
        </w:rPr>
        <w:t> </w:t>
      </w:r>
      <w:r>
        <w:rPr/>
        <w:t>股派发现金红利人民币</w:t>
      </w:r>
      <w:r>
        <w:rPr>
          <w:spacing w:val="-48"/>
        </w:rPr>
        <w:t> </w:t>
      </w:r>
      <w:r>
        <w:rPr>
          <w:rFonts w:ascii="宋体" w:hAnsi="宋体" w:cs="宋体" w:eastAsia="宋体" w:hint="default"/>
        </w:rPr>
        <w:t>1.</w:t>
      </w:r>
      <w:r>
        <w:rPr>
          <w:rFonts w:ascii="宋体" w:hAnsi="宋体" w:cs="宋体" w:eastAsia="宋体" w:hint="default"/>
          <w:spacing w:val="1"/>
        </w:rPr>
        <w:t>0</w:t>
      </w:r>
      <w:r>
        <w:rPr>
          <w:rFonts w:ascii="宋体" w:hAnsi="宋体" w:cs="宋体" w:eastAsia="宋体" w:hint="default"/>
        </w:rPr>
        <w:t>0</w:t>
      </w:r>
    </w:p>
    <w:p>
      <w:pPr>
        <w:pStyle w:val="BodyText"/>
        <w:spacing w:line="240" w:lineRule="auto" w:before="77"/>
        <w:ind w:right="0"/>
        <w:jc w:val="left"/>
      </w:pPr>
      <w:r>
        <w:rPr/>
        <w:t>元（含税</w:t>
      </w:r>
      <w:r>
        <w:rPr>
          <w:spacing w:val="-90"/>
        </w:rPr>
        <w:t>）</w:t>
      </w:r>
      <w:r>
        <w:rPr/>
        <w:t>，共分配现金红利人民币</w:t>
      </w:r>
      <w:r>
        <w:rPr>
          <w:spacing w:val="-46"/>
        </w:rPr>
        <w:t> </w:t>
      </w:r>
      <w:r>
        <w:rPr>
          <w:rFonts w:ascii="宋体" w:hAnsi="宋体" w:cs="宋体" w:eastAsia="宋体" w:hint="default"/>
        </w:rPr>
        <w:t>12,000,000</w:t>
      </w:r>
      <w:r>
        <w:rPr>
          <w:rFonts w:ascii="宋体" w:hAnsi="宋体" w:cs="宋体" w:eastAsia="宋体" w:hint="default"/>
          <w:spacing w:val="-46"/>
        </w:rPr>
        <w:t> </w:t>
      </w:r>
      <w:r>
        <w:rPr/>
        <w:t>元（含税</w:t>
      </w:r>
      <w:r>
        <w:rPr>
          <w:spacing w:val="-90"/>
        </w:rPr>
        <w:t>）</w:t>
      </w:r>
      <w:r>
        <w:rPr/>
        <w:t>。不以公积金转增股本，不送红股。</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240" w:lineRule="auto"/>
        <w:ind w:right="0"/>
        <w:jc w:val="left"/>
      </w:pPr>
      <w:r>
        <w:rPr>
          <w:rFonts w:ascii="宋体" w:hAnsi="宋体" w:cs="宋体" w:eastAsia="宋体" w:hint="default"/>
        </w:rPr>
        <w:t>2017</w:t>
      </w:r>
      <w:r>
        <w:rPr>
          <w:rFonts w:ascii="宋体" w:hAnsi="宋体" w:cs="宋体" w:eastAsia="宋体" w:hint="default"/>
          <w:spacing w:val="-46"/>
        </w:rPr>
        <w:t> </w:t>
      </w:r>
      <w:r>
        <w:rPr/>
        <w:t>年度利润分配情况：</w:t>
      </w:r>
    </w:p>
    <w:p>
      <w:pPr>
        <w:pStyle w:val="BodyText"/>
        <w:spacing w:line="240" w:lineRule="auto" w:before="116"/>
        <w:ind w:left="1494" w:right="0"/>
        <w:jc w:val="left"/>
      </w:pPr>
      <w:r>
        <w:rPr/>
        <w:t>公司</w:t>
      </w:r>
      <w:r>
        <w:rPr>
          <w:spacing w:val="-44"/>
        </w:rPr>
        <w:t> </w:t>
      </w:r>
      <w:r>
        <w:rPr>
          <w:rFonts w:ascii="宋体" w:hAnsi="宋体" w:cs="宋体" w:eastAsia="宋体" w:hint="default"/>
        </w:rPr>
        <w:t>2017</w:t>
      </w:r>
      <w:r>
        <w:rPr>
          <w:rFonts w:ascii="宋体" w:hAnsi="宋体" w:cs="宋体" w:eastAsia="宋体" w:hint="default"/>
          <w:spacing w:val="-45"/>
        </w:rPr>
        <w:t> </w:t>
      </w:r>
      <w:r>
        <w:rPr/>
        <w:t>年度实现的利润为</w:t>
      </w:r>
      <w:r>
        <w:rPr>
          <w:spacing w:val="-45"/>
        </w:rPr>
        <w:t> </w:t>
      </w:r>
      <w:r>
        <w:rPr>
          <w:rFonts w:ascii="宋体" w:hAnsi="宋体" w:cs="宋体" w:eastAsia="宋体" w:hint="default"/>
        </w:rPr>
        <w:t>42,930,074.35</w:t>
      </w:r>
      <w:r>
        <w:rPr>
          <w:rFonts w:ascii="宋体" w:hAnsi="宋体" w:cs="宋体" w:eastAsia="宋体" w:hint="default"/>
          <w:spacing w:val="-44"/>
        </w:rPr>
        <w:t> </w:t>
      </w:r>
      <w:r>
        <w:rPr/>
        <w:t>元，提取</w:t>
      </w:r>
      <w:r>
        <w:rPr>
          <w:spacing w:val="-45"/>
        </w:rPr>
        <w:t> </w:t>
      </w:r>
      <w:r>
        <w:rPr>
          <w:rFonts w:ascii="宋体" w:hAnsi="宋体" w:cs="宋体" w:eastAsia="宋体" w:hint="default"/>
        </w:rPr>
        <w:t>4,478,165.30</w:t>
      </w:r>
      <w:r>
        <w:rPr>
          <w:rFonts w:ascii="宋体" w:hAnsi="宋体" w:cs="宋体" w:eastAsia="宋体" w:hint="default"/>
          <w:spacing w:val="-45"/>
        </w:rPr>
        <w:t> </w:t>
      </w:r>
      <w:r>
        <w:rPr/>
        <w:t>元作为法定公积金，截至</w:t>
      </w:r>
      <w:r>
        <w:rPr>
          <w:spacing w:val="-44"/>
        </w:rPr>
        <w:t> </w:t>
      </w:r>
      <w:r>
        <w:rPr>
          <w:rFonts w:ascii="宋体" w:hAnsi="宋体" w:cs="宋体" w:eastAsia="宋体" w:hint="default"/>
        </w:rPr>
        <w:t>2017</w:t>
      </w:r>
      <w:r>
        <w:rPr>
          <w:rFonts w:ascii="宋体" w:hAnsi="宋体" w:cs="宋体" w:eastAsia="宋体" w:hint="default"/>
          <w:spacing w:val="-45"/>
        </w:rPr>
        <w:t> </w:t>
      </w:r>
      <w:r>
        <w:rPr/>
        <w:t>年末公司未分配利</w:t>
      </w:r>
    </w:p>
    <w:p>
      <w:pPr>
        <w:pStyle w:val="BodyText"/>
        <w:spacing w:line="240" w:lineRule="auto" w:before="76"/>
        <w:ind w:right="0"/>
        <w:jc w:val="left"/>
        <w:rPr>
          <w:rFonts w:ascii="宋体" w:hAnsi="宋体" w:cs="宋体" w:eastAsia="宋体" w:hint="default"/>
        </w:rPr>
      </w:pPr>
      <w:r>
        <w:rPr/>
        <w:t>润为</w:t>
      </w:r>
      <w:r>
        <w:rPr>
          <w:spacing w:val="-35"/>
        </w:rPr>
        <w:t> </w:t>
      </w:r>
      <w:r>
        <w:rPr>
          <w:rFonts w:ascii="宋体" w:hAnsi="宋体" w:cs="宋体" w:eastAsia="宋体" w:hint="default"/>
        </w:rPr>
        <w:t>234,278,293.12</w:t>
      </w:r>
      <w:r>
        <w:rPr>
          <w:rFonts w:ascii="宋体" w:hAnsi="宋体" w:cs="宋体" w:eastAsia="宋体" w:hint="default"/>
          <w:spacing w:val="-35"/>
        </w:rPr>
        <w:t> </w:t>
      </w:r>
      <w:r>
        <w:rPr/>
        <w:t>元，资本公积金</w:t>
      </w:r>
      <w:r>
        <w:rPr>
          <w:spacing w:val="-35"/>
        </w:rPr>
        <w:t> </w:t>
      </w:r>
      <w:r>
        <w:rPr>
          <w:rFonts w:ascii="宋体" w:hAnsi="宋体" w:cs="宋体" w:eastAsia="宋体" w:hint="default"/>
        </w:rPr>
        <w:t>355,267,253.00</w:t>
      </w:r>
      <w:r>
        <w:rPr>
          <w:rFonts w:ascii="宋体" w:hAnsi="宋体" w:cs="宋体" w:eastAsia="宋体" w:hint="default"/>
          <w:spacing w:val="-35"/>
        </w:rPr>
        <w:t> </w:t>
      </w:r>
      <w:r>
        <w:rPr/>
        <w:t>元。公司拟以</w:t>
      </w:r>
      <w:r>
        <w:rPr>
          <w:spacing w:val="-35"/>
        </w:rPr>
        <w:t> </w:t>
      </w:r>
      <w:r>
        <w:rPr>
          <w:rFonts w:ascii="宋体" w:hAnsi="宋体" w:cs="宋体" w:eastAsia="宋体" w:hint="default"/>
        </w:rPr>
        <w:t>2017</w:t>
      </w:r>
      <w:r>
        <w:rPr>
          <w:rFonts w:ascii="宋体" w:hAnsi="宋体" w:cs="宋体" w:eastAsia="宋体" w:hint="default"/>
          <w:spacing w:val="-36"/>
        </w:rPr>
        <w:t> </w:t>
      </w:r>
      <w:r>
        <w:rPr/>
        <w:t>年</w:t>
      </w:r>
      <w:r>
        <w:rPr>
          <w:spacing w:val="-35"/>
        </w:rPr>
        <w:t> </w:t>
      </w:r>
      <w:r>
        <w:rPr>
          <w:rFonts w:ascii="宋体" w:hAnsi="宋体" w:cs="宋体" w:eastAsia="宋体" w:hint="default"/>
        </w:rPr>
        <w:t>12</w:t>
      </w:r>
      <w:r>
        <w:rPr>
          <w:rFonts w:ascii="宋体" w:hAnsi="宋体" w:cs="宋体" w:eastAsia="宋体" w:hint="default"/>
          <w:spacing w:val="-35"/>
        </w:rPr>
        <w:t> </w:t>
      </w:r>
      <w:r>
        <w:rPr/>
        <w:t>月</w:t>
      </w:r>
      <w:r>
        <w:rPr>
          <w:spacing w:val="-35"/>
        </w:rPr>
        <w:t> </w:t>
      </w:r>
      <w:r>
        <w:rPr>
          <w:rFonts w:ascii="宋体" w:hAnsi="宋体" w:cs="宋体" w:eastAsia="宋体" w:hint="default"/>
        </w:rPr>
        <w:t>31</w:t>
      </w:r>
      <w:r>
        <w:rPr>
          <w:rFonts w:ascii="宋体" w:hAnsi="宋体" w:cs="宋体" w:eastAsia="宋体" w:hint="default"/>
          <w:spacing w:val="-35"/>
        </w:rPr>
        <w:t> </w:t>
      </w:r>
      <w:r>
        <w:rPr/>
        <w:t>日总股本</w:t>
      </w:r>
      <w:r>
        <w:rPr>
          <w:spacing w:val="-35"/>
        </w:rPr>
        <w:t> </w:t>
      </w:r>
      <w:r>
        <w:rPr>
          <w:rFonts w:ascii="宋体" w:hAnsi="宋体" w:cs="宋体" w:eastAsia="宋体" w:hint="default"/>
        </w:rPr>
        <w:t>12000</w:t>
      </w:r>
      <w:r>
        <w:rPr>
          <w:rFonts w:ascii="宋体" w:hAnsi="宋体" w:cs="宋体" w:eastAsia="宋体" w:hint="default"/>
          <w:spacing w:val="-36"/>
        </w:rPr>
        <w:t> </w:t>
      </w:r>
      <w:r>
        <w:rPr/>
        <w:t>万股为基数，每</w:t>
      </w:r>
      <w:r>
        <w:rPr>
          <w:spacing w:val="-35"/>
        </w:rPr>
        <w:t> </w:t>
      </w:r>
      <w:r>
        <w:rPr>
          <w:rFonts w:ascii="宋体" w:hAnsi="宋体" w:cs="宋体" w:eastAsia="宋体" w:hint="default"/>
        </w:rPr>
        <w:t>10</w:t>
      </w:r>
    </w:p>
    <w:p>
      <w:pPr>
        <w:pStyle w:val="BodyText"/>
        <w:spacing w:line="240" w:lineRule="auto" w:before="76"/>
        <w:ind w:left="1133" w:right="0"/>
        <w:jc w:val="left"/>
      </w:pPr>
      <w:r>
        <w:rPr/>
        <w:t>股派发现金红利人民币</w:t>
      </w:r>
      <w:r>
        <w:rPr>
          <w:spacing w:val="-43"/>
        </w:rPr>
        <w:t> </w:t>
      </w:r>
      <w:r>
        <w:rPr>
          <w:rFonts w:ascii="宋体" w:hAnsi="宋体" w:cs="宋体" w:eastAsia="宋体" w:hint="default"/>
        </w:rPr>
        <w:t>1.00</w:t>
      </w:r>
      <w:r>
        <w:rPr>
          <w:rFonts w:ascii="宋体" w:hAnsi="宋体" w:cs="宋体" w:eastAsia="宋体" w:hint="default"/>
          <w:spacing w:val="-45"/>
        </w:rPr>
        <w:t> </w:t>
      </w:r>
      <w:r>
        <w:rPr/>
        <w:t>元（含税</w:t>
      </w:r>
      <w:r>
        <w:rPr>
          <w:spacing w:val="-90"/>
        </w:rPr>
        <w:t>）</w:t>
      </w:r>
      <w:r>
        <w:rPr/>
        <w:t>，共分配现金红利人民币</w:t>
      </w:r>
      <w:r>
        <w:rPr>
          <w:spacing w:val="-43"/>
        </w:rPr>
        <w:t> </w:t>
      </w:r>
      <w:r>
        <w:rPr>
          <w:rFonts w:ascii="宋体" w:hAnsi="宋体" w:cs="宋体" w:eastAsia="宋体" w:hint="default"/>
        </w:rPr>
        <w:t>12,000,000</w:t>
      </w:r>
      <w:r>
        <w:rPr>
          <w:rFonts w:ascii="宋体" w:hAnsi="宋体" w:cs="宋体" w:eastAsia="宋体" w:hint="default"/>
          <w:spacing w:val="-44"/>
        </w:rPr>
        <w:t> </w:t>
      </w:r>
      <w:r>
        <w:rPr/>
        <w:t>元（含税</w:t>
      </w:r>
      <w:r>
        <w:rPr>
          <w:spacing w:val="-90"/>
        </w:rPr>
        <w:t>）</w:t>
      </w:r>
      <w:r>
        <w:rPr/>
        <w:t>，以资本公积金向全体股东每</w:t>
      </w:r>
      <w:r>
        <w:rPr>
          <w:spacing w:val="-43"/>
        </w:rPr>
        <w:t> </w:t>
      </w:r>
      <w:r>
        <w:rPr>
          <w:rFonts w:ascii="宋体" w:hAnsi="宋体" w:cs="宋体" w:eastAsia="宋体" w:hint="default"/>
        </w:rPr>
        <w:t>10</w:t>
      </w:r>
      <w:r>
        <w:rPr>
          <w:rFonts w:ascii="宋体" w:hAnsi="宋体" w:cs="宋体" w:eastAsia="宋体" w:hint="default"/>
          <w:spacing w:val="-44"/>
        </w:rPr>
        <w:t> </w:t>
      </w:r>
      <w:r>
        <w:rPr/>
        <w:t>股</w:t>
      </w:r>
    </w:p>
    <w:p>
      <w:pPr>
        <w:pStyle w:val="BodyText"/>
        <w:spacing w:line="357" w:lineRule="auto" w:before="77"/>
        <w:ind w:right="6612"/>
        <w:jc w:val="left"/>
      </w:pPr>
      <w:r>
        <w:rPr/>
        <w:t>转增</w:t>
      </w:r>
      <w:r>
        <w:rPr>
          <w:spacing w:val="-46"/>
        </w:rPr>
        <w:t> </w:t>
      </w:r>
      <w:r>
        <w:rPr>
          <w:rFonts w:ascii="宋体" w:hAnsi="宋体" w:cs="宋体" w:eastAsia="宋体" w:hint="default"/>
        </w:rPr>
        <w:t>5</w:t>
      </w:r>
      <w:r>
        <w:rPr>
          <w:rFonts w:ascii="宋体" w:hAnsi="宋体" w:cs="宋体" w:eastAsia="宋体" w:hint="default"/>
          <w:spacing w:val="-46"/>
        </w:rPr>
        <w:t> </w:t>
      </w:r>
      <w:r>
        <w:rPr/>
        <w:t>股。 公司近三年（包括本报告期）普通股现金分红情况表</w:t>
      </w:r>
    </w:p>
    <w:p>
      <w:pPr>
        <w:pStyle w:val="BodyText"/>
        <w:spacing w:line="240" w:lineRule="auto" w:before="28"/>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33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12" w:right="101" w:hanging="509"/>
              <w:jc w:val="left"/>
              <w:rPr>
                <w:rFonts w:ascii="宋体" w:hAnsi="宋体" w:cs="宋体" w:eastAsia="宋体" w:hint="default"/>
                <w:sz w:val="18"/>
                <w:szCs w:val="18"/>
              </w:rPr>
            </w:pPr>
            <w:r>
              <w:rPr>
                <w:rFonts w:ascii="宋体" w:hAnsi="宋体" w:cs="宋体" w:eastAsia="宋体" w:hint="default"/>
                <w:spacing w:val="-8"/>
                <w:sz w:val="18"/>
                <w:szCs w:val="18"/>
              </w:rPr>
              <w:t>现金分红金额（含</w:t>
            </w:r>
            <w:r>
              <w:rPr>
                <w:rFonts w:ascii="宋体" w:hAnsi="宋体" w:cs="宋体" w:eastAsia="宋体" w:hint="default"/>
                <w:sz w:val="18"/>
                <w:szCs w:val="18"/>
              </w:rPr>
              <w:t> 税）</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1" w:right="161"/>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1" w:right="161"/>
              <w:jc w:val="center"/>
              <w:rPr>
                <w:rFonts w:ascii="宋体" w:hAnsi="宋体" w:cs="宋体" w:eastAsia="宋体" w:hint="default"/>
                <w:sz w:val="18"/>
                <w:szCs w:val="18"/>
              </w:rPr>
            </w:pPr>
            <w:r>
              <w:rPr>
                <w:rFonts w:ascii="宋体" w:hAnsi="宋体" w:cs="宋体" w:eastAsia="宋体" w:hint="default"/>
                <w:sz w:val="18"/>
                <w:szCs w:val="18"/>
              </w:rPr>
              <w:t>占合并报表中归 属于上市公司普 通股股东的净利 润的比率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2" w:right="160"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1" w:right="161"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分红的比例</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42,930,074.35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59,507,668.12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60,959,021.44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公司报告期内盈利且母公司可供普通股股东分配利润为正但未提出普通股现金红利分配预案</w:t>
      </w:r>
    </w:p>
    <w:p>
      <w:pPr>
        <w:pStyle w:val="BodyText"/>
        <w:spacing w:line="240" w:lineRule="auto" w:before="116"/>
        <w:ind w:left="1133" w:right="0"/>
        <w:jc w:val="left"/>
      </w:pPr>
      <w:r>
        <w:rPr/>
        <w:t>□ 适用 √ 不适用</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5"/>
        <w:spacing w:line="259" w:lineRule="auto"/>
        <w:ind w:left="1133" w:right="0"/>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006" w:type="dxa"/>
        <w:tblLayout w:type="fixed"/>
        <w:tblCellMar>
          <w:top w:w="0" w:type="dxa"/>
          <w:left w:w="0" w:type="dxa"/>
          <w:bottom w:w="0" w:type="dxa"/>
          <w:right w:w="0" w:type="dxa"/>
        </w:tblCellMar>
        <w:tblLook w:val="01E0"/>
      </w:tblPr>
      <w:tblGrid>
        <w:gridCol w:w="1858"/>
        <w:gridCol w:w="1124"/>
        <w:gridCol w:w="1006"/>
        <w:gridCol w:w="2881"/>
        <w:gridCol w:w="1018"/>
        <w:gridCol w:w="960"/>
        <w:gridCol w:w="1036"/>
      </w:tblGrid>
      <w:tr>
        <w:trPr>
          <w:trHeight w:val="402" w:hRule="exact"/>
        </w:trPr>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6"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124"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2881"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
              <w:jc w:val="center"/>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4"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2881"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r>
      <w:tr>
        <w:trPr>
          <w:trHeight w:val="9411" w:hRule="exact"/>
        </w:trPr>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0"/>
              <w:ind w:left="103" w:right="123"/>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00" w:lineRule="auto"/>
              <w:ind w:left="103" w:right="188"/>
              <w:jc w:val="both"/>
              <w:rPr>
                <w:rFonts w:ascii="宋体" w:hAnsi="宋体" w:cs="宋体" w:eastAsia="宋体" w:hint="default"/>
                <w:sz w:val="18"/>
                <w:szCs w:val="18"/>
              </w:rPr>
            </w:pPr>
            <w:r>
              <w:rPr>
                <w:rFonts w:ascii="宋体" w:hAnsi="宋体" w:cs="宋体" w:eastAsia="宋体" w:hint="default"/>
                <w:sz w:val="18"/>
                <w:szCs w:val="18"/>
              </w:rPr>
              <w:t>范丽明</w:t>
            </w:r>
            <w:r>
              <w:rPr>
                <w:rFonts w:ascii="Times New Roman" w:hAnsi="Times New Roman" w:cs="Times New Roman" w:eastAsia="Times New Roman" w:hint="default"/>
                <w:sz w:val="18"/>
                <w:szCs w:val="18"/>
              </w:rPr>
              <w:t>;</w:t>
            </w:r>
            <w:r>
              <w:rPr>
                <w:rFonts w:ascii="宋体" w:hAnsi="宋体" w:cs="宋体" w:eastAsia="宋体" w:hint="default"/>
                <w:sz w:val="18"/>
                <w:szCs w:val="18"/>
              </w:rPr>
              <w:t>李 铠</w:t>
            </w:r>
            <w:r>
              <w:rPr>
                <w:rFonts w:ascii="Times New Roman" w:hAnsi="Times New Roman" w:cs="Times New Roman" w:eastAsia="Times New Roman" w:hint="default"/>
                <w:sz w:val="18"/>
                <w:szCs w:val="18"/>
              </w:rPr>
              <w:t>;</w:t>
            </w:r>
            <w:r>
              <w:rPr>
                <w:rFonts w:ascii="宋体" w:hAnsi="宋体" w:cs="宋体" w:eastAsia="宋体" w:hint="default"/>
                <w:sz w:val="18"/>
                <w:szCs w:val="18"/>
              </w:rPr>
              <w:t>林鸿</w:t>
            </w:r>
            <w:r>
              <w:rPr>
                <w:rFonts w:ascii="Times New Roman" w:hAnsi="Times New Roman" w:cs="Times New Roman" w:eastAsia="Times New Roman" w:hint="default"/>
                <w:sz w:val="18"/>
                <w:szCs w:val="18"/>
              </w:rPr>
              <w:t>;</w:t>
            </w:r>
            <w:r>
              <w:rPr>
                <w:rFonts w:ascii="宋体" w:hAnsi="宋体" w:cs="宋体" w:eastAsia="宋体" w:hint="default"/>
                <w:sz w:val="18"/>
                <w:szCs w:val="18"/>
              </w:rPr>
              <w:t>朱 胡勇</w:t>
            </w:r>
            <w:r>
              <w:rPr>
                <w:rFonts w:ascii="Times New Roman" w:hAnsi="Times New Roman" w:cs="Times New Roman" w:eastAsia="Times New Roman" w:hint="default"/>
                <w:sz w:val="18"/>
                <w:szCs w:val="18"/>
              </w:rPr>
              <w:t>;</w:t>
            </w:r>
            <w:r>
              <w:rPr>
                <w:rFonts w:ascii="宋体" w:hAnsi="宋体" w:cs="宋体" w:eastAsia="宋体" w:hint="default"/>
                <w:sz w:val="18"/>
                <w:szCs w:val="18"/>
              </w:rPr>
              <w:t>罗云 波</w:t>
            </w:r>
            <w:r>
              <w:rPr>
                <w:rFonts w:ascii="Times New Roman" w:hAnsi="Times New Roman" w:cs="Times New Roman" w:eastAsia="Times New Roman" w:hint="default"/>
                <w:sz w:val="18"/>
                <w:szCs w:val="18"/>
              </w:rPr>
              <w:t>;</w:t>
            </w:r>
            <w:r>
              <w:rPr>
                <w:rFonts w:ascii="宋体" w:hAnsi="宋体" w:cs="宋体" w:eastAsia="宋体" w:hint="default"/>
                <w:sz w:val="18"/>
                <w:szCs w:val="18"/>
              </w:rPr>
              <w:t>庄云江</w:t>
            </w:r>
            <w:r>
              <w:rPr>
                <w:rFonts w:ascii="Times New Roman" w:hAnsi="Times New Roman" w:cs="Times New Roman" w:eastAsia="Times New Roman" w:hint="default"/>
                <w:sz w:val="18"/>
                <w:szCs w:val="18"/>
              </w:rPr>
              <w:t>; </w:t>
            </w:r>
            <w:r>
              <w:rPr>
                <w:rFonts w:ascii="宋体" w:hAnsi="宋体" w:cs="宋体" w:eastAsia="宋体" w:hint="default"/>
                <w:sz w:val="18"/>
                <w:szCs w:val="18"/>
              </w:rPr>
              <w:t>杨格平</w:t>
            </w:r>
            <w:r>
              <w:rPr>
                <w:rFonts w:ascii="Times New Roman" w:hAnsi="Times New Roman" w:cs="Times New Roman" w:eastAsia="Times New Roman" w:hint="default"/>
                <w:sz w:val="18"/>
                <w:szCs w:val="18"/>
              </w:rPr>
              <w:t>;</w:t>
            </w:r>
            <w:r>
              <w:rPr>
                <w:rFonts w:ascii="宋体" w:hAnsi="宋体" w:cs="宋体" w:eastAsia="宋体" w:hint="default"/>
                <w:sz w:val="18"/>
                <w:szCs w:val="18"/>
              </w:rPr>
              <w:t>金 麟</w:t>
            </w:r>
            <w:r>
              <w:rPr>
                <w:rFonts w:ascii="Times New Roman" w:hAnsi="Times New Roman" w:cs="Times New Roman" w:eastAsia="Times New Roman" w:hint="default"/>
                <w:sz w:val="18"/>
                <w:szCs w:val="18"/>
              </w:rPr>
              <w:t>;</w:t>
            </w:r>
            <w:r>
              <w:rPr>
                <w:rFonts w:ascii="宋体" w:hAnsi="宋体" w:cs="宋体" w:eastAsia="宋体" w:hint="default"/>
                <w:sz w:val="18"/>
                <w:szCs w:val="18"/>
              </w:rPr>
              <w:t>吴文胜</w:t>
            </w:r>
            <w:r>
              <w:rPr>
                <w:rFonts w:ascii="Times New Roman" w:hAnsi="Times New Roman" w:cs="Times New Roman" w:eastAsia="Times New Roman" w:hint="default"/>
                <w:sz w:val="18"/>
                <w:szCs w:val="18"/>
              </w:rPr>
              <w:t>; </w:t>
            </w:r>
            <w:r>
              <w:rPr>
                <w:rFonts w:ascii="宋体" w:hAnsi="宋体" w:cs="宋体" w:eastAsia="宋体" w:hint="default"/>
                <w:sz w:val="18"/>
                <w:szCs w:val="18"/>
              </w:rPr>
              <w:t>林波</w:t>
            </w:r>
            <w:r>
              <w:rPr>
                <w:rFonts w:ascii="Times New Roman" w:hAnsi="Times New Roman" w:cs="Times New Roman" w:eastAsia="Times New Roman" w:hint="default"/>
                <w:sz w:val="18"/>
                <w:szCs w:val="18"/>
              </w:rPr>
              <w:t>;</w:t>
            </w:r>
            <w:r>
              <w:rPr>
                <w:rFonts w:ascii="宋体" w:hAnsi="宋体" w:cs="宋体" w:eastAsia="宋体" w:hint="default"/>
                <w:sz w:val="18"/>
                <w:szCs w:val="18"/>
              </w:rPr>
              <w:t>凡心 伟</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0"/>
              <w:ind w:left="103" w:right="171"/>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、自先进数通首次向社会公开发 行的股票上市之日起三十六个月 </w:t>
            </w:r>
            <w:r>
              <w:rPr>
                <w:rFonts w:ascii="宋体" w:hAnsi="宋体" w:cs="宋体" w:eastAsia="宋体" w:hint="default"/>
                <w:spacing w:val="-3"/>
                <w:sz w:val="18"/>
                <w:szCs w:val="18"/>
              </w:rPr>
              <w:t>内，本人不转让或者委托他人管理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本人所持有的公司股份，也不由公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司回购本人所持有的股份。</w:t>
            </w:r>
            <w:r>
              <w:rPr>
                <w:rFonts w:ascii="Times New Roman" w:hAnsi="Times New Roman" w:cs="Times New Roman" w:eastAsia="Times New Roman" w:hint="default"/>
                <w:sz w:val="18"/>
                <w:szCs w:val="18"/>
              </w:rPr>
              <w:t>2</w:t>
            </w:r>
            <w:r>
              <w:rPr>
                <w:rFonts w:ascii="宋体" w:hAnsi="宋体" w:cs="宋体" w:eastAsia="宋体" w:hint="default"/>
                <w:sz w:val="18"/>
                <w:szCs w:val="18"/>
              </w:rPr>
              <w:t>、前 </w:t>
            </w:r>
            <w:r>
              <w:rPr>
                <w:rFonts w:ascii="宋体" w:hAnsi="宋体" w:cs="宋体" w:eastAsia="宋体" w:hint="default"/>
                <w:spacing w:val="-3"/>
                <w:sz w:val="18"/>
                <w:szCs w:val="18"/>
              </w:rPr>
              <w:t>述锁定期满后，在本人仍担任公司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董事、监事、高级管理人员期间， 每年转让的股份不超过本人按照 有关法律法规可以转让的所持公 司股份总数的</w:t>
            </w:r>
            <w:r>
              <w:rPr>
                <w:rFonts w:ascii="宋体" w:hAnsi="宋体" w:cs="宋体" w:eastAsia="宋体" w:hint="default"/>
                <w:spacing w:val="-43"/>
                <w:sz w:val="18"/>
                <w:szCs w:val="18"/>
              </w:rPr>
              <w:t> </w:t>
            </w:r>
            <w:r>
              <w:rPr>
                <w:rFonts w:ascii="Times New Roman" w:hAnsi="Times New Roman" w:cs="Times New Roman" w:eastAsia="Times New Roman" w:hint="default"/>
                <w:spacing w:val="-6"/>
                <w:sz w:val="18"/>
                <w:szCs w:val="18"/>
              </w:rPr>
              <w:t>25%</w:t>
            </w:r>
            <w:r>
              <w:rPr>
                <w:rFonts w:ascii="宋体" w:hAnsi="宋体" w:cs="宋体" w:eastAsia="宋体" w:hint="default"/>
                <w:spacing w:val="-6"/>
                <w:sz w:val="18"/>
                <w:szCs w:val="18"/>
              </w:rPr>
              <w:t>；在本人离职后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半年内，不转让本人所持有的公司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股份；在申报离任六个月后的十二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个月内通过证券交易所挂牌交易 出售公司股票数量占本人所持有 公司股票总数的比例不超过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 若本人在首次公开发行股票上市 </w:t>
            </w:r>
            <w:r>
              <w:rPr>
                <w:rFonts w:ascii="宋体" w:hAnsi="宋体" w:cs="宋体" w:eastAsia="宋体" w:hint="default"/>
                <w:spacing w:val="-3"/>
                <w:sz w:val="18"/>
                <w:szCs w:val="18"/>
              </w:rPr>
              <w:t>之日起六个月内申报离职，自申报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离职之日起十八个月内不转让其 </w:t>
            </w:r>
            <w:r>
              <w:rPr>
                <w:rFonts w:ascii="宋体" w:hAnsi="宋体" w:cs="宋体" w:eastAsia="宋体" w:hint="default"/>
                <w:spacing w:val="-3"/>
                <w:sz w:val="18"/>
                <w:szCs w:val="18"/>
              </w:rPr>
              <w:t>直接持有的公司股份；在首次公开</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发行股票上市之日起第七个月至 </w:t>
            </w:r>
            <w:r>
              <w:rPr>
                <w:rFonts w:ascii="宋体" w:hAnsi="宋体" w:cs="宋体" w:eastAsia="宋体" w:hint="default"/>
                <w:spacing w:val="-3"/>
                <w:sz w:val="18"/>
                <w:szCs w:val="18"/>
              </w:rPr>
              <w:t>第十二个月之间申报离职，自申报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离职之日起十二个月内不转让其 直接持有的公司股份。</w:t>
            </w:r>
            <w:r>
              <w:rPr>
                <w:rFonts w:ascii="Times New Roman" w:hAnsi="Times New Roman" w:cs="Times New Roman" w:eastAsia="Times New Roman" w:hint="default"/>
                <w:sz w:val="18"/>
                <w:szCs w:val="18"/>
              </w:rPr>
              <w:t>3</w:t>
            </w:r>
            <w:r>
              <w:rPr>
                <w:rFonts w:ascii="宋体" w:hAnsi="宋体" w:cs="宋体" w:eastAsia="宋体" w:hint="default"/>
                <w:sz w:val="18"/>
                <w:szCs w:val="18"/>
              </w:rPr>
              <w:t>、本人所 持公司股票在前述锁定期满后两 </w:t>
            </w:r>
            <w:r>
              <w:rPr>
                <w:rFonts w:ascii="宋体" w:hAnsi="宋体" w:cs="宋体" w:eastAsia="宋体" w:hint="default"/>
                <w:spacing w:val="-3"/>
                <w:sz w:val="18"/>
                <w:szCs w:val="18"/>
              </w:rPr>
              <w:t>年内减持的，其减持价格不低于发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行价（自公司股票上市至本人减持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期间，公司如有派息、送股、资本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公积金转增股本、配股等除权除息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事项，发行价将相应进行调整）；</w:t>
            </w:r>
            <w:r>
              <w:rPr>
                <w:rFonts w:ascii="宋体" w:hAnsi="宋体" w:cs="宋体" w:eastAsia="宋体" w:hint="default"/>
                <w:sz w:val="18"/>
                <w:szCs w:val="18"/>
              </w:rPr>
              <w:t> 公司上市后</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个月内如公司股票连</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20"/>
              <w:jc w:val="left"/>
              <w:rPr>
                <w:rFonts w:ascii="宋体" w:hAnsi="宋体" w:cs="宋体" w:eastAsia="宋体" w:hint="default"/>
                <w:sz w:val="18"/>
                <w:szCs w:val="18"/>
              </w:rPr>
            </w:pPr>
            <w:r>
              <w:rPr>
                <w:rFonts w:ascii="宋体" w:hAnsi="宋体" w:cs="宋体" w:eastAsia="宋体" w:hint="default"/>
                <w:sz w:val="18"/>
                <w:szCs w:val="18"/>
              </w:rPr>
              <w:t>报告期内， 该承诺事 项正常履 行中。</w:t>
            </w:r>
          </w:p>
        </w:tc>
      </w:tr>
    </w:tbl>
    <w:p>
      <w:pPr>
        <w:spacing w:after="0" w:line="316"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06" w:type="dxa"/>
        <w:tblLayout w:type="fixed"/>
        <w:tblCellMar>
          <w:top w:w="0" w:type="dxa"/>
          <w:left w:w="0" w:type="dxa"/>
          <w:bottom w:w="0" w:type="dxa"/>
          <w:right w:w="0" w:type="dxa"/>
        </w:tblCellMar>
        <w:tblLook w:val="01E0"/>
      </w:tblPr>
      <w:tblGrid>
        <w:gridCol w:w="1858"/>
        <w:gridCol w:w="1124"/>
        <w:gridCol w:w="1006"/>
        <w:gridCol w:w="2881"/>
        <w:gridCol w:w="1018"/>
        <w:gridCol w:w="960"/>
        <w:gridCol w:w="1038"/>
      </w:tblGrid>
      <w:tr>
        <w:trPr>
          <w:trHeight w:val="3171" w:hRule="exact"/>
        </w:trPr>
        <w:tc>
          <w:tcPr>
            <w:tcW w:w="185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个交易日的收盘价均低于发</w:t>
            </w:r>
          </w:p>
          <w:p>
            <w:pPr>
              <w:pStyle w:val="TableParagraph"/>
              <w:spacing w:line="312" w:lineRule="auto" w:before="63"/>
              <w:ind w:left="103" w:right="66"/>
              <w:jc w:val="left"/>
              <w:rPr>
                <w:rFonts w:ascii="宋体" w:hAnsi="宋体" w:cs="宋体" w:eastAsia="宋体" w:hint="default"/>
                <w:sz w:val="18"/>
                <w:szCs w:val="18"/>
              </w:rPr>
            </w:pPr>
            <w:r>
              <w:rPr>
                <w:rFonts w:ascii="宋体" w:hAnsi="宋体" w:cs="宋体" w:eastAsia="宋体" w:hint="default"/>
                <w:spacing w:val="-5"/>
                <w:sz w:val="18"/>
                <w:szCs w:val="18"/>
              </w:rPr>
              <w:t>行价，或者上市后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个月期末收盘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价低于发行价，则本人持有公司股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票的锁定期限自动延长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个月；本</w:t>
            </w:r>
            <w:r>
              <w:rPr>
                <w:rFonts w:ascii="宋体" w:hAnsi="宋体" w:cs="宋体" w:eastAsia="宋体" w:hint="default"/>
                <w:sz w:val="18"/>
                <w:szCs w:val="18"/>
              </w:rPr>
              <w:t> </w:t>
            </w:r>
            <w:r>
              <w:rPr>
                <w:rFonts w:ascii="宋体" w:hAnsi="宋体" w:cs="宋体" w:eastAsia="宋体" w:hint="default"/>
                <w:spacing w:val="-3"/>
                <w:sz w:val="18"/>
                <w:szCs w:val="18"/>
              </w:rPr>
              <w:t>人承诺不因职务变更、离职等原因</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不担任相关职务而放弃前述承诺。 </w:t>
            </w:r>
            <w:r>
              <w:rPr>
                <w:rFonts w:ascii="Times New Roman" w:hAnsi="Times New Roman" w:cs="Times New Roman" w:eastAsia="Times New Roman" w:hint="default"/>
                <w:spacing w:val="-19"/>
                <w:sz w:val="18"/>
                <w:szCs w:val="18"/>
              </w:rPr>
              <w:t>4</w:t>
            </w:r>
            <w:r>
              <w:rPr>
                <w:rFonts w:ascii="宋体" w:hAnsi="宋体" w:cs="宋体" w:eastAsia="宋体" w:hint="default"/>
                <w:spacing w:val="-19"/>
                <w:sz w:val="18"/>
                <w:szCs w:val="18"/>
              </w:rPr>
              <w:t>、如《公司法》、《证券法》、中国</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证监会和证券交易所对本人持有 的公司股份之锁定有更严格的要 求的，本人将按此等要求执行。</w:t>
            </w:r>
          </w:p>
        </w:tc>
        <w:tc>
          <w:tcPr>
            <w:tcW w:w="101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1858"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103" w:right="109"/>
              <w:jc w:val="left"/>
              <w:rPr>
                <w:rFonts w:ascii="宋体" w:hAnsi="宋体" w:cs="宋体" w:eastAsia="宋体" w:hint="default"/>
                <w:sz w:val="18"/>
                <w:szCs w:val="18"/>
              </w:rPr>
            </w:pPr>
            <w:r>
              <w:rPr>
                <w:rFonts w:ascii="宋体" w:hAnsi="宋体" w:cs="宋体" w:eastAsia="宋体" w:hint="default"/>
                <w:sz w:val="18"/>
                <w:szCs w:val="18"/>
              </w:rPr>
              <w:t>陈东辉</w:t>
            </w:r>
            <w:r>
              <w:rPr>
                <w:rFonts w:ascii="Times New Roman" w:hAnsi="Times New Roman" w:cs="Times New Roman" w:eastAsia="Times New Roman" w:hint="default"/>
                <w:sz w:val="18"/>
                <w:szCs w:val="18"/>
              </w:rPr>
              <w:t>;</w:t>
            </w:r>
            <w:r>
              <w:rPr>
                <w:rFonts w:ascii="宋体" w:hAnsi="宋体" w:cs="宋体" w:eastAsia="宋体" w:hint="default"/>
                <w:sz w:val="18"/>
                <w:szCs w:val="18"/>
              </w:rPr>
              <w:t>韩 燕婴</w:t>
            </w:r>
            <w:r>
              <w:rPr>
                <w:rFonts w:ascii="Times New Roman" w:hAnsi="Times New Roman" w:cs="Times New Roman" w:eastAsia="Times New Roman" w:hint="default"/>
                <w:sz w:val="18"/>
                <w:szCs w:val="18"/>
              </w:rPr>
              <w:t>;</w:t>
            </w:r>
            <w:r>
              <w:rPr>
                <w:rFonts w:ascii="宋体" w:hAnsi="宋体" w:cs="宋体" w:eastAsia="宋体" w:hint="default"/>
                <w:sz w:val="18"/>
                <w:szCs w:val="18"/>
              </w:rPr>
              <w:t>洪沈 平</w:t>
            </w:r>
            <w:r>
              <w:rPr>
                <w:rFonts w:ascii="Times New Roman" w:hAnsi="Times New Roman" w:cs="Times New Roman" w:eastAsia="Times New Roman" w:hint="default"/>
                <w:sz w:val="18"/>
                <w:szCs w:val="18"/>
              </w:rPr>
              <w:t>;</w:t>
            </w:r>
            <w:r>
              <w:rPr>
                <w:rFonts w:ascii="宋体" w:hAnsi="宋体" w:cs="宋体" w:eastAsia="宋体" w:hint="default"/>
                <w:sz w:val="18"/>
                <w:szCs w:val="18"/>
              </w:rPr>
              <w:t>王先进</w:t>
            </w:r>
            <w:r>
              <w:rPr>
                <w:rFonts w:ascii="Times New Roman" w:hAnsi="Times New Roman" w:cs="Times New Roman" w:eastAsia="Times New Roman" w:hint="default"/>
                <w:sz w:val="18"/>
                <w:szCs w:val="18"/>
              </w:rPr>
              <w:t>; </w:t>
            </w:r>
            <w:r>
              <w:rPr>
                <w:rFonts w:ascii="宋体" w:hAnsi="宋体" w:cs="宋体" w:eastAsia="宋体" w:hint="default"/>
                <w:sz w:val="18"/>
                <w:szCs w:val="18"/>
              </w:rPr>
              <w:t>谢智勇</w:t>
            </w:r>
            <w:r>
              <w:rPr>
                <w:rFonts w:ascii="Times New Roman" w:hAnsi="Times New Roman" w:cs="Times New Roman" w:eastAsia="Times New Roman" w:hint="default"/>
                <w:sz w:val="18"/>
                <w:szCs w:val="18"/>
              </w:rPr>
              <w:t>;</w:t>
            </w:r>
            <w:r>
              <w:rPr>
                <w:rFonts w:ascii="宋体" w:hAnsi="宋体" w:cs="宋体" w:eastAsia="宋体" w:hint="default"/>
                <w:sz w:val="18"/>
                <w:szCs w:val="18"/>
              </w:rPr>
              <w:t>北 京银汉创业 投资有限公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北京致 远天成科技 中心（有限 合伙）</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103" w:right="171"/>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103" w:right="6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、自先进数通首次向社会公开发 行的股票上市之日起三十六个月 </w:t>
            </w:r>
            <w:r>
              <w:rPr>
                <w:rFonts w:ascii="宋体" w:hAnsi="宋体" w:cs="宋体" w:eastAsia="宋体" w:hint="default"/>
                <w:spacing w:val="-6"/>
                <w:sz w:val="18"/>
                <w:szCs w:val="18"/>
              </w:rPr>
              <w:t>内，本公司</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本人不转让或者委托他</w:t>
            </w:r>
            <w:r>
              <w:rPr>
                <w:rFonts w:ascii="宋体" w:hAnsi="宋体" w:cs="宋体" w:eastAsia="宋体" w:hint="default"/>
                <w:spacing w:val="-81"/>
                <w:sz w:val="18"/>
                <w:szCs w:val="18"/>
              </w:rPr>
              <w:t> </w:t>
            </w:r>
            <w:r>
              <w:rPr>
                <w:rFonts w:ascii="宋体" w:hAnsi="宋体" w:cs="宋体" w:eastAsia="宋体" w:hint="default"/>
                <w:sz w:val="18"/>
                <w:szCs w:val="18"/>
              </w:rPr>
              <w:t>人管理本公司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本人所持有的公司 </w:t>
            </w:r>
            <w:r>
              <w:rPr>
                <w:rFonts w:ascii="宋体" w:hAnsi="宋体" w:cs="宋体" w:eastAsia="宋体" w:hint="default"/>
                <w:spacing w:val="-6"/>
                <w:sz w:val="18"/>
                <w:szCs w:val="18"/>
              </w:rPr>
              <w:t>股份，也不由公司回购本公司</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本人</w:t>
            </w:r>
            <w:r>
              <w:rPr>
                <w:rFonts w:ascii="宋体" w:hAnsi="宋体" w:cs="宋体" w:eastAsia="宋体" w:hint="default"/>
                <w:spacing w:val="-81"/>
                <w:sz w:val="18"/>
                <w:szCs w:val="18"/>
              </w:rPr>
              <w:t> </w:t>
            </w:r>
            <w:r>
              <w:rPr>
                <w:rFonts w:ascii="宋体" w:hAnsi="宋体" w:cs="宋体" w:eastAsia="宋体" w:hint="default"/>
                <w:spacing w:val="-6"/>
                <w:sz w:val="18"/>
                <w:szCs w:val="18"/>
              </w:rPr>
              <w:t>所持有的股份。</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、如《公司法》、</w:t>
            </w:r>
          </w:p>
          <w:p>
            <w:pPr>
              <w:pStyle w:val="TableParagraph"/>
              <w:spacing w:line="312" w:lineRule="auto" w:before="9"/>
              <w:ind w:left="103" w:right="101"/>
              <w:jc w:val="both"/>
              <w:rPr>
                <w:rFonts w:ascii="宋体" w:hAnsi="宋体" w:cs="宋体" w:eastAsia="宋体" w:hint="default"/>
                <w:sz w:val="18"/>
                <w:szCs w:val="18"/>
              </w:rPr>
            </w:pPr>
            <w:r>
              <w:rPr>
                <w:rFonts w:ascii="宋体" w:hAnsi="宋体" w:cs="宋体" w:eastAsia="宋体" w:hint="default"/>
                <w:spacing w:val="-6"/>
                <w:sz w:val="18"/>
                <w:szCs w:val="18"/>
              </w:rPr>
              <w:t>《证券法》、中国证监会和证券交</w:t>
            </w:r>
            <w:r>
              <w:rPr>
                <w:rFonts w:ascii="宋体" w:hAnsi="宋体" w:cs="宋体" w:eastAsia="宋体" w:hint="default"/>
                <w:sz w:val="18"/>
                <w:szCs w:val="18"/>
              </w:rPr>
              <w:t> 易所对本公司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本人持有的公司股 </w:t>
            </w:r>
            <w:r>
              <w:rPr>
                <w:rFonts w:ascii="宋体" w:hAnsi="宋体" w:cs="宋体" w:eastAsia="宋体" w:hint="default"/>
                <w:spacing w:val="-3"/>
                <w:sz w:val="18"/>
                <w:szCs w:val="18"/>
              </w:rPr>
              <w:t>份之锁定有更严格的要求的，本公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本人将按此等要求执行。</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103" w:right="23"/>
              <w:jc w:val="left"/>
              <w:rPr>
                <w:rFonts w:ascii="宋体" w:hAnsi="宋体" w:cs="宋体" w:eastAsia="宋体" w:hint="default"/>
                <w:sz w:val="18"/>
                <w:szCs w:val="18"/>
              </w:rPr>
            </w:pPr>
            <w:r>
              <w:rPr>
                <w:rFonts w:ascii="宋体" w:hAnsi="宋体" w:cs="宋体" w:eastAsia="宋体" w:hint="default"/>
                <w:sz w:val="18"/>
                <w:szCs w:val="18"/>
              </w:rPr>
              <w:t>报告期内， 该承诺事 项正常履 行中。</w:t>
            </w:r>
          </w:p>
        </w:tc>
      </w:tr>
      <w:tr>
        <w:trPr>
          <w:trHeight w:val="7539" w:hRule="exact"/>
        </w:trPr>
        <w:tc>
          <w:tcPr>
            <w:tcW w:w="185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00" w:lineRule="auto"/>
              <w:ind w:left="103" w:right="188"/>
              <w:jc w:val="both"/>
              <w:rPr>
                <w:rFonts w:ascii="宋体" w:hAnsi="宋体" w:cs="宋体" w:eastAsia="宋体" w:hint="default"/>
                <w:sz w:val="18"/>
                <w:szCs w:val="18"/>
              </w:rPr>
            </w:pPr>
            <w:r>
              <w:rPr>
                <w:rFonts w:ascii="宋体" w:hAnsi="宋体" w:cs="宋体" w:eastAsia="宋体" w:hint="default"/>
                <w:sz w:val="18"/>
                <w:szCs w:val="18"/>
              </w:rPr>
              <w:t>范丽明</w:t>
            </w:r>
            <w:r>
              <w:rPr>
                <w:rFonts w:ascii="Times New Roman" w:hAnsi="Times New Roman" w:cs="Times New Roman" w:eastAsia="Times New Roman" w:hint="default"/>
                <w:sz w:val="18"/>
                <w:szCs w:val="18"/>
              </w:rPr>
              <w:t>;</w:t>
            </w:r>
            <w:r>
              <w:rPr>
                <w:rFonts w:ascii="宋体" w:hAnsi="宋体" w:cs="宋体" w:eastAsia="宋体" w:hint="default"/>
                <w:sz w:val="18"/>
                <w:szCs w:val="18"/>
              </w:rPr>
              <w:t>李 铠</w:t>
            </w:r>
            <w:r>
              <w:rPr>
                <w:rFonts w:ascii="Times New Roman" w:hAnsi="Times New Roman" w:cs="Times New Roman" w:eastAsia="Times New Roman" w:hint="default"/>
                <w:sz w:val="18"/>
                <w:szCs w:val="18"/>
              </w:rPr>
              <w:t>;</w:t>
            </w:r>
            <w:r>
              <w:rPr>
                <w:rFonts w:ascii="宋体" w:hAnsi="宋体" w:cs="宋体" w:eastAsia="宋体" w:hint="default"/>
                <w:sz w:val="18"/>
                <w:szCs w:val="18"/>
              </w:rPr>
              <w:t>林鸿</w:t>
            </w:r>
            <w:r>
              <w:rPr>
                <w:rFonts w:ascii="Times New Roman" w:hAnsi="Times New Roman" w:cs="Times New Roman" w:eastAsia="Times New Roman" w:hint="default"/>
                <w:sz w:val="18"/>
                <w:szCs w:val="18"/>
              </w:rPr>
              <w:t>;</w:t>
            </w:r>
            <w:r>
              <w:rPr>
                <w:rFonts w:ascii="宋体" w:hAnsi="宋体" w:cs="宋体" w:eastAsia="宋体" w:hint="default"/>
                <w:sz w:val="18"/>
                <w:szCs w:val="18"/>
              </w:rPr>
              <w:t>朱 胡勇</w:t>
            </w:r>
            <w:r>
              <w:rPr>
                <w:rFonts w:ascii="Times New Roman" w:hAnsi="Times New Roman" w:cs="Times New Roman" w:eastAsia="Times New Roman" w:hint="default"/>
                <w:sz w:val="18"/>
                <w:szCs w:val="18"/>
              </w:rPr>
              <w:t>;</w:t>
            </w:r>
            <w:r>
              <w:rPr>
                <w:rFonts w:ascii="宋体" w:hAnsi="宋体" w:cs="宋体" w:eastAsia="宋体" w:hint="default"/>
                <w:sz w:val="18"/>
                <w:szCs w:val="18"/>
              </w:rPr>
              <w:t>罗云 波</w:t>
            </w:r>
            <w:r>
              <w:rPr>
                <w:rFonts w:ascii="Times New Roman" w:hAnsi="Times New Roman" w:cs="Times New Roman" w:eastAsia="Times New Roman" w:hint="default"/>
                <w:sz w:val="18"/>
                <w:szCs w:val="18"/>
              </w:rPr>
              <w:t>;</w:t>
            </w:r>
            <w:r>
              <w:rPr>
                <w:rFonts w:ascii="宋体" w:hAnsi="宋体" w:cs="宋体" w:eastAsia="宋体" w:hint="default"/>
                <w:sz w:val="18"/>
                <w:szCs w:val="18"/>
              </w:rPr>
              <w:t>庄云江</w:t>
            </w:r>
            <w:r>
              <w:rPr>
                <w:rFonts w:ascii="Times New Roman" w:hAnsi="Times New Roman" w:cs="Times New Roman" w:eastAsia="Times New Roman" w:hint="default"/>
                <w:sz w:val="18"/>
                <w:szCs w:val="18"/>
              </w:rPr>
              <w:t>; </w:t>
            </w:r>
            <w:r>
              <w:rPr>
                <w:rFonts w:ascii="宋体" w:hAnsi="宋体" w:cs="宋体" w:eastAsia="宋体" w:hint="default"/>
                <w:sz w:val="18"/>
                <w:szCs w:val="18"/>
              </w:rPr>
              <w:t>杨格平</w:t>
            </w:r>
            <w:r>
              <w:rPr>
                <w:rFonts w:ascii="Times New Roman" w:hAnsi="Times New Roman" w:cs="Times New Roman" w:eastAsia="Times New Roman" w:hint="default"/>
                <w:sz w:val="18"/>
                <w:szCs w:val="18"/>
              </w:rPr>
              <w:t>;</w:t>
            </w:r>
            <w:r>
              <w:rPr>
                <w:rFonts w:ascii="宋体" w:hAnsi="宋体" w:cs="宋体" w:eastAsia="宋体" w:hint="default"/>
                <w:sz w:val="18"/>
                <w:szCs w:val="18"/>
              </w:rPr>
              <w:t>金 麟</w:t>
            </w:r>
            <w:r>
              <w:rPr>
                <w:rFonts w:ascii="Times New Roman" w:hAnsi="Times New Roman" w:cs="Times New Roman" w:eastAsia="Times New Roman" w:hint="default"/>
                <w:sz w:val="18"/>
                <w:szCs w:val="18"/>
              </w:rPr>
              <w:t>;</w:t>
            </w:r>
            <w:r>
              <w:rPr>
                <w:rFonts w:ascii="宋体" w:hAnsi="宋体" w:cs="宋体" w:eastAsia="宋体" w:hint="default"/>
                <w:sz w:val="18"/>
                <w:szCs w:val="18"/>
              </w:rPr>
              <w:t>吴文胜</w:t>
            </w:r>
            <w:r>
              <w:rPr>
                <w:rFonts w:ascii="Times New Roman" w:hAnsi="Times New Roman" w:cs="Times New Roman" w:eastAsia="Times New Roman" w:hint="default"/>
                <w:sz w:val="18"/>
                <w:szCs w:val="18"/>
              </w:rPr>
              <w:t>; </w:t>
            </w:r>
            <w:r>
              <w:rPr>
                <w:rFonts w:ascii="宋体" w:hAnsi="宋体" w:cs="宋体" w:eastAsia="宋体" w:hint="default"/>
                <w:sz w:val="18"/>
                <w:szCs w:val="18"/>
              </w:rPr>
              <w:t>林波</w:t>
            </w:r>
            <w:r>
              <w:rPr>
                <w:rFonts w:ascii="Times New Roman" w:hAnsi="Times New Roman" w:cs="Times New Roman" w:eastAsia="Times New Roman" w:hint="default"/>
                <w:sz w:val="18"/>
                <w:szCs w:val="18"/>
              </w:rPr>
              <w:t>;</w:t>
            </w:r>
            <w:r>
              <w:rPr>
                <w:rFonts w:ascii="宋体" w:hAnsi="宋体" w:cs="宋体" w:eastAsia="宋体" w:hint="default"/>
                <w:sz w:val="18"/>
                <w:szCs w:val="18"/>
              </w:rPr>
              <w:t>凡心 伟</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103" w:right="171"/>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6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、本人将严格根据相关监管部门 颁布的相关法律法规及规范性文 件的有关规定以及本人就持股锁 定事项出具的相关承诺执行有关 </w:t>
            </w:r>
            <w:r>
              <w:rPr>
                <w:rFonts w:ascii="宋体" w:hAnsi="宋体" w:cs="宋体" w:eastAsia="宋体" w:hint="default"/>
                <w:spacing w:val="-3"/>
                <w:sz w:val="18"/>
                <w:szCs w:val="18"/>
              </w:rPr>
              <w:t>股份限售事项，在本人所持股份的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锁定期内，本人不会进行任何违反</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相关规定及股份锁定承诺的股份 减持行为。</w:t>
            </w:r>
            <w:r>
              <w:rPr>
                <w:rFonts w:ascii="Times New Roman" w:hAnsi="Times New Roman" w:cs="Times New Roman" w:eastAsia="Times New Roman" w:hint="default"/>
                <w:sz w:val="18"/>
                <w:szCs w:val="18"/>
              </w:rPr>
              <w:t>2</w:t>
            </w:r>
            <w:r>
              <w:rPr>
                <w:rFonts w:ascii="宋体" w:hAnsi="宋体" w:cs="宋体" w:eastAsia="宋体" w:hint="default"/>
                <w:sz w:val="18"/>
                <w:szCs w:val="18"/>
              </w:rPr>
              <w:t>、除承诺自公司股票 上市后三十六个月内不减持公司 </w:t>
            </w:r>
            <w:r>
              <w:rPr>
                <w:rFonts w:ascii="宋体" w:hAnsi="宋体" w:cs="宋体" w:eastAsia="宋体" w:hint="default"/>
                <w:spacing w:val="-3"/>
                <w:sz w:val="18"/>
                <w:szCs w:val="18"/>
              </w:rPr>
              <w:t>股票外，本人在前述锁定期满后两</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年内累计减持公司股票不超过上 市时持有公司股票数量的</w:t>
            </w:r>
            <w:r>
              <w:rPr>
                <w:rFonts w:ascii="宋体" w:hAnsi="宋体" w:cs="宋体" w:eastAsia="宋体" w:hint="default"/>
                <w:spacing w:val="-46"/>
                <w:sz w:val="18"/>
                <w:szCs w:val="18"/>
              </w:rPr>
              <w:t> </w:t>
            </w:r>
            <w:r>
              <w:rPr>
                <w:rFonts w:ascii="Times New Roman" w:hAnsi="Times New Roman" w:cs="Times New Roman" w:eastAsia="Times New Roman" w:hint="default"/>
                <w:spacing w:val="-21"/>
                <w:sz w:val="18"/>
                <w:szCs w:val="18"/>
              </w:rPr>
              <w:t>25%</w:t>
            </w:r>
            <w:r>
              <w:rPr>
                <w:rFonts w:ascii="宋体" w:hAnsi="宋体" w:cs="宋体" w:eastAsia="宋体" w:hint="default"/>
                <w:spacing w:val="-21"/>
                <w:sz w:val="18"/>
                <w:szCs w:val="18"/>
              </w:rPr>
              <w:t>，如</w:t>
            </w:r>
            <w:r>
              <w:rPr>
                <w:rFonts w:ascii="宋体" w:hAnsi="宋体" w:cs="宋体" w:eastAsia="宋体" w:hint="default"/>
                <w:spacing w:val="-88"/>
                <w:sz w:val="18"/>
                <w:szCs w:val="18"/>
              </w:rPr>
              <w:t> </w:t>
            </w:r>
            <w:r>
              <w:rPr>
                <w:rFonts w:ascii="宋体" w:hAnsi="宋体" w:cs="宋体" w:eastAsia="宋体" w:hint="default"/>
                <w:spacing w:val="-3"/>
                <w:sz w:val="18"/>
                <w:szCs w:val="18"/>
              </w:rPr>
              <w:t>本人确定依法减持公司股份的，将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8"/>
                <w:sz w:val="18"/>
                <w:szCs w:val="18"/>
              </w:rPr>
              <w:t>在满足以下条件后减持：（</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股价不低于最近一期经审计的每 </w:t>
            </w:r>
            <w:r>
              <w:rPr>
                <w:rFonts w:ascii="宋体" w:hAnsi="宋体" w:cs="宋体" w:eastAsia="宋体" w:hint="default"/>
                <w:spacing w:val="-9"/>
                <w:sz w:val="18"/>
                <w:szCs w:val="18"/>
              </w:rPr>
              <w:t>股净资产；（</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）公司运营正常，减</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持公司股票对其二级市场价格不 </w:t>
            </w:r>
            <w:r>
              <w:rPr>
                <w:rFonts w:ascii="宋体" w:hAnsi="宋体" w:cs="宋体" w:eastAsia="宋体" w:hint="default"/>
                <w:spacing w:val="-8"/>
                <w:sz w:val="18"/>
                <w:szCs w:val="18"/>
              </w:rPr>
              <w:t>构成重大干扰；（</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）减持价格不低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于发行价。自公司股票上市至本人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减持期间，公司如有派息、送股、 </w:t>
            </w:r>
            <w:r>
              <w:rPr>
                <w:rFonts w:ascii="宋体" w:hAnsi="宋体" w:cs="宋体" w:eastAsia="宋体" w:hint="default"/>
                <w:spacing w:val="-3"/>
                <w:sz w:val="18"/>
                <w:szCs w:val="18"/>
              </w:rPr>
              <w:t>资本公积金转增股本、配股等除权</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除息事项，发行价和股份数量将相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应进行调整。</w:t>
            </w:r>
            <w:r>
              <w:rPr>
                <w:rFonts w:ascii="Times New Roman" w:hAnsi="Times New Roman" w:cs="Times New Roman" w:eastAsia="Times New Roman" w:hint="default"/>
                <w:sz w:val="18"/>
                <w:szCs w:val="18"/>
              </w:rPr>
              <w:t>3</w:t>
            </w:r>
            <w:r>
              <w:rPr>
                <w:rFonts w:ascii="宋体" w:hAnsi="宋体" w:cs="宋体" w:eastAsia="宋体" w:hint="default"/>
                <w:sz w:val="18"/>
                <w:szCs w:val="18"/>
              </w:rPr>
              <w:t>、所持股票在锁定 </w:t>
            </w:r>
            <w:r>
              <w:rPr>
                <w:rFonts w:ascii="宋体" w:hAnsi="宋体" w:cs="宋体" w:eastAsia="宋体" w:hint="default"/>
                <w:spacing w:val="-3"/>
                <w:sz w:val="18"/>
                <w:szCs w:val="18"/>
              </w:rPr>
              <w:t>期满后，如本人确定依法减持公司</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9" w:lineRule="auto"/>
              <w:ind w:left="103" w:right="23"/>
              <w:jc w:val="left"/>
              <w:rPr>
                <w:rFonts w:ascii="宋体" w:hAnsi="宋体" w:cs="宋体" w:eastAsia="宋体" w:hint="default"/>
                <w:sz w:val="18"/>
                <w:szCs w:val="18"/>
              </w:rPr>
            </w:pPr>
            <w:r>
              <w:rPr>
                <w:rFonts w:ascii="宋体" w:hAnsi="宋体" w:cs="宋体" w:eastAsia="宋体" w:hint="default"/>
                <w:sz w:val="18"/>
                <w:szCs w:val="18"/>
              </w:rPr>
              <w:t>报告期内， 该承诺事 项正常履 行中。</w:t>
            </w:r>
          </w:p>
        </w:tc>
      </w:tr>
    </w:tbl>
    <w:p>
      <w:pPr>
        <w:spacing w:after="0" w:line="319"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06" w:type="dxa"/>
        <w:tblLayout w:type="fixed"/>
        <w:tblCellMar>
          <w:top w:w="0" w:type="dxa"/>
          <w:left w:w="0" w:type="dxa"/>
          <w:bottom w:w="0" w:type="dxa"/>
          <w:right w:w="0" w:type="dxa"/>
        </w:tblCellMar>
        <w:tblLook w:val="01E0"/>
      </w:tblPr>
      <w:tblGrid>
        <w:gridCol w:w="1858"/>
        <w:gridCol w:w="1124"/>
        <w:gridCol w:w="1006"/>
        <w:gridCol w:w="2881"/>
        <w:gridCol w:w="1018"/>
        <w:gridCol w:w="960"/>
        <w:gridCol w:w="1036"/>
      </w:tblGrid>
      <w:tr>
        <w:trPr>
          <w:trHeight w:val="8787" w:hRule="exact"/>
        </w:trPr>
        <w:tc>
          <w:tcPr>
            <w:tcW w:w="185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103" w:right="101"/>
              <w:jc w:val="left"/>
              <w:rPr>
                <w:rFonts w:ascii="宋体" w:hAnsi="宋体" w:cs="宋体" w:eastAsia="宋体" w:hint="default"/>
                <w:sz w:val="18"/>
                <w:szCs w:val="18"/>
              </w:rPr>
            </w:pPr>
            <w:r>
              <w:rPr>
                <w:rFonts w:ascii="宋体" w:hAnsi="宋体" w:cs="宋体" w:eastAsia="宋体" w:hint="default"/>
                <w:spacing w:val="-3"/>
                <w:sz w:val="18"/>
                <w:szCs w:val="18"/>
              </w:rPr>
              <w:t>股份的，将提前三个交易日公告减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持计划。在遵守股份转让相关法律</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法规及证券交易所相关规定的条 </w:t>
            </w:r>
            <w:r>
              <w:rPr>
                <w:rFonts w:ascii="宋体" w:hAnsi="宋体" w:cs="宋体" w:eastAsia="宋体" w:hint="default"/>
                <w:spacing w:val="-3"/>
                <w:sz w:val="18"/>
                <w:szCs w:val="18"/>
              </w:rPr>
              <w:t>件下，本人将在减持公告中明确减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持的具体数量或区间、减持的执行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期限等信息；本人将在公告的减持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期限内以相关监管部门允许的方 </w:t>
            </w:r>
            <w:r>
              <w:rPr>
                <w:rFonts w:ascii="宋体" w:hAnsi="宋体" w:cs="宋体" w:eastAsia="宋体" w:hint="default"/>
                <w:spacing w:val="-3"/>
                <w:sz w:val="18"/>
                <w:szCs w:val="18"/>
              </w:rPr>
              <w:t>式进行减持，具体方式包括但不限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于交易所集中竞价交易方式、大宗</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交易方式、协议转让方式等。</w:t>
            </w:r>
            <w:r>
              <w:rPr>
                <w:rFonts w:ascii="Times New Roman" w:hAnsi="Times New Roman" w:cs="Times New Roman" w:eastAsia="Times New Roman" w:hint="default"/>
                <w:sz w:val="18"/>
                <w:szCs w:val="18"/>
              </w:rPr>
              <w:t>4</w:t>
            </w:r>
            <w:r>
              <w:rPr>
                <w:rFonts w:ascii="宋体" w:hAnsi="宋体" w:cs="宋体" w:eastAsia="宋体" w:hint="default"/>
                <w:sz w:val="18"/>
                <w:szCs w:val="18"/>
              </w:rPr>
              <w:t>、 如本人未来依法发生任何增持或 </w:t>
            </w:r>
            <w:r>
              <w:rPr>
                <w:rFonts w:ascii="宋体" w:hAnsi="宋体" w:cs="宋体" w:eastAsia="宋体" w:hint="default"/>
                <w:spacing w:val="-3"/>
                <w:sz w:val="18"/>
                <w:szCs w:val="18"/>
              </w:rPr>
              <w:t>减持公司股份情形的，本人将严格</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按照相关监管部门颁布的相关法 律法规及规范性文件的规定进行 </w:t>
            </w:r>
            <w:r>
              <w:rPr>
                <w:rFonts w:ascii="宋体" w:hAnsi="宋体" w:cs="宋体" w:eastAsia="宋体" w:hint="default"/>
                <w:spacing w:val="-3"/>
                <w:sz w:val="18"/>
                <w:szCs w:val="18"/>
              </w:rPr>
              <w:t>相应增持或减持操作，并及时履行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有关信息披露义务。</w:t>
            </w:r>
            <w:r>
              <w:rPr>
                <w:rFonts w:ascii="Times New Roman" w:hAnsi="Times New Roman" w:cs="Times New Roman" w:eastAsia="Times New Roman" w:hint="default"/>
                <w:sz w:val="18"/>
                <w:szCs w:val="18"/>
              </w:rPr>
              <w:t>5</w:t>
            </w:r>
            <w:r>
              <w:rPr>
                <w:rFonts w:ascii="宋体" w:hAnsi="宋体" w:cs="宋体" w:eastAsia="宋体" w:hint="default"/>
                <w:sz w:val="18"/>
                <w:szCs w:val="18"/>
              </w:rPr>
              <w:t>、若本人未 履行上述关于股份减持的承诺减 </w:t>
            </w:r>
            <w:r>
              <w:rPr>
                <w:rFonts w:ascii="宋体" w:hAnsi="宋体" w:cs="宋体" w:eastAsia="宋体" w:hint="default"/>
                <w:spacing w:val="-3"/>
                <w:sz w:val="18"/>
                <w:szCs w:val="18"/>
              </w:rPr>
              <w:t>持意向，则减持公司股份所得收益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归先进数通所有，本人将在股东大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会及相关监管部门指定的披露媒 体上公开说明未履行承诺的具体 原因并向公司股东和社会公众投 </w:t>
            </w:r>
            <w:r>
              <w:rPr>
                <w:rFonts w:ascii="宋体" w:hAnsi="宋体" w:cs="宋体" w:eastAsia="宋体" w:hint="default"/>
                <w:spacing w:val="-3"/>
                <w:sz w:val="18"/>
                <w:szCs w:val="18"/>
              </w:rPr>
              <w:t>资者道歉，并自愿接受相关监管部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门依据相关规定给予的监管措施 或处罚。</w:t>
            </w:r>
            <w:r>
              <w:rPr>
                <w:rFonts w:ascii="Times New Roman" w:hAnsi="Times New Roman" w:cs="Times New Roman" w:eastAsia="Times New Roman" w:hint="default"/>
                <w:sz w:val="18"/>
                <w:szCs w:val="18"/>
              </w:rPr>
              <w:t>6</w:t>
            </w:r>
            <w:r>
              <w:rPr>
                <w:rFonts w:ascii="宋体" w:hAnsi="宋体" w:cs="宋体" w:eastAsia="宋体" w:hint="default"/>
                <w:sz w:val="18"/>
                <w:szCs w:val="18"/>
              </w:rPr>
              <w:t>、若本人未履行上述减 </w:t>
            </w:r>
            <w:r>
              <w:rPr>
                <w:rFonts w:ascii="宋体" w:hAnsi="宋体" w:cs="宋体" w:eastAsia="宋体" w:hint="default"/>
                <w:spacing w:val="-3"/>
                <w:sz w:val="18"/>
                <w:szCs w:val="18"/>
              </w:rPr>
              <w:t>持意向，本人持有的公司股份自本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人未履行上述减持意向之日起</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 月内不得减持。</w:t>
            </w:r>
          </w:p>
        </w:tc>
        <w:tc>
          <w:tcPr>
            <w:tcW w:w="101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r>
      <w:tr>
        <w:trPr>
          <w:trHeight w:val="5043" w:hRule="exact"/>
        </w:trPr>
        <w:tc>
          <w:tcPr>
            <w:tcW w:w="185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2" w:lineRule="auto"/>
              <w:ind w:left="103" w:right="109"/>
              <w:jc w:val="left"/>
              <w:rPr>
                <w:rFonts w:ascii="宋体" w:hAnsi="宋体" w:cs="宋体" w:eastAsia="宋体" w:hint="default"/>
                <w:sz w:val="18"/>
                <w:szCs w:val="18"/>
              </w:rPr>
            </w:pPr>
            <w:r>
              <w:rPr>
                <w:rFonts w:ascii="宋体" w:hAnsi="宋体" w:cs="宋体" w:eastAsia="宋体" w:hint="default"/>
                <w:sz w:val="18"/>
                <w:szCs w:val="18"/>
              </w:rPr>
              <w:t>北京银汉创 业投资有限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陈东 辉</w:t>
            </w:r>
            <w:r>
              <w:rPr>
                <w:rFonts w:ascii="Times New Roman" w:hAnsi="Times New Roman" w:cs="Times New Roman" w:eastAsia="Times New Roman" w:hint="default"/>
                <w:sz w:val="18"/>
                <w:szCs w:val="18"/>
              </w:rPr>
              <w:t>;</w:t>
            </w:r>
            <w:r>
              <w:rPr>
                <w:rFonts w:ascii="宋体" w:hAnsi="宋体" w:cs="宋体" w:eastAsia="宋体" w:hint="default"/>
                <w:sz w:val="18"/>
                <w:szCs w:val="18"/>
              </w:rPr>
              <w:t>韩燕婴</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103" w:right="171"/>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本人将严格根据相关监 管部门颁布的相关法律法规及规 范性文件的有关规定以及本公司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本人就持股锁定事项出具的相关 </w:t>
            </w:r>
            <w:r>
              <w:rPr>
                <w:rFonts w:ascii="宋体" w:hAnsi="宋体" w:cs="宋体" w:eastAsia="宋体" w:hint="default"/>
                <w:spacing w:val="-3"/>
                <w:sz w:val="18"/>
                <w:szCs w:val="18"/>
              </w:rPr>
              <w:t>承诺执行有关股份限售事项，在本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公司</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本人所持股份的锁定期内，本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本人不会进行任何违反相关 规定及股份锁定承诺的股份减持 行为。</w:t>
            </w:r>
            <w:r>
              <w:rPr>
                <w:rFonts w:ascii="Times New Roman" w:hAnsi="Times New Roman" w:cs="Times New Roman" w:eastAsia="Times New Roman" w:hint="default"/>
                <w:sz w:val="18"/>
                <w:szCs w:val="18"/>
              </w:rPr>
              <w:t>2</w:t>
            </w:r>
            <w:r>
              <w:rPr>
                <w:rFonts w:ascii="宋体" w:hAnsi="宋体" w:cs="宋体" w:eastAsia="宋体" w:hint="default"/>
                <w:sz w:val="18"/>
                <w:szCs w:val="18"/>
              </w:rPr>
              <w:t>、除承诺自先进数通股票 上市后三十六个月内不减持公司 </w:t>
            </w:r>
            <w:r>
              <w:rPr>
                <w:rFonts w:ascii="宋体" w:hAnsi="宋体" w:cs="宋体" w:eastAsia="宋体" w:hint="default"/>
                <w:spacing w:val="-6"/>
                <w:sz w:val="18"/>
                <w:szCs w:val="18"/>
              </w:rPr>
              <w:t>股票外，本公司</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本人在前述锁定期</w:t>
            </w:r>
            <w:r>
              <w:rPr>
                <w:rFonts w:ascii="宋体" w:hAnsi="宋体" w:cs="宋体" w:eastAsia="宋体" w:hint="default"/>
                <w:spacing w:val="-81"/>
                <w:sz w:val="18"/>
                <w:szCs w:val="18"/>
              </w:rPr>
              <w:t> </w:t>
            </w:r>
            <w:r>
              <w:rPr>
                <w:rFonts w:ascii="宋体" w:hAnsi="宋体" w:cs="宋体" w:eastAsia="宋体" w:hint="default"/>
                <w:sz w:val="18"/>
                <w:szCs w:val="18"/>
              </w:rPr>
              <w:t>满后两年内减持价格不低于发行 价的</w:t>
            </w:r>
            <w:r>
              <w:rPr>
                <w:rFonts w:ascii="宋体" w:hAnsi="宋体" w:cs="宋体" w:eastAsia="宋体" w:hint="default"/>
                <w:spacing w:val="-42"/>
                <w:sz w:val="18"/>
                <w:szCs w:val="18"/>
              </w:rPr>
              <w:t> </w:t>
            </w:r>
            <w:r>
              <w:rPr>
                <w:rFonts w:ascii="Times New Roman" w:hAnsi="Times New Roman" w:cs="Times New Roman" w:eastAsia="Times New Roman" w:hint="default"/>
                <w:spacing w:val="-4"/>
                <w:sz w:val="18"/>
                <w:szCs w:val="18"/>
              </w:rPr>
              <w:t>80%</w:t>
            </w:r>
            <w:r>
              <w:rPr>
                <w:rFonts w:ascii="宋体" w:hAnsi="宋体" w:cs="宋体" w:eastAsia="宋体" w:hint="default"/>
                <w:spacing w:val="-4"/>
                <w:sz w:val="18"/>
                <w:szCs w:val="18"/>
              </w:rPr>
              <w:t>，两年内累计减持数量可</w:t>
            </w:r>
            <w:r>
              <w:rPr>
                <w:rFonts w:ascii="宋体" w:hAnsi="宋体" w:cs="宋体" w:eastAsia="宋体" w:hint="default"/>
                <w:sz w:val="18"/>
                <w:szCs w:val="18"/>
              </w:rPr>
              <w:t> 能达到上市时持有的先进数通股 票数量的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。自先进数通股票 </w:t>
            </w:r>
            <w:r>
              <w:rPr>
                <w:rFonts w:ascii="宋体" w:hAnsi="宋体" w:cs="宋体" w:eastAsia="宋体" w:hint="default"/>
                <w:spacing w:val="-6"/>
                <w:sz w:val="18"/>
                <w:szCs w:val="18"/>
              </w:rPr>
              <w:t>上市至本公司</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本人减持期间，先进</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103" w:right="20"/>
              <w:jc w:val="left"/>
              <w:rPr>
                <w:rFonts w:ascii="宋体" w:hAnsi="宋体" w:cs="宋体" w:eastAsia="宋体" w:hint="default"/>
                <w:sz w:val="18"/>
                <w:szCs w:val="18"/>
              </w:rPr>
            </w:pPr>
            <w:r>
              <w:rPr>
                <w:rFonts w:ascii="宋体" w:hAnsi="宋体" w:cs="宋体" w:eastAsia="宋体" w:hint="default"/>
                <w:sz w:val="18"/>
                <w:szCs w:val="18"/>
              </w:rPr>
              <w:t>报告期内， 该承诺事 项正常履 行中。</w:t>
            </w:r>
          </w:p>
        </w:tc>
      </w:tr>
    </w:tbl>
    <w:p>
      <w:pPr>
        <w:spacing w:after="0" w:line="319"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06" w:type="dxa"/>
        <w:tblLayout w:type="fixed"/>
        <w:tblCellMar>
          <w:top w:w="0" w:type="dxa"/>
          <w:left w:w="0" w:type="dxa"/>
          <w:bottom w:w="0" w:type="dxa"/>
          <w:right w:w="0" w:type="dxa"/>
        </w:tblCellMar>
        <w:tblLook w:val="01E0"/>
      </w:tblPr>
      <w:tblGrid>
        <w:gridCol w:w="1858"/>
        <w:gridCol w:w="1124"/>
        <w:gridCol w:w="1006"/>
        <w:gridCol w:w="2881"/>
        <w:gridCol w:w="1018"/>
        <w:gridCol w:w="960"/>
        <w:gridCol w:w="1036"/>
      </w:tblGrid>
      <w:tr>
        <w:trPr>
          <w:trHeight w:val="10971" w:hRule="exact"/>
        </w:trPr>
        <w:tc>
          <w:tcPr>
            <w:tcW w:w="185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103" w:right="66"/>
              <w:jc w:val="left"/>
              <w:rPr>
                <w:rFonts w:ascii="宋体" w:hAnsi="宋体" w:cs="宋体" w:eastAsia="宋体" w:hint="default"/>
                <w:sz w:val="18"/>
                <w:szCs w:val="18"/>
              </w:rPr>
            </w:pPr>
            <w:r>
              <w:rPr>
                <w:rFonts w:ascii="宋体" w:hAnsi="宋体" w:cs="宋体" w:eastAsia="宋体" w:hint="default"/>
                <w:spacing w:val="-3"/>
                <w:sz w:val="18"/>
                <w:szCs w:val="18"/>
              </w:rPr>
              <w:t>数通如有派息、送股、资本公积金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转增股本、配股等除权除息事项， 发行价和股份数量将相应进行调 整。</w:t>
            </w:r>
            <w:r>
              <w:rPr>
                <w:rFonts w:ascii="Times New Roman" w:hAnsi="Times New Roman" w:cs="Times New Roman" w:eastAsia="Times New Roman" w:hint="default"/>
                <w:sz w:val="18"/>
                <w:szCs w:val="18"/>
              </w:rPr>
              <w:t>3</w:t>
            </w:r>
            <w:r>
              <w:rPr>
                <w:rFonts w:ascii="宋体" w:hAnsi="宋体" w:cs="宋体" w:eastAsia="宋体" w:hint="default"/>
                <w:sz w:val="18"/>
                <w:szCs w:val="18"/>
              </w:rPr>
              <w:t>、所持股票在锁定期满后， 如本公司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本人确定依法减持公司 </w:t>
            </w:r>
            <w:r>
              <w:rPr>
                <w:rFonts w:ascii="宋体" w:hAnsi="宋体" w:cs="宋体" w:eastAsia="宋体" w:hint="default"/>
                <w:spacing w:val="-3"/>
                <w:sz w:val="18"/>
                <w:szCs w:val="18"/>
              </w:rPr>
              <w:t>股份的，将提前三个交易日公告减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持计划。在遵守股份转让相关法律</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法规及证券交易所相关规定的条 </w:t>
            </w:r>
            <w:r>
              <w:rPr>
                <w:rFonts w:ascii="宋体" w:hAnsi="宋体" w:cs="宋体" w:eastAsia="宋体" w:hint="default"/>
                <w:spacing w:val="-6"/>
                <w:sz w:val="18"/>
                <w:szCs w:val="18"/>
              </w:rPr>
              <w:t>件下，本公司</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本人将在减持公告中</w:t>
            </w:r>
            <w:r>
              <w:rPr>
                <w:rFonts w:ascii="宋体" w:hAnsi="宋体" w:cs="宋体" w:eastAsia="宋体" w:hint="default"/>
                <w:spacing w:val="-81"/>
                <w:sz w:val="18"/>
                <w:szCs w:val="18"/>
              </w:rPr>
              <w:t> </w:t>
            </w:r>
            <w:r>
              <w:rPr>
                <w:rFonts w:ascii="宋体" w:hAnsi="宋体" w:cs="宋体" w:eastAsia="宋体" w:hint="default"/>
                <w:spacing w:val="-3"/>
                <w:sz w:val="18"/>
                <w:szCs w:val="18"/>
              </w:rPr>
              <w:t>明确减持的具体数量或区间、减持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的执行期限等信息；本公司</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本人将</w:t>
            </w:r>
            <w:r>
              <w:rPr>
                <w:rFonts w:ascii="宋体" w:hAnsi="宋体" w:cs="宋体" w:eastAsia="宋体" w:hint="default"/>
                <w:spacing w:val="-81"/>
                <w:sz w:val="18"/>
                <w:szCs w:val="18"/>
              </w:rPr>
              <w:t> </w:t>
            </w:r>
            <w:r>
              <w:rPr>
                <w:rFonts w:ascii="宋体" w:hAnsi="宋体" w:cs="宋体" w:eastAsia="宋体" w:hint="default"/>
                <w:sz w:val="18"/>
                <w:szCs w:val="18"/>
              </w:rPr>
              <w:t>在公告的减持期限内以相关监管 </w:t>
            </w:r>
            <w:r>
              <w:rPr>
                <w:rFonts w:ascii="宋体" w:hAnsi="宋体" w:cs="宋体" w:eastAsia="宋体" w:hint="default"/>
                <w:spacing w:val="-3"/>
                <w:sz w:val="18"/>
                <w:szCs w:val="18"/>
              </w:rPr>
              <w:t>部门允许的方式进行减持，具体方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式包括但不限于交易所集中竞价 </w:t>
            </w:r>
            <w:r>
              <w:rPr>
                <w:rFonts w:ascii="宋体" w:hAnsi="宋体" w:cs="宋体" w:eastAsia="宋体" w:hint="default"/>
                <w:spacing w:val="-3"/>
                <w:sz w:val="18"/>
                <w:szCs w:val="18"/>
              </w:rPr>
              <w:t>交易方式、大宗交易方式、协议转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让方式等。</w:t>
            </w:r>
            <w:r>
              <w:rPr>
                <w:rFonts w:ascii="Times New Roman" w:hAnsi="Times New Roman" w:cs="Times New Roman" w:eastAsia="Times New Roman" w:hint="default"/>
                <w:sz w:val="18"/>
                <w:szCs w:val="18"/>
              </w:rPr>
              <w:t>4</w:t>
            </w:r>
            <w:r>
              <w:rPr>
                <w:rFonts w:ascii="宋体" w:hAnsi="宋体" w:cs="宋体" w:eastAsia="宋体" w:hint="default"/>
                <w:sz w:val="18"/>
                <w:szCs w:val="18"/>
              </w:rPr>
              <w:t>、如本公司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本人未来 依法发生任何增持或减持公司股 </w:t>
            </w:r>
            <w:r>
              <w:rPr>
                <w:rFonts w:ascii="宋体" w:hAnsi="宋体" w:cs="宋体" w:eastAsia="宋体" w:hint="default"/>
                <w:spacing w:val="-6"/>
                <w:sz w:val="18"/>
                <w:szCs w:val="18"/>
              </w:rPr>
              <w:t>份情形的，本公司</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本人将严格按照</w:t>
            </w:r>
            <w:r>
              <w:rPr>
                <w:rFonts w:ascii="宋体" w:hAnsi="宋体" w:cs="宋体" w:eastAsia="宋体" w:hint="default"/>
                <w:spacing w:val="-81"/>
                <w:sz w:val="18"/>
                <w:szCs w:val="18"/>
              </w:rPr>
              <w:t> </w:t>
            </w:r>
            <w:r>
              <w:rPr>
                <w:rFonts w:ascii="宋体" w:hAnsi="宋体" w:cs="宋体" w:eastAsia="宋体" w:hint="default"/>
                <w:sz w:val="18"/>
                <w:szCs w:val="18"/>
              </w:rPr>
              <w:t>相关监管部门颁布的相关法律法 规及规范性文件的规定进行相应 </w:t>
            </w:r>
            <w:r>
              <w:rPr>
                <w:rFonts w:ascii="宋体" w:hAnsi="宋体" w:cs="宋体" w:eastAsia="宋体" w:hint="default"/>
                <w:spacing w:val="-3"/>
                <w:sz w:val="18"/>
                <w:szCs w:val="18"/>
              </w:rPr>
              <w:t>增持或减持操作，并及时履行有关</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信息披露义务。</w:t>
            </w:r>
            <w:r>
              <w:rPr>
                <w:rFonts w:ascii="Times New Roman" w:hAnsi="Times New Roman" w:cs="Times New Roman" w:eastAsia="Times New Roman" w:hint="default"/>
                <w:sz w:val="18"/>
                <w:szCs w:val="18"/>
              </w:rPr>
              <w:t>5</w:t>
            </w:r>
            <w:r>
              <w:rPr>
                <w:rFonts w:ascii="宋体" w:hAnsi="宋体" w:cs="宋体" w:eastAsia="宋体" w:hint="default"/>
                <w:sz w:val="18"/>
                <w:szCs w:val="18"/>
              </w:rPr>
              <w:t>、若本公司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 未履行上述关于股份减持的承诺 </w:t>
            </w:r>
            <w:r>
              <w:rPr>
                <w:rFonts w:ascii="宋体" w:hAnsi="宋体" w:cs="宋体" w:eastAsia="宋体" w:hint="default"/>
                <w:spacing w:val="-3"/>
                <w:sz w:val="18"/>
                <w:szCs w:val="18"/>
              </w:rPr>
              <w:t>减持意向，则减持先进数通股份所</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得收益归先进数通所有，本公司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本人将在股东大会及相关监管部 门指定的披露媒体上公开说明未 履行承诺的具体原因并向先进数 </w:t>
            </w:r>
            <w:r>
              <w:rPr>
                <w:rFonts w:ascii="宋体" w:hAnsi="宋体" w:cs="宋体" w:eastAsia="宋体" w:hint="default"/>
                <w:spacing w:val="-3"/>
                <w:sz w:val="18"/>
                <w:szCs w:val="18"/>
              </w:rPr>
              <w:t>通股东和社会公众投资者道歉，并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自愿接受相关监管部门依据相关 规定给予的监管措施或处罚。</w:t>
            </w:r>
            <w:r>
              <w:rPr>
                <w:rFonts w:ascii="Times New Roman" w:hAnsi="Times New Roman" w:cs="Times New Roman" w:eastAsia="Times New Roman" w:hint="default"/>
                <w:sz w:val="18"/>
                <w:szCs w:val="18"/>
              </w:rPr>
              <w:t>6</w:t>
            </w:r>
            <w:r>
              <w:rPr>
                <w:rFonts w:ascii="宋体" w:hAnsi="宋体" w:cs="宋体" w:eastAsia="宋体" w:hint="default"/>
                <w:sz w:val="18"/>
                <w:szCs w:val="18"/>
              </w:rPr>
              <w:t>、 若本公司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本人未履行上述减持意 </w:t>
            </w:r>
            <w:r>
              <w:rPr>
                <w:rFonts w:ascii="宋体" w:hAnsi="宋体" w:cs="宋体" w:eastAsia="宋体" w:hint="default"/>
                <w:spacing w:val="-6"/>
                <w:sz w:val="18"/>
                <w:szCs w:val="18"/>
              </w:rPr>
              <w:t>向，本公司</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本人持有的先进数通股</w:t>
            </w:r>
            <w:r>
              <w:rPr>
                <w:rFonts w:ascii="宋体" w:hAnsi="宋体" w:cs="宋体" w:eastAsia="宋体" w:hint="default"/>
                <w:spacing w:val="-81"/>
                <w:sz w:val="18"/>
                <w:szCs w:val="18"/>
              </w:rPr>
              <w:t> </w:t>
            </w:r>
            <w:r>
              <w:rPr>
                <w:rFonts w:ascii="宋体" w:hAnsi="宋体" w:cs="宋体" w:eastAsia="宋体" w:hint="default"/>
                <w:sz w:val="18"/>
                <w:szCs w:val="18"/>
              </w:rPr>
              <w:t>份自未履行上述减持意向之日起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个月内不得减持。</w:t>
            </w:r>
          </w:p>
        </w:tc>
        <w:tc>
          <w:tcPr>
            <w:tcW w:w="101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r>
      <w:tr>
        <w:trPr>
          <w:trHeight w:val="2859" w:hRule="exact"/>
        </w:trPr>
        <w:tc>
          <w:tcPr>
            <w:tcW w:w="185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103" w:right="109"/>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北京先进数 通信息技术 股份公司</w:t>
            </w:r>
            <w:r>
              <w:rPr>
                <w:rFonts w:ascii="Times New Roman" w:hAnsi="Times New Roman" w:cs="Times New Roman" w:eastAsia="Times New Roman" w:hint="default"/>
                <w:sz w:val="18"/>
                <w:szCs w:val="18"/>
              </w:rPr>
              <w:t>; </w:t>
            </w:r>
            <w:r>
              <w:rPr>
                <w:rFonts w:ascii="宋体" w:hAnsi="宋体" w:cs="宋体" w:eastAsia="宋体" w:hint="default"/>
                <w:sz w:val="18"/>
                <w:szCs w:val="18"/>
              </w:rPr>
              <w:t>范丽明</w:t>
            </w:r>
            <w:r>
              <w:rPr>
                <w:rFonts w:ascii="Times New Roman" w:hAnsi="Times New Roman" w:cs="Times New Roman" w:eastAsia="Times New Roman" w:hint="default"/>
                <w:sz w:val="18"/>
                <w:szCs w:val="18"/>
              </w:rPr>
              <w:t>;</w:t>
            </w:r>
            <w:r>
              <w:rPr>
                <w:rFonts w:ascii="宋体" w:hAnsi="宋体" w:cs="宋体" w:eastAsia="宋体" w:hint="default"/>
                <w:sz w:val="18"/>
                <w:szCs w:val="18"/>
              </w:rPr>
              <w:t>李 铠</w:t>
            </w:r>
            <w:r>
              <w:rPr>
                <w:rFonts w:ascii="Times New Roman" w:hAnsi="Times New Roman" w:cs="Times New Roman" w:eastAsia="Times New Roman" w:hint="default"/>
                <w:sz w:val="18"/>
                <w:szCs w:val="18"/>
              </w:rPr>
              <w:t>;</w:t>
            </w:r>
            <w:r>
              <w:rPr>
                <w:rFonts w:ascii="宋体" w:hAnsi="宋体" w:cs="宋体" w:eastAsia="宋体" w:hint="default"/>
                <w:sz w:val="18"/>
                <w:szCs w:val="18"/>
              </w:rPr>
              <w:t>林鸿</w:t>
            </w:r>
            <w:r>
              <w:rPr>
                <w:rFonts w:ascii="Times New Roman" w:hAnsi="Times New Roman" w:cs="Times New Roman" w:eastAsia="Times New Roman" w:hint="default"/>
                <w:sz w:val="18"/>
                <w:szCs w:val="18"/>
              </w:rPr>
              <w:t>;</w:t>
            </w:r>
            <w:r>
              <w:rPr>
                <w:rFonts w:ascii="宋体" w:hAnsi="宋体" w:cs="宋体" w:eastAsia="宋体" w:hint="default"/>
                <w:sz w:val="18"/>
                <w:szCs w:val="18"/>
              </w:rPr>
              <w:t>朱 胡勇</w:t>
            </w:r>
            <w:r>
              <w:rPr>
                <w:rFonts w:ascii="Times New Roman" w:hAnsi="Times New Roman" w:cs="Times New Roman" w:eastAsia="Times New Roman" w:hint="default"/>
                <w:sz w:val="18"/>
                <w:szCs w:val="18"/>
              </w:rPr>
              <w:t>;</w:t>
            </w:r>
            <w:r>
              <w:rPr>
                <w:rFonts w:ascii="宋体" w:hAnsi="宋体" w:cs="宋体" w:eastAsia="宋体" w:hint="default"/>
                <w:sz w:val="18"/>
                <w:szCs w:val="18"/>
              </w:rPr>
              <w:t>罗云 波</w:t>
            </w:r>
            <w:r>
              <w:rPr>
                <w:rFonts w:ascii="Times New Roman" w:hAnsi="Times New Roman" w:cs="Times New Roman" w:eastAsia="Times New Roman" w:hint="default"/>
                <w:sz w:val="18"/>
                <w:szCs w:val="18"/>
              </w:rPr>
              <w:t>;</w:t>
            </w:r>
            <w:r>
              <w:rPr>
                <w:rFonts w:ascii="宋体" w:hAnsi="宋体" w:cs="宋体" w:eastAsia="宋体" w:hint="default"/>
                <w:sz w:val="18"/>
                <w:szCs w:val="18"/>
              </w:rPr>
              <w:t>庄云江</w:t>
            </w:r>
            <w:r>
              <w:rPr>
                <w:rFonts w:ascii="Times New Roman" w:hAnsi="Times New Roman" w:cs="Times New Roman" w:eastAsia="Times New Roman" w:hint="default"/>
                <w:sz w:val="18"/>
                <w:szCs w:val="18"/>
              </w:rPr>
              <w:t>; </w:t>
            </w:r>
            <w:r>
              <w:rPr>
                <w:rFonts w:ascii="宋体" w:hAnsi="宋体" w:cs="宋体" w:eastAsia="宋体" w:hint="default"/>
                <w:sz w:val="18"/>
                <w:szCs w:val="18"/>
              </w:rPr>
              <w:t>杨格平</w:t>
            </w:r>
            <w:r>
              <w:rPr>
                <w:rFonts w:ascii="Times New Roman" w:hAnsi="Times New Roman" w:cs="Times New Roman" w:eastAsia="Times New Roman" w:hint="default"/>
                <w:sz w:val="18"/>
                <w:szCs w:val="18"/>
              </w:rPr>
              <w:t>;</w:t>
            </w:r>
            <w:r>
              <w:rPr>
                <w:rFonts w:ascii="宋体" w:hAnsi="宋体" w:cs="宋体" w:eastAsia="宋体" w:hint="default"/>
                <w:sz w:val="18"/>
                <w:szCs w:val="18"/>
              </w:rPr>
              <w:t>金 麟</w:t>
            </w:r>
            <w:r>
              <w:rPr>
                <w:rFonts w:ascii="Times New Roman" w:hAnsi="Times New Roman" w:cs="Times New Roman" w:eastAsia="Times New Roman" w:hint="default"/>
                <w:sz w:val="18"/>
                <w:szCs w:val="18"/>
              </w:rPr>
              <w:t>;</w:t>
            </w:r>
            <w:r>
              <w:rPr>
                <w:rFonts w:ascii="宋体" w:hAnsi="宋体" w:cs="宋体" w:eastAsia="宋体" w:hint="default"/>
                <w:sz w:val="18"/>
                <w:szCs w:val="18"/>
              </w:rPr>
              <w:t>吴文胜</w:t>
            </w:r>
            <w:r>
              <w:rPr>
                <w:rFonts w:ascii="Times New Roman" w:hAnsi="Times New Roman" w:cs="Times New Roman" w:eastAsia="Times New Roman" w:hint="default"/>
                <w:sz w:val="18"/>
                <w:szCs w:val="18"/>
              </w:rPr>
              <w:t>;</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02" w:lineRule="auto"/>
              <w:ind w:left="103" w:right="171"/>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 股价承诺</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、公司关于稳定公司股价的承诺。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在本公司上市后三年内股价达到</w:t>
            </w:r>
          </w:p>
          <w:p>
            <w:pPr>
              <w:pStyle w:val="TableParagraph"/>
              <w:spacing w:line="316" w:lineRule="auto" w:before="31"/>
              <w:ind w:left="103" w:right="101"/>
              <w:jc w:val="left"/>
              <w:rPr>
                <w:rFonts w:ascii="宋体" w:hAnsi="宋体" w:cs="宋体" w:eastAsia="宋体" w:hint="default"/>
                <w:sz w:val="18"/>
                <w:szCs w:val="18"/>
              </w:rPr>
            </w:pPr>
            <w:r>
              <w:rPr>
                <w:rFonts w:ascii="宋体" w:hAnsi="宋体" w:cs="宋体" w:eastAsia="宋体" w:hint="default"/>
                <w:sz w:val="18"/>
                <w:szCs w:val="18"/>
              </w:rPr>
              <w:t>《关于稳定北京先进数通信息技 </w:t>
            </w:r>
            <w:r>
              <w:rPr>
                <w:rFonts w:ascii="宋体" w:hAnsi="宋体" w:cs="宋体" w:eastAsia="宋体" w:hint="default"/>
                <w:spacing w:val="-3"/>
                <w:sz w:val="18"/>
                <w:szCs w:val="18"/>
              </w:rPr>
              <w:t>术股份公司股价的预案》规定的启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动股价稳定措施的具体条件后，将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遵守本公司董事会作出的稳定股 </w:t>
            </w:r>
            <w:r>
              <w:rPr>
                <w:rFonts w:ascii="宋体" w:hAnsi="宋体" w:cs="宋体" w:eastAsia="宋体" w:hint="default"/>
                <w:spacing w:val="-3"/>
                <w:sz w:val="18"/>
                <w:szCs w:val="18"/>
              </w:rPr>
              <w:t>价的具体实施方案，并根据该具体</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实施方案采取包括但不限于回购 本公司股票或董事会作出的其他</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103" w:right="200"/>
              <w:jc w:val="both"/>
              <w:rPr>
                <w:rFonts w:ascii="宋体" w:hAnsi="宋体" w:cs="宋体" w:eastAsia="宋体" w:hint="default"/>
                <w:sz w:val="18"/>
                <w:szCs w:val="18"/>
              </w:rPr>
            </w:pPr>
            <w:r>
              <w:rPr>
                <w:rFonts w:ascii="宋体" w:hAnsi="宋体" w:cs="宋体" w:eastAsia="宋体" w:hint="default"/>
                <w:sz w:val="18"/>
                <w:szCs w:val="18"/>
              </w:rPr>
              <w:t>该承诺事 项正常履 行中。</w:t>
            </w:r>
          </w:p>
        </w:tc>
      </w:tr>
    </w:tbl>
    <w:p>
      <w:pPr>
        <w:spacing w:after="0" w:line="319" w:lineRule="auto"/>
        <w:jc w:val="both"/>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06" w:type="dxa"/>
        <w:tblLayout w:type="fixed"/>
        <w:tblCellMar>
          <w:top w:w="0" w:type="dxa"/>
          <w:left w:w="0" w:type="dxa"/>
          <w:bottom w:w="0" w:type="dxa"/>
          <w:right w:w="0" w:type="dxa"/>
        </w:tblCellMar>
        <w:tblLook w:val="01E0"/>
      </w:tblPr>
      <w:tblGrid>
        <w:gridCol w:w="1858"/>
        <w:gridCol w:w="1124"/>
        <w:gridCol w:w="1006"/>
        <w:gridCol w:w="2881"/>
        <w:gridCol w:w="1018"/>
        <w:gridCol w:w="960"/>
        <w:gridCol w:w="1038"/>
      </w:tblGrid>
      <w:tr>
        <w:trPr>
          <w:trHeight w:val="8475" w:hRule="exact"/>
        </w:trPr>
        <w:tc>
          <w:tcPr>
            <w:tcW w:w="185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103" w:right="239"/>
              <w:jc w:val="left"/>
              <w:rPr>
                <w:rFonts w:ascii="宋体" w:hAnsi="宋体" w:cs="宋体" w:eastAsia="宋体" w:hint="default"/>
                <w:sz w:val="18"/>
                <w:szCs w:val="18"/>
              </w:rPr>
            </w:pPr>
            <w:r>
              <w:rPr>
                <w:rFonts w:ascii="宋体" w:hAnsi="宋体" w:cs="宋体" w:eastAsia="宋体" w:hint="default"/>
                <w:sz w:val="18"/>
                <w:szCs w:val="18"/>
              </w:rPr>
              <w:t>林波</w:t>
            </w:r>
            <w:r>
              <w:rPr>
                <w:rFonts w:ascii="Times New Roman" w:hAnsi="Times New Roman" w:cs="Times New Roman" w:eastAsia="Times New Roman" w:hint="default"/>
                <w:sz w:val="18"/>
                <w:szCs w:val="18"/>
              </w:rPr>
              <w:t>;</w:t>
            </w:r>
            <w:r>
              <w:rPr>
                <w:rFonts w:ascii="宋体" w:hAnsi="宋体" w:cs="宋体" w:eastAsia="宋体" w:hint="default"/>
                <w:sz w:val="18"/>
                <w:szCs w:val="18"/>
              </w:rPr>
              <w:t>凡心 伟</w:t>
            </w:r>
          </w:p>
        </w:tc>
        <w:tc>
          <w:tcPr>
            <w:tcW w:w="1006" w:type="dxa"/>
            <w:tcBorders>
              <w:top w:val="single" w:sz="4" w:space="0" w:color="000000"/>
              <w:left w:val="single" w:sz="4" w:space="0" w:color="000000"/>
              <w:bottom w:val="single" w:sz="4" w:space="0" w:color="000000"/>
              <w:right w:val="single" w:sz="4" w:space="0" w:color="000000"/>
            </w:tcBorders>
          </w:tcPr>
          <w:p>
            <w:pP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66"/>
              <w:jc w:val="both"/>
              <w:rPr>
                <w:rFonts w:ascii="宋体" w:hAnsi="宋体" w:cs="宋体" w:eastAsia="宋体" w:hint="default"/>
                <w:sz w:val="18"/>
                <w:szCs w:val="18"/>
              </w:rPr>
            </w:pPr>
            <w:r>
              <w:rPr>
                <w:rFonts w:ascii="宋体" w:hAnsi="宋体" w:cs="宋体" w:eastAsia="宋体" w:hint="default"/>
                <w:sz w:val="18"/>
                <w:szCs w:val="18"/>
              </w:rPr>
              <w:t>稳定股价的具体实施措施。同时， 对于本承诺出具之后新聘的董事、 </w:t>
            </w:r>
            <w:r>
              <w:rPr>
                <w:rFonts w:ascii="宋体" w:hAnsi="宋体" w:cs="宋体" w:eastAsia="宋体" w:hint="default"/>
                <w:spacing w:val="-3"/>
                <w:sz w:val="18"/>
                <w:szCs w:val="18"/>
              </w:rPr>
              <w:t>高级管理人员，本公司将要求该等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新聘的董事、高级管理人员履行</w:t>
            </w:r>
          </w:p>
          <w:p>
            <w:pPr>
              <w:pStyle w:val="TableParagraph"/>
              <w:spacing w:line="314" w:lineRule="auto" w:before="19"/>
              <w:ind w:left="103" w:right="101"/>
              <w:jc w:val="left"/>
              <w:rPr>
                <w:rFonts w:ascii="宋体" w:hAnsi="宋体" w:cs="宋体" w:eastAsia="宋体" w:hint="default"/>
                <w:sz w:val="18"/>
                <w:szCs w:val="18"/>
              </w:rPr>
            </w:pPr>
            <w:r>
              <w:rPr>
                <w:rFonts w:ascii="宋体" w:hAnsi="宋体" w:cs="宋体" w:eastAsia="宋体" w:hint="default"/>
                <w:sz w:val="18"/>
                <w:szCs w:val="18"/>
              </w:rPr>
              <w:t>《关于稳定北京先进数通信息技 术股份公司股价的预案》中应由 </w:t>
            </w:r>
            <w:r>
              <w:rPr>
                <w:rFonts w:ascii="宋体" w:hAnsi="宋体" w:cs="宋体" w:eastAsia="宋体" w:hint="default"/>
                <w:spacing w:val="-3"/>
                <w:sz w:val="18"/>
                <w:szCs w:val="18"/>
              </w:rPr>
              <w:t>“新聘的董事、高管”作出的相应</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承诺要求。</w:t>
            </w:r>
            <w:r>
              <w:rPr>
                <w:rFonts w:ascii="Times New Roman" w:hAnsi="Times New Roman" w:cs="Times New Roman" w:eastAsia="Times New Roman" w:hint="default"/>
                <w:sz w:val="18"/>
                <w:szCs w:val="18"/>
              </w:rPr>
              <w:t>2</w:t>
            </w:r>
            <w:r>
              <w:rPr>
                <w:rFonts w:ascii="宋体" w:hAnsi="宋体" w:cs="宋体" w:eastAsia="宋体" w:hint="default"/>
                <w:sz w:val="18"/>
                <w:szCs w:val="18"/>
              </w:rPr>
              <w:t>、发行前担任董事、 监事和高级管理人员的股东关于 </w:t>
            </w:r>
            <w:r>
              <w:rPr>
                <w:rFonts w:ascii="宋体" w:hAnsi="宋体" w:cs="宋体" w:eastAsia="宋体" w:hint="default"/>
                <w:spacing w:val="-3"/>
                <w:sz w:val="18"/>
                <w:szCs w:val="18"/>
              </w:rPr>
              <w:t>稳定公司股价的承诺。在公司上市</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后三年内股价达到《关于稳定北京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先进数通信息技术股份公司股价 </w:t>
            </w:r>
            <w:r>
              <w:rPr>
                <w:rFonts w:ascii="宋体" w:hAnsi="宋体" w:cs="宋体" w:eastAsia="宋体" w:hint="default"/>
                <w:spacing w:val="-3"/>
                <w:sz w:val="18"/>
                <w:szCs w:val="18"/>
              </w:rPr>
              <w:t>的预案》规定的启动股价稳定措施</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的具体条件后，本人将遵守公司董</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事会作出的稳定股价的具体实施 </w:t>
            </w:r>
            <w:r>
              <w:rPr>
                <w:rFonts w:ascii="宋体" w:hAnsi="宋体" w:cs="宋体" w:eastAsia="宋体" w:hint="default"/>
                <w:spacing w:val="-3"/>
                <w:sz w:val="18"/>
                <w:szCs w:val="18"/>
              </w:rPr>
              <w:t>方案，该具体实施方案涉及股东大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会表决的，在股东大会表决时投赞</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成票，并采取包括但不限于增持公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司股票或董事会作出的其他稳定 </w:t>
            </w:r>
            <w:r>
              <w:rPr>
                <w:rFonts w:ascii="宋体" w:hAnsi="宋体" w:cs="宋体" w:eastAsia="宋体" w:hint="default"/>
                <w:spacing w:val="-3"/>
                <w:sz w:val="18"/>
                <w:szCs w:val="18"/>
              </w:rPr>
              <w:t>股价的具体实施措施，每年度用于</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增持公司股份的货币资金累计不 少于其上年度从公司直接获取的 税后薪酬及税后现金分红总额的 </w:t>
            </w:r>
            <w:r>
              <w:rPr>
                <w:rFonts w:ascii="Times New Roman" w:hAnsi="Times New Roman" w:cs="Times New Roman" w:eastAsia="Times New Roman" w:hint="default"/>
                <w:sz w:val="18"/>
                <w:szCs w:val="18"/>
              </w:rPr>
              <w:t>30%</w:t>
            </w:r>
            <w:r>
              <w:rPr>
                <w:rFonts w:ascii="宋体" w:hAnsi="宋体" w:cs="宋体" w:eastAsia="宋体" w:hint="default"/>
                <w:sz w:val="18"/>
                <w:szCs w:val="18"/>
              </w:rPr>
              <w:t>，但以增持股票不导致公司不 </w:t>
            </w:r>
            <w:r>
              <w:rPr>
                <w:rFonts w:ascii="宋体" w:hAnsi="宋体" w:cs="宋体" w:eastAsia="宋体" w:hint="default"/>
                <w:spacing w:val="-3"/>
                <w:sz w:val="18"/>
                <w:szCs w:val="18"/>
              </w:rPr>
              <w:t>满足法定上市条件为限，增持计划</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完成的</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个月内将不出售所增持的 股份。</w:t>
            </w:r>
          </w:p>
        </w:tc>
        <w:tc>
          <w:tcPr>
            <w:tcW w:w="101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
        </w:tc>
      </w:tr>
      <w:tr>
        <w:trPr>
          <w:trHeight w:val="5355" w:hRule="exact"/>
        </w:trPr>
        <w:tc>
          <w:tcPr>
            <w:tcW w:w="185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39"/>
              <w:ind w:left="103" w:right="109"/>
              <w:jc w:val="left"/>
              <w:rPr>
                <w:rFonts w:ascii="宋体" w:hAnsi="宋体" w:cs="宋体" w:eastAsia="宋体" w:hint="default"/>
                <w:sz w:val="18"/>
                <w:szCs w:val="18"/>
              </w:rPr>
            </w:pPr>
            <w:r>
              <w:rPr>
                <w:rFonts w:ascii="宋体" w:hAnsi="宋体" w:cs="宋体" w:eastAsia="宋体" w:hint="default"/>
                <w:sz w:val="18"/>
                <w:szCs w:val="18"/>
              </w:rPr>
              <w:t>北京先进数 通信息技术 股份公司</w:t>
            </w:r>
            <w:r>
              <w:rPr>
                <w:rFonts w:ascii="Times New Roman" w:hAnsi="Times New Roman" w:cs="Times New Roman" w:eastAsia="Times New Roman" w:hint="default"/>
                <w:sz w:val="18"/>
                <w:szCs w:val="18"/>
              </w:rPr>
              <w:t>; </w:t>
            </w:r>
            <w:r>
              <w:rPr>
                <w:rFonts w:ascii="宋体" w:hAnsi="宋体" w:cs="宋体" w:eastAsia="宋体" w:hint="default"/>
                <w:sz w:val="18"/>
                <w:szCs w:val="18"/>
              </w:rPr>
              <w:t>范丽明</w:t>
            </w:r>
            <w:r>
              <w:rPr>
                <w:rFonts w:ascii="Times New Roman" w:hAnsi="Times New Roman" w:cs="Times New Roman" w:eastAsia="Times New Roman" w:hint="default"/>
                <w:sz w:val="18"/>
                <w:szCs w:val="18"/>
              </w:rPr>
              <w:t>;</w:t>
            </w:r>
            <w:r>
              <w:rPr>
                <w:rFonts w:ascii="宋体" w:hAnsi="宋体" w:cs="宋体" w:eastAsia="宋体" w:hint="default"/>
                <w:sz w:val="18"/>
                <w:szCs w:val="18"/>
              </w:rPr>
              <w:t>李 铠</w:t>
            </w:r>
            <w:r>
              <w:rPr>
                <w:rFonts w:ascii="Times New Roman" w:hAnsi="Times New Roman" w:cs="Times New Roman" w:eastAsia="Times New Roman" w:hint="default"/>
                <w:sz w:val="18"/>
                <w:szCs w:val="18"/>
              </w:rPr>
              <w:t>;</w:t>
            </w:r>
            <w:r>
              <w:rPr>
                <w:rFonts w:ascii="宋体" w:hAnsi="宋体" w:cs="宋体" w:eastAsia="宋体" w:hint="default"/>
                <w:sz w:val="18"/>
                <w:szCs w:val="18"/>
              </w:rPr>
              <w:t>林鸿</w:t>
            </w:r>
            <w:r>
              <w:rPr>
                <w:rFonts w:ascii="Times New Roman" w:hAnsi="Times New Roman" w:cs="Times New Roman" w:eastAsia="Times New Roman" w:hint="default"/>
                <w:sz w:val="18"/>
                <w:szCs w:val="18"/>
              </w:rPr>
              <w:t>;</w:t>
            </w:r>
            <w:r>
              <w:rPr>
                <w:rFonts w:ascii="宋体" w:hAnsi="宋体" w:cs="宋体" w:eastAsia="宋体" w:hint="default"/>
                <w:sz w:val="18"/>
                <w:szCs w:val="18"/>
              </w:rPr>
              <w:t>朱 胡勇</w:t>
            </w:r>
            <w:r>
              <w:rPr>
                <w:rFonts w:ascii="Times New Roman" w:hAnsi="Times New Roman" w:cs="Times New Roman" w:eastAsia="Times New Roman" w:hint="default"/>
                <w:sz w:val="18"/>
                <w:szCs w:val="18"/>
              </w:rPr>
              <w:t>;</w:t>
            </w:r>
            <w:r>
              <w:rPr>
                <w:rFonts w:ascii="宋体" w:hAnsi="宋体" w:cs="宋体" w:eastAsia="宋体" w:hint="default"/>
                <w:sz w:val="18"/>
                <w:szCs w:val="18"/>
              </w:rPr>
              <w:t>罗云 波</w:t>
            </w:r>
            <w:r>
              <w:rPr>
                <w:rFonts w:ascii="Times New Roman" w:hAnsi="Times New Roman" w:cs="Times New Roman" w:eastAsia="Times New Roman" w:hint="default"/>
                <w:sz w:val="18"/>
                <w:szCs w:val="18"/>
              </w:rPr>
              <w:t>;</w:t>
            </w:r>
            <w:r>
              <w:rPr>
                <w:rFonts w:ascii="宋体" w:hAnsi="宋体" w:cs="宋体" w:eastAsia="宋体" w:hint="default"/>
                <w:sz w:val="18"/>
                <w:szCs w:val="18"/>
              </w:rPr>
              <w:t>庄云江</w:t>
            </w:r>
            <w:r>
              <w:rPr>
                <w:rFonts w:ascii="Times New Roman" w:hAnsi="Times New Roman" w:cs="Times New Roman" w:eastAsia="Times New Roman" w:hint="default"/>
                <w:sz w:val="18"/>
                <w:szCs w:val="18"/>
              </w:rPr>
              <w:t>; </w:t>
            </w:r>
            <w:r>
              <w:rPr>
                <w:rFonts w:ascii="宋体" w:hAnsi="宋体" w:cs="宋体" w:eastAsia="宋体" w:hint="default"/>
                <w:sz w:val="18"/>
                <w:szCs w:val="18"/>
              </w:rPr>
              <w:t>杨格平</w:t>
            </w:r>
            <w:r>
              <w:rPr>
                <w:rFonts w:ascii="Times New Roman" w:hAnsi="Times New Roman" w:cs="Times New Roman" w:eastAsia="Times New Roman" w:hint="default"/>
                <w:sz w:val="18"/>
                <w:szCs w:val="18"/>
              </w:rPr>
              <w:t>;</w:t>
            </w:r>
            <w:r>
              <w:rPr>
                <w:rFonts w:ascii="宋体" w:hAnsi="宋体" w:cs="宋体" w:eastAsia="宋体" w:hint="default"/>
                <w:sz w:val="18"/>
                <w:szCs w:val="18"/>
              </w:rPr>
              <w:t>金 麟</w:t>
            </w:r>
            <w:r>
              <w:rPr>
                <w:rFonts w:ascii="Times New Roman" w:hAnsi="Times New Roman" w:cs="Times New Roman" w:eastAsia="Times New Roman" w:hint="default"/>
                <w:sz w:val="18"/>
                <w:szCs w:val="18"/>
              </w:rPr>
              <w:t>;</w:t>
            </w:r>
            <w:r>
              <w:rPr>
                <w:rFonts w:ascii="宋体" w:hAnsi="宋体" w:cs="宋体" w:eastAsia="宋体" w:hint="default"/>
                <w:sz w:val="18"/>
                <w:szCs w:val="18"/>
              </w:rPr>
              <w:t>吴文胜</w:t>
            </w:r>
            <w:r>
              <w:rPr>
                <w:rFonts w:ascii="Times New Roman" w:hAnsi="Times New Roman" w:cs="Times New Roman" w:eastAsia="Times New Roman" w:hint="default"/>
                <w:sz w:val="18"/>
                <w:szCs w:val="18"/>
              </w:rPr>
              <w:t>; </w:t>
            </w:r>
            <w:r>
              <w:rPr>
                <w:rFonts w:ascii="宋体" w:hAnsi="宋体" w:cs="宋体" w:eastAsia="宋体" w:hint="default"/>
                <w:sz w:val="18"/>
                <w:szCs w:val="18"/>
              </w:rPr>
              <w:t>林波</w:t>
            </w:r>
            <w:r>
              <w:rPr>
                <w:rFonts w:ascii="Times New Roman" w:hAnsi="Times New Roman" w:cs="Times New Roman" w:eastAsia="Times New Roman" w:hint="default"/>
                <w:sz w:val="18"/>
                <w:szCs w:val="18"/>
              </w:rPr>
              <w:t>;</w:t>
            </w:r>
            <w:r>
              <w:rPr>
                <w:rFonts w:ascii="宋体" w:hAnsi="宋体" w:cs="宋体" w:eastAsia="宋体" w:hint="default"/>
                <w:sz w:val="18"/>
                <w:szCs w:val="18"/>
              </w:rPr>
              <w:t>凡心 伟</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6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、公司关于股份回购的承诺。如 果本公司招股说明书存在虚假记 </w:t>
            </w:r>
            <w:r>
              <w:rPr>
                <w:rFonts w:ascii="宋体" w:hAnsi="宋体" w:cs="宋体" w:eastAsia="宋体" w:hint="default"/>
                <w:spacing w:val="-3"/>
                <w:sz w:val="18"/>
                <w:szCs w:val="18"/>
              </w:rPr>
              <w:t>载、误导性陈述或者重大遗漏，对</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判断本公司是否符合法律规定的 发行条件构成重大、实质影响的， 本公司董事会将在证券监管部门 依法对上述事实作出认定或处罚 </w:t>
            </w:r>
            <w:r>
              <w:rPr>
                <w:rFonts w:ascii="宋体" w:hAnsi="宋体" w:cs="宋体" w:eastAsia="宋体" w:hint="default"/>
                <w:spacing w:val="-3"/>
                <w:sz w:val="18"/>
                <w:szCs w:val="18"/>
              </w:rPr>
              <w:t>决定后十个工作日内，制订股份回</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购方案并提交股东大会审议批准， 本公司将依法回购首次公开发行 </w:t>
            </w:r>
            <w:r>
              <w:rPr>
                <w:rFonts w:ascii="宋体" w:hAnsi="宋体" w:cs="宋体" w:eastAsia="宋体" w:hint="default"/>
                <w:spacing w:val="-3"/>
                <w:sz w:val="18"/>
                <w:szCs w:val="18"/>
              </w:rPr>
              <w:t>的全部新股，回购价格为发行价加</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上同期银行存款利息。自公司股票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上市至回购期间，公司如有派息、 </w:t>
            </w:r>
            <w:r>
              <w:rPr>
                <w:rFonts w:ascii="宋体" w:hAnsi="宋体" w:cs="宋体" w:eastAsia="宋体" w:hint="default"/>
                <w:spacing w:val="-3"/>
                <w:sz w:val="18"/>
                <w:szCs w:val="18"/>
              </w:rPr>
              <w:t>送股、资本公积金转增股本、配股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等除权除息事项，发行价将相应进</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行调整，回购的股份包括原限售股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份及其派生股份。对于首次公开发</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103" w:right="23"/>
              <w:jc w:val="left"/>
              <w:rPr>
                <w:rFonts w:ascii="宋体" w:hAnsi="宋体" w:cs="宋体" w:eastAsia="宋体" w:hint="default"/>
                <w:sz w:val="18"/>
                <w:szCs w:val="18"/>
              </w:rPr>
            </w:pPr>
            <w:r>
              <w:rPr>
                <w:rFonts w:ascii="宋体" w:hAnsi="宋体" w:cs="宋体" w:eastAsia="宋体" w:hint="default"/>
                <w:sz w:val="18"/>
                <w:szCs w:val="18"/>
              </w:rPr>
              <w:t>报告期内， 该承诺事 项正常履 行中。</w:t>
            </w:r>
          </w:p>
        </w:tc>
      </w:tr>
    </w:tbl>
    <w:p>
      <w:pPr>
        <w:spacing w:after="0" w:line="319"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06" w:type="dxa"/>
        <w:tblLayout w:type="fixed"/>
        <w:tblCellMar>
          <w:top w:w="0" w:type="dxa"/>
          <w:left w:w="0" w:type="dxa"/>
          <w:bottom w:w="0" w:type="dxa"/>
          <w:right w:w="0" w:type="dxa"/>
        </w:tblCellMar>
        <w:tblLook w:val="01E0"/>
      </w:tblPr>
      <w:tblGrid>
        <w:gridCol w:w="1858"/>
        <w:gridCol w:w="1124"/>
        <w:gridCol w:w="1006"/>
        <w:gridCol w:w="2881"/>
        <w:gridCol w:w="1018"/>
        <w:gridCol w:w="960"/>
        <w:gridCol w:w="1038"/>
      </w:tblGrid>
      <w:tr>
        <w:trPr>
          <w:trHeight w:val="4419" w:hRule="exact"/>
        </w:trPr>
        <w:tc>
          <w:tcPr>
            <w:tcW w:w="185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行股票时公司股东发售的原限售 </w:t>
            </w:r>
            <w:r>
              <w:rPr>
                <w:rFonts w:ascii="宋体" w:hAnsi="宋体" w:cs="宋体" w:eastAsia="宋体" w:hint="default"/>
                <w:spacing w:val="-6"/>
                <w:sz w:val="18"/>
                <w:szCs w:val="18"/>
              </w:rPr>
              <w:t>股份（如有），本公司将在证券监</w:t>
            </w:r>
            <w:r>
              <w:rPr>
                <w:rFonts w:ascii="宋体" w:hAnsi="宋体" w:cs="宋体" w:eastAsia="宋体" w:hint="default"/>
                <w:sz w:val="18"/>
                <w:szCs w:val="18"/>
              </w:rPr>
              <w:t> 管部门依法对上述事实作出认定 </w:t>
            </w:r>
            <w:r>
              <w:rPr>
                <w:rFonts w:ascii="宋体" w:hAnsi="宋体" w:cs="宋体" w:eastAsia="宋体" w:hint="default"/>
                <w:spacing w:val="-3"/>
                <w:sz w:val="18"/>
                <w:szCs w:val="18"/>
              </w:rPr>
              <w:t>或处罚决定后五个工作日内，要求</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相关股东制订股份回购方案并予 以公告。</w:t>
            </w:r>
            <w:r>
              <w:rPr>
                <w:rFonts w:ascii="Times New Roman" w:hAnsi="Times New Roman" w:cs="Times New Roman" w:eastAsia="Times New Roman" w:hint="default"/>
                <w:sz w:val="18"/>
                <w:szCs w:val="18"/>
              </w:rPr>
              <w:t>2</w:t>
            </w:r>
            <w:r>
              <w:rPr>
                <w:rFonts w:ascii="宋体" w:hAnsi="宋体" w:cs="宋体" w:eastAsia="宋体" w:hint="default"/>
                <w:sz w:val="18"/>
                <w:szCs w:val="18"/>
              </w:rPr>
              <w:t>、发行前担任董事、监 </w:t>
            </w:r>
            <w:r>
              <w:rPr>
                <w:rFonts w:ascii="宋体" w:hAnsi="宋体" w:cs="宋体" w:eastAsia="宋体" w:hint="default"/>
                <w:spacing w:val="-3"/>
                <w:sz w:val="18"/>
                <w:szCs w:val="18"/>
              </w:rPr>
              <w:t>事、高级管理人员的股东关于股份</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回购的承诺。如果先进数通的招股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说明书存在虚假记载、误导性陈述</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或者重大遗漏，对判断先进数通是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否符合法律规定的发行条件构成 </w:t>
            </w:r>
            <w:r>
              <w:rPr>
                <w:rFonts w:ascii="宋体" w:hAnsi="宋体" w:cs="宋体" w:eastAsia="宋体" w:hint="default"/>
                <w:spacing w:val="-3"/>
                <w:sz w:val="18"/>
                <w:szCs w:val="18"/>
              </w:rPr>
              <w:t>重大、实质影响的，本人作为先进</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数通的股东，将督促先进数通依法</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回购首次公开发行的全部新股。</w:t>
            </w:r>
          </w:p>
        </w:tc>
        <w:tc>
          <w:tcPr>
            <w:tcW w:w="101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
        </w:tc>
      </w:tr>
      <w:tr>
        <w:trPr>
          <w:trHeight w:val="9411" w:hRule="exact"/>
        </w:trPr>
        <w:tc>
          <w:tcPr>
            <w:tcW w:w="185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36"/>
              <w:ind w:left="103" w:right="109"/>
              <w:jc w:val="left"/>
              <w:rPr>
                <w:rFonts w:ascii="宋体" w:hAnsi="宋体" w:cs="宋体" w:eastAsia="宋体" w:hint="default"/>
                <w:sz w:val="18"/>
                <w:szCs w:val="18"/>
              </w:rPr>
            </w:pPr>
            <w:r>
              <w:rPr>
                <w:rFonts w:ascii="宋体" w:hAnsi="宋体" w:cs="宋体" w:eastAsia="宋体" w:hint="default"/>
                <w:sz w:val="18"/>
                <w:szCs w:val="18"/>
              </w:rPr>
              <w:t>北京先进数 通信息技术 股份公司</w:t>
            </w:r>
            <w:r>
              <w:rPr>
                <w:rFonts w:ascii="Times New Roman" w:hAnsi="Times New Roman" w:cs="Times New Roman" w:eastAsia="Times New Roman" w:hint="default"/>
                <w:sz w:val="18"/>
                <w:szCs w:val="18"/>
              </w:rPr>
              <w:t>; </w:t>
            </w:r>
            <w:r>
              <w:rPr>
                <w:rFonts w:ascii="宋体" w:hAnsi="宋体" w:cs="宋体" w:eastAsia="宋体" w:hint="default"/>
                <w:sz w:val="18"/>
                <w:szCs w:val="18"/>
              </w:rPr>
              <w:t>范丽明</w:t>
            </w:r>
            <w:r>
              <w:rPr>
                <w:rFonts w:ascii="Times New Roman" w:hAnsi="Times New Roman" w:cs="Times New Roman" w:eastAsia="Times New Roman" w:hint="default"/>
                <w:sz w:val="18"/>
                <w:szCs w:val="18"/>
              </w:rPr>
              <w:t>;</w:t>
            </w:r>
            <w:r>
              <w:rPr>
                <w:rFonts w:ascii="宋体" w:hAnsi="宋体" w:cs="宋体" w:eastAsia="宋体" w:hint="default"/>
                <w:sz w:val="18"/>
                <w:szCs w:val="18"/>
              </w:rPr>
              <w:t>李 铠</w:t>
            </w:r>
            <w:r>
              <w:rPr>
                <w:rFonts w:ascii="Times New Roman" w:hAnsi="Times New Roman" w:cs="Times New Roman" w:eastAsia="Times New Roman" w:hint="default"/>
                <w:sz w:val="18"/>
                <w:szCs w:val="18"/>
              </w:rPr>
              <w:t>;</w:t>
            </w:r>
            <w:r>
              <w:rPr>
                <w:rFonts w:ascii="宋体" w:hAnsi="宋体" w:cs="宋体" w:eastAsia="宋体" w:hint="default"/>
                <w:sz w:val="18"/>
                <w:szCs w:val="18"/>
              </w:rPr>
              <w:t>林鸿</w:t>
            </w:r>
            <w:r>
              <w:rPr>
                <w:rFonts w:ascii="Times New Roman" w:hAnsi="Times New Roman" w:cs="Times New Roman" w:eastAsia="Times New Roman" w:hint="default"/>
                <w:sz w:val="18"/>
                <w:szCs w:val="18"/>
              </w:rPr>
              <w:t>;</w:t>
            </w:r>
            <w:r>
              <w:rPr>
                <w:rFonts w:ascii="宋体" w:hAnsi="宋体" w:cs="宋体" w:eastAsia="宋体" w:hint="default"/>
                <w:sz w:val="18"/>
                <w:szCs w:val="18"/>
              </w:rPr>
              <w:t>朱 胡勇</w:t>
            </w:r>
            <w:r>
              <w:rPr>
                <w:rFonts w:ascii="Times New Roman" w:hAnsi="Times New Roman" w:cs="Times New Roman" w:eastAsia="Times New Roman" w:hint="default"/>
                <w:sz w:val="18"/>
                <w:szCs w:val="18"/>
              </w:rPr>
              <w:t>;</w:t>
            </w:r>
            <w:r>
              <w:rPr>
                <w:rFonts w:ascii="宋体" w:hAnsi="宋体" w:cs="宋体" w:eastAsia="宋体" w:hint="default"/>
                <w:sz w:val="18"/>
                <w:szCs w:val="18"/>
              </w:rPr>
              <w:t>罗云 波</w:t>
            </w:r>
            <w:r>
              <w:rPr>
                <w:rFonts w:ascii="Times New Roman" w:hAnsi="Times New Roman" w:cs="Times New Roman" w:eastAsia="Times New Roman" w:hint="default"/>
                <w:sz w:val="18"/>
                <w:szCs w:val="18"/>
              </w:rPr>
              <w:t>;</w:t>
            </w:r>
            <w:r>
              <w:rPr>
                <w:rFonts w:ascii="宋体" w:hAnsi="宋体" w:cs="宋体" w:eastAsia="宋体" w:hint="default"/>
                <w:sz w:val="18"/>
                <w:szCs w:val="18"/>
              </w:rPr>
              <w:t>庄云江</w:t>
            </w:r>
            <w:r>
              <w:rPr>
                <w:rFonts w:ascii="Times New Roman" w:hAnsi="Times New Roman" w:cs="Times New Roman" w:eastAsia="Times New Roman" w:hint="default"/>
                <w:sz w:val="18"/>
                <w:szCs w:val="18"/>
              </w:rPr>
              <w:t>; </w:t>
            </w:r>
            <w:r>
              <w:rPr>
                <w:rFonts w:ascii="宋体" w:hAnsi="宋体" w:cs="宋体" w:eastAsia="宋体" w:hint="default"/>
                <w:sz w:val="18"/>
                <w:szCs w:val="18"/>
              </w:rPr>
              <w:t>单怀光</w:t>
            </w:r>
            <w:r>
              <w:rPr>
                <w:rFonts w:ascii="Times New Roman" w:hAnsi="Times New Roman" w:cs="Times New Roman" w:eastAsia="Times New Roman" w:hint="default"/>
                <w:sz w:val="18"/>
                <w:szCs w:val="18"/>
              </w:rPr>
              <w:t>;</w:t>
            </w:r>
            <w:r>
              <w:rPr>
                <w:rFonts w:ascii="宋体" w:hAnsi="宋体" w:cs="宋体" w:eastAsia="宋体" w:hint="default"/>
                <w:sz w:val="18"/>
                <w:szCs w:val="18"/>
              </w:rPr>
              <w:t>肖 淑芳</w:t>
            </w:r>
            <w:r>
              <w:rPr>
                <w:rFonts w:ascii="Times New Roman" w:hAnsi="Times New Roman" w:cs="Times New Roman" w:eastAsia="Times New Roman" w:hint="default"/>
                <w:sz w:val="18"/>
                <w:szCs w:val="18"/>
              </w:rPr>
              <w:t>;</w:t>
            </w:r>
            <w:r>
              <w:rPr>
                <w:rFonts w:ascii="宋体" w:hAnsi="宋体" w:cs="宋体" w:eastAsia="宋体" w:hint="default"/>
                <w:sz w:val="18"/>
                <w:szCs w:val="18"/>
              </w:rPr>
              <w:t>李纪 军</w:t>
            </w:r>
            <w:r>
              <w:rPr>
                <w:rFonts w:ascii="Times New Roman" w:hAnsi="Times New Roman" w:cs="Times New Roman" w:eastAsia="Times New Roman" w:hint="default"/>
                <w:sz w:val="18"/>
                <w:szCs w:val="18"/>
              </w:rPr>
              <w:t>;</w:t>
            </w:r>
            <w:r>
              <w:rPr>
                <w:rFonts w:ascii="宋体" w:hAnsi="宋体" w:cs="宋体" w:eastAsia="宋体" w:hint="default"/>
                <w:sz w:val="18"/>
                <w:szCs w:val="18"/>
              </w:rPr>
              <w:t>杨格平</w:t>
            </w:r>
            <w:r>
              <w:rPr>
                <w:rFonts w:ascii="Times New Roman" w:hAnsi="Times New Roman" w:cs="Times New Roman" w:eastAsia="Times New Roman" w:hint="default"/>
                <w:sz w:val="18"/>
                <w:szCs w:val="18"/>
              </w:rPr>
              <w:t>; </w:t>
            </w:r>
            <w:r>
              <w:rPr>
                <w:rFonts w:ascii="宋体" w:hAnsi="宋体" w:cs="宋体" w:eastAsia="宋体" w:hint="default"/>
                <w:sz w:val="18"/>
                <w:szCs w:val="18"/>
              </w:rPr>
              <w:t>赵宏亮</w:t>
            </w:r>
            <w:r>
              <w:rPr>
                <w:rFonts w:ascii="Times New Roman" w:hAnsi="Times New Roman" w:cs="Times New Roman" w:eastAsia="Times New Roman" w:hint="default"/>
                <w:sz w:val="18"/>
                <w:szCs w:val="18"/>
              </w:rPr>
              <w:t>;</w:t>
            </w:r>
            <w:r>
              <w:rPr>
                <w:rFonts w:ascii="宋体" w:hAnsi="宋体" w:cs="宋体" w:eastAsia="宋体" w:hint="default"/>
                <w:sz w:val="18"/>
                <w:szCs w:val="18"/>
              </w:rPr>
              <w:t>李 宏亮</w:t>
            </w:r>
            <w:r>
              <w:rPr>
                <w:rFonts w:ascii="Times New Roman" w:hAnsi="Times New Roman" w:cs="Times New Roman" w:eastAsia="Times New Roman" w:hint="default"/>
                <w:sz w:val="18"/>
                <w:szCs w:val="18"/>
              </w:rPr>
              <w:t>;</w:t>
            </w:r>
            <w:r>
              <w:rPr>
                <w:rFonts w:ascii="宋体" w:hAnsi="宋体" w:cs="宋体" w:eastAsia="宋体" w:hint="default"/>
                <w:sz w:val="18"/>
                <w:szCs w:val="18"/>
              </w:rPr>
              <w:t>金麟</w:t>
            </w:r>
            <w:r>
              <w:rPr>
                <w:rFonts w:ascii="Times New Roman" w:hAnsi="Times New Roman" w:cs="Times New Roman" w:eastAsia="Times New Roman" w:hint="default"/>
                <w:sz w:val="18"/>
                <w:szCs w:val="18"/>
              </w:rPr>
              <w:t>; </w:t>
            </w:r>
            <w:r>
              <w:rPr>
                <w:rFonts w:ascii="宋体" w:hAnsi="宋体" w:cs="宋体" w:eastAsia="宋体" w:hint="default"/>
                <w:sz w:val="18"/>
                <w:szCs w:val="18"/>
              </w:rPr>
              <w:t>吴文胜</w:t>
            </w:r>
            <w:r>
              <w:rPr>
                <w:rFonts w:ascii="Times New Roman" w:hAnsi="Times New Roman" w:cs="Times New Roman" w:eastAsia="Times New Roman" w:hint="default"/>
                <w:sz w:val="18"/>
                <w:szCs w:val="18"/>
              </w:rPr>
              <w:t>;</w:t>
            </w:r>
            <w:r>
              <w:rPr>
                <w:rFonts w:ascii="宋体" w:hAnsi="宋体" w:cs="宋体" w:eastAsia="宋体" w:hint="default"/>
                <w:sz w:val="18"/>
                <w:szCs w:val="18"/>
              </w:rPr>
              <w:t>国 泰君安证券 股份有限公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北京市 天元律师事 务所</w:t>
            </w:r>
            <w:r>
              <w:rPr>
                <w:rFonts w:ascii="Times New Roman" w:hAnsi="Times New Roman" w:cs="Times New Roman" w:eastAsia="Times New Roman" w:hint="default"/>
                <w:sz w:val="18"/>
                <w:szCs w:val="18"/>
              </w:rPr>
              <w:t>;</w:t>
            </w:r>
            <w:r>
              <w:rPr>
                <w:rFonts w:ascii="宋体" w:hAnsi="宋体" w:cs="宋体" w:eastAsia="宋体" w:hint="default"/>
                <w:sz w:val="18"/>
                <w:szCs w:val="18"/>
              </w:rPr>
              <w:t>大信 会计师事务 所（特殊普 通合伙）</w:t>
            </w:r>
            <w:r>
              <w:rPr>
                <w:rFonts w:ascii="Times New Roman" w:hAnsi="Times New Roman" w:cs="Times New Roman" w:eastAsia="Times New Roman" w:hint="default"/>
                <w:sz w:val="18"/>
                <w:szCs w:val="18"/>
              </w:rPr>
              <w:t>; </w:t>
            </w:r>
            <w:r>
              <w:rPr>
                <w:rFonts w:ascii="宋体" w:hAnsi="宋体" w:cs="宋体" w:eastAsia="宋体" w:hint="default"/>
                <w:sz w:val="18"/>
                <w:szCs w:val="18"/>
              </w:rPr>
              <w:t>中京民信</w:t>
            </w:r>
          </w:p>
          <w:p>
            <w:pPr>
              <w:pStyle w:val="TableParagraph"/>
              <w:spacing w:line="314" w:lineRule="auto" w:before="26"/>
              <w:ind w:left="103" w:right="109"/>
              <w:jc w:val="left"/>
              <w:rPr>
                <w:rFonts w:ascii="宋体" w:hAnsi="宋体" w:cs="宋体" w:eastAsia="宋体" w:hint="default"/>
                <w:sz w:val="18"/>
                <w:szCs w:val="18"/>
              </w:rPr>
            </w:pPr>
            <w:r>
              <w:rPr>
                <w:rFonts w:ascii="宋体" w:hAnsi="宋体" w:cs="宋体" w:eastAsia="宋体" w:hint="default"/>
                <w:sz w:val="18"/>
                <w:szCs w:val="18"/>
              </w:rPr>
              <w:t>（北京）资 产评估有限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北京 科勤会计师 事务所有限 责任公司</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6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、公司关于依法承担赔偿或者补 </w:t>
            </w:r>
            <w:r>
              <w:rPr>
                <w:rFonts w:ascii="宋体" w:hAnsi="宋体" w:cs="宋体" w:eastAsia="宋体" w:hint="default"/>
                <w:spacing w:val="-3"/>
                <w:sz w:val="18"/>
                <w:szCs w:val="18"/>
              </w:rPr>
              <w:t>偿责任的承诺。如果本公司招股说</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明书存在虚假记载、误导性陈述或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者重大遗漏，致使投资者在证券交</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易中遭受损失的，将依法赔偿投资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者损失，按照司法程序履行相关义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务。</w:t>
            </w:r>
            <w:r>
              <w:rPr>
                <w:rFonts w:ascii="Times New Roman" w:hAnsi="Times New Roman" w:cs="Times New Roman" w:eastAsia="Times New Roman" w:hint="default"/>
                <w:sz w:val="18"/>
                <w:szCs w:val="18"/>
              </w:rPr>
              <w:t>2</w:t>
            </w:r>
            <w:r>
              <w:rPr>
                <w:rFonts w:ascii="宋体" w:hAnsi="宋体" w:cs="宋体" w:eastAsia="宋体" w:hint="default"/>
                <w:sz w:val="18"/>
                <w:szCs w:val="18"/>
              </w:rPr>
              <w:t>、公司董事、监事、高级管 理人员关于依法承担赔偿或者补 </w:t>
            </w:r>
            <w:r>
              <w:rPr>
                <w:rFonts w:ascii="宋体" w:hAnsi="宋体" w:cs="宋体" w:eastAsia="宋体" w:hint="default"/>
                <w:spacing w:val="-3"/>
                <w:sz w:val="18"/>
                <w:szCs w:val="18"/>
              </w:rPr>
              <w:t>偿责任的承诺。如果先进数通的招</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股说明书存在虚假记载、误导性陈</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述或者重大遗漏，致使投资者在证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券交易中遭受损失的，本人将依法</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赔偿投资者损失，按照司法程序履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行相关义务。</w:t>
            </w:r>
            <w:r>
              <w:rPr>
                <w:rFonts w:ascii="Times New Roman" w:hAnsi="Times New Roman" w:cs="Times New Roman" w:eastAsia="Times New Roman" w:hint="default"/>
                <w:sz w:val="18"/>
                <w:szCs w:val="18"/>
              </w:rPr>
              <w:t>3</w:t>
            </w:r>
            <w:r>
              <w:rPr>
                <w:rFonts w:ascii="宋体" w:hAnsi="宋体" w:cs="宋体" w:eastAsia="宋体" w:hint="default"/>
                <w:sz w:val="18"/>
                <w:szCs w:val="18"/>
              </w:rPr>
              <w:t>、保荐人及证券服 </w:t>
            </w:r>
            <w:r>
              <w:rPr>
                <w:rFonts w:ascii="宋体" w:hAnsi="宋体" w:cs="宋体" w:eastAsia="宋体" w:hint="default"/>
                <w:spacing w:val="-3"/>
                <w:sz w:val="18"/>
                <w:szCs w:val="18"/>
              </w:rPr>
              <w:t>务机构作出的重要承诺。国泰君安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证券股份有限公司承诺：由于本公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司为发行人首次公开发行并在创 </w:t>
            </w:r>
            <w:r>
              <w:rPr>
                <w:rFonts w:ascii="宋体" w:hAnsi="宋体" w:cs="宋体" w:eastAsia="宋体" w:hint="default"/>
                <w:spacing w:val="-3"/>
                <w:sz w:val="18"/>
                <w:szCs w:val="18"/>
              </w:rPr>
              <w:t>业板上市制作、出具的文件有虚假</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记载、误导性陈述或者重大遗漏， </w:t>
            </w:r>
            <w:r>
              <w:rPr>
                <w:rFonts w:ascii="宋体" w:hAnsi="宋体" w:cs="宋体" w:eastAsia="宋体" w:hint="default"/>
                <w:spacing w:val="-3"/>
                <w:sz w:val="18"/>
                <w:szCs w:val="18"/>
              </w:rPr>
              <w:t>给投资者造成损失的，本公司将依</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法赔偿投资者损失，但本公司没有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过错的除外。保荐人承诺因其为发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行人首次公开发行股票制作、出具</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的文件有虚假记载、误导性陈述或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者重大遗漏，给投资者造成损失 </w:t>
            </w:r>
            <w:r>
              <w:rPr>
                <w:rFonts w:ascii="宋体" w:hAnsi="宋体" w:cs="宋体" w:eastAsia="宋体" w:hint="default"/>
                <w:spacing w:val="-3"/>
                <w:sz w:val="18"/>
                <w:szCs w:val="18"/>
              </w:rPr>
              <w:t>的，将先行赔偿投资者损失。北京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市天元律师事务所承诺：如因本律</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师事务所为北京先进数通信息技 术股份公司首次公开发行股票并 </w:t>
            </w:r>
            <w:r>
              <w:rPr>
                <w:rFonts w:ascii="宋体" w:hAnsi="宋体" w:cs="宋体" w:eastAsia="宋体" w:hint="default"/>
                <w:spacing w:val="-3"/>
                <w:sz w:val="18"/>
                <w:szCs w:val="18"/>
              </w:rPr>
              <w:t>在创业板上市而制作、出具的文件</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103" w:right="23"/>
              <w:jc w:val="left"/>
              <w:rPr>
                <w:rFonts w:ascii="宋体" w:hAnsi="宋体" w:cs="宋体" w:eastAsia="宋体" w:hint="default"/>
                <w:sz w:val="18"/>
                <w:szCs w:val="18"/>
              </w:rPr>
            </w:pPr>
            <w:r>
              <w:rPr>
                <w:rFonts w:ascii="宋体" w:hAnsi="宋体" w:cs="宋体" w:eastAsia="宋体" w:hint="default"/>
                <w:sz w:val="18"/>
                <w:szCs w:val="18"/>
              </w:rPr>
              <w:t>报告期内， 该承诺事 项正常履 行中。</w:t>
            </w:r>
          </w:p>
        </w:tc>
      </w:tr>
    </w:tbl>
    <w:p>
      <w:pPr>
        <w:spacing w:after="0" w:line="319"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06" w:type="dxa"/>
        <w:tblLayout w:type="fixed"/>
        <w:tblCellMar>
          <w:top w:w="0" w:type="dxa"/>
          <w:left w:w="0" w:type="dxa"/>
          <w:bottom w:w="0" w:type="dxa"/>
          <w:right w:w="0" w:type="dxa"/>
        </w:tblCellMar>
        <w:tblLook w:val="01E0"/>
      </w:tblPr>
      <w:tblGrid>
        <w:gridCol w:w="1858"/>
        <w:gridCol w:w="1124"/>
        <w:gridCol w:w="1006"/>
        <w:gridCol w:w="2881"/>
        <w:gridCol w:w="1018"/>
        <w:gridCol w:w="960"/>
        <w:gridCol w:w="1038"/>
      </w:tblGrid>
      <w:tr>
        <w:trPr>
          <w:trHeight w:val="8787" w:hRule="exact"/>
        </w:trPr>
        <w:tc>
          <w:tcPr>
            <w:tcW w:w="185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both"/>
              <w:rPr>
                <w:rFonts w:ascii="宋体" w:hAnsi="宋体" w:cs="宋体" w:eastAsia="宋体" w:hint="default"/>
                <w:sz w:val="18"/>
                <w:szCs w:val="18"/>
              </w:rPr>
            </w:pPr>
            <w:r>
              <w:rPr>
                <w:rFonts w:ascii="宋体" w:hAnsi="宋体" w:cs="宋体" w:eastAsia="宋体" w:hint="default"/>
                <w:spacing w:val="-3"/>
                <w:sz w:val="18"/>
                <w:szCs w:val="18"/>
              </w:rPr>
              <w:t>有虚假记载、误导性陈述或者重大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遗漏，给投资者造成损失的，将依</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法赔偿投资者损失，按照司法程序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履行相关义务。大信会计师事务所</w:t>
            </w:r>
          </w:p>
          <w:p>
            <w:pPr>
              <w:pStyle w:val="TableParagraph"/>
              <w:spacing w:line="316" w:lineRule="auto" w:before="19"/>
              <w:ind w:left="103" w:right="11"/>
              <w:jc w:val="left"/>
              <w:rPr>
                <w:rFonts w:ascii="宋体" w:hAnsi="宋体" w:cs="宋体" w:eastAsia="宋体" w:hint="default"/>
                <w:sz w:val="18"/>
                <w:szCs w:val="18"/>
              </w:rPr>
            </w:pPr>
            <w:r>
              <w:rPr>
                <w:rFonts w:ascii="宋体" w:hAnsi="宋体" w:cs="宋体" w:eastAsia="宋体" w:hint="default"/>
                <w:spacing w:val="-3"/>
                <w:sz w:val="18"/>
                <w:szCs w:val="18"/>
              </w:rPr>
              <w:t>（特殊普通合伙）承诺：如因本会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计师事务所为北京先进数通信息 技术股份公司首次公开发行股票 </w:t>
            </w:r>
            <w:r>
              <w:rPr>
                <w:rFonts w:ascii="宋体" w:hAnsi="宋体" w:cs="宋体" w:eastAsia="宋体" w:hint="default"/>
                <w:spacing w:val="-3"/>
                <w:sz w:val="18"/>
                <w:szCs w:val="18"/>
              </w:rPr>
              <w:t>并在创业板上市而制作、出具的文</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件有虚假记载、误导性陈述或者重</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大遗漏，给投资者造成损失的，将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依法赔偿投资者损失，按照司法程</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8"/>
                <w:sz w:val="18"/>
                <w:szCs w:val="18"/>
              </w:rPr>
              <w:t>序履行相关义务。中京民信（北京）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资产评估有限公司承诺：如因本公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司为北京先进数通信息技术股份 公司首次公开发行股票并在创业 </w:t>
            </w:r>
            <w:r>
              <w:rPr>
                <w:rFonts w:ascii="宋体" w:hAnsi="宋体" w:cs="宋体" w:eastAsia="宋体" w:hint="default"/>
                <w:spacing w:val="-3"/>
                <w:sz w:val="18"/>
                <w:szCs w:val="18"/>
              </w:rPr>
              <w:t>板上市而制作、出具的文件有虚假</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记载、误导性陈述或者重大遗漏， </w:t>
            </w:r>
            <w:r>
              <w:rPr>
                <w:rFonts w:ascii="宋体" w:hAnsi="宋体" w:cs="宋体" w:eastAsia="宋体" w:hint="default"/>
                <w:spacing w:val="-3"/>
                <w:sz w:val="18"/>
                <w:szCs w:val="18"/>
              </w:rPr>
              <w:t>给投资者造成损失的，将依法赔偿</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投资者损失，按照司法程序履行相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关义务。北京科勤会计师事务所有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限责任公司承诺：如因本会计师事</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务所为北京先进数通信息技术股 份公司首次公开发行股票并在创 </w:t>
            </w:r>
            <w:r>
              <w:rPr>
                <w:rFonts w:ascii="宋体" w:hAnsi="宋体" w:cs="宋体" w:eastAsia="宋体" w:hint="default"/>
                <w:spacing w:val="-3"/>
                <w:sz w:val="18"/>
                <w:szCs w:val="18"/>
              </w:rPr>
              <w:t>业板上市而制作、出具的文件有虚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假记载、误导性陈述或者重大遗 </w:t>
            </w:r>
            <w:r>
              <w:rPr>
                <w:rFonts w:ascii="宋体" w:hAnsi="宋体" w:cs="宋体" w:eastAsia="宋体" w:hint="default"/>
                <w:spacing w:val="-3"/>
                <w:sz w:val="18"/>
                <w:szCs w:val="18"/>
              </w:rPr>
              <w:t>漏，给投资者造成损失的，将依法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赔偿投资者损失，按照司法程序履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行相关义务。</w:t>
            </w:r>
          </w:p>
        </w:tc>
        <w:tc>
          <w:tcPr>
            <w:tcW w:w="101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
        </w:tc>
      </w:tr>
      <w:tr>
        <w:trPr>
          <w:trHeight w:val="5043" w:hRule="exact"/>
        </w:trPr>
        <w:tc>
          <w:tcPr>
            <w:tcW w:w="185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04" w:lineRule="auto"/>
              <w:ind w:left="103" w:right="109"/>
              <w:jc w:val="left"/>
              <w:rPr>
                <w:rFonts w:ascii="宋体" w:hAnsi="宋体" w:cs="宋体" w:eastAsia="宋体" w:hint="default"/>
                <w:sz w:val="18"/>
                <w:szCs w:val="18"/>
              </w:rPr>
            </w:pPr>
            <w:r>
              <w:rPr>
                <w:rFonts w:ascii="宋体" w:hAnsi="宋体" w:cs="宋体" w:eastAsia="宋体" w:hint="default"/>
                <w:sz w:val="18"/>
                <w:szCs w:val="18"/>
              </w:rPr>
              <w:t>北京先进数 通信息技术 股份公司</w:t>
            </w:r>
            <w:r>
              <w:rPr>
                <w:rFonts w:ascii="Times New Roman" w:hAnsi="Times New Roman" w:cs="Times New Roman" w:eastAsia="Times New Roman" w:hint="default"/>
                <w:sz w:val="18"/>
                <w:szCs w:val="18"/>
              </w:rPr>
              <w:t>; </w:t>
            </w:r>
            <w:r>
              <w:rPr>
                <w:rFonts w:ascii="宋体" w:hAnsi="宋体" w:cs="宋体" w:eastAsia="宋体" w:hint="default"/>
                <w:sz w:val="18"/>
                <w:szCs w:val="18"/>
              </w:rPr>
              <w:t>范丽明</w:t>
            </w:r>
            <w:r>
              <w:rPr>
                <w:rFonts w:ascii="Times New Roman" w:hAnsi="Times New Roman" w:cs="Times New Roman" w:eastAsia="Times New Roman" w:hint="default"/>
                <w:sz w:val="18"/>
                <w:szCs w:val="18"/>
              </w:rPr>
              <w:t>;</w:t>
            </w:r>
            <w:r>
              <w:rPr>
                <w:rFonts w:ascii="宋体" w:hAnsi="宋体" w:cs="宋体" w:eastAsia="宋体" w:hint="default"/>
                <w:sz w:val="18"/>
                <w:szCs w:val="18"/>
              </w:rPr>
              <w:t>李 铠</w:t>
            </w:r>
            <w:r>
              <w:rPr>
                <w:rFonts w:ascii="Times New Roman" w:hAnsi="Times New Roman" w:cs="Times New Roman" w:eastAsia="Times New Roman" w:hint="default"/>
                <w:sz w:val="18"/>
                <w:szCs w:val="18"/>
              </w:rPr>
              <w:t>;</w:t>
            </w:r>
            <w:r>
              <w:rPr>
                <w:rFonts w:ascii="宋体" w:hAnsi="宋体" w:cs="宋体" w:eastAsia="宋体" w:hint="default"/>
                <w:sz w:val="18"/>
                <w:szCs w:val="18"/>
              </w:rPr>
              <w:t>林鸿</w:t>
            </w:r>
            <w:r>
              <w:rPr>
                <w:rFonts w:ascii="Times New Roman" w:hAnsi="Times New Roman" w:cs="Times New Roman" w:eastAsia="Times New Roman" w:hint="default"/>
                <w:sz w:val="18"/>
                <w:szCs w:val="18"/>
              </w:rPr>
              <w:t>;</w:t>
            </w:r>
            <w:r>
              <w:rPr>
                <w:rFonts w:ascii="宋体" w:hAnsi="宋体" w:cs="宋体" w:eastAsia="宋体" w:hint="default"/>
                <w:sz w:val="18"/>
                <w:szCs w:val="18"/>
              </w:rPr>
              <w:t>朱 胡勇</w:t>
            </w:r>
            <w:r>
              <w:rPr>
                <w:rFonts w:ascii="Times New Roman" w:hAnsi="Times New Roman" w:cs="Times New Roman" w:eastAsia="Times New Roman" w:hint="default"/>
                <w:sz w:val="18"/>
                <w:szCs w:val="18"/>
              </w:rPr>
              <w:t>;</w:t>
            </w:r>
            <w:r>
              <w:rPr>
                <w:rFonts w:ascii="宋体" w:hAnsi="宋体" w:cs="宋体" w:eastAsia="宋体" w:hint="default"/>
                <w:sz w:val="18"/>
                <w:szCs w:val="18"/>
              </w:rPr>
              <w:t>罗云 波</w:t>
            </w:r>
            <w:r>
              <w:rPr>
                <w:rFonts w:ascii="Times New Roman" w:hAnsi="Times New Roman" w:cs="Times New Roman" w:eastAsia="Times New Roman" w:hint="default"/>
                <w:sz w:val="18"/>
                <w:szCs w:val="18"/>
              </w:rPr>
              <w:t>;</w:t>
            </w:r>
            <w:r>
              <w:rPr>
                <w:rFonts w:ascii="宋体" w:hAnsi="宋体" w:cs="宋体" w:eastAsia="宋体" w:hint="default"/>
                <w:sz w:val="18"/>
                <w:szCs w:val="18"/>
              </w:rPr>
              <w:t>庄云江</w:t>
            </w:r>
            <w:r>
              <w:rPr>
                <w:rFonts w:ascii="Times New Roman" w:hAnsi="Times New Roman" w:cs="Times New Roman" w:eastAsia="Times New Roman" w:hint="default"/>
                <w:sz w:val="18"/>
                <w:szCs w:val="18"/>
              </w:rPr>
              <w:t>; </w:t>
            </w:r>
            <w:r>
              <w:rPr>
                <w:rFonts w:ascii="宋体" w:hAnsi="宋体" w:cs="宋体" w:eastAsia="宋体" w:hint="default"/>
                <w:sz w:val="18"/>
                <w:szCs w:val="18"/>
              </w:rPr>
              <w:t>单怀光</w:t>
            </w:r>
            <w:r>
              <w:rPr>
                <w:rFonts w:ascii="Times New Roman" w:hAnsi="Times New Roman" w:cs="Times New Roman" w:eastAsia="Times New Roman" w:hint="default"/>
                <w:sz w:val="18"/>
                <w:szCs w:val="18"/>
              </w:rPr>
              <w:t>;</w:t>
            </w:r>
            <w:r>
              <w:rPr>
                <w:rFonts w:ascii="宋体" w:hAnsi="宋体" w:cs="宋体" w:eastAsia="宋体" w:hint="default"/>
                <w:sz w:val="18"/>
                <w:szCs w:val="18"/>
              </w:rPr>
              <w:t>肖 淑芳</w:t>
            </w:r>
            <w:r>
              <w:rPr>
                <w:rFonts w:ascii="Times New Roman" w:hAnsi="Times New Roman" w:cs="Times New Roman" w:eastAsia="Times New Roman" w:hint="default"/>
                <w:sz w:val="18"/>
                <w:szCs w:val="18"/>
              </w:rPr>
              <w:t>;</w:t>
            </w:r>
            <w:r>
              <w:rPr>
                <w:rFonts w:ascii="宋体" w:hAnsi="宋体" w:cs="宋体" w:eastAsia="宋体" w:hint="default"/>
                <w:sz w:val="18"/>
                <w:szCs w:val="18"/>
              </w:rPr>
              <w:t>苏文 力</w:t>
            </w:r>
            <w:r>
              <w:rPr>
                <w:rFonts w:ascii="Times New Roman" w:hAnsi="Times New Roman" w:cs="Times New Roman" w:eastAsia="Times New Roman" w:hint="default"/>
                <w:sz w:val="18"/>
                <w:szCs w:val="18"/>
              </w:rPr>
              <w:t>;</w:t>
            </w:r>
            <w:r>
              <w:rPr>
                <w:rFonts w:ascii="宋体" w:hAnsi="宋体" w:cs="宋体" w:eastAsia="宋体" w:hint="default"/>
                <w:sz w:val="18"/>
                <w:szCs w:val="18"/>
              </w:rPr>
              <w:t>金麟</w:t>
            </w:r>
            <w:r>
              <w:rPr>
                <w:rFonts w:ascii="Times New Roman" w:hAnsi="Times New Roman" w:cs="Times New Roman" w:eastAsia="Times New Roman" w:hint="default"/>
                <w:sz w:val="18"/>
                <w:szCs w:val="18"/>
              </w:rPr>
              <w:t>;</w:t>
            </w:r>
            <w:r>
              <w:rPr>
                <w:rFonts w:ascii="宋体" w:hAnsi="宋体" w:cs="宋体" w:eastAsia="宋体" w:hint="default"/>
                <w:sz w:val="18"/>
                <w:szCs w:val="18"/>
              </w:rPr>
              <w:t>吴 文胜</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1"/>
              <w:jc w:val="left"/>
              <w:rPr>
                <w:rFonts w:ascii="宋体" w:hAnsi="宋体" w:cs="宋体" w:eastAsia="宋体" w:hint="default"/>
                <w:sz w:val="18"/>
                <w:szCs w:val="18"/>
              </w:rPr>
            </w:pPr>
            <w:r>
              <w:rPr>
                <w:rFonts w:ascii="宋体" w:hAnsi="宋体" w:cs="宋体" w:eastAsia="宋体" w:hint="default"/>
                <w:spacing w:val="-3"/>
                <w:sz w:val="18"/>
                <w:szCs w:val="18"/>
              </w:rPr>
              <w:t>本次发行完成后，本公司股本和净</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资产都将大幅增加，但鉴于募集资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金投资项目有一定的实施周期，净</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利润可能不会同步大幅增长，可能</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导致本公司每股收益、净资产收益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率等指标下降，投资者面临本公司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首次公开发行并在创业板上市后 即期回报被摊薄的风险。</w:t>
            </w:r>
            <w:r>
              <w:rPr>
                <w:rFonts w:ascii="Times New Roman" w:hAnsi="Times New Roman" w:cs="Times New Roman" w:eastAsia="Times New Roman" w:hint="default"/>
                <w:sz w:val="18"/>
                <w:szCs w:val="18"/>
              </w:rPr>
              <w:t>1</w:t>
            </w:r>
            <w:r>
              <w:rPr>
                <w:rFonts w:ascii="宋体" w:hAnsi="宋体" w:cs="宋体" w:eastAsia="宋体" w:hint="default"/>
                <w:sz w:val="18"/>
                <w:szCs w:val="18"/>
              </w:rPr>
              <w:t>、公司 </w:t>
            </w:r>
            <w:r>
              <w:rPr>
                <w:rFonts w:ascii="宋体" w:hAnsi="宋体" w:cs="宋体" w:eastAsia="宋体" w:hint="default"/>
                <w:spacing w:val="-3"/>
                <w:sz w:val="18"/>
                <w:szCs w:val="18"/>
              </w:rPr>
              <w:t>拟采取的措施及承诺。①加强现有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业务的风险管控；②提高日常运营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效率，降低运营成本；③加快募投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项目实施进度，加强募集资金管 </w:t>
            </w:r>
            <w:r>
              <w:rPr>
                <w:rFonts w:ascii="宋体" w:hAnsi="宋体" w:cs="宋体" w:eastAsia="宋体" w:hint="default"/>
                <w:spacing w:val="-3"/>
                <w:sz w:val="18"/>
                <w:szCs w:val="18"/>
              </w:rPr>
              <w:t>理；④完善利润分配政策，强化投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资者回报。</w:t>
            </w:r>
            <w:r>
              <w:rPr>
                <w:rFonts w:ascii="Times New Roman" w:hAnsi="Times New Roman" w:cs="Times New Roman" w:eastAsia="Times New Roman" w:hint="default"/>
                <w:sz w:val="18"/>
                <w:szCs w:val="18"/>
              </w:rPr>
              <w:t>2</w:t>
            </w:r>
            <w:r>
              <w:rPr>
                <w:rFonts w:ascii="宋体" w:hAnsi="宋体" w:cs="宋体" w:eastAsia="宋体" w:hint="default"/>
                <w:sz w:val="18"/>
                <w:szCs w:val="18"/>
              </w:rPr>
              <w:t>、公司董事、高级管 </w:t>
            </w:r>
            <w:r>
              <w:rPr>
                <w:rFonts w:ascii="宋体" w:hAnsi="宋体" w:cs="宋体" w:eastAsia="宋体" w:hint="default"/>
                <w:spacing w:val="-3"/>
                <w:sz w:val="18"/>
                <w:szCs w:val="18"/>
              </w:rPr>
              <w:t>理人员的承诺。①承诺不无偿或以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不公平条件向其他单位或者个人</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103" w:right="23"/>
              <w:jc w:val="left"/>
              <w:rPr>
                <w:rFonts w:ascii="宋体" w:hAnsi="宋体" w:cs="宋体" w:eastAsia="宋体" w:hint="default"/>
                <w:sz w:val="18"/>
                <w:szCs w:val="18"/>
              </w:rPr>
            </w:pPr>
            <w:r>
              <w:rPr>
                <w:rFonts w:ascii="宋体" w:hAnsi="宋体" w:cs="宋体" w:eastAsia="宋体" w:hint="default"/>
                <w:sz w:val="18"/>
                <w:szCs w:val="18"/>
              </w:rPr>
              <w:t>报告期内， 该承诺事 项正常履 行中。</w:t>
            </w:r>
          </w:p>
        </w:tc>
      </w:tr>
    </w:tbl>
    <w:p>
      <w:pPr>
        <w:spacing w:after="0" w:line="319"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06" w:type="dxa"/>
        <w:tblLayout w:type="fixed"/>
        <w:tblCellMar>
          <w:top w:w="0" w:type="dxa"/>
          <w:left w:w="0" w:type="dxa"/>
          <w:bottom w:w="0" w:type="dxa"/>
          <w:right w:w="0" w:type="dxa"/>
        </w:tblCellMar>
        <w:tblLook w:val="01E0"/>
      </w:tblPr>
      <w:tblGrid>
        <w:gridCol w:w="1858"/>
        <w:gridCol w:w="1124"/>
        <w:gridCol w:w="1006"/>
        <w:gridCol w:w="2881"/>
        <w:gridCol w:w="1018"/>
        <w:gridCol w:w="960"/>
        <w:gridCol w:w="1036"/>
      </w:tblGrid>
      <w:tr>
        <w:trPr>
          <w:trHeight w:val="3171" w:hRule="exact"/>
        </w:trPr>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1"/>
              <w:jc w:val="left"/>
              <w:rPr>
                <w:rFonts w:ascii="宋体" w:hAnsi="宋体" w:cs="宋体" w:eastAsia="宋体" w:hint="default"/>
                <w:sz w:val="18"/>
                <w:szCs w:val="18"/>
              </w:rPr>
            </w:pPr>
            <w:r>
              <w:rPr>
                <w:rFonts w:ascii="宋体" w:hAnsi="宋体" w:cs="宋体" w:eastAsia="宋体" w:hint="default"/>
                <w:spacing w:val="-3"/>
                <w:sz w:val="18"/>
                <w:szCs w:val="18"/>
              </w:rPr>
              <w:t>输送利益，也不采用其他方式损害</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公司利益；②承诺对本人的职务消</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费行为进行约束；③承诺不动用公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司资产从事与本人履行职责无关 </w:t>
            </w:r>
            <w:r>
              <w:rPr>
                <w:rFonts w:ascii="宋体" w:hAnsi="宋体" w:cs="宋体" w:eastAsia="宋体" w:hint="default"/>
                <w:spacing w:val="-3"/>
                <w:sz w:val="18"/>
                <w:szCs w:val="18"/>
              </w:rPr>
              <w:t>的投资、消费活动；④承诺由董事</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会或薪酬委员会制定的薪酬制度 与公司填补回报措施的执行情况 </w:t>
            </w:r>
            <w:r>
              <w:rPr>
                <w:rFonts w:ascii="宋体" w:hAnsi="宋体" w:cs="宋体" w:eastAsia="宋体" w:hint="default"/>
                <w:spacing w:val="-3"/>
                <w:sz w:val="18"/>
                <w:szCs w:val="18"/>
              </w:rPr>
              <w:t>相挂钩；⑤承诺拟公布的公司股权</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激励的行权条件与公司填补回报 措施的执行情况相挂钩。</w:t>
            </w:r>
          </w:p>
        </w:tc>
        <w:tc>
          <w:tcPr>
            <w:tcW w:w="101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4"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2881"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124"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2881"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3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5"/>
        <w:spacing w:line="259" w:lineRule="auto" w:before="35"/>
        <w:ind w:right="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4992"/>
        <w:jc w:val="left"/>
      </w:pPr>
      <w:r>
        <w:rPr/>
        <w:t>□ 适用 √ 不适用 公司报告期不存在控股股东及其关联方对上市公司的非经营性占用资金。</w:t>
      </w:r>
    </w:p>
    <w:p>
      <w:pPr>
        <w:spacing w:line="240" w:lineRule="auto" w:before="1"/>
        <w:rPr>
          <w:rFonts w:ascii="宋体" w:hAnsi="宋体" w:cs="宋体" w:eastAsia="宋体" w:hint="default"/>
          <w:sz w:val="18"/>
          <w:szCs w:val="18"/>
        </w:rPr>
      </w:pPr>
    </w:p>
    <w:p>
      <w:pPr>
        <w:pStyle w:val="Heading3"/>
        <w:spacing w:line="240" w:lineRule="auto"/>
        <w:ind w:left="1133" w:right="0"/>
        <w:jc w:val="left"/>
        <w:rPr>
          <w:b w:val="0"/>
          <w:bCs w:val="0"/>
        </w:rPr>
      </w:pPr>
      <w:bookmarkStart w:name="四、董事会对最近一期“非标准审计报告”相关情况的说明" w:id="68"/>
      <w:bookmarkEnd w:id="68"/>
      <w:r>
        <w:rPr>
          <w:b w:val="0"/>
          <w:bCs w:val="0"/>
        </w:rPr>
      </w:r>
      <w:r>
        <w:rPr/>
        <w:t>四、董事会对最近一期“非标准审计报告”相关情况的说明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3"/>
        <w:rPr>
          <w:rFonts w:ascii="宋体" w:hAnsi="宋体" w:cs="宋体" w:eastAsia="宋体" w:hint="default"/>
          <w:sz w:val="24"/>
          <w:szCs w:val="24"/>
        </w:rPr>
      </w:pPr>
    </w:p>
    <w:p>
      <w:pPr>
        <w:pStyle w:val="Heading3"/>
        <w:spacing w:line="240" w:lineRule="auto"/>
        <w:ind w:right="1394"/>
        <w:jc w:val="left"/>
        <w:rPr>
          <w:b w:val="0"/>
          <w:bCs w:val="0"/>
        </w:rPr>
      </w:pPr>
      <w:bookmarkStart w:name="五、董事会、监事会、独立董事（如有）对会计师事务所本报告期“非标准审计报告”的说" w:id="69"/>
      <w:bookmarkEnd w:id="69"/>
      <w:r>
        <w:rPr>
          <w:b w:val="0"/>
          <w:bCs w:val="0"/>
        </w:rPr>
      </w:r>
      <w:r>
        <w:rPr>
          <w:w w:val="95"/>
        </w:rPr>
        <w:t>五、董事会、监事会、独立董事（如有）对会计师事务所本报告期“非标准审计报告”的说  </w:t>
      </w:r>
      <w:r>
        <w:rPr>
          <w:spacing w:val="99"/>
          <w:w w:val="95"/>
        </w:rPr>
        <w:t> </w:t>
      </w:r>
      <w:r>
        <w:rPr/>
        <w:t>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493" w:right="1118" w:hanging="360"/>
        <w:jc w:val="left"/>
      </w:pPr>
      <w:r>
        <w:rPr/>
        <w:t>√ 适用 □ 不适用 </w:t>
      </w:r>
      <w:r>
        <w:rPr>
          <w:spacing w:val="-3"/>
        </w:rPr>
        <w:t>财政部于</w:t>
      </w:r>
      <w:r>
        <w:rPr>
          <w:rFonts w:ascii="宋体" w:hAnsi="宋体" w:cs="宋体" w:eastAsia="宋体" w:hint="default"/>
          <w:spacing w:val="-3"/>
        </w:rPr>
        <w:t>2017</w:t>
      </w:r>
      <w:r>
        <w:rPr>
          <w:spacing w:val="-3"/>
        </w:rPr>
        <w:t>年度修订了《企业会计准则第</w:t>
      </w:r>
      <w:r>
        <w:rPr>
          <w:rFonts w:ascii="宋体" w:hAnsi="宋体" w:cs="宋体" w:eastAsia="宋体" w:hint="default"/>
          <w:spacing w:val="-3"/>
        </w:rPr>
        <w:t>16</w:t>
      </w:r>
      <w:r>
        <w:rPr>
          <w:spacing w:val="-3"/>
        </w:rPr>
        <w:t>号</w:t>
      </w:r>
      <w:r>
        <w:rPr>
          <w:rFonts w:ascii="Times New Roman" w:hAnsi="Times New Roman" w:cs="Times New Roman" w:eastAsia="Times New Roman" w:hint="default"/>
          <w:spacing w:val="-3"/>
        </w:rPr>
        <w:t>——</w:t>
      </w:r>
      <w:r>
        <w:rPr>
          <w:spacing w:val="-3"/>
        </w:rPr>
        <w:t>政府补助》（财会</w:t>
      </w:r>
      <w:r>
        <w:rPr>
          <w:rFonts w:ascii="宋体" w:hAnsi="宋体" w:cs="宋体" w:eastAsia="宋体" w:hint="default"/>
          <w:spacing w:val="-3"/>
        </w:rPr>
        <w:t>[2017]15</w:t>
      </w:r>
      <w:r>
        <w:rPr>
          <w:spacing w:val="-3"/>
        </w:rPr>
        <w:t>号），修订后的准则自</w:t>
      </w:r>
      <w:r>
        <w:rPr>
          <w:rFonts w:ascii="宋体" w:hAnsi="宋体" w:cs="宋体" w:eastAsia="宋体" w:hint="default"/>
          <w:spacing w:val="-3"/>
        </w:rPr>
        <w:t>2017</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12</w:t>
      </w:r>
      <w:r>
        <w:rPr>
          <w:spacing w:val="-3"/>
        </w:rPr>
        <w:t>日起</w:t>
      </w:r>
    </w:p>
    <w:p>
      <w:pPr>
        <w:pStyle w:val="BodyText"/>
        <w:spacing w:line="201" w:lineRule="exact"/>
        <w:ind w:left="1133" w:right="0"/>
        <w:jc w:val="left"/>
      </w:pPr>
      <w:r>
        <w:rPr/>
        <w:t>施行，对于</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w:t>
      </w:r>
      <w:r>
        <w:rPr/>
        <w:t>日存在的政府补助，要求采用未来适用法处理；对于</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w:t>
      </w:r>
      <w:r>
        <w:rPr/>
        <w:t>日至施行日新增的政府补助，也要求</w:t>
      </w:r>
    </w:p>
    <w:p>
      <w:pPr>
        <w:pStyle w:val="BodyText"/>
        <w:spacing w:line="316" w:lineRule="auto" w:before="77"/>
        <w:ind w:left="1493" w:right="0" w:hanging="360"/>
        <w:jc w:val="left"/>
      </w:pPr>
      <w:r>
        <w:rPr/>
        <w:t>按照修订后的准则进行调整。 </w:t>
      </w:r>
      <w:r>
        <w:rPr>
          <w:spacing w:val="-5"/>
        </w:rPr>
        <w:t>财政部于</w:t>
      </w:r>
      <w:r>
        <w:rPr>
          <w:rFonts w:ascii="宋体" w:hAnsi="宋体" w:cs="宋体" w:eastAsia="宋体" w:hint="default"/>
          <w:spacing w:val="-5"/>
        </w:rPr>
        <w:t>2017</w:t>
      </w:r>
      <w:r>
        <w:rPr>
          <w:spacing w:val="-5"/>
        </w:rPr>
        <w:t>年度发布了《关于修订印发一般企业财务报表格式的通知》（财会〔</w:t>
      </w:r>
      <w:r>
        <w:rPr>
          <w:rFonts w:ascii="宋体" w:hAnsi="宋体" w:cs="宋体" w:eastAsia="宋体" w:hint="default"/>
          <w:spacing w:val="-5"/>
        </w:rPr>
        <w:t>2017</w:t>
      </w:r>
      <w:r>
        <w:rPr>
          <w:spacing w:val="-5"/>
        </w:rPr>
        <w:t>〕</w:t>
      </w:r>
      <w:r>
        <w:rPr>
          <w:rFonts w:ascii="宋体" w:hAnsi="宋体" w:cs="宋体" w:eastAsia="宋体" w:hint="default"/>
          <w:spacing w:val="-5"/>
        </w:rPr>
        <w:t>30</w:t>
      </w:r>
      <w:r>
        <w:rPr>
          <w:spacing w:val="-5"/>
        </w:rPr>
        <w:t>号），执行企业会计准则的企</w:t>
      </w:r>
    </w:p>
    <w:p>
      <w:pPr>
        <w:pStyle w:val="BodyText"/>
        <w:spacing w:line="316" w:lineRule="auto" w:before="19"/>
        <w:ind w:left="1493" w:right="4813" w:hanging="360"/>
        <w:jc w:val="left"/>
      </w:pPr>
      <w:r>
        <w:rPr/>
        <w:t>业应按照企业会计准则和该通知要求编制</w:t>
      </w:r>
      <w:r>
        <w:rPr>
          <w:rFonts w:ascii="宋体" w:hAnsi="宋体" w:cs="宋体" w:eastAsia="宋体" w:hint="default"/>
        </w:rPr>
        <w:t>2017</w:t>
      </w:r>
      <w:r>
        <w:rPr/>
        <w:t>年度及以后期间的财务报表。 本公司执行上述准则和财会〔</w:t>
      </w:r>
      <w:r>
        <w:rPr>
          <w:rFonts w:ascii="宋体" w:hAnsi="宋体" w:cs="宋体" w:eastAsia="宋体" w:hint="default"/>
        </w:rPr>
        <w:t>2017</w:t>
      </w:r>
      <w:r>
        <w:rPr/>
        <w:t>〕</w:t>
      </w:r>
      <w:r>
        <w:rPr>
          <w:rFonts w:ascii="宋体" w:hAnsi="宋体" w:cs="宋体" w:eastAsia="宋体" w:hint="default"/>
        </w:rPr>
        <w:t>30</w:t>
      </w:r>
      <w:r>
        <w:rPr/>
        <w:t>号的主要影响如下：</w:t>
      </w:r>
    </w:p>
    <w:p>
      <w:pPr>
        <w:spacing w:after="0" w:line="316" w:lineRule="auto"/>
        <w:jc w:val="left"/>
        <w:sectPr>
          <w:pgSz w:w="11910" w:h="16840"/>
          <w:pgMar w:header="907" w:footer="1019" w:top="1100" w:bottom="1200" w:left="0" w:right="0"/>
        </w:sectPr>
      </w:pPr>
    </w:p>
    <w:p>
      <w:pPr>
        <w:spacing w:line="240" w:lineRule="auto" w:before="13"/>
        <w:rPr>
          <w:rFonts w:ascii="宋体" w:hAnsi="宋体" w:cs="宋体" w:eastAsia="宋体" w:hint="default"/>
          <w:sz w:val="29"/>
          <w:szCs w:val="29"/>
        </w:rPr>
      </w:pPr>
    </w:p>
    <w:p>
      <w:pPr>
        <w:spacing w:line="2383" w:lineRule="exact"/>
        <w:ind w:left="2708" w:right="0" w:firstLine="0"/>
        <w:rPr>
          <w:rFonts w:ascii="宋体" w:hAnsi="宋体" w:cs="宋体" w:eastAsia="宋体" w:hint="default"/>
          <w:sz w:val="20"/>
          <w:szCs w:val="20"/>
        </w:rPr>
      </w:pPr>
      <w:r>
        <w:rPr>
          <w:rFonts w:ascii="宋体" w:hAnsi="宋体" w:cs="宋体" w:eastAsia="宋体" w:hint="default"/>
          <w:position w:val="-47"/>
          <w:sz w:val="20"/>
          <w:szCs w:val="20"/>
        </w:rPr>
        <w:drawing>
          <wp:inline distT="0" distB="0" distL="0" distR="0">
            <wp:extent cx="4124841" cy="1513522"/>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8" cstate="print"/>
                    <a:stretch>
                      <a:fillRect/>
                    </a:stretch>
                  </pic:blipFill>
                  <pic:spPr>
                    <a:xfrm>
                      <a:off x="0" y="0"/>
                      <a:ext cx="4124841" cy="1513522"/>
                    </a:xfrm>
                    <a:prstGeom prst="rect">
                      <a:avLst/>
                    </a:prstGeom>
                  </pic:spPr>
                </pic:pic>
              </a:graphicData>
            </a:graphic>
          </wp:inline>
        </w:drawing>
      </w:r>
      <w:r>
        <w:rPr>
          <w:rFonts w:ascii="宋体" w:hAnsi="宋体" w:cs="宋体" w:eastAsia="宋体" w:hint="default"/>
          <w:position w:val="-47"/>
          <w:sz w:val="20"/>
          <w:szCs w:val="20"/>
        </w:rPr>
      </w:r>
    </w:p>
    <w:p>
      <w:pPr>
        <w:spacing w:line="240" w:lineRule="auto" w:before="3"/>
        <w:rPr>
          <w:rFonts w:ascii="宋体" w:hAnsi="宋体" w:cs="宋体" w:eastAsia="宋体" w:hint="default"/>
          <w:sz w:val="22"/>
          <w:szCs w:val="22"/>
        </w:rPr>
      </w:pPr>
    </w:p>
    <w:p>
      <w:pPr>
        <w:pStyle w:val="Heading3"/>
        <w:spacing w:line="240" w:lineRule="auto" w:before="26"/>
        <w:ind w:left="1133" w:right="0"/>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5352"/>
        <w:jc w:val="left"/>
      </w:pPr>
      <w:r>
        <w:rPr/>
        <w:t>√ 适用 □ 不适用 本期新设子公司广州先进数通信息技术有限公司纳入合并报表范围。</w:t>
      </w:r>
    </w:p>
    <w:p>
      <w:pPr>
        <w:spacing w:line="240" w:lineRule="auto" w:before="5"/>
        <w:rPr>
          <w:rFonts w:ascii="宋体" w:hAnsi="宋体" w:cs="宋体" w:eastAsia="宋体" w:hint="default"/>
          <w:sz w:val="18"/>
          <w:szCs w:val="18"/>
        </w:rPr>
      </w:pPr>
    </w:p>
    <w:p>
      <w:pPr>
        <w:pStyle w:val="Heading3"/>
        <w:spacing w:line="240" w:lineRule="auto"/>
        <w:ind w:left="1133" w:right="0"/>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现聘任的会计事务所</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余骞、于曙光</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余骞第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年、于曙光第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是否改聘会计师事务所</w:t>
      </w:r>
    </w:p>
    <w:p>
      <w:pPr>
        <w:pStyle w:val="BodyText"/>
        <w:spacing w:line="357" w:lineRule="auto" w:before="117"/>
        <w:ind w:left="1133" w:right="6253"/>
        <w:jc w:val="left"/>
      </w:pPr>
      <w:r>
        <w:rPr/>
        <w:t>□ 是 √ 否 聘请内部控制审计会计师事务所、财务顾问或保荐人情况</w:t>
      </w:r>
    </w:p>
    <w:p>
      <w:pPr>
        <w:pStyle w:val="BodyText"/>
        <w:spacing w:line="240" w:lineRule="auto" w:before="28"/>
        <w:ind w:right="0"/>
        <w:jc w:val="left"/>
      </w:pPr>
      <w:r>
        <w:rPr/>
        <w:t>□ 适用 √ 不适用</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 适用 √ 不适用 公司报告期未发生破产重整相关事项。</w:t>
      </w:r>
    </w:p>
    <w:p>
      <w:pPr>
        <w:spacing w:line="240" w:lineRule="auto" w:before="3"/>
        <w:rPr>
          <w:rFonts w:ascii="宋体" w:hAnsi="宋体" w:cs="宋体" w:eastAsia="宋体" w:hint="default"/>
          <w:sz w:val="18"/>
          <w:szCs w:val="18"/>
        </w:rPr>
      </w:pPr>
    </w:p>
    <w:p>
      <w:pPr>
        <w:pStyle w:val="Heading3"/>
        <w:spacing w:line="240" w:lineRule="auto"/>
        <w:ind w:right="0"/>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872"/>
        <w:jc w:val="left"/>
      </w:pPr>
      <w:r>
        <w:rPr/>
        <w:t>□ 适用 √ 不适用 本年度公司无重大诉讼、仲裁事项。</w:t>
      </w:r>
    </w:p>
    <w:p>
      <w:pPr>
        <w:spacing w:after="0" w:line="357" w:lineRule="auto"/>
        <w:jc w:val="left"/>
        <w:sectPr>
          <w:footerReference w:type="default" r:id="rId17"/>
          <w:pgSz w:w="11910" w:h="16840"/>
          <w:pgMar w:footer="1019" w:header="907" w:top="1100" w:bottom="1200" w:left="0" w:right="0"/>
          <w:pgNumType w:start="40"/>
        </w:sectPr>
      </w:pPr>
    </w:p>
    <w:p>
      <w:pPr>
        <w:spacing w:line="240" w:lineRule="auto" w:before="8"/>
        <w:rPr>
          <w:rFonts w:ascii="宋体" w:hAnsi="宋体" w:cs="宋体" w:eastAsia="宋体" w:hint="default"/>
          <w:sz w:val="20"/>
          <w:szCs w:val="20"/>
        </w:rPr>
      </w:pPr>
    </w:p>
    <w:p>
      <w:pPr>
        <w:pStyle w:val="Heading3"/>
        <w:spacing w:line="240" w:lineRule="auto" w:before="26"/>
        <w:ind w:right="0"/>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872"/>
        <w:jc w:val="left"/>
      </w:pPr>
      <w:r>
        <w:rPr/>
        <w:t>□ 适用 √ 不适用 公司报告期不存在处罚及整改情况。</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4452"/>
        <w:jc w:val="left"/>
      </w:pPr>
      <w:r>
        <w:rPr/>
        <w:t>□ 适用 √ 不适用 公司报告期无股权激励计划、员工持股计划或其他员工激励措施及其实施情况。</w:t>
      </w:r>
    </w:p>
    <w:p>
      <w:pPr>
        <w:spacing w:line="240" w:lineRule="auto" w:before="3"/>
        <w:rPr>
          <w:rFonts w:ascii="宋体" w:hAnsi="宋体" w:cs="宋体" w:eastAsia="宋体" w:hint="default"/>
          <w:sz w:val="18"/>
          <w:szCs w:val="18"/>
        </w:rPr>
      </w:pPr>
    </w:p>
    <w:p>
      <w:pPr>
        <w:pStyle w:val="Heading3"/>
        <w:spacing w:line="240" w:lineRule="auto"/>
        <w:ind w:left="1133" w:right="0"/>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133" w:right="0"/>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6792"/>
        <w:jc w:val="left"/>
      </w:pPr>
      <w:r>
        <w:rPr/>
        <w:t>□ 适用 √ 不适用 公司报告期未发生与日常经营相关的关联交易。</w:t>
      </w:r>
    </w:p>
    <w:p>
      <w:pPr>
        <w:spacing w:line="240" w:lineRule="auto" w:before="1"/>
        <w:rPr>
          <w:rFonts w:ascii="宋体" w:hAnsi="宋体" w:cs="宋体" w:eastAsia="宋体" w:hint="default"/>
          <w:sz w:val="20"/>
          <w:szCs w:val="20"/>
        </w:rPr>
      </w:pPr>
    </w:p>
    <w:p>
      <w:pPr>
        <w:pStyle w:val="Heading5"/>
        <w:spacing w:line="240" w:lineRule="auto"/>
        <w:ind w:right="0"/>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6432"/>
        <w:jc w:val="left"/>
      </w:pPr>
      <w:r>
        <w:rPr/>
        <w:t>□ 适用 √ 不适用 公司报告期未发生资产或股权收购、出售的关联交易。</w:t>
      </w:r>
    </w:p>
    <w:p>
      <w:pPr>
        <w:spacing w:line="240" w:lineRule="auto" w:before="11"/>
        <w:rPr>
          <w:rFonts w:ascii="宋体" w:hAnsi="宋体" w:cs="宋体" w:eastAsia="宋体" w:hint="default"/>
          <w:sz w:val="19"/>
          <w:szCs w:val="19"/>
        </w:rPr>
      </w:pPr>
    </w:p>
    <w:p>
      <w:pPr>
        <w:pStyle w:val="Heading5"/>
        <w:spacing w:line="240" w:lineRule="auto"/>
        <w:ind w:right="0"/>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152"/>
        <w:jc w:val="left"/>
      </w:pPr>
      <w:r>
        <w:rPr/>
        <w:t>□ 适用 √ 不适用 公司报告期未发生共同对外投资的关联交易。</w:t>
      </w:r>
    </w:p>
    <w:p>
      <w:pPr>
        <w:spacing w:line="240" w:lineRule="auto" w:before="1"/>
        <w:rPr>
          <w:rFonts w:ascii="宋体" w:hAnsi="宋体" w:cs="宋体" w:eastAsia="宋体" w:hint="default"/>
          <w:sz w:val="20"/>
          <w:szCs w:val="20"/>
        </w:rPr>
      </w:pPr>
    </w:p>
    <w:p>
      <w:pPr>
        <w:pStyle w:val="Heading5"/>
        <w:spacing w:line="240" w:lineRule="auto"/>
        <w:ind w:right="0"/>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 适用 √ 不适用 公司报告期不存在关联债权债务往来。</w:t>
      </w:r>
    </w:p>
    <w:p>
      <w:pPr>
        <w:spacing w:line="240" w:lineRule="auto" w:before="11"/>
        <w:rPr>
          <w:rFonts w:ascii="宋体" w:hAnsi="宋体" w:cs="宋体" w:eastAsia="宋体" w:hint="default"/>
          <w:sz w:val="19"/>
          <w:szCs w:val="19"/>
        </w:rPr>
      </w:pPr>
    </w:p>
    <w:p>
      <w:pPr>
        <w:pStyle w:val="Heading5"/>
        <w:spacing w:line="240" w:lineRule="auto"/>
        <w:ind w:right="0"/>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052"/>
        <w:jc w:val="left"/>
      </w:pPr>
      <w:r>
        <w:rPr/>
        <w:t>□ 适用 √ 不适用 公司报告期无其他重大关联交易。</w:t>
      </w:r>
    </w:p>
    <w:p>
      <w:pPr>
        <w:spacing w:after="0" w:line="357" w:lineRule="auto"/>
        <w:jc w:val="left"/>
        <w:sectPr>
          <w:pgSz w:w="11910" w:h="16840"/>
          <w:pgMar w:header="907" w:footer="1019" w:top="1100" w:bottom="1200" w:left="0" w:right="0"/>
        </w:sectPr>
      </w:pPr>
    </w:p>
    <w:p>
      <w:pPr>
        <w:spacing w:line="240" w:lineRule="auto" w:before="8"/>
        <w:rPr>
          <w:rFonts w:ascii="宋体" w:hAnsi="宋体" w:cs="宋体" w:eastAsia="宋体" w:hint="default"/>
          <w:sz w:val="20"/>
          <w:szCs w:val="20"/>
        </w:rPr>
      </w:pPr>
    </w:p>
    <w:p>
      <w:pPr>
        <w:pStyle w:val="Heading3"/>
        <w:spacing w:line="240" w:lineRule="auto" w:before="26"/>
        <w:ind w:right="0"/>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133" w:right="0"/>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133" w:right="0"/>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2"/>
        <w:jc w:val="left"/>
      </w:pPr>
      <w:r>
        <w:rPr/>
        <w:t>□ 适用 √ 不适用 公司报告期不存在托管情况。</w:t>
      </w:r>
    </w:p>
    <w:p>
      <w:pPr>
        <w:spacing w:line="240" w:lineRule="auto" w:before="11"/>
        <w:rPr>
          <w:rFonts w:ascii="宋体" w:hAnsi="宋体" w:cs="宋体" w:eastAsia="宋体" w:hint="default"/>
          <w:sz w:val="19"/>
          <w:szCs w:val="19"/>
        </w:rPr>
      </w:pPr>
    </w:p>
    <w:p>
      <w:pPr>
        <w:pStyle w:val="Heading5"/>
        <w:spacing w:line="240" w:lineRule="auto"/>
        <w:ind w:right="0"/>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 适用 √ 不适用 公司报告期不存在承包情况。</w:t>
      </w:r>
    </w:p>
    <w:p>
      <w:pPr>
        <w:spacing w:line="240" w:lineRule="auto" w:before="13"/>
        <w:rPr>
          <w:rFonts w:ascii="宋体" w:hAnsi="宋体" w:cs="宋体" w:eastAsia="宋体" w:hint="default"/>
          <w:sz w:val="19"/>
          <w:szCs w:val="19"/>
        </w:rPr>
      </w:pPr>
    </w:p>
    <w:p>
      <w:pPr>
        <w:pStyle w:val="Heading5"/>
        <w:spacing w:line="240" w:lineRule="auto"/>
        <w:ind w:right="0"/>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3" w:right="9223"/>
        <w:jc w:val="left"/>
      </w:pPr>
      <w:r>
        <w:rPr/>
        <w:t>√ 适用 □ 不适用 租赁情况说明 经营性房屋租赁：</w:t>
      </w:r>
    </w:p>
    <w:p>
      <w:pPr>
        <w:pStyle w:val="BodyText"/>
        <w:spacing w:line="224" w:lineRule="exact"/>
        <w:ind w:right="0"/>
        <w:jc w:val="left"/>
      </w:pPr>
      <w:r>
        <w:rPr/>
        <w:t>租赁方：北京东青物业管理中心</w:t>
      </w:r>
    </w:p>
    <w:p>
      <w:pPr>
        <w:pStyle w:val="BodyText"/>
        <w:spacing w:line="316" w:lineRule="auto" w:before="76"/>
        <w:ind w:left="1133" w:right="4003"/>
        <w:jc w:val="left"/>
      </w:pPr>
      <w:r>
        <w:rPr/>
        <w:t>租赁物：北京市海淀区车道沟一号滨河大厦</w:t>
      </w:r>
      <w:r>
        <w:rPr>
          <w:rFonts w:ascii="宋体" w:hAnsi="宋体" w:cs="宋体" w:eastAsia="宋体" w:hint="default"/>
        </w:rPr>
        <w:t>D</w:t>
      </w:r>
      <w:r>
        <w:rPr/>
        <w:t>座</w:t>
      </w:r>
      <w:r>
        <w:rPr>
          <w:rFonts w:ascii="宋体" w:hAnsi="宋体" w:cs="宋体" w:eastAsia="宋体" w:hint="default"/>
        </w:rPr>
        <w:t>2</w:t>
      </w:r>
      <w:r>
        <w:rPr/>
        <w:t>、</w:t>
      </w:r>
      <w:r>
        <w:rPr>
          <w:rFonts w:ascii="宋体" w:hAnsi="宋体" w:cs="宋体" w:eastAsia="宋体" w:hint="default"/>
        </w:rPr>
        <w:t>4</w:t>
      </w:r>
      <w:r>
        <w:rPr/>
        <w:t>、</w:t>
      </w:r>
      <w:r>
        <w:rPr>
          <w:rFonts w:ascii="宋体" w:hAnsi="宋体" w:cs="宋体" w:eastAsia="宋体" w:hint="default"/>
        </w:rPr>
        <w:t>5</w:t>
      </w:r>
      <w:r>
        <w:rPr/>
        <w:t>、</w:t>
      </w:r>
      <w:r>
        <w:rPr>
          <w:rFonts w:ascii="宋体" w:hAnsi="宋体" w:cs="宋体" w:eastAsia="宋体" w:hint="default"/>
        </w:rPr>
        <w:t>6</w:t>
      </w:r>
      <w:r>
        <w:rPr/>
        <w:t>、</w:t>
      </w:r>
      <w:r>
        <w:rPr>
          <w:rFonts w:ascii="宋体" w:hAnsi="宋体" w:cs="宋体" w:eastAsia="宋体" w:hint="default"/>
        </w:rPr>
        <w:t>7</w:t>
      </w:r>
      <w:r>
        <w:rPr/>
        <w:t>层及地下库房</w:t>
      </w:r>
      <w:r>
        <w:rPr>
          <w:rFonts w:ascii="宋体" w:hAnsi="宋体" w:cs="宋体" w:eastAsia="宋体" w:hint="default"/>
        </w:rPr>
        <w:t>202-203</w:t>
      </w:r>
      <w:r>
        <w:rPr/>
        <w:t>室 报告期内金额：人民币</w:t>
      </w:r>
      <w:r>
        <w:rPr>
          <w:rFonts w:ascii="宋体" w:hAnsi="宋体" w:cs="宋体" w:eastAsia="宋体" w:hint="default"/>
        </w:rPr>
        <w:t>5,540,000</w:t>
      </w:r>
      <w:r>
        <w:rPr/>
        <w:t>元</w:t>
      </w:r>
    </w:p>
    <w:p>
      <w:pPr>
        <w:pStyle w:val="BodyText"/>
        <w:spacing w:line="240" w:lineRule="auto" w:before="60"/>
        <w:ind w:left="1133" w:right="0"/>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2"/>
        <w:ind w:left="1133" w:right="0"/>
        <w:jc w:val="left"/>
      </w:pPr>
      <w:r>
        <w:rPr/>
        <w:t>□ 适用 √ 不适用</w:t>
      </w:r>
    </w:p>
    <w:p>
      <w:pPr>
        <w:pStyle w:val="BodyText"/>
        <w:spacing w:line="240" w:lineRule="auto" w:before="117"/>
        <w:ind w:right="0"/>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9"/>
        <w:rPr>
          <w:rFonts w:ascii="宋体" w:hAnsi="宋体" w:cs="宋体" w:eastAsia="宋体" w:hint="default"/>
          <w:sz w:val="25"/>
          <w:szCs w:val="25"/>
        </w:rPr>
      </w:pPr>
    </w:p>
    <w:p>
      <w:pPr>
        <w:pStyle w:val="Heading5"/>
        <w:spacing w:line="240" w:lineRule="auto"/>
        <w:ind w:left="1133" w:right="0"/>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 适用 √ 不适用 公司报告期不存在担保情况。</w:t>
      </w:r>
    </w:p>
    <w:p>
      <w:pPr>
        <w:spacing w:line="240" w:lineRule="auto" w:before="13"/>
        <w:rPr>
          <w:rFonts w:ascii="宋体" w:hAnsi="宋体" w:cs="宋体" w:eastAsia="宋体" w:hint="default"/>
          <w:sz w:val="19"/>
          <w:szCs w:val="19"/>
        </w:rPr>
      </w:pPr>
    </w:p>
    <w:p>
      <w:pPr>
        <w:pStyle w:val="Heading5"/>
        <w:spacing w:line="240" w:lineRule="auto"/>
        <w:ind w:right="0"/>
        <w:jc w:val="left"/>
        <w:rPr>
          <w:b w:val="0"/>
          <w:bCs w:val="0"/>
        </w:rPr>
      </w:pPr>
      <w:bookmarkStart w:name="3、委托他人进行现金资产管理情况" w:id="91"/>
      <w:bookmarkEnd w:id="91"/>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委托理财情况" w:id="92"/>
      <w:bookmarkEnd w:id="92"/>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19"/>
          <w:pgSz w:w="11910" w:h="16840"/>
          <w:pgMar w:header="907" w:footer="1019" w:top="1100" w:bottom="1200" w:left="0" w:right="0"/>
        </w:sectPr>
      </w:pPr>
    </w:p>
    <w:p>
      <w:pPr>
        <w:pStyle w:val="BodyText"/>
        <w:spacing w:line="360" w:lineRule="auto" w:before="44"/>
        <w:ind w:right="-20"/>
        <w:jc w:val="left"/>
      </w:pPr>
      <w:r>
        <w:rPr/>
        <w:t>√ 适用 □ 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单位：万元</w:t>
      </w:r>
    </w:p>
    <w:p>
      <w:pPr>
        <w:spacing w:after="0" w:line="240" w:lineRule="auto"/>
        <w:jc w:val="center"/>
        <w:sectPr>
          <w:type w:val="continuous"/>
          <w:pgSz w:w="11910" w:h="16840"/>
          <w:pgMar w:top="1100" w:bottom="1200" w:left="0" w:right="0"/>
          <w:cols w:num="2" w:equalWidth="0">
            <w:col w:w="2935" w:space="5805"/>
            <w:col w:w="317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1"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714"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227"/>
              <w:jc w:val="left"/>
              <w:rPr>
                <w:rFonts w:ascii="宋体" w:hAnsi="宋体" w:cs="宋体" w:eastAsia="宋体" w:hint="default"/>
                <w:sz w:val="18"/>
                <w:szCs w:val="18"/>
              </w:rPr>
            </w:pPr>
            <w:r>
              <w:rPr>
                <w:rFonts w:ascii="宋体" w:hAnsi="宋体" w:cs="宋体" w:eastAsia="宋体" w:hint="default"/>
                <w:sz w:val="18"/>
                <w:szCs w:val="18"/>
              </w:rPr>
              <w:t>闲置募集资金及自有 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25,040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8,800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25,040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8,800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单项金额重大或安全性较低、流动性较差、不保本的高风险委托理财具体情况</w:t>
      </w:r>
    </w:p>
    <w:p>
      <w:pPr>
        <w:pStyle w:val="BodyText"/>
        <w:spacing w:line="360" w:lineRule="auto" w:before="116"/>
        <w:ind w:right="5712"/>
        <w:jc w:val="left"/>
      </w:pPr>
      <w:r>
        <w:rPr/>
        <w:t>□ 适用 √ 不适用 委托理财出现预期无法收回本金或存在其他可能导致减值的情形</w:t>
      </w:r>
    </w:p>
    <w:p>
      <w:pPr>
        <w:pStyle w:val="BodyText"/>
        <w:spacing w:line="240" w:lineRule="auto" w:before="26"/>
        <w:ind w:right="0"/>
        <w:jc w:val="left"/>
      </w:pPr>
      <w:r>
        <w:rPr/>
        <w:t>□ 适用 √ 不适用</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2）委托贷款情况" w:id="93"/>
      <w:bookmarkEnd w:id="93"/>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 适用 √ 不适用 公司报告期不存在委托贷款。</w:t>
      </w:r>
    </w:p>
    <w:p>
      <w:pPr>
        <w:spacing w:line="240" w:lineRule="auto" w:before="1"/>
        <w:rPr>
          <w:rFonts w:ascii="宋体" w:hAnsi="宋体" w:cs="宋体" w:eastAsia="宋体" w:hint="default"/>
          <w:sz w:val="20"/>
          <w:szCs w:val="20"/>
        </w:rPr>
      </w:pPr>
    </w:p>
    <w:p>
      <w:pPr>
        <w:pStyle w:val="Heading5"/>
        <w:spacing w:line="240" w:lineRule="auto"/>
        <w:ind w:right="0"/>
        <w:jc w:val="left"/>
        <w:rPr>
          <w:b w:val="0"/>
          <w:bCs w:val="0"/>
        </w:rPr>
      </w:pPr>
      <w:bookmarkStart w:name="4、其他重大合同" w:id="94"/>
      <w:bookmarkEnd w:id="94"/>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052"/>
        <w:jc w:val="left"/>
      </w:pPr>
      <w:r>
        <w:rPr/>
        <w:t>□ 适用 √ 不适用 公司报告期不存在其他重大合同。</w:t>
      </w:r>
    </w:p>
    <w:p>
      <w:pPr>
        <w:spacing w:line="240" w:lineRule="auto" w:before="1"/>
        <w:rPr>
          <w:rFonts w:ascii="宋体" w:hAnsi="宋体" w:cs="宋体" w:eastAsia="宋体" w:hint="default"/>
          <w:sz w:val="18"/>
          <w:szCs w:val="18"/>
        </w:rPr>
      </w:pPr>
    </w:p>
    <w:p>
      <w:pPr>
        <w:pStyle w:val="Heading3"/>
        <w:spacing w:line="240" w:lineRule="auto"/>
        <w:ind w:right="0"/>
        <w:jc w:val="left"/>
        <w:rPr>
          <w:b w:val="0"/>
          <w:bCs w:val="0"/>
        </w:rPr>
      </w:pPr>
      <w:bookmarkStart w:name="十七、社会责任情况" w:id="95"/>
      <w:bookmarkEnd w:id="95"/>
      <w:r>
        <w:rPr>
          <w:b w:val="0"/>
          <w:bCs w:val="0"/>
        </w:rPr>
      </w:r>
      <w:r>
        <w:rPr/>
        <w:t>十七、社会责任情况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履行社会责任情况" w:id="96"/>
      <w:bookmarkEnd w:id="96"/>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18" w:firstLine="360"/>
        <w:jc w:val="left"/>
      </w:pPr>
      <w:r>
        <w:rPr>
          <w:spacing w:val="-2"/>
        </w:rPr>
        <w:t>公司自成立以来，致力于促进信息科技的进步，在为股东创造价值的同时，积极保护职工的合法权益，履行企业应尽的</w:t>
      </w:r>
      <w:r>
        <w:rPr/>
        <w:t> 社会责任。</w:t>
      </w:r>
    </w:p>
    <w:p>
      <w:pPr>
        <w:pStyle w:val="BodyText"/>
        <w:spacing w:line="319" w:lineRule="auto" w:before="19"/>
        <w:ind w:right="0" w:firstLine="360"/>
        <w:jc w:val="left"/>
      </w:pPr>
      <w:r>
        <w:rPr>
          <w:spacing w:val="-2"/>
        </w:rPr>
        <w:t>依法合规、诚信经营，诚信对待供应商和客户一直是公司秉持的基本经营理念。公司在中国软件行业协会企业信用评价</w:t>
      </w:r>
      <w:r>
        <w:rPr/>
        <w:t> 中一直保持最高的</w:t>
      </w:r>
      <w:r>
        <w:rPr>
          <w:rFonts w:ascii="宋体" w:hAnsi="宋体" w:cs="宋体" w:eastAsia="宋体" w:hint="default"/>
        </w:rPr>
        <w:t>AAA</w:t>
      </w:r>
      <w:r>
        <w:rPr/>
        <w:t>评级，报告期内还通过了北京软件和信息服务业协会“</w:t>
      </w:r>
      <w:r>
        <w:rPr>
          <w:rFonts w:ascii="宋体" w:hAnsi="宋体" w:cs="宋体" w:eastAsia="宋体" w:hint="default"/>
        </w:rPr>
        <w:t>2016</w:t>
      </w:r>
      <w:r>
        <w:rPr/>
        <w:t>年北京市诚信创建企业“年审。</w:t>
      </w:r>
    </w:p>
    <w:p>
      <w:pPr>
        <w:pStyle w:val="BodyText"/>
        <w:spacing w:line="316" w:lineRule="auto" w:before="17"/>
        <w:ind w:left="1493" w:right="1933"/>
        <w:jc w:val="left"/>
      </w:pPr>
      <w:r>
        <w:rPr/>
        <w:t>公司严格遵守国家法律、法规，积极纳税并缴纳各项社会福利费用，追求企业经济效益与社会效益的共赢。 报告期内，公司与第三方慈善机构合作，积极吸纳残疾人就业，为残疾人融入社会提供帮助。</w:t>
      </w:r>
    </w:p>
    <w:p>
      <w:pPr>
        <w:spacing w:line="240" w:lineRule="auto" w:before="7"/>
        <w:rPr>
          <w:rFonts w:ascii="宋体" w:hAnsi="宋体" w:cs="宋体" w:eastAsia="宋体" w:hint="default"/>
          <w:sz w:val="22"/>
          <w:szCs w:val="22"/>
        </w:rPr>
      </w:pPr>
    </w:p>
    <w:p>
      <w:pPr>
        <w:pStyle w:val="Heading5"/>
        <w:spacing w:line="240" w:lineRule="auto"/>
        <w:ind w:left="1133" w:right="0"/>
        <w:jc w:val="left"/>
        <w:rPr>
          <w:b w:val="0"/>
          <w:bCs w:val="0"/>
        </w:rPr>
      </w:pPr>
      <w:bookmarkStart w:name="2、履行精准扶贫社会责任情况" w:id="97"/>
      <w:bookmarkEnd w:id="97"/>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公司报告年度暂未开展精准扶贫工作，也暂无后续精准扶贫计划。</w:t>
      </w:r>
    </w:p>
    <w:p>
      <w:pPr>
        <w:spacing w:line="240" w:lineRule="auto" w:before="10"/>
        <w:rPr>
          <w:rFonts w:ascii="宋体" w:hAnsi="宋体" w:cs="宋体" w:eastAsia="宋体" w:hint="default"/>
          <w:sz w:val="26"/>
          <w:szCs w:val="26"/>
        </w:rPr>
      </w:pPr>
    </w:p>
    <w:p>
      <w:pPr>
        <w:pStyle w:val="Heading5"/>
        <w:spacing w:line="240" w:lineRule="auto"/>
        <w:ind w:left="1133" w:right="0"/>
        <w:jc w:val="left"/>
        <w:rPr>
          <w:b w:val="0"/>
          <w:bCs w:val="0"/>
        </w:rPr>
      </w:pPr>
      <w:bookmarkStart w:name="3、环境保护相关的情况" w:id="98"/>
      <w:bookmarkEnd w:id="98"/>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5712"/>
        <w:jc w:val="left"/>
      </w:pPr>
      <w:r>
        <w:rPr/>
        <w:t>上市公司及其子公司是否属于环境保护部门公布的重点排污单位 否</w:t>
      </w:r>
    </w:p>
    <w:p>
      <w:pPr>
        <w:pStyle w:val="BodyText"/>
        <w:spacing w:line="240" w:lineRule="auto" w:before="29"/>
        <w:ind w:right="0"/>
        <w:jc w:val="left"/>
      </w:pPr>
      <w:r>
        <w:rPr/>
        <w:t>公司主要从事信息技术服务，并不生产任何硬件产品，不属于环境保护部门公布的重点污染单位，无污染物排放。</w:t>
      </w:r>
    </w:p>
    <w:p>
      <w:pPr>
        <w:spacing w:line="240" w:lineRule="auto" w:before="13"/>
        <w:rPr>
          <w:rFonts w:ascii="宋体" w:hAnsi="宋体" w:cs="宋体" w:eastAsia="宋体" w:hint="default"/>
          <w:sz w:val="24"/>
          <w:szCs w:val="24"/>
        </w:rPr>
      </w:pPr>
    </w:p>
    <w:p>
      <w:pPr>
        <w:pStyle w:val="Heading3"/>
        <w:spacing w:line="240" w:lineRule="auto"/>
        <w:ind w:left="1133" w:right="0"/>
        <w:jc w:val="left"/>
        <w:rPr>
          <w:b w:val="0"/>
          <w:bCs w:val="0"/>
        </w:rPr>
      </w:pPr>
      <w:bookmarkStart w:name="十八、其他重大事项的说明" w:id="99"/>
      <w:bookmarkEnd w:id="99"/>
      <w:r>
        <w:rPr>
          <w:b w:val="0"/>
          <w:bCs w:val="0"/>
        </w:rPr>
      </w:r>
      <w:r>
        <w:rPr/>
        <w:t>十八、其他重大事项的说明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152"/>
        <w:jc w:val="left"/>
      </w:pPr>
      <w:r>
        <w:rPr/>
        <w:t>□ 适用 √ 不适用 公司报告期不存在需要说明的其他重大事项。</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十九、公司子公司重大事项" w:id="100"/>
      <w:bookmarkEnd w:id="100"/>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3946" w:right="0"/>
        <w:jc w:val="left"/>
        <w:rPr>
          <w:b w:val="0"/>
          <w:bCs w:val="0"/>
        </w:rPr>
      </w:pPr>
      <w:bookmarkStart w:name="第六节 股份变动及股东情况" w:id="101"/>
      <w:bookmarkEnd w:id="101"/>
      <w:r>
        <w:rPr>
          <w:b w:val="0"/>
          <w:bCs w:val="0"/>
        </w:rPr>
      </w:r>
      <w:bookmarkStart w:name="_bookmark5" w:id="102"/>
      <w:bookmarkEnd w:id="102"/>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left="1133" w:right="0"/>
        <w:jc w:val="left"/>
        <w:rPr>
          <w:b w:val="0"/>
          <w:bCs w:val="0"/>
        </w:rPr>
      </w:pPr>
      <w:bookmarkStart w:name="一、股份变动情况" w:id="103"/>
      <w:bookmarkEnd w:id="103"/>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股份变动情况" w:id="104"/>
      <w:bookmarkEnd w:id="104"/>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228"/>
        <w:gridCol w:w="823"/>
        <w:gridCol w:w="824"/>
        <w:gridCol w:w="822"/>
        <w:gridCol w:w="822"/>
        <w:gridCol w:w="822"/>
        <w:gridCol w:w="822"/>
        <w:gridCol w:w="822"/>
        <w:gridCol w:w="794"/>
        <w:gridCol w:w="794"/>
      </w:tblGrid>
      <w:tr>
        <w:trPr>
          <w:trHeight w:val="402" w:hRule="exact"/>
        </w:trPr>
        <w:tc>
          <w:tcPr>
            <w:tcW w:w="2228" w:type="dxa"/>
            <w:vMerge w:val="restart"/>
            <w:tcBorders>
              <w:top w:val="single" w:sz="4" w:space="0" w:color="000000"/>
              <w:left w:val="single" w:sz="4" w:space="0" w:color="000000"/>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228"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5" w:right="134"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5" w:right="134"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90,000,</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-20,605,</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600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-20,605,</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600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69,394,</w:t>
            </w:r>
          </w:p>
          <w:p>
            <w:pPr>
              <w:pStyle w:val="TableParagraph"/>
              <w:spacing w:line="240" w:lineRule="auto" w:before="105"/>
              <w:ind w:left="411" w:right="0"/>
              <w:jc w:val="left"/>
              <w:rPr>
                <w:rFonts w:ascii="Times New Roman" w:hAnsi="Times New Roman" w:cs="Times New Roman" w:eastAsia="Times New Roman" w:hint="default"/>
                <w:sz w:val="18"/>
                <w:szCs w:val="18"/>
              </w:rPr>
            </w:pPr>
            <w:r>
              <w:rPr>
                <w:rFonts w:ascii="Times New Roman"/>
                <w:sz w:val="18"/>
              </w:rPr>
              <w:t>400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57.83%</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90,000,</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-20,605,</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600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-20,605,</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600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69,394,</w:t>
            </w:r>
          </w:p>
          <w:p>
            <w:pPr>
              <w:pStyle w:val="TableParagraph"/>
              <w:spacing w:line="240" w:lineRule="auto" w:before="105"/>
              <w:ind w:left="411" w:right="0"/>
              <w:jc w:val="left"/>
              <w:rPr>
                <w:rFonts w:ascii="Times New Roman" w:hAnsi="Times New Roman" w:cs="Times New Roman" w:eastAsia="Times New Roman" w:hint="default"/>
                <w:sz w:val="18"/>
                <w:szCs w:val="18"/>
              </w:rPr>
            </w:pPr>
            <w:r>
              <w:rPr>
                <w:rFonts w:ascii="Times New Roman"/>
                <w:sz w:val="18"/>
              </w:rPr>
              <w:t>400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57.83%</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10,676,</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100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8.90%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79,323,</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900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66.10%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-20,605,</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600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-20,605,</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600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69,394,</w:t>
            </w:r>
          </w:p>
          <w:p>
            <w:pPr>
              <w:pStyle w:val="TableParagraph"/>
              <w:spacing w:line="240" w:lineRule="auto" w:before="105"/>
              <w:ind w:left="411" w:right="0"/>
              <w:jc w:val="left"/>
              <w:rPr>
                <w:rFonts w:ascii="Times New Roman" w:hAnsi="Times New Roman" w:cs="Times New Roman" w:eastAsia="Times New Roman" w:hint="default"/>
                <w:sz w:val="18"/>
                <w:szCs w:val="18"/>
              </w:rPr>
            </w:pPr>
            <w:r>
              <w:rPr>
                <w:rFonts w:ascii="Times New Roman"/>
                <w:sz w:val="18"/>
              </w:rPr>
              <w:t>400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57.83%</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1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20,605,</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600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20,605,</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600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50,605,</w:t>
            </w:r>
          </w:p>
          <w:p>
            <w:pPr>
              <w:pStyle w:val="TableParagraph"/>
              <w:spacing w:line="240" w:lineRule="auto" w:before="105"/>
              <w:ind w:left="411" w:right="0"/>
              <w:jc w:val="left"/>
              <w:rPr>
                <w:rFonts w:ascii="Times New Roman" w:hAnsi="Times New Roman" w:cs="Times New Roman" w:eastAsia="Times New Roman" w:hint="default"/>
                <w:sz w:val="18"/>
                <w:szCs w:val="18"/>
              </w:rPr>
            </w:pPr>
            <w:r>
              <w:rPr>
                <w:rFonts w:ascii="Times New Roman"/>
                <w:sz w:val="18"/>
              </w:rPr>
              <w:t>600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42.17%</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20,605,</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600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20,605,</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600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50,605,</w:t>
            </w:r>
          </w:p>
          <w:p>
            <w:pPr>
              <w:pStyle w:val="TableParagraph"/>
              <w:spacing w:line="240" w:lineRule="auto" w:before="105"/>
              <w:ind w:left="411" w:right="0"/>
              <w:jc w:val="left"/>
              <w:rPr>
                <w:rFonts w:ascii="Times New Roman" w:hAnsi="Times New Roman" w:cs="Times New Roman" w:eastAsia="Times New Roman" w:hint="default"/>
                <w:sz w:val="18"/>
                <w:szCs w:val="18"/>
              </w:rPr>
            </w:pPr>
            <w:r>
              <w:rPr>
                <w:rFonts w:ascii="Times New Roman"/>
                <w:sz w:val="18"/>
              </w:rPr>
              <w:t>600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42.17%</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51"/>
        <w:ind w:right="0"/>
        <w:jc w:val="left"/>
      </w:pPr>
      <w:r>
        <w:rPr/>
        <w:t>股份变动的原因</w:t>
      </w:r>
    </w:p>
    <w:p>
      <w:pPr>
        <w:pStyle w:val="BodyText"/>
        <w:spacing w:line="357" w:lineRule="auto" w:before="117"/>
        <w:ind w:left="1493" w:right="1123" w:hanging="360"/>
        <w:jc w:val="left"/>
      </w:pPr>
      <w:r>
        <w:rPr/>
        <w:t>√ 适用 □ 不适用 </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13</w:t>
      </w:r>
      <w:r>
        <w:rPr/>
        <w:t>日，根据相关股东在公司首次公开发行股份前所作出的承诺，公司</w:t>
      </w:r>
      <w:r>
        <w:rPr>
          <w:rFonts w:ascii="宋体" w:hAnsi="宋体" w:cs="宋体" w:eastAsia="宋体" w:hint="default"/>
        </w:rPr>
        <w:t>32</w:t>
      </w:r>
      <w:r>
        <w:rPr/>
        <w:t>位股东所持有的首次公开发行前已发</w:t>
      </w:r>
    </w:p>
    <w:p>
      <w:pPr>
        <w:pStyle w:val="BodyText"/>
        <w:spacing w:line="224" w:lineRule="exact"/>
        <w:ind w:right="0"/>
        <w:jc w:val="left"/>
      </w:pPr>
      <w:r>
        <w:rPr/>
        <w:t>行的股份中</w:t>
      </w:r>
      <w:r>
        <w:rPr>
          <w:rFonts w:ascii="宋体" w:hAnsi="宋体" w:cs="宋体" w:eastAsia="宋体" w:hint="default"/>
        </w:rPr>
        <w:t>20,605,600</w:t>
      </w:r>
      <w:r>
        <w:rPr/>
        <w:t>股解除限售。因此公司有限售条件股份减少</w:t>
      </w:r>
      <w:r>
        <w:rPr>
          <w:rFonts w:ascii="宋体" w:hAnsi="宋体" w:cs="宋体" w:eastAsia="宋体" w:hint="default"/>
        </w:rPr>
        <w:t>20,605,600</w:t>
      </w:r>
      <w:r>
        <w:rPr/>
        <w:t>股，无限售条件股份增加</w:t>
      </w:r>
      <w:r>
        <w:rPr>
          <w:rFonts w:ascii="宋体" w:hAnsi="宋体" w:cs="宋体" w:eastAsia="宋体" w:hint="default"/>
        </w:rPr>
        <w:t>20,605,600</w:t>
      </w:r>
      <w:r>
        <w:rPr/>
        <w:t>股。股本</w:t>
      </w:r>
    </w:p>
    <w:p>
      <w:pPr>
        <w:pStyle w:val="BodyText"/>
        <w:spacing w:line="240" w:lineRule="auto" w:before="76"/>
        <w:ind w:left="1133" w:right="0"/>
        <w:jc w:val="left"/>
      </w:pPr>
      <w:r>
        <w:rPr/>
        <w:t>总数不变。</w:t>
      </w:r>
    </w:p>
    <w:p>
      <w:pPr>
        <w:spacing w:after="0" w:line="240" w:lineRule="auto"/>
        <w:jc w:val="left"/>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股份变动的批准情况</w:t>
      </w:r>
    </w:p>
    <w:p>
      <w:pPr>
        <w:pStyle w:val="BodyText"/>
        <w:spacing w:line="360" w:lineRule="auto" w:before="116"/>
        <w:ind w:right="9132"/>
        <w:jc w:val="left"/>
      </w:pPr>
      <w:r>
        <w:rPr/>
        <w:t>□ 适用 √ 不适用 股份变动的过户情况</w:t>
      </w:r>
    </w:p>
    <w:p>
      <w:pPr>
        <w:pStyle w:val="BodyText"/>
        <w:spacing w:line="357" w:lineRule="auto" w:before="26"/>
        <w:ind w:right="1392"/>
        <w:jc w:val="left"/>
      </w:pPr>
      <w:r>
        <w:rPr/>
        <w:t>□ 适用 √ 不适用 股份变动对最近一年和最近一期基本每股收益和稀释每股收益、归属于公司普通股股东的每股净资产等财务指标的影响</w:t>
      </w:r>
    </w:p>
    <w:p>
      <w:pPr>
        <w:pStyle w:val="BodyText"/>
        <w:spacing w:line="357" w:lineRule="auto" w:before="29"/>
        <w:ind w:right="6792"/>
        <w:jc w:val="left"/>
      </w:pPr>
      <w:r>
        <w:rPr/>
        <w:t>□ 适用 √ 不适用 公司认为必要或证券监管机构要求披露的其他内容</w:t>
      </w:r>
    </w:p>
    <w:p>
      <w:pPr>
        <w:pStyle w:val="BodyText"/>
        <w:spacing w:line="240" w:lineRule="auto" w:before="28"/>
        <w:ind w:right="0"/>
        <w:jc w:val="left"/>
      </w:pPr>
      <w:r>
        <w:rPr/>
        <w:t>□ 适用 √ 不适用</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限售股份变动情况" w:id="105"/>
      <w:bookmarkEnd w:id="105"/>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99" w:right="138"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99" w:right="138"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5" w:right="134" w:hanging="450"/>
              <w:jc w:val="left"/>
              <w:rPr>
                <w:rFonts w:ascii="宋体" w:hAnsi="宋体" w:cs="宋体" w:eastAsia="宋体" w:hint="default"/>
                <w:sz w:val="18"/>
                <w:szCs w:val="18"/>
              </w:rPr>
            </w:pPr>
            <w:r>
              <w:rPr>
                <w:rFonts w:ascii="宋体" w:hAnsi="宋体" w:cs="宋体" w:eastAsia="宋体" w:hint="default"/>
                <w:sz w:val="18"/>
                <w:szCs w:val="18"/>
              </w:rPr>
              <w:t>拟解除限售日 期</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马丹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1,783,900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1,783,900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李庆辉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1,629,500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1,629,500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司汝军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1,475,500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1,475,500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李开福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1,463,100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1,463,100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1,051,600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1,051,600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罗剑斌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1,038,100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1,038,100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李云峰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1,036,000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1,036,000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郑云波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853,200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853,200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744,500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744,500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王红霞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701,900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701,900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名股东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8,828,300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8,828,300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20,605,600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20,605,600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二、证券发行与上市情况" w:id="106"/>
      <w:bookmarkEnd w:id="106"/>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报告期内证券发行（不含优先股）情况" w:id="107"/>
      <w:bookmarkEnd w:id="107"/>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2、公司股份总数及股东结构的变动、公司资产和负债结构的变动情况说明" w:id="108"/>
      <w:bookmarkEnd w:id="10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5"/>
        <w:spacing w:line="240" w:lineRule="auto" w:before="35"/>
        <w:ind w:right="0"/>
        <w:jc w:val="left"/>
        <w:rPr>
          <w:b w:val="0"/>
          <w:bCs w:val="0"/>
        </w:rPr>
      </w:pPr>
      <w:bookmarkStart w:name="3、现存的内部职工股情况" w:id="109"/>
      <w:bookmarkEnd w:id="10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0"/>
        <w:rPr>
          <w:rFonts w:ascii="宋体" w:hAnsi="宋体" w:cs="宋体" w:eastAsia="宋体" w:hint="default"/>
          <w:sz w:val="25"/>
          <w:szCs w:val="25"/>
        </w:rPr>
      </w:pPr>
    </w:p>
    <w:p>
      <w:pPr>
        <w:pStyle w:val="Heading3"/>
        <w:spacing w:line="240" w:lineRule="auto"/>
        <w:ind w:right="0"/>
        <w:jc w:val="left"/>
        <w:rPr>
          <w:b w:val="0"/>
          <w:bCs w:val="0"/>
        </w:rPr>
      </w:pPr>
      <w:bookmarkStart w:name="三、股东和实际控制人情况" w:id="110"/>
      <w:bookmarkEnd w:id="110"/>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133" w:right="0"/>
        <w:jc w:val="left"/>
        <w:rPr>
          <w:b w:val="0"/>
          <w:bCs w:val="0"/>
        </w:rPr>
      </w:pPr>
      <w:bookmarkStart w:name="1、公司股东数量及持股情况" w:id="111"/>
      <w:bookmarkEnd w:id="111"/>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34"/>
        <w:gridCol w:w="135"/>
        <w:gridCol w:w="661"/>
        <w:gridCol w:w="750"/>
        <w:gridCol w:w="750"/>
        <w:gridCol w:w="825"/>
        <w:gridCol w:w="332"/>
        <w:gridCol w:w="456"/>
        <w:gridCol w:w="830"/>
        <w:gridCol w:w="796"/>
        <w:gridCol w:w="311"/>
        <w:gridCol w:w="1038"/>
        <w:gridCol w:w="290"/>
        <w:gridCol w:w="1060"/>
      </w:tblGrid>
      <w:tr>
        <w:trPr>
          <w:trHeight w:val="1967"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3" w:right="139"/>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7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16,859</w:t>
            </w:r>
          </w:p>
        </w:tc>
        <w:tc>
          <w:tcPr>
            <w:tcW w:w="15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305"/>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1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49" w:right="0"/>
              <w:jc w:val="left"/>
              <w:rPr>
                <w:rFonts w:ascii="Times New Roman" w:hAnsi="Times New Roman" w:cs="Times New Roman" w:eastAsia="Times New Roman" w:hint="default"/>
                <w:sz w:val="18"/>
                <w:szCs w:val="18"/>
              </w:rPr>
            </w:pPr>
            <w:r>
              <w:rPr>
                <w:rFonts w:ascii="Times New Roman"/>
                <w:sz w:val="18"/>
              </w:rPr>
              <w:t>16,559</w:t>
            </w:r>
          </w:p>
        </w:tc>
        <w:tc>
          <w:tcPr>
            <w:tcW w:w="12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92"/>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03" w:right="57"/>
              <w:jc w:val="both"/>
              <w:rPr>
                <w:rFonts w:ascii="宋体" w:hAnsi="宋体" w:cs="宋体" w:eastAsia="宋体" w:hint="default"/>
                <w:sz w:val="18"/>
                <w:szCs w:val="18"/>
              </w:rPr>
            </w:pPr>
            <w:r>
              <w:rPr>
                <w:rFonts w:ascii="宋体" w:hAnsi="宋体" w:cs="宋体" w:eastAsia="宋体" w:hint="default"/>
                <w:spacing w:val="-21"/>
                <w:sz w:val="18"/>
                <w:szCs w:val="18"/>
              </w:rPr>
              <w:t>（如有）（参见</w:t>
            </w:r>
            <w:r>
              <w:rPr>
                <w:rFonts w:ascii="宋体" w:hAnsi="宋体" w:cs="宋体" w:eastAsia="宋体" w:hint="default"/>
                <w:sz w:val="18"/>
                <w:szCs w:val="18"/>
              </w:rPr>
              <w:t>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2"/>
              <w:jc w:val="both"/>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22"/>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98" w:right="79"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8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6" w:right="116"/>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8" w:right="119"/>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8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7" w:right="160"/>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1" w:right="143"/>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69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6"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4" w:space="0" w:color="000000"/>
            </w:tcBorders>
            <w:shd w:val="clear" w:color="auto" w:fill="D2D2D2"/>
          </w:tcPr>
          <w:p>
            <w:pPr/>
          </w:p>
        </w:tc>
        <w:tc>
          <w:tcPr>
            <w:tcW w:w="825" w:type="dxa"/>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30"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范丽明</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6.71%</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8,048,2</w:t>
            </w:r>
          </w:p>
          <w:p>
            <w:pPr>
              <w:pStyle w:val="TableParagraph"/>
              <w:spacing w:line="240" w:lineRule="auto" w:before="105"/>
              <w:ind w:left="531" w:right="0"/>
              <w:jc w:val="left"/>
              <w:rPr>
                <w:rFonts w:ascii="Times New Roman" w:hAnsi="Times New Roman" w:cs="Times New Roman" w:eastAsia="Times New Roman" w:hint="default"/>
                <w:sz w:val="18"/>
                <w:szCs w:val="18"/>
              </w:rPr>
            </w:pPr>
            <w:r>
              <w:rPr>
                <w:rFonts w:ascii="Times New Roman"/>
                <w:sz w:val="18"/>
              </w:rPr>
              <w:t>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8,048,2</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林鸿</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6.06%</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7,271,2</w:t>
            </w:r>
          </w:p>
          <w:p>
            <w:pPr>
              <w:pStyle w:val="TableParagraph"/>
              <w:spacing w:line="240" w:lineRule="auto" w:before="105"/>
              <w:ind w:left="531" w:right="0"/>
              <w:jc w:val="left"/>
              <w:rPr>
                <w:rFonts w:ascii="Times New Roman" w:hAnsi="Times New Roman" w:cs="Times New Roman" w:eastAsia="Times New Roman" w:hint="default"/>
                <w:sz w:val="18"/>
                <w:szCs w:val="18"/>
              </w:rPr>
            </w:pPr>
            <w:r>
              <w:rPr>
                <w:rFonts w:ascii="Times New Roman"/>
                <w:sz w:val="18"/>
              </w:rPr>
              <w:t>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7,271,2</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6" w:right="0"/>
              <w:jc w:val="left"/>
              <w:rPr>
                <w:rFonts w:ascii="Times New Roman" w:hAnsi="Times New Roman" w:cs="Times New Roman" w:eastAsia="Times New Roman" w:hint="default"/>
                <w:sz w:val="18"/>
                <w:szCs w:val="18"/>
              </w:rPr>
            </w:pPr>
            <w:r>
              <w:rPr>
                <w:rFonts w:ascii="Times New Roman"/>
                <w:sz w:val="18"/>
              </w:rPr>
              <w:t>1,817,800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4"/>
              <w:jc w:val="left"/>
              <w:rPr>
                <w:rFonts w:ascii="宋体" w:hAnsi="宋体" w:cs="宋体" w:eastAsia="宋体" w:hint="default"/>
                <w:sz w:val="18"/>
                <w:szCs w:val="18"/>
              </w:rPr>
            </w:pPr>
            <w:r>
              <w:rPr>
                <w:rFonts w:ascii="宋体" w:hAnsi="宋体" w:cs="宋体" w:eastAsia="宋体" w:hint="default"/>
                <w:sz w:val="18"/>
                <w:szCs w:val="18"/>
              </w:rPr>
              <w:t>北京银汉创业 投资有限公司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6"/>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5.25%</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6,300,0</w:t>
            </w:r>
          </w:p>
          <w:p>
            <w:pPr>
              <w:pStyle w:val="TableParagraph"/>
              <w:spacing w:line="240" w:lineRule="auto" w:before="105"/>
              <w:ind w:left="531" w:right="0"/>
              <w:jc w:val="left"/>
              <w:rPr>
                <w:rFonts w:ascii="Times New Roman" w:hAnsi="Times New Roman" w:cs="Times New Roman" w:eastAsia="Times New Roman" w:hint="default"/>
                <w:sz w:val="18"/>
                <w:szCs w:val="18"/>
              </w:rPr>
            </w:pPr>
            <w:r>
              <w:rPr>
                <w:rFonts w:ascii="Times New Roman"/>
                <w:sz w:val="18"/>
              </w:rPr>
              <w:t>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6,300,0</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李铠</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5.20%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6,241,6</w:t>
            </w:r>
          </w:p>
          <w:p>
            <w:pPr>
              <w:pStyle w:val="TableParagraph"/>
              <w:spacing w:line="240" w:lineRule="auto" w:before="105"/>
              <w:ind w:left="531" w:right="0"/>
              <w:jc w:val="left"/>
              <w:rPr>
                <w:rFonts w:ascii="Times New Roman" w:hAnsi="Times New Roman" w:cs="Times New Roman" w:eastAsia="Times New Roman" w:hint="default"/>
                <w:sz w:val="18"/>
                <w:szCs w:val="18"/>
              </w:rPr>
            </w:pPr>
            <w:r>
              <w:rPr>
                <w:rFonts w:ascii="Times New Roman"/>
                <w:sz w:val="18"/>
              </w:rPr>
              <w:t>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6,241,6</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6" w:right="0"/>
              <w:jc w:val="left"/>
              <w:rPr>
                <w:rFonts w:ascii="Times New Roman" w:hAnsi="Times New Roman" w:cs="Times New Roman" w:eastAsia="Times New Roman" w:hint="default"/>
                <w:sz w:val="18"/>
                <w:szCs w:val="18"/>
              </w:rPr>
            </w:pPr>
            <w:r>
              <w:rPr>
                <w:rFonts w:ascii="Times New Roman"/>
                <w:sz w:val="18"/>
              </w:rPr>
              <w:t>1,335,000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陈东辉</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4.88%</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5,859,0</w:t>
            </w:r>
          </w:p>
          <w:p>
            <w:pPr>
              <w:pStyle w:val="TableParagraph"/>
              <w:spacing w:line="240" w:lineRule="auto" w:before="105"/>
              <w:ind w:left="531" w:right="0"/>
              <w:jc w:val="left"/>
              <w:rPr>
                <w:rFonts w:ascii="Times New Roman" w:hAnsi="Times New Roman" w:cs="Times New Roman" w:eastAsia="Times New Roman" w:hint="default"/>
                <w:sz w:val="18"/>
                <w:szCs w:val="18"/>
              </w:rPr>
            </w:pPr>
            <w:r>
              <w:rPr>
                <w:rFonts w:ascii="Times New Roman"/>
                <w:sz w:val="18"/>
              </w:rPr>
              <w:t>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5,859,0</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6" w:right="0"/>
              <w:jc w:val="left"/>
              <w:rPr>
                <w:rFonts w:ascii="Times New Roman" w:hAnsi="Times New Roman" w:cs="Times New Roman" w:eastAsia="Times New Roman" w:hint="default"/>
                <w:sz w:val="18"/>
                <w:szCs w:val="18"/>
              </w:rPr>
            </w:pPr>
            <w:r>
              <w:rPr>
                <w:rFonts w:ascii="Times New Roman"/>
                <w:sz w:val="18"/>
              </w:rPr>
              <w:t>2,500,000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韩燕婴</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4.88%</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5,859,0</w:t>
            </w:r>
          </w:p>
          <w:p>
            <w:pPr>
              <w:pStyle w:val="TableParagraph"/>
              <w:spacing w:line="240" w:lineRule="auto" w:before="105"/>
              <w:ind w:left="531" w:right="0"/>
              <w:jc w:val="left"/>
              <w:rPr>
                <w:rFonts w:ascii="Times New Roman" w:hAnsi="Times New Roman" w:cs="Times New Roman" w:eastAsia="Times New Roman" w:hint="default"/>
                <w:sz w:val="18"/>
                <w:szCs w:val="18"/>
              </w:rPr>
            </w:pPr>
            <w:r>
              <w:rPr>
                <w:rFonts w:ascii="Times New Roman"/>
                <w:sz w:val="18"/>
              </w:rPr>
              <w:t>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5,859,0</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6" w:right="0"/>
              <w:jc w:val="left"/>
              <w:rPr>
                <w:rFonts w:ascii="Times New Roman" w:hAnsi="Times New Roman" w:cs="Times New Roman" w:eastAsia="Times New Roman" w:hint="default"/>
                <w:sz w:val="18"/>
                <w:szCs w:val="18"/>
              </w:rPr>
            </w:pPr>
            <w:r>
              <w:rPr>
                <w:rFonts w:ascii="Times New Roman"/>
                <w:sz w:val="18"/>
              </w:rPr>
              <w:t>2,000,000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103" w:right="154"/>
              <w:jc w:val="left"/>
              <w:rPr>
                <w:rFonts w:ascii="宋体" w:hAnsi="宋体" w:cs="宋体" w:eastAsia="宋体" w:hint="default"/>
                <w:sz w:val="15"/>
                <w:szCs w:val="15"/>
              </w:rPr>
            </w:pPr>
            <w:r>
              <w:rPr>
                <w:rFonts w:ascii="宋体" w:hAnsi="宋体" w:cs="宋体" w:eastAsia="宋体" w:hint="default"/>
                <w:sz w:val="15"/>
                <w:szCs w:val="15"/>
              </w:rPr>
              <w:t>北京致远天成科技 中心（有限合伙）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6"/>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3.65%</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4,376,1</w:t>
            </w:r>
          </w:p>
          <w:p>
            <w:pPr>
              <w:pStyle w:val="TableParagraph"/>
              <w:spacing w:line="240" w:lineRule="auto" w:before="105"/>
              <w:ind w:left="531" w:right="0"/>
              <w:jc w:val="left"/>
              <w:rPr>
                <w:rFonts w:ascii="Times New Roman" w:hAnsi="Times New Roman" w:cs="Times New Roman" w:eastAsia="Times New Roman" w:hint="default"/>
                <w:sz w:val="18"/>
                <w:szCs w:val="18"/>
              </w:rPr>
            </w:pPr>
            <w:r>
              <w:rPr>
                <w:rFonts w:ascii="Times New Roman"/>
                <w:sz w:val="18"/>
              </w:rPr>
              <w:t>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4,376,1</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林波</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2.86%</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3,435,3</w:t>
            </w:r>
          </w:p>
          <w:p>
            <w:pPr>
              <w:pStyle w:val="TableParagraph"/>
              <w:spacing w:line="240" w:lineRule="auto" w:before="105"/>
              <w:ind w:left="531" w:right="0"/>
              <w:jc w:val="left"/>
              <w:rPr>
                <w:rFonts w:ascii="Times New Roman" w:hAnsi="Times New Roman" w:cs="Times New Roman" w:eastAsia="Times New Roman" w:hint="default"/>
                <w:sz w:val="18"/>
                <w:szCs w:val="18"/>
              </w:rPr>
            </w:pPr>
            <w:r>
              <w:rPr>
                <w:rFonts w:ascii="Times New Roman"/>
                <w:sz w:val="18"/>
              </w:rPr>
              <w:t>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3,435,3</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6" w:right="0"/>
              <w:jc w:val="left"/>
              <w:rPr>
                <w:rFonts w:ascii="Times New Roman" w:hAnsi="Times New Roman" w:cs="Times New Roman" w:eastAsia="Times New Roman" w:hint="default"/>
                <w:sz w:val="18"/>
                <w:szCs w:val="18"/>
              </w:rPr>
            </w:pPr>
            <w:r>
              <w:rPr>
                <w:rFonts w:ascii="Times New Roman"/>
                <w:sz w:val="18"/>
              </w:rPr>
              <w:t>3,435,300</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朱胡勇</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2.85%</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3,414,1</w:t>
            </w:r>
          </w:p>
          <w:p>
            <w:pPr>
              <w:pStyle w:val="TableParagraph"/>
              <w:spacing w:line="240" w:lineRule="auto" w:before="105"/>
              <w:ind w:left="531" w:right="0"/>
              <w:jc w:val="left"/>
              <w:rPr>
                <w:rFonts w:ascii="Times New Roman" w:hAnsi="Times New Roman" w:cs="Times New Roman" w:eastAsia="Times New Roman" w:hint="default"/>
                <w:sz w:val="18"/>
                <w:szCs w:val="18"/>
              </w:rPr>
            </w:pPr>
            <w:r>
              <w:rPr>
                <w:rFonts w:ascii="Times New Roman"/>
                <w:sz w:val="18"/>
              </w:rPr>
              <w:t>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3,414,1</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6" w:right="0"/>
              <w:jc w:val="left"/>
              <w:rPr>
                <w:rFonts w:ascii="Times New Roman" w:hAnsi="Times New Roman" w:cs="Times New Roman" w:eastAsia="Times New Roman" w:hint="default"/>
                <w:sz w:val="18"/>
                <w:szCs w:val="18"/>
              </w:rPr>
            </w:pPr>
            <w:r>
              <w:rPr>
                <w:rFonts w:ascii="Times New Roman"/>
                <w:sz w:val="18"/>
              </w:rPr>
              <w:t>1,600,000</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罗云波</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2.68%</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9" w:right="0"/>
              <w:jc w:val="left"/>
              <w:rPr>
                <w:rFonts w:ascii="Times New Roman" w:hAnsi="Times New Roman" w:cs="Times New Roman" w:eastAsia="Times New Roman" w:hint="default"/>
                <w:sz w:val="18"/>
                <w:szCs w:val="18"/>
              </w:rPr>
            </w:pPr>
            <w:r>
              <w:rPr>
                <w:rFonts w:ascii="Times New Roman"/>
                <w:sz w:val="18"/>
              </w:rPr>
              <w:t>3,211,2</w:t>
            </w:r>
          </w:p>
          <w:p>
            <w:pPr>
              <w:pStyle w:val="TableParagraph"/>
              <w:spacing w:line="240" w:lineRule="auto" w:before="105"/>
              <w:ind w:left="531" w:right="0"/>
              <w:jc w:val="left"/>
              <w:rPr>
                <w:rFonts w:ascii="Times New Roman" w:hAnsi="Times New Roman" w:cs="Times New Roman" w:eastAsia="Times New Roman" w:hint="default"/>
                <w:sz w:val="18"/>
                <w:szCs w:val="18"/>
              </w:rPr>
            </w:pPr>
            <w:r>
              <w:rPr>
                <w:rFonts w:ascii="Times New Roman"/>
                <w:sz w:val="18"/>
              </w:rPr>
              <w:t>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0" w:right="0"/>
              <w:jc w:val="left"/>
              <w:rPr>
                <w:rFonts w:ascii="Times New Roman" w:hAnsi="Times New Roman" w:cs="Times New Roman" w:eastAsia="Times New Roman" w:hint="default"/>
                <w:sz w:val="18"/>
                <w:szCs w:val="18"/>
              </w:rPr>
            </w:pPr>
            <w:r>
              <w:rPr>
                <w:rFonts w:ascii="Times New Roman"/>
                <w:sz w:val="18"/>
              </w:rPr>
              <w:t>3,211,2</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00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880"/>
        <w:gridCol w:w="3989"/>
        <w:gridCol w:w="1349"/>
        <w:gridCol w:w="1350"/>
      </w:tblGrid>
      <w:tr>
        <w:trPr>
          <w:trHeight w:val="1026"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名股东的情况（如有）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55"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1"/>
              <w:ind w:left="103" w:right="2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上述股东之间不存在关联关系，不属于相关法规规定的一致行动人。</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8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1" w:hRule="exact"/>
        </w:trPr>
        <w:tc>
          <w:tcPr>
            <w:tcW w:w="2880" w:type="dxa"/>
            <w:vMerge/>
            <w:tcBorders>
              <w:left w:val="single" w:sz="4" w:space="0" w:color="000000"/>
              <w:bottom w:val="single" w:sz="4" w:space="0" w:color="000000"/>
              <w:right w:val="single" w:sz="4" w:space="0" w:color="000000"/>
            </w:tcBorders>
            <w:shd w:val="clear" w:color="auto" w:fill="D2D2D2"/>
          </w:tcPr>
          <w:p>
            <w:pPr/>
          </w:p>
        </w:tc>
        <w:tc>
          <w:tcPr>
            <w:tcW w:w="3989"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马丹</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1,609,300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1,609,300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李庆辉</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1,516,200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1,516,200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李开福</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1,188,100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1,188,100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李云峰</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1,036,100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1,036,100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司汝军</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993,200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993,200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王波</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889,800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889,800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郑云波</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853,200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853,200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王南</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744,500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744,500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罗剑斌</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602,900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602,900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完献忠</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566,900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566,900</w:t>
            </w:r>
          </w:p>
        </w:tc>
      </w:tr>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103" w:right="155"/>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上述股东之间不存在关联关系，不属于相关法规规定的一致行动人。</w:t>
            </w:r>
          </w:p>
        </w:tc>
      </w:tr>
      <w:tr>
        <w:trPr>
          <w:trHeight w:val="715"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2"/>
        <w:ind w:left="1133" w:right="0"/>
        <w:jc w:val="left"/>
      </w:pPr>
      <w:r>
        <w:rPr/>
        <w:t>□ 是 √ 否</w:t>
      </w:r>
    </w:p>
    <w:p>
      <w:pPr>
        <w:pStyle w:val="BodyText"/>
        <w:spacing w:line="240" w:lineRule="auto" w:before="117"/>
        <w:ind w:left="1133"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5"/>
        <w:spacing w:line="240" w:lineRule="auto"/>
        <w:ind w:left="1133" w:right="0"/>
        <w:jc w:val="left"/>
        <w:rPr>
          <w:b w:val="0"/>
          <w:bCs w:val="0"/>
        </w:rPr>
      </w:pPr>
      <w:bookmarkStart w:name="2、公司控股股东情况" w:id="112"/>
      <w:bookmarkEnd w:id="11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3" w:right="8233"/>
        <w:jc w:val="left"/>
      </w:pPr>
      <w:r>
        <w:rPr/>
        <w:t>控股股东性质：无控股主体 控股股东类型：不存在 公司不存在控股股东情况的说明</w:t>
      </w:r>
    </w:p>
    <w:p>
      <w:pPr>
        <w:pStyle w:val="BodyText"/>
        <w:spacing w:line="319" w:lineRule="auto" w:before="28"/>
        <w:ind w:left="1133" w:right="1131" w:firstLine="360"/>
        <w:jc w:val="both"/>
      </w:pPr>
      <w:r>
        <w:rPr>
          <w:spacing w:val="-2"/>
        </w:rPr>
        <w:t>公司任一股东所持的股份不足以对公司股东大会的决议产生决定性影响；公司不存在某一股东控制董事会多数席位的情</w:t>
      </w:r>
      <w:r>
        <w:rPr/>
        <w:t> </w:t>
      </w:r>
      <w:r>
        <w:rPr>
          <w:spacing w:val="-2"/>
        </w:rPr>
        <w:t>形，亦不存在其他能够实际支配公司行为的人，且公司持股</w:t>
      </w:r>
      <w:r>
        <w:rPr>
          <w:rFonts w:ascii="宋体" w:hAnsi="宋体" w:cs="宋体" w:eastAsia="宋体" w:hint="default"/>
          <w:spacing w:val="-2"/>
        </w:rPr>
        <w:t>5%</w:t>
      </w:r>
      <w:r>
        <w:rPr>
          <w:spacing w:val="-2"/>
        </w:rPr>
        <w:t>以上的股东无一致行动协议或约定。因此，公司不存在控股股</w:t>
      </w:r>
      <w:r>
        <w:rPr>
          <w:spacing w:val="-64"/>
        </w:rPr>
        <w:t> </w:t>
      </w:r>
      <w:r>
        <w:rPr>
          <w:spacing w:val="-64"/>
        </w:rPr>
      </w:r>
      <w:r>
        <w:rPr/>
        <w:t>东或实际控制人。</w:t>
      </w:r>
    </w:p>
    <w:p>
      <w:pPr>
        <w:pStyle w:val="BodyText"/>
        <w:spacing w:line="240" w:lineRule="auto" w:before="58"/>
        <w:ind w:left="1133" w:right="0"/>
        <w:jc w:val="left"/>
      </w:pPr>
      <w:r>
        <w:rPr/>
        <w:t>控股股东报告期内变更</w:t>
      </w:r>
    </w:p>
    <w:p>
      <w:pPr>
        <w:pStyle w:val="BodyText"/>
        <w:spacing w:line="240" w:lineRule="auto" w:before="116"/>
        <w:ind w:left="1133" w:right="0"/>
        <w:jc w:val="left"/>
      </w:pPr>
      <w:r>
        <w:rPr/>
        <w:t>□ 适用 √ 不适用</w:t>
      </w:r>
    </w:p>
    <w:p>
      <w:pPr>
        <w:spacing w:after="0" w:line="240" w:lineRule="auto"/>
        <w:jc w:val="left"/>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公司报告期控股股东未发生变更。</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3、公司实际控制人情况" w:id="113"/>
      <w:bookmarkEnd w:id="113"/>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8052"/>
        <w:jc w:val="left"/>
      </w:pPr>
      <w:r>
        <w:rPr/>
        <w:t>实际控制人性质：无实际控制人 实际控制人类型：不存在 公司不存在实际控制人情况的说明</w:t>
      </w:r>
    </w:p>
    <w:p>
      <w:pPr>
        <w:pStyle w:val="BodyText"/>
        <w:spacing w:line="316" w:lineRule="auto" w:before="25"/>
        <w:ind w:left="1133" w:right="1131" w:firstLine="360"/>
        <w:jc w:val="both"/>
      </w:pPr>
      <w:r>
        <w:rPr>
          <w:spacing w:val="-2"/>
        </w:rPr>
        <w:t>公司任一股东所持的股份不足以对公司股东大会的决议产生决定性影响；公司不存在某一股东控制董事会多数席位的情</w:t>
      </w:r>
      <w:r>
        <w:rPr/>
        <w:t> </w:t>
      </w:r>
      <w:r>
        <w:rPr>
          <w:spacing w:val="-2"/>
        </w:rPr>
        <w:t>形，亦不存在其他能够实际支配公司行为的人，且公司持股</w:t>
      </w:r>
      <w:r>
        <w:rPr>
          <w:rFonts w:ascii="宋体" w:hAnsi="宋体" w:cs="宋体" w:eastAsia="宋体" w:hint="default"/>
          <w:spacing w:val="-2"/>
        </w:rPr>
        <w:t>5%</w:t>
      </w:r>
      <w:r>
        <w:rPr>
          <w:spacing w:val="-2"/>
        </w:rPr>
        <w:t>以上的股东无一致行动协议或约定。因此，公司不存在控股股</w:t>
      </w:r>
      <w:r>
        <w:rPr>
          <w:spacing w:val="-64"/>
        </w:rPr>
        <w:t> </w:t>
      </w:r>
      <w:r>
        <w:rPr>
          <w:spacing w:val="-64"/>
        </w:rPr>
      </w:r>
      <w:r>
        <w:rPr/>
        <w:t>东或实际控制人。</w:t>
      </w:r>
    </w:p>
    <w:p>
      <w:pPr>
        <w:pStyle w:val="BodyText"/>
        <w:spacing w:line="240" w:lineRule="auto" w:before="59"/>
        <w:ind w:left="1133" w:right="0"/>
        <w:jc w:val="left"/>
      </w:pPr>
      <w:r>
        <w:rPr/>
        <w:t>公司最终控制层面是否存在持股比例在</w:t>
      </w:r>
      <w:r>
        <w:rPr>
          <w:spacing w:val="-46"/>
        </w:rPr>
        <w:t> </w:t>
      </w:r>
      <w:r>
        <w:rPr>
          <w:rFonts w:ascii="Times New Roman" w:hAnsi="Times New Roman" w:cs="Times New Roman" w:eastAsia="Times New Roman" w:hint="default"/>
        </w:rPr>
        <w:t>10%</w:t>
      </w:r>
      <w:r>
        <w:rPr/>
        <w:t>以上的股东情况</w:t>
      </w:r>
    </w:p>
    <w:p>
      <w:pPr>
        <w:pStyle w:val="BodyText"/>
        <w:spacing w:line="240" w:lineRule="auto" w:before="103"/>
        <w:ind w:left="1133" w:right="0"/>
        <w:jc w:val="left"/>
      </w:pPr>
      <w:r>
        <w:rPr/>
        <w:t>□ 是 √ 否</w:t>
      </w:r>
    </w:p>
    <w:p>
      <w:pPr>
        <w:pStyle w:val="BodyText"/>
        <w:spacing w:line="338" w:lineRule="auto" w:before="116"/>
        <w:ind w:left="1133" w:right="7049"/>
        <w:jc w:val="left"/>
      </w:pPr>
      <w:r>
        <w:rPr/>
        <w:t>公司最终控制层面持股比例</w:t>
      </w:r>
      <w:r>
        <w:rPr>
          <w:spacing w:val="-46"/>
        </w:rPr>
        <w:t> </w:t>
      </w:r>
      <w:r>
        <w:rPr>
          <w:rFonts w:ascii="Times New Roman" w:hAnsi="Times New Roman" w:cs="Times New Roman" w:eastAsia="Times New Roman" w:hint="default"/>
        </w:rPr>
        <w:t>5%</w:t>
      </w:r>
      <w:r>
        <w:rPr/>
        <w:t>以上的股东情况 自然人</w:t>
      </w:r>
    </w:p>
    <w:p>
      <w:pPr>
        <w:pStyle w:val="BodyText"/>
        <w:spacing w:line="240" w:lineRule="auto" w:before="43"/>
        <w:ind w:left="1133" w:right="0"/>
        <w:jc w:val="left"/>
      </w:pPr>
      <w:r>
        <w:rPr/>
        <w:t>最终控制层面持股情况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2" w:right="0"/>
              <w:jc w:val="left"/>
              <w:rPr>
                <w:rFonts w:ascii="宋体" w:hAnsi="宋体" w:cs="宋体" w:eastAsia="宋体" w:hint="default"/>
                <w:sz w:val="18"/>
                <w:szCs w:val="18"/>
              </w:rPr>
            </w:pPr>
            <w:r>
              <w:rPr>
                <w:rFonts w:ascii="宋体" w:hAnsi="宋体" w:cs="宋体" w:eastAsia="宋体" w:hint="default"/>
                <w:sz w:val="18"/>
                <w:szCs w:val="18"/>
              </w:rPr>
              <w:t>最终控制层面股东姓名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范丽明</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林鸿</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李铠</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以上个人股东均为公司董事，详细情况见本报告第八节</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实际控制人报告期内变更</w:t>
      </w:r>
    </w:p>
    <w:p>
      <w:pPr>
        <w:pStyle w:val="BodyText"/>
        <w:spacing w:line="357" w:lineRule="auto" w:before="117"/>
        <w:ind w:right="7692"/>
        <w:jc w:val="left"/>
      </w:pPr>
      <w:r>
        <w:rPr/>
        <w:t>□ 适用 √ 不适用 公司报告期实际控制人未发生变更。</w:t>
      </w:r>
    </w:p>
    <w:p>
      <w:pPr>
        <w:spacing w:line="240" w:lineRule="auto" w:before="0"/>
        <w:rPr>
          <w:rFonts w:ascii="宋体" w:hAnsi="宋体" w:cs="宋体" w:eastAsia="宋体" w:hint="default"/>
          <w:sz w:val="18"/>
          <w:szCs w:val="18"/>
        </w:rPr>
      </w:pPr>
    </w:p>
    <w:p>
      <w:pPr>
        <w:pStyle w:val="BodyText"/>
        <w:spacing w:line="240" w:lineRule="auto" w:before="145"/>
        <w:ind w:right="0"/>
        <w:jc w:val="left"/>
      </w:pPr>
      <w:r>
        <w:rPr/>
        <w:t>实际控制人通过信托或其他资产管理方式控制公司</w:t>
      </w:r>
    </w:p>
    <w:p>
      <w:pPr>
        <w:pStyle w:val="BodyText"/>
        <w:spacing w:line="240" w:lineRule="auto" w:before="116"/>
        <w:ind w:right="0"/>
        <w:jc w:val="left"/>
      </w:pPr>
      <w:r>
        <w:rPr/>
        <w:t>□ 适用 √ 不适用</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其他持股在10%以上的法人股东" w:id="114"/>
      <w:bookmarkEnd w:id="114"/>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5、控股股东、实际控制人、重组方及其他承诺主体股份限制减持情况" w:id="115"/>
      <w:bookmarkEnd w:id="115"/>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3403"/>
        <w:jc w:val="center"/>
        <w:rPr>
          <w:b w:val="0"/>
          <w:bCs w:val="0"/>
        </w:rPr>
      </w:pPr>
      <w:bookmarkStart w:name="第七节 优先股相关情况" w:id="116"/>
      <w:bookmarkEnd w:id="116"/>
      <w:r>
        <w:rPr>
          <w:b w:val="0"/>
          <w:bCs w:val="0"/>
        </w:rPr>
      </w:r>
      <w:bookmarkStart w:name="_bookmark6" w:id="117"/>
      <w:bookmarkEnd w:id="117"/>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57" w:lineRule="auto" w:before="44"/>
        <w:ind w:right="8592"/>
        <w:jc w:val="left"/>
      </w:pPr>
      <w:r>
        <w:rPr/>
        <w:t>□ 适用 √ 不适用 报告期公司不存在优先股。</w:t>
      </w:r>
    </w:p>
    <w:p>
      <w:pPr>
        <w:spacing w:after="0" w:line="357" w:lineRule="auto"/>
        <w:jc w:val="left"/>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left="2660" w:right="0"/>
        <w:jc w:val="left"/>
        <w:rPr>
          <w:b w:val="0"/>
          <w:bCs w:val="0"/>
        </w:rPr>
      </w:pPr>
      <w:bookmarkStart w:name="第八节 董事、监事、高级管理人员和员工情况" w:id="118"/>
      <w:bookmarkEnd w:id="118"/>
      <w:r>
        <w:rPr>
          <w:b w:val="0"/>
          <w:bCs w:val="0"/>
        </w:rPr>
      </w:r>
      <w:bookmarkStart w:name="_bookmark7" w:id="119"/>
      <w:bookmarkEnd w:id="119"/>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0"/>
        <w:jc w:val="left"/>
        <w:rPr>
          <w:b w:val="0"/>
          <w:bCs w:val="0"/>
        </w:rPr>
      </w:pPr>
      <w:bookmarkStart w:name="一、董事、监事和高级管理人员持股变动" w:id="120"/>
      <w:bookmarkEnd w:id="120"/>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620"/>
        <w:gridCol w:w="660"/>
        <w:gridCol w:w="1050"/>
        <w:gridCol w:w="990"/>
        <w:gridCol w:w="798"/>
        <w:gridCol w:w="798"/>
        <w:gridCol w:w="798"/>
        <w:gridCol w:w="798"/>
        <w:gridCol w:w="798"/>
      </w:tblGrid>
      <w:tr>
        <w:trPr>
          <w:trHeight w:val="133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03" w:right="121"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z w:val="18"/>
                <w:szCs w:val="18"/>
              </w:rPr>
              <w:t>年龄</w:t>
            </w:r>
          </w:p>
        </w:tc>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40" w:right="15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09" w:right="12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3"/>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0"/>
              <w:ind w:left="1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2"/>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1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6,241,6</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6,241,6</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林鸿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3"/>
              <w:jc w:val="left"/>
              <w:rPr>
                <w:rFonts w:ascii="宋体" w:hAnsi="宋体" w:cs="宋体" w:eastAsia="宋体" w:hint="default"/>
                <w:sz w:val="18"/>
                <w:szCs w:val="18"/>
              </w:rPr>
            </w:pPr>
            <w:r>
              <w:rPr>
                <w:rFonts w:ascii="宋体" w:hAnsi="宋体" w:cs="宋体" w:eastAsia="宋体" w:hint="default"/>
                <w:sz w:val="18"/>
                <w:szCs w:val="18"/>
              </w:rPr>
              <w:t>董事、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52</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7,271,2</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7,271,2</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朱胡勇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67"/>
              <w:ind w:left="103" w:right="43"/>
              <w:jc w:val="left"/>
              <w:rPr>
                <w:rFonts w:ascii="宋体" w:hAnsi="宋体" w:cs="宋体" w:eastAsia="宋体" w:hint="default"/>
                <w:sz w:val="16"/>
                <w:szCs w:val="16"/>
              </w:rPr>
            </w:pPr>
            <w:r>
              <w:rPr>
                <w:rFonts w:ascii="宋体" w:hAnsi="宋体" w:cs="宋体" w:eastAsia="宋体" w:hint="default"/>
                <w:spacing w:val="-15"/>
                <w:sz w:val="16"/>
                <w:szCs w:val="16"/>
              </w:rPr>
              <w:t>董事、副</w:t>
            </w:r>
            <w:r>
              <w:rPr>
                <w:rFonts w:ascii="宋体" w:hAnsi="宋体" w:cs="宋体" w:eastAsia="宋体" w:hint="default"/>
                <w:w w:val="99"/>
                <w:sz w:val="16"/>
                <w:szCs w:val="16"/>
              </w:rPr>
              <w:t> </w:t>
            </w:r>
            <w:r>
              <w:rPr>
                <w:rFonts w:ascii="宋体" w:hAnsi="宋体" w:cs="宋体" w:eastAsia="宋体" w:hint="default"/>
                <w:sz w:val="16"/>
                <w:szCs w:val="16"/>
              </w:rPr>
              <w:t>总经理、</w:t>
            </w:r>
            <w:r>
              <w:rPr>
                <w:rFonts w:ascii="宋体" w:hAnsi="宋体" w:cs="宋体" w:eastAsia="宋体" w:hint="default"/>
                <w:w w:val="99"/>
                <w:sz w:val="16"/>
                <w:szCs w:val="16"/>
              </w:rPr>
              <w:t> </w:t>
            </w:r>
            <w:r>
              <w:rPr>
                <w:rFonts w:ascii="宋体" w:hAnsi="宋体" w:cs="宋体" w:eastAsia="宋体" w:hint="default"/>
                <w:sz w:val="16"/>
                <w:szCs w:val="16"/>
              </w:rPr>
              <w:t>董事会</w:t>
            </w:r>
            <w:r>
              <w:rPr>
                <w:rFonts w:ascii="宋体" w:hAnsi="宋体" w:cs="宋体" w:eastAsia="宋体" w:hint="default"/>
                <w:w w:val="99"/>
                <w:sz w:val="16"/>
                <w:szCs w:val="16"/>
              </w:rPr>
              <w:t> </w:t>
            </w:r>
            <w:r>
              <w:rPr>
                <w:rFonts w:ascii="宋体" w:hAnsi="宋体" w:cs="宋体" w:eastAsia="宋体" w:hint="default"/>
                <w:sz w:val="16"/>
                <w:szCs w:val="16"/>
              </w:rPr>
              <w:t>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49</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3,414,1</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3,414,1</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罗云波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143"/>
              <w:jc w:val="both"/>
              <w:rPr>
                <w:rFonts w:ascii="宋体" w:hAnsi="宋体" w:cs="宋体" w:eastAsia="宋体" w:hint="default"/>
                <w:sz w:val="18"/>
                <w:szCs w:val="18"/>
              </w:rPr>
            </w:pPr>
            <w:r>
              <w:rPr>
                <w:rFonts w:ascii="宋体" w:hAnsi="宋体" w:cs="宋体" w:eastAsia="宋体" w:hint="default"/>
                <w:sz w:val="18"/>
                <w:szCs w:val="18"/>
              </w:rPr>
              <w:t>董事、 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54</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3,211,2</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3,211,2</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庄云江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49</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2,131,1</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2,131,1</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范丽明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69</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8,048,2</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8,048,2</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单怀光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76</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肖淑芳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61</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苏文力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55</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李纪军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52</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杨格平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56</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2,027,9</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2,027,9</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赵宏亮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41</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李宏亮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620"/>
        <w:gridCol w:w="660"/>
        <w:gridCol w:w="1050"/>
        <w:gridCol w:w="990"/>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吴文胜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3"/>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512,60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512,60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2,490,9</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2,490,9</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35,348,</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35,348,</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800</w:t>
            </w: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二、公司董事、监事、高级管理人员变动情况" w:id="121"/>
      <w:bookmarkEnd w:id="121"/>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30"/>
        <w:gridCol w:w="1330"/>
        <w:gridCol w:w="1330"/>
        <w:gridCol w:w="1331"/>
        <w:gridCol w:w="436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8"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李纪军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因个人原因辞去独立董事职务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苏文力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年新任独立董事</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bookmarkStart w:name="三、任职情况" w:id="122"/>
      <w:bookmarkEnd w:id="122"/>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公司现任董事、监事、高级管理人员专业背景、主要工作经历以及目前在公司的主要职责</w:t>
      </w:r>
    </w:p>
    <w:p>
      <w:pPr>
        <w:pStyle w:val="Heading5"/>
        <w:spacing w:line="240" w:lineRule="auto" w:before="89"/>
        <w:ind w:left="1133" w:right="0"/>
        <w:jc w:val="left"/>
        <w:rPr>
          <w:b w:val="0"/>
          <w:bCs w:val="0"/>
        </w:rPr>
      </w:pPr>
      <w:r>
        <w:rPr/>
        <w:t>（一）公司现任董事简要情况</w:t>
      </w:r>
      <w:r>
        <w:rPr>
          <w:b w:val="0"/>
          <w:bCs w:val="0"/>
        </w:rPr>
      </w:r>
    </w:p>
    <w:p>
      <w:pPr>
        <w:pStyle w:val="BodyText"/>
        <w:spacing w:line="316" w:lineRule="auto" w:before="63"/>
        <w:ind w:left="1133" w:right="1131" w:firstLine="361"/>
        <w:jc w:val="both"/>
      </w:pPr>
      <w:r>
        <w:rPr>
          <w:rFonts w:ascii="宋体" w:hAnsi="宋体" w:cs="宋体" w:eastAsia="宋体" w:hint="default"/>
          <w:b/>
          <w:bCs/>
          <w:spacing w:val="-3"/>
        </w:rPr>
        <w:t>李铠</w:t>
      </w:r>
      <w:r>
        <w:rPr>
          <w:spacing w:val="-3"/>
        </w:rPr>
        <w:t>，男，</w:t>
      </w:r>
      <w:r>
        <w:rPr>
          <w:rFonts w:ascii="宋体" w:hAnsi="宋体" w:cs="宋体" w:eastAsia="宋体" w:hint="default"/>
          <w:spacing w:val="-3"/>
        </w:rPr>
        <w:t>1967</w:t>
      </w:r>
      <w:r>
        <w:rPr>
          <w:spacing w:val="-3"/>
        </w:rPr>
        <w:t>年</w:t>
      </w:r>
      <w:r>
        <w:rPr>
          <w:rFonts w:ascii="宋体" w:hAnsi="宋体" w:cs="宋体" w:eastAsia="宋体" w:hint="default"/>
          <w:spacing w:val="-3"/>
        </w:rPr>
        <w:t>11</w:t>
      </w:r>
      <w:r>
        <w:rPr>
          <w:spacing w:val="-3"/>
        </w:rPr>
        <w:t>月出生，中国籍，无境外永久居留权，毕业于首都经贸大学贸易经济专业，本科学历。</w:t>
      </w:r>
      <w:r>
        <w:rPr>
          <w:rFonts w:ascii="宋体" w:hAnsi="宋体" w:cs="宋体" w:eastAsia="宋体" w:hint="default"/>
          <w:spacing w:val="-3"/>
        </w:rPr>
        <w:t>1991</w:t>
      </w:r>
      <w:r>
        <w:rPr>
          <w:spacing w:val="-3"/>
        </w:rPr>
        <w:t>年</w:t>
      </w:r>
      <w:r>
        <w:rPr>
          <w:rFonts w:ascii="宋体" w:hAnsi="宋体" w:cs="宋体" w:eastAsia="宋体" w:hint="default"/>
          <w:spacing w:val="-3"/>
        </w:rPr>
        <w:t>-2000</w:t>
      </w:r>
      <w:r>
        <w:rPr>
          <w:rFonts w:ascii="宋体" w:hAnsi="宋体" w:cs="宋体" w:eastAsia="宋体" w:hint="default"/>
        </w:rPr>
        <w:t> </w:t>
      </w:r>
      <w:r>
        <w:rPr>
          <w:spacing w:val="-2"/>
        </w:rPr>
        <w:t>年，曾任北京南天信息工程有限公司总经理助理、总经理，负责公司日常管理工作，曾任云南南天电子信息产业股份有限公</w:t>
      </w:r>
      <w:r>
        <w:rPr>
          <w:spacing w:val="-66"/>
        </w:rPr>
        <w:t> </w:t>
      </w:r>
      <w:r>
        <w:rPr>
          <w:spacing w:val="-66"/>
        </w:rPr>
      </w:r>
      <w:r>
        <w:rPr>
          <w:spacing w:val="-2"/>
        </w:rPr>
        <w:t>司系统集成事业部大客户部总经理，负责市场开拓工作；</w:t>
      </w:r>
      <w:r>
        <w:rPr>
          <w:rFonts w:ascii="宋体" w:hAnsi="宋体" w:cs="宋体" w:eastAsia="宋体" w:hint="default"/>
          <w:spacing w:val="-2"/>
        </w:rPr>
        <w:t>2000</w:t>
      </w:r>
      <w:r>
        <w:rPr>
          <w:spacing w:val="-2"/>
        </w:rPr>
        <w:t>年入职先进数通有限，曾任公司副总经理、监事，现任公司董</w:t>
      </w:r>
      <w:r>
        <w:rPr>
          <w:spacing w:val="-62"/>
        </w:rPr>
        <w:t> </w:t>
      </w:r>
      <w:r>
        <w:rPr>
          <w:spacing w:val="-62"/>
        </w:rPr>
      </w:r>
      <w:r>
        <w:rPr/>
        <w:t>事长。李铠于金融信息化领域拥有</w:t>
      </w:r>
      <w:r>
        <w:rPr>
          <w:rFonts w:ascii="宋体" w:hAnsi="宋体" w:cs="宋体" w:eastAsia="宋体" w:hint="default"/>
        </w:rPr>
        <w:t>20</w:t>
      </w:r>
      <w:r>
        <w:rPr/>
        <w:t>余年的从业经验。</w:t>
      </w:r>
    </w:p>
    <w:p>
      <w:pPr>
        <w:pStyle w:val="BodyText"/>
        <w:spacing w:line="316" w:lineRule="auto" w:before="19"/>
        <w:ind w:left="1133" w:right="1131" w:firstLine="361"/>
        <w:jc w:val="both"/>
      </w:pPr>
      <w:r>
        <w:rPr>
          <w:rFonts w:ascii="宋体" w:hAnsi="宋体" w:cs="宋体" w:eastAsia="宋体" w:hint="default"/>
          <w:b/>
          <w:bCs/>
        </w:rPr>
        <w:t>林鸿</w:t>
      </w:r>
      <w:r>
        <w:rPr/>
        <w:t>，男，</w:t>
      </w:r>
      <w:r>
        <w:rPr>
          <w:rFonts w:ascii="宋体" w:hAnsi="宋体" w:cs="宋体" w:eastAsia="宋体" w:hint="default"/>
        </w:rPr>
        <w:t>1966</w:t>
      </w:r>
      <w:r>
        <w:rPr/>
        <w:t>年</w:t>
      </w:r>
      <w:r>
        <w:rPr>
          <w:rFonts w:ascii="宋体" w:hAnsi="宋体" w:cs="宋体" w:eastAsia="宋体" w:hint="default"/>
        </w:rPr>
        <w:t>4</w:t>
      </w:r>
      <w:r>
        <w:rPr/>
        <w:t>月出生，中国籍，无境外永久居留权，毕业于航天部二院计算机软件专业，硕士研究生学历，高级 工程师，北京大学高级管理人员工商管理硕士。</w:t>
      </w:r>
      <w:r>
        <w:rPr>
          <w:rFonts w:ascii="宋体" w:hAnsi="宋体" w:cs="宋体" w:eastAsia="宋体" w:hint="default"/>
        </w:rPr>
        <w:t>1988-2000</w:t>
      </w:r>
      <w:r>
        <w:rPr/>
        <w:t>年，曾任北京南天信息工程有限公司项目经理、云南南天电子信</w:t>
      </w:r>
      <w:r>
        <w:rPr>
          <w:spacing w:val="-83"/>
        </w:rPr>
        <w:t> </w:t>
      </w:r>
      <w:r>
        <w:rPr>
          <w:spacing w:val="-83"/>
        </w:rPr>
      </w:r>
      <w:r>
        <w:rPr>
          <w:spacing w:val="-2"/>
        </w:rPr>
        <w:t>息产业股份有限公司系统集成事业部市场部总经理，负责市场开拓工作；</w:t>
      </w:r>
      <w:r>
        <w:rPr>
          <w:rFonts w:ascii="宋体" w:hAnsi="宋体" w:cs="宋体" w:eastAsia="宋体" w:hint="default"/>
          <w:spacing w:val="-2"/>
        </w:rPr>
        <w:t>2000</w:t>
      </w:r>
      <w:r>
        <w:rPr>
          <w:spacing w:val="-2"/>
        </w:rPr>
        <w:t>年入职先进数通有限，曾任公司执行董事、总</w:t>
      </w:r>
      <w:r>
        <w:rPr>
          <w:spacing w:val="-61"/>
        </w:rPr>
        <w:t> </w:t>
      </w:r>
      <w:r>
        <w:rPr>
          <w:spacing w:val="-61"/>
        </w:rPr>
      </w:r>
      <w:r>
        <w:rPr>
          <w:spacing w:val="-2"/>
        </w:rPr>
        <w:t>经理，负责公司日常管理工作；现任公司董事、总经理。林鸿于金融信息化领域拥有</w:t>
      </w:r>
      <w:r>
        <w:rPr>
          <w:rFonts w:ascii="宋体" w:hAnsi="宋体" w:cs="宋体" w:eastAsia="宋体" w:hint="default"/>
          <w:spacing w:val="-2"/>
        </w:rPr>
        <w:t>20</w:t>
      </w:r>
      <w:r>
        <w:rPr>
          <w:spacing w:val="-2"/>
        </w:rPr>
        <w:t>余年的从业经验，曾荣获中国金融科</w:t>
      </w:r>
      <w:r>
        <w:rPr>
          <w:spacing w:val="-64"/>
        </w:rPr>
        <w:t> </w:t>
      </w:r>
      <w:r>
        <w:rPr>
          <w:spacing w:val="-64"/>
        </w:rPr>
      </w:r>
      <w:r>
        <w:rPr>
          <w:spacing w:val="-2"/>
        </w:rPr>
        <w:t>技发展论坛“十大金融科技企业杰出人物”奖，所负责的项目曾荣获中国人民银行“金融科技进步一等奖”。</w:t>
      </w:r>
    </w:p>
    <w:p>
      <w:pPr>
        <w:pStyle w:val="BodyText"/>
        <w:spacing w:line="316" w:lineRule="auto" w:before="19"/>
        <w:ind w:right="1042" w:firstLine="361"/>
        <w:jc w:val="left"/>
      </w:pPr>
      <w:r>
        <w:rPr>
          <w:rFonts w:ascii="宋体" w:hAnsi="宋体" w:cs="宋体" w:eastAsia="宋体" w:hint="default"/>
          <w:b/>
          <w:bCs/>
        </w:rPr>
        <w:t>朱胡勇</w:t>
      </w:r>
      <w:r>
        <w:rPr/>
        <w:t>，男，</w:t>
      </w:r>
      <w:r>
        <w:rPr>
          <w:rFonts w:ascii="宋体" w:hAnsi="宋体" w:cs="宋体" w:eastAsia="宋体" w:hint="default"/>
        </w:rPr>
        <w:t>1969</w:t>
      </w:r>
      <w:r>
        <w:rPr/>
        <w:t>年</w:t>
      </w:r>
      <w:r>
        <w:rPr>
          <w:rFonts w:ascii="宋体" w:hAnsi="宋体" w:cs="宋体" w:eastAsia="宋体" w:hint="default"/>
        </w:rPr>
        <w:t>6</w:t>
      </w:r>
      <w:r>
        <w:rPr/>
        <w:t>月出生，中国籍，无境外永久居留权，毕业于清华大学电机及其控制专业，本科学历，高级工程 师。</w:t>
      </w:r>
      <w:r>
        <w:rPr>
          <w:rFonts w:ascii="宋体" w:hAnsi="宋体" w:cs="宋体" w:eastAsia="宋体" w:hint="default"/>
        </w:rPr>
        <w:t>1992</w:t>
      </w:r>
      <w:r>
        <w:rPr/>
        <w:t>年</w:t>
      </w:r>
      <w:r>
        <w:rPr>
          <w:rFonts w:ascii="宋体" w:hAnsi="宋体" w:cs="宋体" w:eastAsia="宋体" w:hint="default"/>
        </w:rPr>
        <w:t>-2000</w:t>
      </w:r>
      <w:r>
        <w:rPr/>
        <w:t>年，曾任北京南天信息工程有限公司软件开发部经理、云南南天电子信息产业股份有限公司系统集成事业</w:t>
      </w:r>
      <w:r>
        <w:rPr>
          <w:spacing w:val="-84"/>
        </w:rPr>
        <w:t> </w:t>
      </w:r>
      <w:r>
        <w:rPr>
          <w:spacing w:val="-84"/>
        </w:rPr>
      </w:r>
      <w:r>
        <w:rPr>
          <w:spacing w:val="-4"/>
        </w:rPr>
        <w:t>部应用集成部总经理，负责金融软件项目开发工作；</w:t>
      </w:r>
      <w:r>
        <w:rPr>
          <w:rFonts w:ascii="宋体" w:hAnsi="宋体" w:cs="宋体" w:eastAsia="宋体" w:hint="default"/>
          <w:spacing w:val="-4"/>
        </w:rPr>
        <w:t>2000</w:t>
      </w:r>
      <w:r>
        <w:rPr>
          <w:spacing w:val="-4"/>
        </w:rPr>
        <w:t>年入职先进数通有限，曾任公司副总经理、金融软件事业部总经理，</w:t>
      </w:r>
      <w:r>
        <w:rPr>
          <w:spacing w:val="-37"/>
        </w:rPr>
        <w:t> </w:t>
      </w:r>
      <w:r>
        <w:rPr>
          <w:spacing w:val="-37"/>
        </w:rPr>
      </w:r>
      <w:r>
        <w:rPr/>
        <w:t>负责公司金融软件业务工作；现任公司董事、副总经理、董事会秘书。</w:t>
      </w:r>
    </w:p>
    <w:p>
      <w:pPr>
        <w:pStyle w:val="BodyText"/>
        <w:spacing w:line="316" w:lineRule="auto" w:before="19"/>
        <w:ind w:left="1133" w:right="1131" w:firstLine="361"/>
        <w:jc w:val="both"/>
      </w:pPr>
      <w:r>
        <w:rPr>
          <w:rFonts w:ascii="宋体" w:hAnsi="宋体" w:cs="宋体" w:eastAsia="宋体" w:hint="default"/>
          <w:b/>
          <w:bCs/>
          <w:spacing w:val="-2"/>
        </w:rPr>
        <w:t>罗云波</w:t>
      </w:r>
      <w:r>
        <w:rPr>
          <w:spacing w:val="-2"/>
        </w:rPr>
        <w:t>，女，</w:t>
      </w:r>
      <w:r>
        <w:rPr>
          <w:rFonts w:ascii="宋体" w:hAnsi="宋体" w:cs="宋体" w:eastAsia="宋体" w:hint="default"/>
          <w:spacing w:val="-2"/>
        </w:rPr>
        <w:t>1964</w:t>
      </w:r>
      <w:r>
        <w:rPr>
          <w:spacing w:val="-2"/>
        </w:rPr>
        <w:t>年</w:t>
      </w:r>
      <w:r>
        <w:rPr>
          <w:rFonts w:ascii="宋体" w:hAnsi="宋体" w:cs="宋体" w:eastAsia="宋体" w:hint="default"/>
          <w:spacing w:val="-2"/>
        </w:rPr>
        <w:t>1</w:t>
      </w:r>
      <w:r>
        <w:rPr>
          <w:spacing w:val="-2"/>
        </w:rPr>
        <w:t>月出生，中国籍，无境外永久居留权，毕业于云南大学数学专业，本科学历。</w:t>
      </w:r>
      <w:r>
        <w:rPr>
          <w:rFonts w:ascii="宋体" w:hAnsi="宋体" w:cs="宋体" w:eastAsia="宋体" w:hint="default"/>
          <w:spacing w:val="-2"/>
        </w:rPr>
        <w:t>1984</w:t>
      </w:r>
      <w:r>
        <w:rPr>
          <w:spacing w:val="-2"/>
        </w:rPr>
        <w:t>年</w:t>
      </w:r>
      <w:r>
        <w:rPr>
          <w:rFonts w:ascii="宋体" w:hAnsi="宋体" w:cs="宋体" w:eastAsia="宋体" w:hint="default"/>
          <w:spacing w:val="-2"/>
        </w:rPr>
        <w:t>-2000</w:t>
      </w:r>
      <w:r>
        <w:rPr>
          <w:spacing w:val="-2"/>
        </w:rPr>
        <w:t>年，曾</w:t>
      </w:r>
      <w:r>
        <w:rPr/>
        <w:t> </w:t>
      </w:r>
      <w:r>
        <w:rPr>
          <w:spacing w:val="-2"/>
        </w:rPr>
        <w:t>任北京南天信息工程有限公司银行部高级项目经理、培训部总经理、云南南天电子信息产业股份有限公司系统集成事业部市</w:t>
      </w:r>
      <w:r>
        <w:rPr>
          <w:spacing w:val="-64"/>
        </w:rPr>
        <w:t> </w:t>
      </w:r>
      <w:r>
        <w:rPr>
          <w:spacing w:val="-64"/>
        </w:rPr>
      </w:r>
      <w:r>
        <w:rPr>
          <w:spacing w:val="-2"/>
        </w:rPr>
        <w:t>场部行业总监，负责系统集成业务市场开拓工作；</w:t>
      </w:r>
      <w:r>
        <w:rPr>
          <w:rFonts w:ascii="宋体" w:hAnsi="宋体" w:cs="宋体" w:eastAsia="宋体" w:hint="default"/>
          <w:spacing w:val="-2"/>
        </w:rPr>
        <w:t>2000</w:t>
      </w:r>
      <w:r>
        <w:rPr>
          <w:spacing w:val="-2"/>
        </w:rPr>
        <w:t>年入职先进数通有限，曾任公司市场部总经理，负责公司市场开拓工</w:t>
      </w:r>
      <w:r>
        <w:rPr>
          <w:spacing w:val="-61"/>
        </w:rPr>
        <w:t> </w:t>
      </w:r>
      <w:r>
        <w:rPr>
          <w:spacing w:val="-61"/>
        </w:rPr>
      </w:r>
      <w:r>
        <w:rPr>
          <w:spacing w:val="-2"/>
        </w:rPr>
        <w:t>作；现任公司董事、常务副总经理。罗云波于金融信息化领域拥有超过</w:t>
      </w:r>
      <w:r>
        <w:rPr>
          <w:rFonts w:ascii="宋体" w:hAnsi="宋体" w:cs="宋体" w:eastAsia="宋体" w:hint="default"/>
          <w:spacing w:val="-2"/>
        </w:rPr>
        <w:t>30</w:t>
      </w:r>
      <w:r>
        <w:rPr>
          <w:spacing w:val="-2"/>
        </w:rPr>
        <w:t>年的从业经验，曾荣获中国金融科技发展论坛“十</w:t>
      </w:r>
      <w:r>
        <w:rPr>
          <w:spacing w:val="-64"/>
        </w:rPr>
        <w:t> </w:t>
      </w:r>
      <w:r>
        <w:rPr>
          <w:spacing w:val="-64"/>
        </w:rPr>
      </w:r>
      <w:r>
        <w:rPr/>
        <w:t>大金融科技企业杰出人物”奖。</w:t>
      </w:r>
    </w:p>
    <w:p>
      <w:pPr>
        <w:pStyle w:val="BodyText"/>
        <w:spacing w:line="316" w:lineRule="auto" w:before="19"/>
        <w:ind w:right="1131" w:firstLine="361"/>
        <w:jc w:val="both"/>
      </w:pPr>
      <w:r>
        <w:rPr>
          <w:rFonts w:ascii="宋体" w:hAnsi="宋体" w:cs="宋体" w:eastAsia="宋体" w:hint="default"/>
          <w:b/>
          <w:bCs/>
        </w:rPr>
        <w:t>庄云江</w:t>
      </w:r>
      <w:r>
        <w:rPr/>
        <w:t>，男，</w:t>
      </w:r>
      <w:r>
        <w:rPr>
          <w:rFonts w:ascii="宋体" w:hAnsi="宋体" w:cs="宋体" w:eastAsia="宋体" w:hint="default"/>
        </w:rPr>
        <w:t>1969</w:t>
      </w:r>
      <w:r>
        <w:rPr/>
        <w:t>年</w:t>
      </w:r>
      <w:r>
        <w:rPr>
          <w:rFonts w:ascii="宋体" w:hAnsi="宋体" w:cs="宋体" w:eastAsia="宋体" w:hint="default"/>
        </w:rPr>
        <w:t>3</w:t>
      </w:r>
      <w:r>
        <w:rPr/>
        <w:t>月出生，中国籍，无境外永久居留权，毕业于西安电子科技大学计算机及应用专业，本科学历， 高级工程师。</w:t>
      </w:r>
      <w:r>
        <w:rPr>
          <w:rFonts w:ascii="宋体" w:hAnsi="宋体" w:cs="宋体" w:eastAsia="宋体" w:hint="default"/>
        </w:rPr>
        <w:t>1991</w:t>
      </w:r>
      <w:r>
        <w:rPr/>
        <w:t>年</w:t>
      </w:r>
      <w:r>
        <w:rPr>
          <w:rFonts w:ascii="宋体" w:hAnsi="宋体" w:cs="宋体" w:eastAsia="宋体" w:hint="default"/>
        </w:rPr>
        <w:t>-2000</w:t>
      </w:r>
      <w:r>
        <w:rPr/>
        <w:t>年，曾任北京南天信息工程有限公司项目经理、云南南天电子信息产业股份有限公司系统集成事</w:t>
      </w:r>
      <w:r>
        <w:rPr>
          <w:spacing w:val="-83"/>
        </w:rPr>
        <w:t> </w:t>
      </w:r>
      <w:r>
        <w:rPr>
          <w:spacing w:val="-83"/>
        </w:rPr>
      </w:r>
      <w:r>
        <w:rPr>
          <w:spacing w:val="-2"/>
        </w:rPr>
        <w:t>业部网络部总经理，负责网络部具体工作；</w:t>
      </w:r>
      <w:r>
        <w:rPr>
          <w:rFonts w:ascii="宋体" w:hAnsi="宋体" w:cs="宋体" w:eastAsia="宋体" w:hint="default"/>
          <w:spacing w:val="-2"/>
        </w:rPr>
        <w:t>2000</w:t>
      </w:r>
      <w:r>
        <w:rPr>
          <w:spacing w:val="-2"/>
        </w:rPr>
        <w:t>年入职先进数通有限，曾任公司网络系统部总经理、监事，负责网络系统部</w:t>
      </w:r>
      <w:r>
        <w:rPr>
          <w:spacing w:val="-62"/>
        </w:rPr>
        <w:t> </w:t>
      </w:r>
      <w:r>
        <w:rPr>
          <w:spacing w:val="-62"/>
        </w:rPr>
      </w:r>
      <w:r>
        <w:rPr/>
        <w:t>具体工作；现任公司董事、运营管理部总经理。</w:t>
      </w:r>
    </w:p>
    <w:p>
      <w:pPr>
        <w:spacing w:after="0" w:line="316" w:lineRule="auto"/>
        <w:jc w:val="both"/>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left="1133" w:right="1130" w:firstLine="361"/>
        <w:jc w:val="both"/>
      </w:pPr>
      <w:r>
        <w:rPr>
          <w:rFonts w:ascii="宋体" w:hAnsi="宋体" w:cs="宋体" w:eastAsia="宋体" w:hint="default"/>
          <w:b/>
          <w:bCs/>
          <w:spacing w:val="-2"/>
        </w:rPr>
        <w:t>范丽明</w:t>
      </w:r>
      <w:r>
        <w:rPr>
          <w:spacing w:val="-2"/>
        </w:rPr>
        <w:t>，女，</w:t>
      </w:r>
      <w:r>
        <w:rPr>
          <w:rFonts w:ascii="宋体" w:hAnsi="宋体" w:cs="宋体" w:eastAsia="宋体" w:hint="default"/>
          <w:spacing w:val="-2"/>
        </w:rPr>
        <w:t>1949</w:t>
      </w:r>
      <w:r>
        <w:rPr>
          <w:spacing w:val="-2"/>
        </w:rPr>
        <w:t>年</w:t>
      </w:r>
      <w:r>
        <w:rPr>
          <w:rFonts w:ascii="宋体" w:hAnsi="宋体" w:cs="宋体" w:eastAsia="宋体" w:hint="default"/>
          <w:spacing w:val="-2"/>
        </w:rPr>
        <w:t>1</w:t>
      </w:r>
      <w:r>
        <w:rPr>
          <w:spacing w:val="-2"/>
        </w:rPr>
        <w:t>月出生，中国籍，无境外永久居留权，毕业于云南大学汉语言文学专业，本科学历。</w:t>
      </w:r>
      <w:r>
        <w:rPr>
          <w:rFonts w:ascii="宋体" w:hAnsi="宋体" w:cs="宋体" w:eastAsia="宋体" w:hint="default"/>
          <w:spacing w:val="-2"/>
        </w:rPr>
        <w:t>1986</w:t>
      </w:r>
      <w:r>
        <w:rPr>
          <w:spacing w:val="-2"/>
        </w:rPr>
        <w:t>年</w:t>
      </w:r>
      <w:r>
        <w:rPr>
          <w:rFonts w:ascii="宋体" w:hAnsi="宋体" w:cs="宋体" w:eastAsia="宋体" w:hint="default"/>
          <w:spacing w:val="-2"/>
        </w:rPr>
        <w:t>-2000</w:t>
      </w:r>
      <w:r>
        <w:rPr>
          <w:rFonts w:ascii="宋体" w:hAnsi="宋体" w:cs="宋体" w:eastAsia="宋体" w:hint="default"/>
        </w:rPr>
        <w:t> </w:t>
      </w:r>
      <w:r>
        <w:rPr>
          <w:spacing w:val="-2"/>
        </w:rPr>
        <w:t>年，曾任南天电子信息产业集团公司董事、副总裁、北京南天信息工程有限公司总经理、云南南天电子信息产业股份有限公</w:t>
      </w:r>
      <w:r>
        <w:rPr>
          <w:spacing w:val="-66"/>
        </w:rPr>
        <w:t> </w:t>
      </w:r>
      <w:r>
        <w:rPr>
          <w:spacing w:val="-66"/>
        </w:rPr>
      </w:r>
      <w:r>
        <w:rPr>
          <w:spacing w:val="-2"/>
        </w:rPr>
        <w:t>司董事、副总裁兼系统集成事业部总经理，负责系统集成业务和公司日常管理工作；</w:t>
      </w:r>
      <w:r>
        <w:rPr>
          <w:rFonts w:ascii="宋体" w:hAnsi="宋体" w:cs="宋体" w:eastAsia="宋体" w:hint="default"/>
          <w:spacing w:val="-2"/>
        </w:rPr>
        <w:t>2000</w:t>
      </w:r>
      <w:r>
        <w:rPr>
          <w:spacing w:val="-2"/>
        </w:rPr>
        <w:t>年入职先进数通有限，曾任公司首</w:t>
      </w:r>
      <w:r>
        <w:rPr>
          <w:spacing w:val="-61"/>
        </w:rPr>
        <w:t> </w:t>
      </w:r>
      <w:r>
        <w:rPr>
          <w:spacing w:val="-61"/>
        </w:rPr>
      </w:r>
      <w:r>
        <w:rPr/>
        <w:t>席执行官；现任公司董事。范丽明于金融信息化领域拥有超过</w:t>
      </w:r>
      <w:r>
        <w:rPr>
          <w:rFonts w:ascii="宋体" w:hAnsi="宋体" w:cs="宋体" w:eastAsia="宋体" w:hint="default"/>
        </w:rPr>
        <w:t>30</w:t>
      </w:r>
      <w:r>
        <w:rPr/>
        <w:t>年的从业经验。</w:t>
      </w:r>
    </w:p>
    <w:p>
      <w:pPr>
        <w:pStyle w:val="BodyText"/>
        <w:spacing w:line="316" w:lineRule="auto" w:before="19"/>
        <w:ind w:left="1133" w:right="1042" w:firstLine="361"/>
        <w:jc w:val="left"/>
      </w:pPr>
      <w:r>
        <w:rPr>
          <w:rFonts w:ascii="宋体" w:hAnsi="宋体" w:cs="宋体" w:eastAsia="宋体" w:hint="default"/>
          <w:b/>
          <w:bCs/>
        </w:rPr>
        <w:t>单怀光</w:t>
      </w:r>
      <w:r>
        <w:rPr/>
        <w:t>，男，</w:t>
      </w:r>
      <w:r>
        <w:rPr>
          <w:rFonts w:ascii="宋体" w:hAnsi="宋体" w:cs="宋体" w:eastAsia="宋体" w:hint="default"/>
        </w:rPr>
        <w:t>1941</w:t>
      </w:r>
      <w:r>
        <w:rPr/>
        <w:t>年</w:t>
      </w:r>
      <w:r>
        <w:rPr>
          <w:rFonts w:ascii="宋体" w:hAnsi="宋体" w:cs="宋体" w:eastAsia="宋体" w:hint="default"/>
        </w:rPr>
        <w:t>12</w:t>
      </w:r>
      <w:r>
        <w:rPr/>
        <w:t>月出生，中国籍，无境外永久居留权，毕业于清华大学计算数学专业，本科学历，高级工程师。 </w:t>
      </w:r>
      <w:r>
        <w:rPr>
          <w:rFonts w:ascii="宋体" w:hAnsi="宋体" w:cs="宋体" w:eastAsia="宋体" w:hint="default"/>
          <w:spacing w:val="-2"/>
        </w:rPr>
        <w:t>1970</w:t>
      </w:r>
      <w:r>
        <w:rPr>
          <w:spacing w:val="-2"/>
        </w:rPr>
        <w:t>年</w:t>
      </w:r>
      <w:r>
        <w:rPr>
          <w:rFonts w:ascii="宋体" w:hAnsi="宋体" w:cs="宋体" w:eastAsia="宋体" w:hint="default"/>
          <w:spacing w:val="-2"/>
        </w:rPr>
        <w:t>-1977</w:t>
      </w:r>
      <w:r>
        <w:rPr>
          <w:spacing w:val="-2"/>
        </w:rPr>
        <w:t>年，曾任中科院计算所第九研究室项目负责人；</w:t>
      </w:r>
      <w:r>
        <w:rPr>
          <w:rFonts w:ascii="宋体" w:hAnsi="宋体" w:cs="宋体" w:eastAsia="宋体" w:hint="default"/>
          <w:spacing w:val="-2"/>
        </w:rPr>
        <w:t>1977</w:t>
      </w:r>
      <w:r>
        <w:rPr>
          <w:spacing w:val="-2"/>
        </w:rPr>
        <w:t>年</w:t>
      </w:r>
      <w:r>
        <w:rPr>
          <w:rFonts w:ascii="宋体" w:hAnsi="宋体" w:cs="宋体" w:eastAsia="宋体" w:hint="default"/>
          <w:spacing w:val="-2"/>
        </w:rPr>
        <w:t>-1984</w:t>
      </w:r>
      <w:r>
        <w:rPr>
          <w:spacing w:val="-2"/>
        </w:rPr>
        <w:t>年，曾任香港中银集团电脑部系统开发部经理，负</w:t>
      </w:r>
      <w:r>
        <w:rPr>
          <w:spacing w:val="-48"/>
        </w:rPr>
        <w:t> </w:t>
      </w:r>
      <w:r>
        <w:rPr>
          <w:spacing w:val="-48"/>
        </w:rPr>
      </w:r>
      <w:r>
        <w:rPr>
          <w:spacing w:val="-3"/>
        </w:rPr>
        <w:t>责应用软件开发；</w:t>
      </w:r>
      <w:r>
        <w:rPr>
          <w:rFonts w:ascii="宋体" w:hAnsi="宋体" w:cs="宋体" w:eastAsia="宋体" w:hint="default"/>
          <w:spacing w:val="-3"/>
        </w:rPr>
        <w:t>1984</w:t>
      </w:r>
      <w:r>
        <w:rPr>
          <w:spacing w:val="-3"/>
        </w:rPr>
        <w:t>年</w:t>
      </w:r>
      <w:r>
        <w:rPr>
          <w:rFonts w:ascii="宋体" w:hAnsi="宋体" w:cs="宋体" w:eastAsia="宋体" w:hint="default"/>
          <w:spacing w:val="-3"/>
        </w:rPr>
        <w:t>-1985</w:t>
      </w:r>
      <w:r>
        <w:rPr>
          <w:spacing w:val="-3"/>
        </w:rPr>
        <w:t>年，曾任中国银行南京分行电脑部负责人；</w:t>
      </w:r>
      <w:r>
        <w:rPr>
          <w:rFonts w:ascii="宋体" w:hAnsi="宋体" w:cs="宋体" w:eastAsia="宋体" w:hint="default"/>
          <w:spacing w:val="-3"/>
        </w:rPr>
        <w:t>1985</w:t>
      </w:r>
      <w:r>
        <w:rPr>
          <w:spacing w:val="-3"/>
        </w:rPr>
        <w:t>年</w:t>
      </w:r>
      <w:r>
        <w:rPr>
          <w:rFonts w:ascii="宋体" w:hAnsi="宋体" w:cs="宋体" w:eastAsia="宋体" w:hint="default"/>
          <w:spacing w:val="-3"/>
        </w:rPr>
        <w:t>-2001</w:t>
      </w:r>
      <w:r>
        <w:rPr>
          <w:spacing w:val="-3"/>
        </w:rPr>
        <w:t>年，曾任中国工商银行科技部副主任、</w:t>
      </w:r>
      <w:r>
        <w:rPr>
          <w:spacing w:val="-72"/>
        </w:rPr>
        <w:t> </w:t>
      </w:r>
      <w:r>
        <w:rPr>
          <w:spacing w:val="-72"/>
        </w:rPr>
      </w:r>
      <w:r>
        <w:rPr/>
        <w:t>总工程师、总经理，负责中国工商银行大型计算机应用系统的研制和推广；</w:t>
      </w:r>
      <w:r>
        <w:rPr>
          <w:rFonts w:ascii="宋体" w:hAnsi="宋体" w:cs="宋体" w:eastAsia="宋体" w:hint="default"/>
        </w:rPr>
        <w:t>2001</w:t>
      </w:r>
      <w:r>
        <w:rPr/>
        <w:t>年</w:t>
      </w:r>
      <w:r>
        <w:rPr>
          <w:rFonts w:ascii="宋体" w:hAnsi="宋体" w:cs="宋体" w:eastAsia="宋体" w:hint="default"/>
        </w:rPr>
        <w:t>-2002</w:t>
      </w:r>
      <w:r>
        <w:rPr/>
        <w:t>年，曾任中国工商银行海外数据中</w:t>
      </w:r>
      <w:r>
        <w:rPr>
          <w:spacing w:val="-83"/>
        </w:rPr>
        <w:t> </w:t>
      </w:r>
      <w:r>
        <w:rPr>
          <w:spacing w:val="-83"/>
        </w:rPr>
      </w:r>
      <w:r>
        <w:rPr/>
        <w:t>心总经理，负责实现中国工商银行海外数据中心大集中；</w:t>
      </w:r>
      <w:r>
        <w:rPr>
          <w:rFonts w:ascii="宋体" w:hAnsi="宋体" w:cs="宋体" w:eastAsia="宋体" w:hint="default"/>
        </w:rPr>
        <w:t>2001</w:t>
      </w:r>
      <w:r>
        <w:rPr/>
        <w:t>年</w:t>
      </w:r>
      <w:r>
        <w:rPr>
          <w:rFonts w:ascii="宋体" w:hAnsi="宋体" w:cs="宋体" w:eastAsia="宋体" w:hint="default"/>
        </w:rPr>
        <w:t>-2004</w:t>
      </w:r>
      <w:r>
        <w:rPr/>
        <w:t>年，曾任中国银联首席技术顾问，参与中国银联新系</w:t>
      </w:r>
      <w:r>
        <w:rPr>
          <w:spacing w:val="-83"/>
        </w:rPr>
        <w:t> </w:t>
      </w:r>
      <w:r>
        <w:rPr>
          <w:spacing w:val="-83"/>
        </w:rPr>
      </w:r>
      <w:r>
        <w:rPr>
          <w:spacing w:val="-2"/>
        </w:rPr>
        <w:t>统的建设工作；</w:t>
      </w:r>
      <w:r>
        <w:rPr>
          <w:rFonts w:ascii="宋体" w:hAnsi="宋体" w:cs="宋体" w:eastAsia="宋体" w:hint="default"/>
          <w:spacing w:val="-2"/>
        </w:rPr>
        <w:t>2004</w:t>
      </w:r>
      <w:r>
        <w:rPr>
          <w:spacing w:val="-2"/>
        </w:rPr>
        <w:t>年</w:t>
      </w:r>
      <w:r>
        <w:rPr>
          <w:rFonts w:ascii="宋体" w:hAnsi="宋体" w:cs="宋体" w:eastAsia="宋体" w:hint="default"/>
          <w:spacing w:val="-2"/>
        </w:rPr>
        <w:t>-2008</w:t>
      </w:r>
      <w:r>
        <w:rPr>
          <w:spacing w:val="-2"/>
        </w:rPr>
        <w:t>年，曾任银联数据服务公司总裁，负责公司日常管理工作；</w:t>
      </w:r>
      <w:r>
        <w:rPr>
          <w:rFonts w:ascii="宋体" w:hAnsi="宋体" w:cs="宋体" w:eastAsia="宋体" w:hint="default"/>
          <w:spacing w:val="-2"/>
        </w:rPr>
        <w:t>2009</w:t>
      </w:r>
      <w:r>
        <w:rPr>
          <w:spacing w:val="-2"/>
        </w:rPr>
        <w:t>年</w:t>
      </w:r>
      <w:r>
        <w:rPr>
          <w:rFonts w:ascii="宋体" w:hAnsi="宋体" w:cs="宋体" w:eastAsia="宋体" w:hint="default"/>
          <w:spacing w:val="-2"/>
        </w:rPr>
        <w:t>-2012</w:t>
      </w:r>
      <w:r>
        <w:rPr>
          <w:spacing w:val="-2"/>
        </w:rPr>
        <w:t>年，曾任通联支付网络</w:t>
      </w:r>
      <w:r>
        <w:rPr>
          <w:spacing w:val="-48"/>
        </w:rPr>
        <w:t> </w:t>
      </w:r>
      <w:r>
        <w:rPr>
          <w:spacing w:val="-48"/>
        </w:rPr>
      </w:r>
      <w:r>
        <w:rPr>
          <w:spacing w:val="-2"/>
        </w:rPr>
        <w:t>服务股份有限公司常务副总裁，负责公司日常管理工作；</w:t>
      </w:r>
      <w:r>
        <w:rPr>
          <w:rFonts w:ascii="宋体" w:hAnsi="宋体" w:cs="宋体" w:eastAsia="宋体" w:hint="default"/>
          <w:spacing w:val="-2"/>
        </w:rPr>
        <w:t>2012</w:t>
      </w:r>
      <w:r>
        <w:rPr>
          <w:spacing w:val="-2"/>
        </w:rPr>
        <w:t>年</w:t>
      </w:r>
      <w:r>
        <w:rPr>
          <w:rFonts w:ascii="宋体" w:hAnsi="宋体" w:cs="宋体" w:eastAsia="宋体" w:hint="default"/>
          <w:spacing w:val="-2"/>
        </w:rPr>
        <w:t>10</w:t>
      </w:r>
      <w:r>
        <w:rPr>
          <w:spacing w:val="-2"/>
        </w:rPr>
        <w:t>月起任公司独立董事，</w:t>
      </w:r>
      <w:r>
        <w:rPr>
          <w:rFonts w:ascii="宋体" w:hAnsi="宋体" w:cs="宋体" w:eastAsia="宋体" w:hint="default"/>
          <w:spacing w:val="-2"/>
        </w:rPr>
        <w:t>2013</w:t>
      </w:r>
      <w:r>
        <w:rPr>
          <w:spacing w:val="-2"/>
        </w:rPr>
        <w:t>年</w:t>
      </w:r>
      <w:r>
        <w:rPr>
          <w:rFonts w:ascii="宋体" w:hAnsi="宋体" w:cs="宋体" w:eastAsia="宋体" w:hint="default"/>
          <w:spacing w:val="-2"/>
        </w:rPr>
        <w:t>10</w:t>
      </w:r>
      <w:r>
        <w:rPr>
          <w:spacing w:val="-2"/>
        </w:rPr>
        <w:t>月起至今还任快连网络服</w:t>
      </w:r>
      <w:r>
        <w:rPr>
          <w:spacing w:val="-54"/>
        </w:rPr>
        <w:t> </w:t>
      </w:r>
      <w:r>
        <w:rPr/>
        <w:t>务（上海）有限公司董事长。</w:t>
      </w:r>
    </w:p>
    <w:p>
      <w:pPr>
        <w:pStyle w:val="BodyText"/>
        <w:spacing w:line="316" w:lineRule="auto" w:before="19"/>
        <w:ind w:left="1133" w:right="1131" w:firstLine="361"/>
        <w:jc w:val="both"/>
      </w:pPr>
      <w:r>
        <w:rPr>
          <w:rFonts w:ascii="宋体" w:hAnsi="宋体" w:cs="宋体" w:eastAsia="宋体" w:hint="default"/>
          <w:b/>
          <w:bCs/>
          <w:spacing w:val="-2"/>
        </w:rPr>
        <w:t>肖淑芳</w:t>
      </w:r>
      <w:r>
        <w:rPr>
          <w:spacing w:val="-2"/>
        </w:rPr>
        <w:t>，女，</w:t>
      </w:r>
      <w:r>
        <w:rPr>
          <w:rFonts w:ascii="宋体" w:hAnsi="宋体" w:cs="宋体" w:eastAsia="宋体" w:hint="default"/>
          <w:spacing w:val="-2"/>
        </w:rPr>
        <w:t>1957</w:t>
      </w:r>
      <w:r>
        <w:rPr>
          <w:spacing w:val="-2"/>
        </w:rPr>
        <w:t>年</w:t>
      </w:r>
      <w:r>
        <w:rPr>
          <w:rFonts w:ascii="宋体" w:hAnsi="宋体" w:cs="宋体" w:eastAsia="宋体" w:hint="default"/>
          <w:spacing w:val="-2"/>
        </w:rPr>
        <w:t>11</w:t>
      </w:r>
      <w:r>
        <w:rPr>
          <w:spacing w:val="-2"/>
        </w:rPr>
        <w:t>月出生，中国籍，无境外永久居留权，博士研究生学历，中国注册会计师协会非执业会员，现任</w:t>
      </w:r>
      <w:r>
        <w:rPr/>
        <w:t> </w:t>
      </w:r>
      <w:r>
        <w:rPr>
          <w:spacing w:val="-2"/>
        </w:rPr>
        <w:t>北京理工大学管理与经济学院会计系教授、博士生导师、中国会计学会理事、高级会员。</w:t>
      </w:r>
      <w:r>
        <w:rPr>
          <w:rFonts w:ascii="宋体" w:hAnsi="宋体" w:cs="宋体" w:eastAsia="宋体" w:hint="default"/>
          <w:spacing w:val="-2"/>
        </w:rPr>
        <w:t>2012</w:t>
      </w:r>
      <w:r>
        <w:rPr>
          <w:spacing w:val="-2"/>
        </w:rPr>
        <w:t>年</w:t>
      </w:r>
      <w:r>
        <w:rPr>
          <w:rFonts w:ascii="宋体" w:hAnsi="宋体" w:cs="宋体" w:eastAsia="宋体" w:hint="default"/>
          <w:spacing w:val="-2"/>
        </w:rPr>
        <w:t>10</w:t>
      </w:r>
      <w:r>
        <w:rPr>
          <w:spacing w:val="-2"/>
        </w:rPr>
        <w:t>月起任公司独立董事，现</w:t>
      </w:r>
      <w:r>
        <w:rPr>
          <w:spacing w:val="-60"/>
        </w:rPr>
        <w:t> </w:t>
      </w:r>
      <w:r>
        <w:rPr>
          <w:spacing w:val="-60"/>
        </w:rPr>
      </w:r>
      <w:r>
        <w:rPr>
          <w:spacing w:val="-2"/>
        </w:rPr>
        <w:t>还任北京华清飞扬网络股份有限公司独立董事、北京信路威科技股份有限公司独立董事、北京中公教育科技股份有限公司独</w:t>
      </w:r>
      <w:r>
        <w:rPr>
          <w:spacing w:val="-64"/>
        </w:rPr>
        <w:t> </w:t>
      </w:r>
      <w:r>
        <w:rPr>
          <w:spacing w:val="-64"/>
        </w:rPr>
      </w:r>
      <w:r>
        <w:rPr/>
        <w:t>立董事。</w:t>
      </w:r>
    </w:p>
    <w:p>
      <w:pPr>
        <w:pStyle w:val="BodyText"/>
        <w:spacing w:line="316" w:lineRule="auto" w:before="19"/>
        <w:ind w:left="1133" w:right="1129" w:firstLine="361"/>
        <w:jc w:val="both"/>
      </w:pPr>
      <w:r>
        <w:rPr>
          <w:rFonts w:ascii="宋体" w:hAnsi="宋体" w:cs="宋体" w:eastAsia="宋体" w:hint="default"/>
          <w:b/>
          <w:bCs/>
        </w:rPr>
        <w:t>李纪军</w:t>
      </w:r>
      <w:r>
        <w:rPr/>
        <w:t>，男，</w:t>
      </w:r>
      <w:r>
        <w:rPr>
          <w:rFonts w:ascii="宋体" w:hAnsi="宋体" w:cs="宋体" w:eastAsia="宋体" w:hint="default"/>
        </w:rPr>
        <w:t>1965</w:t>
      </w:r>
      <w:r>
        <w:rPr/>
        <w:t>年</w:t>
      </w:r>
      <w:r>
        <w:rPr>
          <w:rFonts w:ascii="宋体" w:hAnsi="宋体" w:cs="宋体" w:eastAsia="宋体" w:hint="default"/>
        </w:rPr>
        <w:t>9</w:t>
      </w:r>
      <w:r>
        <w:rPr/>
        <w:t>月出生，中国籍，无境外永久居留权，毕业于北京大学计算机科学技术系软件专业，硕士研究生 学历，高级工程师。</w:t>
      </w:r>
      <w:r>
        <w:rPr>
          <w:rFonts w:ascii="宋体" w:hAnsi="宋体" w:cs="宋体" w:eastAsia="宋体" w:hint="default"/>
        </w:rPr>
        <w:t>1995</w:t>
      </w:r>
      <w:r>
        <w:rPr/>
        <w:t>年</w:t>
      </w:r>
      <w:r>
        <w:rPr>
          <w:rFonts w:ascii="宋体" w:hAnsi="宋体" w:cs="宋体" w:eastAsia="宋体" w:hint="default"/>
        </w:rPr>
        <w:t>-2005</w:t>
      </w:r>
      <w:r>
        <w:rPr/>
        <w:t>年，就职于中国建设银行总行科技部。</w:t>
      </w:r>
      <w:r>
        <w:rPr>
          <w:rFonts w:ascii="宋体" w:hAnsi="宋体" w:cs="宋体" w:eastAsia="宋体" w:hint="default"/>
        </w:rPr>
        <w:t>2005</w:t>
      </w:r>
      <w:r>
        <w:rPr/>
        <w:t>年至今，就职于中国建银投资有限责任公司，</w:t>
      </w:r>
      <w:r>
        <w:rPr>
          <w:spacing w:val="-85"/>
        </w:rPr>
        <w:t> </w:t>
      </w:r>
      <w:r>
        <w:rPr>
          <w:spacing w:val="-85"/>
        </w:rPr>
      </w:r>
      <w:r>
        <w:rPr/>
        <w:t>现任中国建银投资有限责任公司外派（成员企业）专职董事；</w:t>
      </w:r>
      <w:r>
        <w:rPr>
          <w:rFonts w:ascii="宋体" w:hAnsi="宋体" w:cs="宋体" w:eastAsia="宋体" w:hint="default"/>
        </w:rPr>
        <w:t>2014</w:t>
      </w:r>
      <w:r>
        <w:rPr/>
        <w:t>年</w:t>
      </w:r>
      <w:r>
        <w:rPr>
          <w:rFonts w:ascii="宋体" w:hAnsi="宋体" w:cs="宋体" w:eastAsia="宋体" w:hint="default"/>
        </w:rPr>
        <w:t>10</w:t>
      </w:r>
      <w:r>
        <w:rPr/>
        <w:t>月起兼任本公司独立董事。</w:t>
      </w:r>
      <w:r>
        <w:rPr>
          <w:rFonts w:ascii="宋体" w:hAnsi="宋体" w:cs="宋体" w:eastAsia="宋体" w:hint="default"/>
        </w:rPr>
        <w:t>2017</w:t>
      </w:r>
      <w:r>
        <w:rPr/>
        <w:t>年</w:t>
      </w:r>
      <w:r>
        <w:rPr>
          <w:rFonts w:ascii="宋体" w:hAnsi="宋体" w:cs="宋体" w:eastAsia="宋体" w:hint="default"/>
        </w:rPr>
        <w:t>6</w:t>
      </w:r>
      <w:r>
        <w:rPr/>
        <w:t>月因个人原因，</w:t>
      </w:r>
      <w:r>
        <w:rPr>
          <w:spacing w:val="-82"/>
        </w:rPr>
        <w:t> </w:t>
      </w:r>
      <w:r>
        <w:rPr>
          <w:spacing w:val="-82"/>
        </w:rPr>
      </w:r>
      <w:r>
        <w:rPr/>
        <w:t>辞去公司独立董事职务。同时不再在公司担任任何职务。</w:t>
      </w:r>
    </w:p>
    <w:p>
      <w:pPr>
        <w:pStyle w:val="BodyText"/>
        <w:spacing w:line="319" w:lineRule="auto" w:before="19"/>
        <w:ind w:left="1133" w:right="1129" w:firstLine="361"/>
        <w:jc w:val="both"/>
      </w:pPr>
      <w:r>
        <w:rPr>
          <w:rFonts w:ascii="宋体" w:hAnsi="宋体" w:cs="宋体" w:eastAsia="宋体" w:hint="default"/>
          <w:b/>
          <w:bCs/>
        </w:rPr>
        <w:t>苏文力</w:t>
      </w:r>
      <w:r>
        <w:rPr/>
        <w:t>，男，</w:t>
      </w:r>
      <w:r>
        <w:rPr>
          <w:rFonts w:ascii="宋体" w:hAnsi="宋体" w:cs="宋体" w:eastAsia="宋体" w:hint="default"/>
        </w:rPr>
        <w:t>1962</w:t>
      </w:r>
      <w:r>
        <w:rPr/>
        <w:t>年</w:t>
      </w:r>
      <w:r>
        <w:rPr>
          <w:rFonts w:ascii="宋体" w:hAnsi="宋体" w:cs="宋体" w:eastAsia="宋体" w:hint="default"/>
        </w:rPr>
        <w:t>9</w:t>
      </w:r>
      <w:r>
        <w:rPr/>
        <w:t>月出生，中国籍，毕业于北京计算机学院，哈尔滨工业大学在职硕士。</w:t>
      </w:r>
      <w:r>
        <w:rPr>
          <w:rFonts w:ascii="宋体" w:hAnsi="宋体" w:cs="宋体" w:eastAsia="宋体" w:hint="default"/>
        </w:rPr>
        <w:t>1984</w:t>
      </w:r>
      <w:r>
        <w:rPr/>
        <w:t>年至</w:t>
      </w:r>
      <w:r>
        <w:rPr>
          <w:rFonts w:ascii="宋体" w:hAnsi="宋体" w:cs="宋体" w:eastAsia="宋体" w:hint="default"/>
        </w:rPr>
        <w:t>2012</w:t>
      </w:r>
      <w:r>
        <w:rPr/>
        <w:t>年就职于中 </w:t>
      </w:r>
      <w:r>
        <w:rPr>
          <w:spacing w:val="-2"/>
        </w:rPr>
        <w:t>国工商银行股份有限公司，担任部门总经理，负责</w:t>
      </w:r>
      <w:r>
        <w:rPr>
          <w:rFonts w:ascii="宋体" w:hAnsi="宋体" w:cs="宋体" w:eastAsia="宋体" w:hint="default"/>
          <w:spacing w:val="-2"/>
        </w:rPr>
        <w:t>IT</w:t>
      </w:r>
      <w:r>
        <w:rPr>
          <w:spacing w:val="-2"/>
        </w:rPr>
        <w:t>开发、产品创新管理工作。</w:t>
      </w:r>
      <w:r>
        <w:rPr>
          <w:rFonts w:ascii="宋体" w:hAnsi="宋体" w:cs="宋体" w:eastAsia="宋体" w:hint="default"/>
          <w:spacing w:val="-2"/>
        </w:rPr>
        <w:t>2012</w:t>
      </w:r>
      <w:r>
        <w:rPr>
          <w:spacing w:val="-2"/>
        </w:rPr>
        <w:t>至今，就职于阳光保险集团股份有限公</w:t>
      </w:r>
      <w:r>
        <w:rPr>
          <w:spacing w:val="-60"/>
        </w:rPr>
        <w:t> </w:t>
      </w:r>
      <w:r>
        <w:rPr>
          <w:spacing w:val="-60"/>
        </w:rPr>
      </w:r>
      <w:r>
        <w:rPr>
          <w:spacing w:val="-2"/>
        </w:rPr>
        <w:t>司，担任总裁助理，分管创新、</w:t>
      </w:r>
      <w:r>
        <w:rPr>
          <w:rFonts w:ascii="宋体" w:hAnsi="宋体" w:cs="宋体" w:eastAsia="宋体" w:hint="default"/>
          <w:spacing w:val="-2"/>
        </w:rPr>
        <w:t>IT</w:t>
      </w:r>
      <w:r>
        <w:rPr>
          <w:spacing w:val="-2"/>
        </w:rPr>
        <w:t>、大数据工作；</w:t>
      </w:r>
      <w:r>
        <w:rPr>
          <w:rFonts w:ascii="宋体" w:hAnsi="宋体" w:cs="宋体" w:eastAsia="宋体" w:hint="default"/>
          <w:spacing w:val="-2"/>
        </w:rPr>
        <w:t>2014</w:t>
      </w:r>
      <w:r>
        <w:rPr>
          <w:spacing w:val="-2"/>
        </w:rPr>
        <w:t>年</w:t>
      </w:r>
      <w:r>
        <w:rPr>
          <w:rFonts w:ascii="宋体" w:hAnsi="宋体" w:cs="宋体" w:eastAsia="宋体" w:hint="default"/>
          <w:spacing w:val="-2"/>
        </w:rPr>
        <w:t>11</w:t>
      </w:r>
      <w:r>
        <w:rPr>
          <w:spacing w:val="-2"/>
        </w:rPr>
        <w:t>月开始担任金生无忧信息技术有限责任公司董事；</w:t>
      </w:r>
      <w:r>
        <w:rPr>
          <w:rFonts w:ascii="宋体" w:hAnsi="宋体" w:cs="宋体" w:eastAsia="宋体" w:hint="default"/>
          <w:spacing w:val="-2"/>
        </w:rPr>
        <w:t>2016</w:t>
      </w:r>
      <w:r>
        <w:rPr>
          <w:spacing w:val="-2"/>
        </w:rPr>
        <w:t>年至今还</w:t>
      </w:r>
      <w:r>
        <w:rPr>
          <w:spacing w:val="-53"/>
        </w:rPr>
        <w:t> </w:t>
      </w:r>
      <w:r>
        <w:rPr/>
        <w:t>担任航天信息股份有限公司独立董事。</w:t>
      </w:r>
      <w:r>
        <w:rPr>
          <w:rFonts w:ascii="宋体" w:hAnsi="宋体" w:cs="宋体" w:eastAsia="宋体" w:hint="default"/>
        </w:rPr>
        <w:t>2017</w:t>
      </w:r>
      <w:r>
        <w:rPr/>
        <w:t>年</w:t>
      </w:r>
      <w:r>
        <w:rPr>
          <w:rFonts w:ascii="宋体" w:hAnsi="宋体" w:cs="宋体" w:eastAsia="宋体" w:hint="default"/>
        </w:rPr>
        <w:t>6</w:t>
      </w:r>
      <w:r>
        <w:rPr/>
        <w:t>月起，担任本公司独立董事。</w:t>
      </w:r>
    </w:p>
    <w:p>
      <w:pPr>
        <w:pStyle w:val="Heading5"/>
        <w:spacing w:line="266" w:lineRule="exact"/>
        <w:ind w:left="1133" w:right="0"/>
        <w:jc w:val="left"/>
        <w:rPr>
          <w:b w:val="0"/>
          <w:bCs w:val="0"/>
        </w:rPr>
      </w:pPr>
      <w:r>
        <w:rPr/>
        <w:t>（二）公司现任监事简要情况</w:t>
      </w:r>
      <w:r>
        <w:rPr>
          <w:b w:val="0"/>
          <w:bCs w:val="0"/>
        </w:rPr>
      </w:r>
    </w:p>
    <w:p>
      <w:pPr>
        <w:pStyle w:val="BodyText"/>
        <w:spacing w:line="316" w:lineRule="auto" w:before="62"/>
        <w:ind w:left="1133" w:right="1130" w:firstLine="361"/>
        <w:jc w:val="both"/>
      </w:pPr>
      <w:r>
        <w:rPr>
          <w:rFonts w:ascii="宋体" w:hAnsi="宋体" w:cs="宋体" w:eastAsia="宋体" w:hint="default"/>
          <w:b/>
          <w:bCs/>
        </w:rPr>
        <w:t>杨格平</w:t>
      </w:r>
      <w:r>
        <w:rPr/>
        <w:t>，男，</w:t>
      </w:r>
      <w:r>
        <w:rPr>
          <w:rFonts w:ascii="宋体" w:hAnsi="宋体" w:cs="宋体" w:eastAsia="宋体" w:hint="default"/>
        </w:rPr>
        <w:t>1961</w:t>
      </w:r>
      <w:r>
        <w:rPr/>
        <w:t>年</w:t>
      </w:r>
      <w:r>
        <w:rPr>
          <w:rFonts w:ascii="宋体" w:hAnsi="宋体" w:cs="宋体" w:eastAsia="宋体" w:hint="default"/>
        </w:rPr>
        <w:t>12</w:t>
      </w:r>
      <w:r>
        <w:rPr/>
        <w:t>月出生，中国籍，无境外永久居留权，毕业于云南大学计算数学专业，本科学历。</w:t>
      </w:r>
      <w:r>
        <w:rPr>
          <w:rFonts w:ascii="宋体" w:hAnsi="宋体" w:cs="宋体" w:eastAsia="宋体" w:hint="default"/>
        </w:rPr>
        <w:t>1983</w:t>
      </w:r>
      <w:r>
        <w:rPr/>
        <w:t>年</w:t>
      </w:r>
      <w:r>
        <w:rPr>
          <w:rFonts w:ascii="宋体" w:hAnsi="宋体" w:cs="宋体" w:eastAsia="宋体" w:hint="default"/>
        </w:rPr>
        <w:t>-2000</w:t>
      </w:r>
      <w:r>
        <w:rPr>
          <w:rFonts w:ascii="宋体" w:hAnsi="宋体" w:cs="宋体" w:eastAsia="宋体" w:hint="default"/>
          <w:spacing w:val="1"/>
        </w:rPr>
        <w:t> </w:t>
      </w:r>
      <w:r>
        <w:rPr>
          <w:spacing w:val="-2"/>
        </w:rPr>
        <w:t>年，曾任南天电子信息产业集团公司业务经理、北京南天信息工程有限公司业务经理、云南南天电子信息产业股份有限公司</w:t>
      </w:r>
      <w:r>
        <w:rPr>
          <w:spacing w:val="-66"/>
        </w:rPr>
        <w:t> </w:t>
      </w:r>
      <w:r>
        <w:rPr>
          <w:spacing w:val="-66"/>
        </w:rPr>
      </w:r>
      <w:r>
        <w:rPr>
          <w:spacing w:val="-2"/>
        </w:rPr>
        <w:t>高级业务经理，负责市场开拓工作；</w:t>
      </w:r>
      <w:r>
        <w:rPr>
          <w:rFonts w:ascii="宋体" w:hAnsi="宋体" w:cs="宋体" w:eastAsia="宋体" w:hint="default"/>
          <w:spacing w:val="-2"/>
        </w:rPr>
        <w:t>2000</w:t>
      </w:r>
      <w:r>
        <w:rPr>
          <w:spacing w:val="-2"/>
        </w:rPr>
        <w:t>年入职先进数通有限，曾任公司北方区市场部总经理、商务部总经理，负责市场开</w:t>
      </w:r>
      <w:r>
        <w:rPr>
          <w:spacing w:val="-62"/>
        </w:rPr>
        <w:t> </w:t>
      </w:r>
      <w:r>
        <w:rPr>
          <w:spacing w:val="-62"/>
        </w:rPr>
      </w:r>
      <w:r>
        <w:rPr/>
        <w:t>拓、商务工作；现任公司监事会主席、商务部总经理。杨格平于金融信息化领域具有</w:t>
      </w:r>
      <w:r>
        <w:rPr>
          <w:rFonts w:ascii="宋体" w:hAnsi="宋体" w:cs="宋体" w:eastAsia="宋体" w:hint="default"/>
        </w:rPr>
        <w:t>30</w:t>
      </w:r>
      <w:r>
        <w:rPr/>
        <w:t>余年的从业经验。</w:t>
      </w:r>
    </w:p>
    <w:p>
      <w:pPr>
        <w:pStyle w:val="BodyText"/>
        <w:spacing w:line="316" w:lineRule="auto" w:before="19"/>
        <w:ind w:left="1133" w:right="1129" w:firstLine="361"/>
        <w:jc w:val="both"/>
      </w:pPr>
      <w:r>
        <w:rPr>
          <w:rFonts w:ascii="宋体" w:hAnsi="宋体" w:cs="宋体" w:eastAsia="宋体" w:hint="default"/>
          <w:b/>
          <w:bCs/>
          <w:spacing w:val="-4"/>
        </w:rPr>
        <w:t>李宏亮</w:t>
      </w:r>
      <w:r>
        <w:rPr>
          <w:spacing w:val="-4"/>
        </w:rPr>
        <w:t>，男，</w:t>
      </w:r>
      <w:r>
        <w:rPr>
          <w:rFonts w:ascii="宋体" w:hAnsi="宋体" w:cs="宋体" w:eastAsia="宋体" w:hint="default"/>
          <w:spacing w:val="-4"/>
        </w:rPr>
        <w:t>1976</w:t>
      </w:r>
      <w:r>
        <w:rPr>
          <w:spacing w:val="-4"/>
        </w:rPr>
        <w:t>年</w:t>
      </w:r>
      <w:r>
        <w:rPr>
          <w:rFonts w:ascii="宋体" w:hAnsi="宋体" w:cs="宋体" w:eastAsia="宋体" w:hint="default"/>
          <w:spacing w:val="-4"/>
        </w:rPr>
        <w:t>8</w:t>
      </w:r>
      <w:r>
        <w:rPr>
          <w:spacing w:val="-4"/>
        </w:rPr>
        <w:t>月出生，中国籍，无境外永久居留权，毕业于西安联合大学机械设计与制造专业，大专学历。</w:t>
      </w:r>
      <w:r>
        <w:rPr>
          <w:rFonts w:ascii="宋体" w:hAnsi="宋体" w:cs="宋体" w:eastAsia="宋体" w:hint="default"/>
          <w:spacing w:val="-4"/>
        </w:rPr>
        <w:t>2000</w:t>
      </w:r>
      <w:r>
        <w:rPr>
          <w:rFonts w:ascii="宋体" w:hAnsi="宋体" w:cs="宋体" w:eastAsia="宋体" w:hint="default"/>
        </w:rPr>
        <w:t> </w:t>
      </w:r>
      <w:r>
        <w:rPr>
          <w:spacing w:val="-2"/>
        </w:rPr>
        <w:t>年</w:t>
      </w:r>
      <w:r>
        <w:rPr>
          <w:rFonts w:ascii="宋体" w:hAnsi="宋体" w:cs="宋体" w:eastAsia="宋体" w:hint="default"/>
          <w:spacing w:val="-2"/>
        </w:rPr>
        <w:t>-2006</w:t>
      </w:r>
      <w:r>
        <w:rPr>
          <w:spacing w:val="-2"/>
        </w:rPr>
        <w:t>年，曾任西安南天电脑系统有限公司项目经理，西门子</w:t>
      </w:r>
      <w:r>
        <w:rPr>
          <w:rFonts w:ascii="宋体" w:hAnsi="宋体" w:cs="宋体" w:eastAsia="宋体" w:hint="default"/>
          <w:spacing w:val="-2"/>
        </w:rPr>
        <w:t>ATM</w:t>
      </w:r>
      <w:r>
        <w:rPr>
          <w:spacing w:val="-2"/>
        </w:rPr>
        <w:t>认证工程师，负责软件开发与实施工作；</w:t>
      </w:r>
      <w:r>
        <w:rPr>
          <w:rFonts w:ascii="宋体" w:hAnsi="宋体" w:cs="宋体" w:eastAsia="宋体" w:hint="default"/>
          <w:spacing w:val="-2"/>
        </w:rPr>
        <w:t>2006</w:t>
      </w:r>
      <w:r>
        <w:rPr>
          <w:spacing w:val="-2"/>
        </w:rPr>
        <w:t>年入职先进</w:t>
      </w:r>
      <w:r>
        <w:rPr>
          <w:spacing w:val="-54"/>
        </w:rPr>
        <w:t> </w:t>
      </w:r>
      <w:r>
        <w:rPr/>
        <w:t>数通有限，负责</w:t>
      </w:r>
      <w:r>
        <w:rPr>
          <w:rFonts w:ascii="宋体" w:hAnsi="宋体" w:cs="宋体" w:eastAsia="宋体" w:hint="default"/>
        </w:rPr>
        <w:t>EAI</w:t>
      </w:r>
      <w:r>
        <w:rPr/>
        <w:t>软件开发与实施工作。现任公司监事、软件事业部技术总监。李宏亮于金融信息化领域有近</w:t>
      </w:r>
      <w:r>
        <w:rPr>
          <w:rFonts w:ascii="宋体" w:hAnsi="宋体" w:cs="宋体" w:eastAsia="宋体" w:hint="default"/>
        </w:rPr>
        <w:t>20</w:t>
      </w:r>
      <w:r>
        <w:rPr/>
        <w:t>年从业经</w:t>
      </w:r>
      <w:r>
        <w:rPr>
          <w:spacing w:val="-82"/>
        </w:rPr>
        <w:t> </w:t>
      </w:r>
      <w:r>
        <w:rPr/>
        <w:t>验。</w:t>
      </w:r>
    </w:p>
    <w:p>
      <w:pPr>
        <w:pStyle w:val="BodyText"/>
        <w:spacing w:line="316" w:lineRule="auto" w:before="19"/>
        <w:ind w:left="1133" w:right="1041" w:firstLine="361"/>
        <w:jc w:val="left"/>
      </w:pPr>
      <w:r>
        <w:rPr>
          <w:rFonts w:ascii="宋体" w:hAnsi="宋体" w:cs="宋体" w:eastAsia="宋体" w:hint="default"/>
          <w:b/>
          <w:bCs/>
          <w:spacing w:val="-2"/>
        </w:rPr>
        <w:t>赵宏亮</w:t>
      </w:r>
      <w:r>
        <w:rPr>
          <w:spacing w:val="-2"/>
        </w:rPr>
        <w:t>，男，</w:t>
      </w:r>
      <w:r>
        <w:rPr>
          <w:rFonts w:ascii="宋体" w:hAnsi="宋体" w:cs="宋体" w:eastAsia="宋体" w:hint="default"/>
          <w:spacing w:val="-2"/>
        </w:rPr>
        <w:t>1978</w:t>
      </w:r>
      <w:r>
        <w:rPr>
          <w:spacing w:val="-2"/>
        </w:rPr>
        <w:t>年</w:t>
      </w:r>
      <w:r>
        <w:rPr>
          <w:rFonts w:ascii="宋体" w:hAnsi="宋体" w:cs="宋体" w:eastAsia="宋体" w:hint="default"/>
          <w:spacing w:val="-2"/>
        </w:rPr>
        <w:t>5</w:t>
      </w:r>
      <w:r>
        <w:rPr>
          <w:spacing w:val="-2"/>
        </w:rPr>
        <w:t>月出生，中国籍，无境外永久居留权，毕业于厦门大学软件工程专业，研究生学历，高级工程师。</w:t>
      </w:r>
      <w:r>
        <w:rPr/>
        <w:t> </w:t>
      </w:r>
      <w:r>
        <w:rPr>
          <w:rFonts w:ascii="宋体" w:hAnsi="宋体" w:cs="宋体" w:eastAsia="宋体" w:hint="default"/>
        </w:rPr>
        <w:t>2000</w:t>
      </w:r>
      <w:r>
        <w:rPr/>
        <w:t>年</w:t>
      </w:r>
      <w:r>
        <w:rPr>
          <w:rFonts w:ascii="宋体" w:hAnsi="宋体" w:cs="宋体" w:eastAsia="宋体" w:hint="default"/>
        </w:rPr>
        <w:t>-2005</w:t>
      </w:r>
      <w:r>
        <w:rPr/>
        <w:t>年，曾任太原理工天成科技股份有限公司工程师、项目经理，负责系统集成开发工作；</w:t>
      </w:r>
      <w:r>
        <w:rPr>
          <w:rFonts w:ascii="宋体" w:hAnsi="宋体" w:cs="宋体" w:eastAsia="宋体" w:hint="default"/>
        </w:rPr>
        <w:t>2005</w:t>
      </w:r>
      <w:r>
        <w:rPr/>
        <w:t>年入职先进数通有</w:t>
      </w:r>
      <w:r>
        <w:rPr>
          <w:spacing w:val="-84"/>
        </w:rPr>
        <w:t> </w:t>
      </w:r>
      <w:r>
        <w:rPr>
          <w:spacing w:val="-84"/>
        </w:rPr>
      </w:r>
      <w:r>
        <w:rPr>
          <w:spacing w:val="-2"/>
        </w:rPr>
        <w:t>限，曾任金融软件事业部厦门分公司工程师、项目经理、高级项目经理，负责软件开发工作。现任公司监事、软件事业部技</w:t>
      </w:r>
      <w:r>
        <w:rPr>
          <w:spacing w:val="-68"/>
        </w:rPr>
        <w:t> </w:t>
      </w:r>
      <w:r>
        <w:rPr>
          <w:spacing w:val="-68"/>
        </w:rPr>
      </w:r>
      <w:r>
        <w:rPr/>
        <w:t>术总监。</w:t>
      </w:r>
    </w:p>
    <w:p>
      <w:pPr>
        <w:pStyle w:val="Heading5"/>
        <w:spacing w:line="268" w:lineRule="exact"/>
        <w:ind w:left="1133" w:right="0"/>
        <w:jc w:val="left"/>
        <w:rPr>
          <w:b w:val="0"/>
          <w:bCs w:val="0"/>
        </w:rPr>
      </w:pPr>
      <w:r>
        <w:rPr/>
        <w:t>（三）公司现任非董事高管简要情况</w:t>
      </w:r>
      <w:r>
        <w:rPr>
          <w:b w:val="0"/>
          <w:bCs w:val="0"/>
        </w:rPr>
      </w:r>
    </w:p>
    <w:p>
      <w:pPr>
        <w:pStyle w:val="BodyText"/>
        <w:spacing w:line="319" w:lineRule="auto" w:before="62"/>
        <w:ind w:left="1133" w:right="1130" w:firstLine="361"/>
        <w:jc w:val="both"/>
      </w:pPr>
      <w:r>
        <w:rPr>
          <w:rFonts w:ascii="宋体" w:hAnsi="宋体" w:cs="宋体" w:eastAsia="宋体" w:hint="default"/>
          <w:b/>
          <w:bCs/>
        </w:rPr>
        <w:t>金麟</w:t>
      </w:r>
      <w:r>
        <w:rPr/>
        <w:t>，男，</w:t>
      </w:r>
      <w:r>
        <w:rPr>
          <w:rFonts w:ascii="宋体" w:hAnsi="宋体" w:cs="宋体" w:eastAsia="宋体" w:hint="default"/>
        </w:rPr>
        <w:t>1971</w:t>
      </w:r>
      <w:r>
        <w:rPr/>
        <w:t>年</w:t>
      </w:r>
      <w:r>
        <w:rPr>
          <w:rFonts w:ascii="宋体" w:hAnsi="宋体" w:cs="宋体" w:eastAsia="宋体" w:hint="default"/>
        </w:rPr>
        <w:t>7</w:t>
      </w:r>
      <w:r>
        <w:rPr/>
        <w:t>月出生，中国籍，无境外永久居留权，毕业于云南工业大学计算机应用专业，本科学历，四川大学 工商管理硕士。</w:t>
      </w:r>
      <w:r>
        <w:rPr>
          <w:rFonts w:ascii="宋体" w:hAnsi="宋体" w:cs="宋体" w:eastAsia="宋体" w:hint="default"/>
        </w:rPr>
        <w:t>1992</w:t>
      </w:r>
      <w:r>
        <w:rPr/>
        <w:t>年</w:t>
      </w:r>
      <w:r>
        <w:rPr>
          <w:rFonts w:ascii="宋体" w:hAnsi="宋体" w:cs="宋体" w:eastAsia="宋体" w:hint="default"/>
        </w:rPr>
        <w:t>-2000</w:t>
      </w:r>
      <w:r>
        <w:rPr/>
        <w:t>年，曾任北京南天电脑系统有限公司工程师、昆明南天电脑系统有限公司总经理助理、云南南</w:t>
      </w:r>
      <w:r>
        <w:rPr>
          <w:spacing w:val="-84"/>
        </w:rPr>
        <w:t> </w:t>
      </w:r>
      <w:r>
        <w:rPr>
          <w:spacing w:val="-84"/>
        </w:rPr>
      </w:r>
      <w:r>
        <w:rPr>
          <w:spacing w:val="-2"/>
        </w:rPr>
        <w:t>天电子信息产业股份有限公司系统集成事业部西南区总经理，负责西南区系统集成业务；</w:t>
      </w:r>
      <w:r>
        <w:rPr>
          <w:rFonts w:ascii="宋体" w:hAnsi="宋体" w:cs="宋体" w:eastAsia="宋体" w:hint="default"/>
          <w:spacing w:val="-2"/>
        </w:rPr>
        <w:t>2000</w:t>
      </w:r>
      <w:r>
        <w:rPr>
          <w:spacing w:val="-2"/>
        </w:rPr>
        <w:t>年入职先进数通有限，曾任公</w:t>
      </w:r>
      <w:r>
        <w:rPr>
          <w:spacing w:val="-61"/>
        </w:rPr>
        <w:t> </w:t>
      </w:r>
      <w:r>
        <w:rPr>
          <w:spacing w:val="-61"/>
        </w:rPr>
      </w:r>
      <w:r>
        <w:rPr>
          <w:spacing w:val="-2"/>
        </w:rPr>
        <w:t>司市场部总监、企业数据整合部总经理，负责公司数据整合业务。现任公司副总经理。金麟于金融信息化领域拥有</w:t>
      </w:r>
      <w:r>
        <w:rPr>
          <w:rFonts w:ascii="宋体" w:hAnsi="宋体" w:cs="宋体" w:eastAsia="宋体" w:hint="default"/>
          <w:spacing w:val="-2"/>
        </w:rPr>
        <w:t>20</w:t>
      </w:r>
      <w:r>
        <w:rPr>
          <w:spacing w:val="-2"/>
        </w:rPr>
        <w:t>余年的</w:t>
      </w:r>
      <w:r>
        <w:rPr>
          <w:spacing w:val="-64"/>
        </w:rPr>
        <w:t> </w:t>
      </w:r>
      <w:r>
        <w:rPr/>
        <w:t>从业经验。</w:t>
      </w:r>
    </w:p>
    <w:p>
      <w:pPr>
        <w:pStyle w:val="BodyText"/>
        <w:spacing w:line="240" w:lineRule="auto" w:before="17"/>
        <w:ind w:left="1495" w:right="0"/>
        <w:jc w:val="left"/>
      </w:pPr>
      <w:r>
        <w:rPr>
          <w:rFonts w:ascii="宋体" w:hAnsi="宋体" w:cs="宋体" w:eastAsia="宋体" w:hint="default"/>
          <w:b/>
          <w:bCs/>
        </w:rPr>
        <w:t>吴文胜</w:t>
      </w:r>
      <w:r>
        <w:rPr/>
        <w:t>，女，</w:t>
      </w:r>
      <w:r>
        <w:rPr>
          <w:rFonts w:ascii="宋体" w:hAnsi="宋体" w:cs="宋体" w:eastAsia="宋体" w:hint="default"/>
        </w:rPr>
        <w:t>1967</w:t>
      </w:r>
      <w:r>
        <w:rPr/>
        <w:t>年</w:t>
      </w:r>
      <w:r>
        <w:rPr>
          <w:rFonts w:ascii="宋体" w:hAnsi="宋体" w:cs="宋体" w:eastAsia="宋体" w:hint="default"/>
        </w:rPr>
        <w:t>11</w:t>
      </w:r>
      <w:r>
        <w:rPr/>
        <w:t>月出生，中国籍，无境外永久居留权，毕业于首都师范大学生物学专业，本科学历。</w:t>
      </w:r>
      <w:r>
        <w:rPr>
          <w:rFonts w:ascii="宋体" w:hAnsi="宋体" w:cs="宋体" w:eastAsia="宋体" w:hint="default"/>
        </w:rPr>
        <w:t>1998</w:t>
      </w:r>
      <w:r>
        <w:rPr/>
        <w:t>年，曾</w:t>
      </w:r>
    </w:p>
    <w:p>
      <w:pPr>
        <w:spacing w:after="0" w:line="240"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left="1133" w:right="1126"/>
        <w:jc w:val="left"/>
      </w:pPr>
      <w:r>
        <w:rPr>
          <w:spacing w:val="-3"/>
        </w:rPr>
        <w:t>任北京同康信息有限责任公司会计，从事会计工作；</w:t>
      </w:r>
      <w:r>
        <w:rPr>
          <w:rFonts w:ascii="宋体" w:hAnsi="宋体" w:cs="宋体" w:eastAsia="宋体" w:hint="default"/>
          <w:spacing w:val="-3"/>
        </w:rPr>
        <w:t>1998</w:t>
      </w:r>
      <w:r>
        <w:rPr>
          <w:spacing w:val="-3"/>
        </w:rPr>
        <w:t>年</w:t>
      </w:r>
      <w:r>
        <w:rPr>
          <w:rFonts w:ascii="宋体" w:hAnsi="宋体" w:cs="宋体" w:eastAsia="宋体" w:hint="default"/>
          <w:spacing w:val="-3"/>
        </w:rPr>
        <w:t>-1999</w:t>
      </w:r>
      <w:r>
        <w:rPr>
          <w:spacing w:val="-3"/>
        </w:rPr>
        <w:t>年，曾任天华会计师事务所审计经理，从事审计工作；</w:t>
      </w:r>
      <w:r>
        <w:rPr>
          <w:rFonts w:ascii="宋体" w:hAnsi="宋体" w:cs="宋体" w:eastAsia="宋体" w:hint="default"/>
          <w:spacing w:val="-3"/>
        </w:rPr>
        <w:t>2001</w:t>
      </w:r>
      <w:r>
        <w:rPr>
          <w:rFonts w:ascii="宋体" w:hAnsi="宋体" w:cs="宋体" w:eastAsia="宋体" w:hint="default"/>
          <w:spacing w:val="-81"/>
        </w:rPr>
        <w:t> </w:t>
      </w:r>
      <w:r>
        <w:rPr>
          <w:rFonts w:ascii="宋体" w:hAnsi="宋体" w:cs="宋体" w:eastAsia="宋体" w:hint="default"/>
          <w:spacing w:val="-81"/>
        </w:rPr>
      </w:r>
      <w:r>
        <w:rPr/>
        <w:t>年入职先进数通有限，曾任公司财务部经理，负责公司财务工作。现任公司财务总监。</w:t>
      </w:r>
    </w:p>
    <w:p>
      <w:pPr>
        <w:pStyle w:val="BodyText"/>
        <w:spacing w:line="240" w:lineRule="auto" w:before="59"/>
        <w:ind w:left="1133" w:right="0"/>
        <w:jc w:val="left"/>
      </w:pPr>
      <w:r>
        <w:rPr/>
        <w:t>在股东单位任职情况</w:t>
      </w:r>
    </w:p>
    <w:p>
      <w:pPr>
        <w:pStyle w:val="BodyText"/>
        <w:spacing w:line="357" w:lineRule="auto" w:before="117"/>
        <w:ind w:right="9132"/>
        <w:jc w:val="left"/>
      </w:pPr>
      <w:r>
        <w:rPr/>
        <w:t>□ 适用 √ 不适用 在其他单位任职情况</w:t>
      </w:r>
    </w:p>
    <w:p>
      <w:pPr>
        <w:pStyle w:val="BodyText"/>
        <w:spacing w:line="240" w:lineRule="auto" w:before="28"/>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1026"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05" w:right="144" w:hanging="361"/>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6" w:right="164"/>
              <w:jc w:val="center"/>
              <w:rPr>
                <w:rFonts w:ascii="宋体" w:hAnsi="宋体" w:cs="宋体" w:eastAsia="宋体" w:hint="default"/>
                <w:sz w:val="18"/>
                <w:szCs w:val="18"/>
              </w:rPr>
            </w:pPr>
            <w:r>
              <w:rPr>
                <w:rFonts w:ascii="宋体" w:hAnsi="宋体" w:cs="宋体" w:eastAsia="宋体" w:hint="default"/>
                <w:sz w:val="18"/>
                <w:szCs w:val="18"/>
              </w:rPr>
              <w:t>在其他单 位担任的 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02" w:right="143"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1" w:right="161"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单怀光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快连网络服务（上海）有限公司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肖淑芳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北京理工大学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肖淑芳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北京华清飞扬网络股份有限公司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肖淑芳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北京信路威科技股份有限公司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肖淑芳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北京万集科技股份有限公司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肖淑芳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北京博电新力电气股份有限公司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肖淑芳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北京中公教育科技股份有限公司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李纪军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中国建银投资有限责任公司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外派专职 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李纪军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建投控股有限责任公司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苏文力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阳光保险集团股份有限公司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总裁助理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苏文力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航天信息股份有限公司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苏文力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金生无忧信息技术有限责任公司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林鸿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广州先进数通信息技术有限公司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罗云波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广州先进数通信息技术有限公司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西藏先进数通信息技术有限公司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朱胡勇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西藏先进数通信息技术有限公司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left="1133" w:right="0"/>
        <w:jc w:val="left"/>
      </w:pPr>
      <w:r>
        <w:rPr/>
        <w:t>□ 适用 √ 不适用</w:t>
      </w:r>
    </w:p>
    <w:p>
      <w:pPr>
        <w:spacing w:line="240" w:lineRule="auto" w:before="0"/>
        <w:rPr>
          <w:rFonts w:ascii="宋体" w:hAnsi="宋体" w:cs="宋体" w:eastAsia="宋体" w:hint="default"/>
          <w:sz w:val="25"/>
          <w:szCs w:val="25"/>
        </w:rPr>
      </w:pPr>
    </w:p>
    <w:p>
      <w:pPr>
        <w:pStyle w:val="Heading3"/>
        <w:spacing w:line="240" w:lineRule="auto"/>
        <w:ind w:right="0"/>
        <w:jc w:val="left"/>
        <w:rPr>
          <w:b w:val="0"/>
          <w:bCs w:val="0"/>
        </w:rPr>
      </w:pPr>
      <w:bookmarkStart w:name="四、董事、监事、高级管理人员报酬情况" w:id="123"/>
      <w:bookmarkEnd w:id="123"/>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493" w:right="0" w:hanging="360"/>
        <w:jc w:val="left"/>
      </w:pPr>
      <w:r>
        <w:rPr/>
        <w:t>董事、监事、高级管理人员报酬的决策程序、确定依据、实际支付情况 </w:t>
      </w:r>
      <w:r>
        <w:rPr>
          <w:spacing w:val="-4"/>
        </w:rPr>
        <w:t>公司内部非独立董事、监事和高级管理人员的报酬，由公司董事会薪酬与考核委员会根据其本人在公司承担的具体职务，</w:t>
      </w:r>
    </w:p>
    <w:p>
      <w:pPr>
        <w:pStyle w:val="BodyText"/>
        <w:spacing w:line="224" w:lineRule="exact"/>
        <w:ind w:left="1133" w:right="0"/>
        <w:jc w:val="left"/>
      </w:pPr>
      <w:r>
        <w:rPr/>
        <w:t>参考行业平均水平和公司前一年度的利润，结合其本人的工作绩效，提出议案。其中，董事和监事的薪酬相关的议案需要由</w:t>
      </w:r>
    </w:p>
    <w:p>
      <w:pPr>
        <w:pStyle w:val="BodyText"/>
        <w:spacing w:line="360" w:lineRule="auto" w:before="76"/>
        <w:ind w:left="1133" w:right="1573"/>
        <w:jc w:val="left"/>
      </w:pPr>
      <w:r>
        <w:rPr/>
        <w:t>董事会审议后，提交股东大会审议，审议通过后实施。高级管理人员的薪酬相关的议案，由董事会审议通过后实施。 公司报告期内董事、监事和高级管理人员报酬情况</w:t>
      </w:r>
    </w:p>
    <w:p>
      <w:pPr>
        <w:pStyle w:val="BodyText"/>
        <w:spacing w:line="240" w:lineRule="auto" w:before="2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98"/>
              <w:jc w:val="right"/>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6" w:right="138"/>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7" w:right="137"/>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李铠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2"/>
                <w:sz w:val="18"/>
              </w:rPr>
              <w:t>611,000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林鸿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2"/>
                <w:sz w:val="18"/>
              </w:rPr>
              <w:t>611,000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朱胡勇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67"/>
              <w:ind w:left="103" w:right="22"/>
              <w:jc w:val="left"/>
              <w:rPr>
                <w:rFonts w:ascii="宋体" w:hAnsi="宋体" w:cs="宋体" w:eastAsia="宋体" w:hint="default"/>
                <w:sz w:val="16"/>
                <w:szCs w:val="16"/>
              </w:rPr>
            </w:pPr>
            <w:r>
              <w:rPr>
                <w:rFonts w:ascii="宋体" w:hAnsi="宋体" w:cs="宋体" w:eastAsia="宋体" w:hint="default"/>
                <w:spacing w:val="-7"/>
                <w:sz w:val="16"/>
                <w:szCs w:val="16"/>
              </w:rPr>
              <w:t>董事、副总经理、</w:t>
            </w:r>
            <w:r>
              <w:rPr>
                <w:rFonts w:ascii="宋体" w:hAnsi="宋体" w:cs="宋体" w:eastAsia="宋体" w:hint="default"/>
                <w:spacing w:val="-76"/>
                <w:sz w:val="16"/>
                <w:szCs w:val="16"/>
              </w:rPr>
              <w:t> </w:t>
            </w:r>
            <w:r>
              <w:rPr>
                <w:rFonts w:ascii="宋体" w:hAnsi="宋体" w:cs="宋体" w:eastAsia="宋体" w:hint="default"/>
                <w:spacing w:val="-76"/>
                <w:sz w:val="16"/>
                <w:szCs w:val="16"/>
              </w:rPr>
            </w:r>
            <w:r>
              <w:rPr>
                <w:rFonts w:ascii="宋体" w:hAnsi="宋体" w:cs="宋体" w:eastAsia="宋体" w:hint="default"/>
                <w:sz w:val="16"/>
                <w:szCs w:val="16"/>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585,000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罗云波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559,000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庄云江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494,000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范丽明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332,000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单怀光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82,500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肖淑芳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82,500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苏文力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46,379.31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李纪军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杨格平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364,000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李宏亮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327,000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赵宏亮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407,272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吴文胜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455,000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金麟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468,000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98"/>
              <w:jc w:val="righ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5,424,651.31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0"/>
        <w:jc w:val="left"/>
      </w:pPr>
      <w:r>
        <w:rPr/>
        <w:t>公司董事、高级管理人员报告期内被授予的股权激励情况</w:t>
      </w:r>
    </w:p>
    <w:p>
      <w:pPr>
        <w:pStyle w:val="BodyText"/>
        <w:spacing w:line="240" w:lineRule="auto" w:before="116"/>
        <w:ind w:right="0"/>
        <w:jc w:val="left"/>
      </w:pPr>
      <w:r>
        <w:rPr/>
        <w:t>□ 适用 √ 不适用</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0"/>
          <w:szCs w:val="20"/>
        </w:rPr>
      </w:pPr>
    </w:p>
    <w:p>
      <w:pPr>
        <w:pStyle w:val="Heading3"/>
        <w:spacing w:line="240" w:lineRule="auto" w:before="26"/>
        <w:ind w:right="0"/>
        <w:jc w:val="left"/>
        <w:rPr>
          <w:b w:val="0"/>
          <w:bCs w:val="0"/>
        </w:rPr>
      </w:pPr>
      <w:bookmarkStart w:name="五、公司员工情况" w:id="124"/>
      <w:bookmarkEnd w:id="124"/>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133" w:right="0"/>
        <w:jc w:val="left"/>
        <w:rPr>
          <w:b w:val="0"/>
          <w:bCs w:val="0"/>
        </w:rPr>
      </w:pPr>
      <w:bookmarkStart w:name="1、员工数量、专业构成及教育程度" w:id="125"/>
      <w:bookmarkEnd w:id="125"/>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1,403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1,403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1,430</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79</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1,232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76</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1,403</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博士研究生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硕士研究生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本科生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1,065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大专生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1,403</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2、薪酬政策" w:id="126"/>
      <w:bookmarkEnd w:id="126"/>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131" w:firstLine="360"/>
        <w:jc w:val="both"/>
      </w:pPr>
      <w:r>
        <w:rPr>
          <w:spacing w:val="-2"/>
        </w:rPr>
        <w:t>公司依据公司的经营发展情况，在公平客观的情况下，本着薪酬与个人能力和个人工作情况相符合的原则，来确定公司</w:t>
      </w:r>
      <w:r>
        <w:rPr/>
        <w:t> </w:t>
      </w:r>
      <w:r>
        <w:rPr>
          <w:spacing w:val="-2"/>
        </w:rPr>
        <w:t>的薪酬体系。根据各岗位的员工承担的职责、结合各个岗位所在部门当年的工作绩效，制定公平合理的薪酬体系，将薪酬与</w:t>
      </w:r>
      <w:r>
        <w:rPr>
          <w:spacing w:val="-66"/>
        </w:rPr>
        <w:t> </w:t>
      </w:r>
      <w:r>
        <w:rPr>
          <w:spacing w:val="-66"/>
        </w:rPr>
      </w:r>
      <w:r>
        <w:rPr>
          <w:spacing w:val="-2"/>
        </w:rPr>
        <w:t>员工的绩效挂钩。用差别化的薪酬充分的激发员工的工作积极性。同时，公司为员工提供完善的福利待遇，提高员工的归属</w:t>
      </w:r>
      <w:r>
        <w:rPr>
          <w:spacing w:val="-66"/>
        </w:rPr>
        <w:t> </w:t>
      </w:r>
      <w:r>
        <w:rPr>
          <w:spacing w:val="-66"/>
        </w:rPr>
      </w:r>
      <w:r>
        <w:rPr/>
        <w:t>感和对企业文化的认同感。</w:t>
      </w:r>
    </w:p>
    <w:p>
      <w:pPr>
        <w:spacing w:line="240" w:lineRule="auto" w:before="7"/>
        <w:rPr>
          <w:rFonts w:ascii="宋体" w:hAnsi="宋体" w:cs="宋体" w:eastAsia="宋体" w:hint="default"/>
          <w:sz w:val="22"/>
          <w:szCs w:val="22"/>
        </w:rPr>
      </w:pPr>
    </w:p>
    <w:p>
      <w:pPr>
        <w:pStyle w:val="Heading5"/>
        <w:spacing w:line="240" w:lineRule="auto"/>
        <w:ind w:right="0"/>
        <w:jc w:val="left"/>
        <w:rPr>
          <w:b w:val="0"/>
          <w:bCs w:val="0"/>
        </w:rPr>
      </w:pPr>
      <w:bookmarkStart w:name="3、培训计划" w:id="127"/>
      <w:bookmarkEnd w:id="127"/>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0" w:firstLine="360"/>
        <w:jc w:val="both"/>
      </w:pPr>
      <w:r>
        <w:rPr>
          <w:spacing w:val="-2"/>
        </w:rPr>
        <w:t>针对不同类型的员工，公司有不同的培训计划。主要分为新人入职引导类、管理类、业务类和技术类培训。公司秉持资</w:t>
      </w:r>
      <w:r>
        <w:rPr/>
        <w:t> </w:t>
      </w:r>
      <w:r>
        <w:rPr>
          <w:spacing w:val="-2"/>
        </w:rPr>
        <w:t>源充分利用的原则，建立了自己的培训平台，并根据公司的《年度培训计划》在平台上传相应的培训类课程。公司员工可以</w:t>
      </w:r>
      <w:r>
        <w:rPr>
          <w:spacing w:val="-66"/>
        </w:rPr>
        <w:t> </w:t>
      </w:r>
      <w:r>
        <w:rPr>
          <w:spacing w:val="-66"/>
        </w:rPr>
      </w:r>
      <w:r>
        <w:rPr>
          <w:spacing w:val="-2"/>
        </w:rPr>
        <w:t>根据自己的需求，登录平台进行相应的课程培训。同时，公司财务部、人力行政部、运营管理中心、商务部等部门都针对部</w:t>
      </w:r>
      <w:r>
        <w:rPr>
          <w:spacing w:val="-68"/>
        </w:rPr>
        <w:t> </w:t>
      </w:r>
      <w:r>
        <w:rPr>
          <w:spacing w:val="-68"/>
        </w:rPr>
      </w:r>
      <w:r>
        <w:rPr/>
        <w:t>门内部控制体系和部门员工的专业能力组织了培训。公司多维度多体系的培训为公司人才培养提供了有力的支撑。</w:t>
      </w:r>
    </w:p>
    <w:p>
      <w:pPr>
        <w:spacing w:after="0" w:line="319" w:lineRule="auto"/>
        <w:jc w:val="both"/>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5"/>
        <w:spacing w:line="240" w:lineRule="auto" w:before="35"/>
        <w:ind w:right="0"/>
        <w:jc w:val="left"/>
        <w:rPr>
          <w:b w:val="0"/>
          <w:bCs w:val="0"/>
        </w:rPr>
      </w:pPr>
      <w:bookmarkStart w:name="4、劳务外包情况" w:id="128"/>
      <w:bookmarkEnd w:id="128"/>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headerReference w:type="default" r:id="rId20"/>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3403"/>
        <w:jc w:val="center"/>
        <w:rPr>
          <w:b w:val="0"/>
          <w:bCs w:val="0"/>
        </w:rPr>
      </w:pPr>
      <w:bookmarkStart w:name="第九节 公司治理" w:id="129"/>
      <w:bookmarkEnd w:id="129"/>
      <w:r>
        <w:rPr>
          <w:b w:val="0"/>
          <w:bCs w:val="0"/>
        </w:rPr>
      </w:r>
      <w:bookmarkStart w:name="_bookmark8" w:id="130"/>
      <w:bookmarkEnd w:id="130"/>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left="1133" w:right="0"/>
        <w:jc w:val="left"/>
        <w:rPr>
          <w:b w:val="0"/>
          <w:bCs w:val="0"/>
        </w:rPr>
      </w:pPr>
      <w:bookmarkStart w:name="一、公司治理的基本状况" w:id="131"/>
      <w:bookmarkEnd w:id="131"/>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493" w:right="0"/>
        <w:jc w:val="left"/>
      </w:pPr>
      <w:r>
        <w:rPr/>
        <w:t>报告期内</w:t>
      </w:r>
      <w:r>
        <w:rPr>
          <w:spacing w:val="-53"/>
        </w:rPr>
        <w:t>，</w:t>
      </w:r>
      <w:r>
        <w:rPr/>
        <w:t>公司严格按</w:t>
      </w:r>
      <w:r>
        <w:rPr>
          <w:spacing w:val="-53"/>
        </w:rPr>
        <w:t>照</w:t>
      </w:r>
      <w:r>
        <w:rPr/>
        <w:t>《公司法</w:t>
      </w:r>
      <w:r>
        <w:rPr>
          <w:spacing w:val="-90"/>
        </w:rPr>
        <w:t>》</w:t>
      </w:r>
      <w:r>
        <w:rPr>
          <w:spacing w:val="-143"/>
        </w:rPr>
        <w:t>、</w:t>
      </w:r>
      <w:r>
        <w:rPr/>
        <w:t>《证券法</w:t>
      </w:r>
      <w:r>
        <w:rPr>
          <w:spacing w:val="-90"/>
        </w:rPr>
        <w:t>》</w:t>
      </w:r>
      <w:r>
        <w:rPr>
          <w:spacing w:val="-143"/>
        </w:rPr>
        <w:t>、</w:t>
      </w:r>
      <w:r>
        <w:rPr/>
        <w:t>《上市公司信息披露管理办法</w:t>
      </w:r>
      <w:r>
        <w:rPr>
          <w:spacing w:val="-90"/>
        </w:rPr>
        <w:t>》</w:t>
      </w:r>
      <w:r>
        <w:rPr>
          <w:spacing w:val="-143"/>
        </w:rPr>
        <w:t>、</w:t>
      </w:r>
      <w:r>
        <w:rPr/>
        <w:t>《深圳证券交易所创业板股票上市规则</w:t>
      </w:r>
      <w:r>
        <w:rPr>
          <w:spacing w:val="-89"/>
        </w:rPr>
        <w:t>》</w:t>
      </w:r>
      <w:r>
        <w:rPr/>
        <w:t>、</w:t>
      </w:r>
    </w:p>
    <w:p>
      <w:pPr>
        <w:pStyle w:val="BodyText"/>
        <w:spacing w:line="316" w:lineRule="auto" w:before="76"/>
        <w:ind w:left="1133" w:right="1132"/>
        <w:jc w:val="both"/>
      </w:pPr>
      <w:r>
        <w:rPr>
          <w:spacing w:val="-2"/>
        </w:rPr>
        <w:t>《深圳证券交易所创业板上市公司规范运作指引》等法律法规、规范性文件及监管部门的相关规定和要求，不断完善公司的</w:t>
      </w:r>
      <w:r>
        <w:rPr>
          <w:spacing w:val="-66"/>
        </w:rPr>
        <w:t> </w:t>
      </w:r>
      <w:r>
        <w:rPr>
          <w:spacing w:val="-66"/>
        </w:rPr>
      </w:r>
      <w:r>
        <w:rPr>
          <w:spacing w:val="-2"/>
        </w:rPr>
        <w:t>治理机制和治理结构，明确股东、董事、监事和高级管理人员的权利和义务，保证股东充分行使其合法权利，确保董事会对</w:t>
      </w:r>
      <w:r>
        <w:rPr>
          <w:spacing w:val="-66"/>
        </w:rPr>
        <w:t> </w:t>
      </w:r>
      <w:r>
        <w:rPr>
          <w:spacing w:val="-66"/>
        </w:rPr>
      </w:r>
      <w:r>
        <w:rPr/>
        <w:t>公司和股东负责，保障重大信息披露透明，依法运作、诚实守信。</w:t>
      </w:r>
    </w:p>
    <w:p>
      <w:pPr>
        <w:pStyle w:val="BodyText"/>
        <w:spacing w:line="316" w:lineRule="auto" w:before="19"/>
        <w:ind w:left="1493" w:right="1118"/>
        <w:jc w:val="left"/>
      </w:pPr>
      <w:r>
        <w:rPr>
          <w:rFonts w:ascii="宋体" w:hAnsi="宋体" w:cs="宋体" w:eastAsia="宋体" w:hint="default"/>
        </w:rPr>
        <w:t>1.</w:t>
      </w:r>
      <w:r>
        <w:rPr/>
        <w:t>股东大会 </w:t>
      </w:r>
      <w:r>
        <w:rPr>
          <w:spacing w:val="-12"/>
        </w:rPr>
        <w:t>公司严格按照《公司法》、《上市公司股东大会规则》、《公司章程》、《股东大会议事规则》等相关法律法规、规范性文件</w:t>
      </w:r>
    </w:p>
    <w:p>
      <w:pPr>
        <w:pStyle w:val="BodyText"/>
        <w:spacing w:line="316" w:lineRule="auto" w:before="19"/>
        <w:ind w:left="1493" w:right="0" w:hanging="360"/>
        <w:jc w:val="left"/>
      </w:pPr>
      <w:r>
        <w:rPr/>
        <w:t>和公司规章制度的有关规定和要求，规范地召集、召开股东大会，平等对待所有股东，保障股东依法享有各项合法权益。 </w:t>
      </w:r>
      <w:r>
        <w:rPr>
          <w:spacing w:val="-2"/>
        </w:rPr>
        <w:t>报告期内，公司召开</w:t>
      </w:r>
      <w:r>
        <w:rPr>
          <w:rFonts w:ascii="宋体" w:hAnsi="宋体" w:cs="宋体" w:eastAsia="宋体" w:hint="default"/>
          <w:spacing w:val="-2"/>
        </w:rPr>
        <w:t>1</w:t>
      </w:r>
      <w:r>
        <w:rPr>
          <w:spacing w:val="-2"/>
        </w:rPr>
        <w:t>次年度股东大会和</w:t>
      </w:r>
      <w:r>
        <w:rPr>
          <w:rFonts w:ascii="宋体" w:hAnsi="宋体" w:cs="宋体" w:eastAsia="宋体" w:hint="default"/>
          <w:spacing w:val="-2"/>
        </w:rPr>
        <w:t>2</w:t>
      </w:r>
      <w:r>
        <w:rPr>
          <w:spacing w:val="-2"/>
        </w:rPr>
        <w:t>次临时股东大会，会议设置专门会场，以现场会议方式召开，除现场会议投票</w:t>
      </w:r>
    </w:p>
    <w:p>
      <w:pPr>
        <w:pStyle w:val="BodyText"/>
        <w:spacing w:line="316" w:lineRule="auto" w:before="19"/>
        <w:ind w:left="1493" w:right="4633" w:hanging="360"/>
        <w:jc w:val="left"/>
      </w:pPr>
      <w:r>
        <w:rPr/>
        <w:t>外，向股东提供股东大会网络投票服务，积极为股东行使股东权利提供便利。 </w:t>
      </w:r>
      <w:r>
        <w:rPr>
          <w:rFonts w:ascii="宋体" w:hAnsi="宋体" w:cs="宋体" w:eastAsia="宋体" w:hint="default"/>
        </w:rPr>
        <w:t>2.</w:t>
      </w:r>
      <w:r>
        <w:rPr/>
        <w:t>董事会和董事会专门委员会</w:t>
      </w:r>
    </w:p>
    <w:p>
      <w:pPr>
        <w:pStyle w:val="BodyText"/>
        <w:spacing w:line="316" w:lineRule="auto" w:before="19"/>
        <w:ind w:left="1133" w:right="0" w:firstLine="360"/>
        <w:jc w:val="left"/>
      </w:pPr>
      <w:r>
        <w:rPr>
          <w:spacing w:val="-4"/>
        </w:rPr>
        <w:t>公司严格按照《公司法》、《公司章程》等相关法律法规有关规定和要求设立董事会，公司第二届董事会设董事</w:t>
      </w:r>
      <w:r>
        <w:rPr>
          <w:rFonts w:ascii="宋体" w:hAnsi="宋体" w:cs="宋体" w:eastAsia="宋体" w:hint="default"/>
          <w:spacing w:val="-4"/>
        </w:rPr>
        <w:t>9</w:t>
      </w:r>
      <w:r>
        <w:rPr>
          <w:spacing w:val="-4"/>
        </w:rPr>
        <w:t>名，其</w:t>
      </w:r>
      <w:r>
        <w:rPr/>
        <w:t> 中独立董事</w:t>
      </w:r>
      <w:r>
        <w:rPr>
          <w:rFonts w:ascii="宋体" w:hAnsi="宋体" w:cs="宋体" w:eastAsia="宋体" w:hint="default"/>
        </w:rPr>
        <w:t>3</w:t>
      </w:r>
      <w:r>
        <w:rPr/>
        <w:t>名，达到公司董事总数的</w:t>
      </w:r>
      <w:r>
        <w:rPr>
          <w:rFonts w:ascii="宋体" w:hAnsi="宋体" w:cs="宋体" w:eastAsia="宋体" w:hint="default"/>
        </w:rPr>
        <w:t>1/3</w:t>
      </w:r>
      <w:r>
        <w:rPr/>
        <w:t>。独立董事能够独立履行职责，做到诚信与勤勉。</w:t>
      </w:r>
    </w:p>
    <w:p>
      <w:pPr>
        <w:pStyle w:val="BodyText"/>
        <w:spacing w:line="316" w:lineRule="auto" w:before="19"/>
        <w:ind w:right="1122" w:firstLine="360"/>
        <w:jc w:val="left"/>
      </w:pPr>
      <w:r>
        <w:rPr/>
        <w:t>报告期内，公司召开</w:t>
      </w:r>
      <w:r>
        <w:rPr>
          <w:rFonts w:ascii="宋体" w:hAnsi="宋体" w:cs="宋体" w:eastAsia="宋体" w:hint="default"/>
        </w:rPr>
        <w:t>10</w:t>
      </w:r>
      <w:r>
        <w:rPr/>
        <w:t>次临时会议，</w:t>
      </w:r>
      <w:r>
        <w:rPr>
          <w:rFonts w:ascii="宋体" w:hAnsi="宋体" w:cs="宋体" w:eastAsia="宋体" w:hint="default"/>
        </w:rPr>
        <w:t>2</w:t>
      </w:r>
      <w:r>
        <w:rPr/>
        <w:t>次定期会议，各位董事按时出席董事会，积极参与公司经营管理决策，根据公司 和全体股东的最大利益，忠实、诚信、勤勉地履行职责。董事会会议记录完整、真实并妥善保存。</w:t>
      </w:r>
    </w:p>
    <w:p>
      <w:pPr>
        <w:pStyle w:val="BodyText"/>
        <w:spacing w:line="316" w:lineRule="auto" w:before="19"/>
        <w:ind w:left="1133" w:right="0" w:firstLine="360"/>
        <w:jc w:val="left"/>
      </w:pPr>
      <w:r>
        <w:rPr>
          <w:spacing w:val="-2"/>
        </w:rPr>
        <w:t>公司董事会下设战略委员会、提名委员会、薪酬与考核委员会、审计委员会四个专门委员会，为董事会的决策提供了科</w:t>
      </w:r>
      <w:r>
        <w:rPr/>
        <w:t> 学和专业的意见和参考。</w:t>
      </w:r>
    </w:p>
    <w:p>
      <w:pPr>
        <w:pStyle w:val="BodyText"/>
        <w:spacing w:line="316" w:lineRule="auto" w:before="19"/>
        <w:ind w:left="1493" w:right="1118"/>
        <w:jc w:val="left"/>
      </w:pPr>
      <w:r>
        <w:rPr>
          <w:rFonts w:ascii="宋体" w:hAnsi="宋体" w:cs="宋体" w:eastAsia="宋体" w:hint="default"/>
        </w:rPr>
        <w:t>3.</w:t>
      </w:r>
      <w:r>
        <w:rPr/>
        <w:t>监事会 </w:t>
      </w:r>
      <w:r>
        <w:rPr>
          <w:spacing w:val="-4"/>
        </w:rPr>
        <w:t>公司严格按照《公司法》、《公司章程》等相关法律法规有关规定和要求设立监事会，公司第二届监事会设监事</w:t>
      </w:r>
      <w:r>
        <w:rPr>
          <w:rFonts w:ascii="宋体" w:hAnsi="宋体" w:cs="宋体" w:eastAsia="宋体" w:hint="default"/>
          <w:spacing w:val="-4"/>
        </w:rPr>
        <w:t>3</w:t>
      </w:r>
      <w:r>
        <w:rPr>
          <w:spacing w:val="-4"/>
        </w:rPr>
        <w:t>名，其</w:t>
      </w:r>
    </w:p>
    <w:p>
      <w:pPr>
        <w:pStyle w:val="BodyText"/>
        <w:spacing w:line="316" w:lineRule="auto" w:before="19"/>
        <w:ind w:left="1494" w:right="0" w:hanging="360"/>
        <w:jc w:val="left"/>
      </w:pPr>
      <w:r>
        <w:rPr/>
        <w:t>中职工代表监事</w:t>
      </w:r>
      <w:r>
        <w:rPr>
          <w:rFonts w:ascii="宋体" w:hAnsi="宋体" w:cs="宋体" w:eastAsia="宋体" w:hint="default"/>
        </w:rPr>
        <w:t>2</w:t>
      </w:r>
      <w:r>
        <w:rPr/>
        <w:t>名。 </w:t>
      </w:r>
      <w:r>
        <w:rPr>
          <w:spacing w:val="-2"/>
        </w:rPr>
        <w:t>报告期内，公司监事会召开</w:t>
      </w:r>
      <w:r>
        <w:rPr>
          <w:rFonts w:ascii="宋体" w:hAnsi="宋体" w:cs="宋体" w:eastAsia="宋体" w:hint="default"/>
          <w:spacing w:val="-2"/>
        </w:rPr>
        <w:t>5</w:t>
      </w:r>
      <w:r>
        <w:rPr>
          <w:spacing w:val="-2"/>
        </w:rPr>
        <w:t>次临时会议，</w:t>
      </w:r>
      <w:r>
        <w:rPr>
          <w:rFonts w:ascii="宋体" w:hAnsi="宋体" w:cs="宋体" w:eastAsia="宋体" w:hint="default"/>
          <w:spacing w:val="-2"/>
        </w:rPr>
        <w:t>2</w:t>
      </w:r>
      <w:r>
        <w:rPr>
          <w:spacing w:val="-2"/>
        </w:rPr>
        <w:t>次定期会议，各位监事按时出席会议，各位监事按时参加会议，能够有效的</w:t>
      </w:r>
    </w:p>
    <w:p>
      <w:pPr>
        <w:pStyle w:val="BodyText"/>
        <w:spacing w:line="316" w:lineRule="auto" w:before="19"/>
        <w:ind w:left="1493" w:right="2653" w:hanging="360"/>
        <w:jc w:val="left"/>
      </w:pPr>
      <w:r>
        <w:rPr/>
        <w:t>行使对董事、高级管理人员以及对公司财务的监督和检查权。监事会会议记录完整、真实并妥善保存。 </w:t>
      </w:r>
      <w:r>
        <w:rPr>
          <w:rFonts w:ascii="宋体" w:hAnsi="宋体" w:cs="宋体" w:eastAsia="宋体" w:hint="default"/>
        </w:rPr>
        <w:t>4.</w:t>
      </w:r>
      <w:r>
        <w:rPr/>
        <w:t>内部控制情况</w:t>
      </w:r>
    </w:p>
    <w:p>
      <w:pPr>
        <w:pStyle w:val="BodyText"/>
        <w:spacing w:line="316" w:lineRule="auto" w:before="19"/>
        <w:ind w:left="1133" w:right="1033" w:firstLine="360"/>
        <w:jc w:val="left"/>
      </w:pPr>
      <w:r>
        <w:rPr/>
        <w:t>公司不断完善内部控制制度，确保董事会、监事会和股东大会等机构合法运作和科学决策，建立有效的激励约束机制， 树立风险防范意识，培育良好的企业精神和内部控制文化，创造全体职工充分了解并履行职责的环境。</w:t>
      </w:r>
    </w:p>
    <w:p>
      <w:pPr>
        <w:pStyle w:val="BodyText"/>
        <w:spacing w:line="316" w:lineRule="auto" w:before="19"/>
        <w:ind w:left="1493" w:right="0"/>
        <w:jc w:val="left"/>
      </w:pPr>
      <w:r>
        <w:rPr/>
        <w:t>公司设立专门负责监督检查的内部审计部门，定期检查内部控制缺陷，及时提出改进意见。 </w:t>
      </w:r>
      <w:r>
        <w:rPr>
          <w:spacing w:val="-4"/>
        </w:rPr>
        <w:t>公司参照《创业板上市规则》以及其他相关规定，确定了公司关联人的名单，并及时更新，确保关联人名单准确、真实、</w:t>
      </w:r>
    </w:p>
    <w:p>
      <w:pPr>
        <w:pStyle w:val="BodyText"/>
        <w:spacing w:line="360" w:lineRule="auto" w:before="19"/>
        <w:ind w:left="1133" w:right="3553"/>
        <w:jc w:val="left"/>
      </w:pPr>
      <w:r>
        <w:rPr/>
        <w:t>完整，在发生交易活动时，相关责任人仔细查阅关联人名单，审慎判断是否够成关联交易。 公司治理的实际状况与中国证监会发布的有关上市公司治理的规范性文件是否存在重大差异</w:t>
      </w:r>
    </w:p>
    <w:p>
      <w:pPr>
        <w:pStyle w:val="BodyText"/>
        <w:spacing w:line="357" w:lineRule="auto" w:before="27"/>
        <w:ind w:left="1133" w:right="3553"/>
        <w:jc w:val="left"/>
      </w:pPr>
      <w:r>
        <w:rPr/>
        <w:t>□ 是 √ 否 公司治理的实际状况与中国证监会发布的有关上市公司治理的规范性文件不存在重大差异。</w:t>
      </w:r>
    </w:p>
    <w:p>
      <w:pPr>
        <w:spacing w:line="240" w:lineRule="auto" w:before="3"/>
        <w:rPr>
          <w:rFonts w:ascii="宋体" w:hAnsi="宋体" w:cs="宋体" w:eastAsia="宋体" w:hint="default"/>
          <w:sz w:val="18"/>
          <w:szCs w:val="18"/>
        </w:rPr>
      </w:pPr>
    </w:p>
    <w:p>
      <w:pPr>
        <w:pStyle w:val="Heading3"/>
        <w:spacing w:line="240" w:lineRule="auto"/>
        <w:ind w:left="1133" w:right="0"/>
        <w:jc w:val="left"/>
        <w:rPr>
          <w:b w:val="0"/>
          <w:bCs w:val="0"/>
        </w:rPr>
      </w:pPr>
      <w:bookmarkStart w:name="二、公司相对于控股股东在业务、人员、资产、机构、财务等方面的独立情况" w:id="132"/>
      <w:bookmarkEnd w:id="132"/>
      <w:r>
        <w:rPr>
          <w:b w:val="0"/>
          <w:bCs w:val="0"/>
        </w:rPr>
      </w: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93" w:right="0"/>
        <w:jc w:val="left"/>
      </w:pPr>
      <w:r>
        <w:rPr/>
        <w:t>公司不存在控股股东，不存在控股股东在业务、人员、资产、机构、财务等方面不独立的情况。</w:t>
      </w:r>
    </w:p>
    <w:p>
      <w:pPr>
        <w:spacing w:line="240" w:lineRule="auto" w:before="2"/>
        <w:rPr>
          <w:rFonts w:ascii="宋体" w:hAnsi="宋体" w:cs="宋体" w:eastAsia="宋体" w:hint="default"/>
          <w:sz w:val="25"/>
          <w:szCs w:val="25"/>
        </w:rPr>
      </w:pPr>
    </w:p>
    <w:p>
      <w:pPr>
        <w:pStyle w:val="Heading3"/>
        <w:spacing w:line="240" w:lineRule="auto"/>
        <w:ind w:left="1133" w:right="0"/>
        <w:jc w:val="left"/>
        <w:rPr>
          <w:b w:val="0"/>
          <w:bCs w:val="0"/>
        </w:rPr>
      </w:pPr>
      <w:bookmarkStart w:name="三、同业竞争情况" w:id="133"/>
      <w:bookmarkEnd w:id="133"/>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0"/>
          <w:szCs w:val="20"/>
        </w:rPr>
      </w:pPr>
    </w:p>
    <w:p>
      <w:pPr>
        <w:pStyle w:val="Heading3"/>
        <w:spacing w:line="240" w:lineRule="auto" w:before="26"/>
        <w:ind w:right="0"/>
        <w:jc w:val="left"/>
        <w:rPr>
          <w:b w:val="0"/>
          <w:bCs w:val="0"/>
        </w:rPr>
      </w:pPr>
      <w:bookmarkStart w:name="四、报告期内召开的年度股东大会和临时股东大会的有关情况" w:id="134"/>
      <w:bookmarkEnd w:id="134"/>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133" w:right="0"/>
        <w:jc w:val="left"/>
        <w:rPr>
          <w:b w:val="0"/>
          <w:bCs w:val="0"/>
        </w:rPr>
      </w:pPr>
      <w:bookmarkStart w:name="1、本报告期股东大会情况" w:id="135"/>
      <w:bookmarkEnd w:id="135"/>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92"/>
        <w:gridCol w:w="1386"/>
        <w:gridCol w:w="1594"/>
        <w:gridCol w:w="1595"/>
        <w:gridCol w:w="1594"/>
        <w:gridCol w:w="2142"/>
      </w:tblGrid>
      <w:tr>
        <w:trPr>
          <w:trHeight w:val="402"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1"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0"/>
              <w:jc w:val="righ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 临时股东大会</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89"/>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56"/>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55"/>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227"/>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- 2017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 一次临时股东大会决议 公告（</w:t>
            </w:r>
            <w:r>
              <w:rPr>
                <w:rFonts w:ascii="Times New Roman" w:hAnsi="Times New Roman" w:cs="Times New Roman" w:eastAsia="Times New Roman" w:hint="default"/>
                <w:sz w:val="18"/>
                <w:szCs w:val="18"/>
              </w:rPr>
              <w:t>2017-012</w:t>
            </w:r>
            <w:r>
              <w:rPr>
                <w:rFonts w:ascii="宋体" w:hAnsi="宋体" w:cs="宋体" w:eastAsia="宋体" w:hint="default"/>
                <w:sz w:val="18"/>
                <w:szCs w:val="18"/>
              </w:rPr>
              <w:t>）</w:t>
            </w:r>
          </w:p>
        </w:tc>
      </w:tr>
      <w:tr>
        <w:trPr>
          <w:trHeight w:val="1026" w:hRule="exac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 大会</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89"/>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56"/>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25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55"/>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25</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258"/>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- 2016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 股东大会决议公告</w:t>
            </w:r>
          </w:p>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2017-029</w:t>
            </w:r>
            <w:r>
              <w:rPr>
                <w:rFonts w:ascii="宋体" w:hAnsi="宋体" w:cs="宋体" w:eastAsia="宋体" w:hint="default"/>
                <w:sz w:val="18"/>
                <w:szCs w:val="18"/>
              </w:rPr>
              <w:t>）</w:t>
            </w:r>
          </w:p>
        </w:tc>
      </w:tr>
      <w:tr>
        <w:trPr>
          <w:trHeight w:val="1026" w:hRule="exact"/>
        </w:trPr>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 临时股东大会</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89"/>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56"/>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27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55"/>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06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月</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27</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日</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22"/>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 次临时股东大会决议公 告（</w:t>
            </w:r>
            <w:r>
              <w:rPr>
                <w:rFonts w:ascii="Times New Roman" w:hAnsi="Times New Roman" w:cs="Times New Roman" w:eastAsia="Times New Roman" w:hint="default"/>
                <w:sz w:val="18"/>
                <w:szCs w:val="18"/>
              </w:rPr>
              <w:t>2017-040</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2、表决权恢复的优先股股东请求召开临时股东大会" w:id="136"/>
      <w:bookmarkEnd w:id="136"/>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3"/>
        <w:spacing w:line="240" w:lineRule="auto"/>
        <w:ind w:right="0"/>
        <w:jc w:val="left"/>
        <w:rPr>
          <w:b w:val="0"/>
          <w:bCs w:val="0"/>
        </w:rPr>
      </w:pPr>
      <w:bookmarkStart w:name="五、报告期内独立董事履行职责的情况" w:id="137"/>
      <w:bookmarkEnd w:id="137"/>
      <w:r>
        <w:rPr>
          <w:b w:val="0"/>
          <w:bCs w:val="0"/>
        </w:rPr>
      </w:r>
      <w:r>
        <w:rPr/>
        <w:t>五、报告期内独立董事履行职责的情况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3" w:right="0"/>
        <w:jc w:val="left"/>
        <w:rPr>
          <w:b w:val="0"/>
          <w:bCs w:val="0"/>
        </w:rPr>
      </w:pPr>
      <w:bookmarkStart w:name="1、独立董事出席董事会及股东大会的情况" w:id="138"/>
      <w:bookmarkEnd w:id="138"/>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338"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27" w:right="125"/>
              <w:jc w:val="center"/>
              <w:rPr>
                <w:rFonts w:ascii="宋体" w:hAnsi="宋体" w:cs="宋体" w:eastAsia="宋体" w:hint="default"/>
                <w:sz w:val="18"/>
                <w:szCs w:val="18"/>
              </w:rPr>
            </w:pPr>
            <w:r>
              <w:rPr>
                <w:rFonts w:ascii="宋体" w:hAnsi="宋体" w:cs="宋体" w:eastAsia="宋体" w:hint="default"/>
                <w:sz w:val="18"/>
                <w:szCs w:val="18"/>
              </w:rPr>
              <w:t>本报告期应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17" w:right="125" w:hanging="90"/>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25" w:right="125"/>
              <w:jc w:val="center"/>
              <w:rPr>
                <w:rFonts w:ascii="宋体" w:hAnsi="宋体" w:cs="宋体" w:eastAsia="宋体" w:hint="default"/>
                <w:sz w:val="18"/>
                <w:szCs w:val="18"/>
              </w:rPr>
            </w:pPr>
            <w:r>
              <w:rPr>
                <w:rFonts w:ascii="宋体" w:hAnsi="宋体" w:cs="宋体" w:eastAsia="宋体" w:hint="default"/>
                <w:sz w:val="18"/>
                <w:szCs w:val="18"/>
              </w:rPr>
              <w:t>以通讯方式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16" w:right="126" w:hanging="90"/>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94" w:right="126" w:hanging="270"/>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5" w:right="125"/>
              <w:jc w:val="center"/>
              <w:rPr>
                <w:rFonts w:ascii="宋体" w:hAnsi="宋体" w:cs="宋体" w:eastAsia="宋体" w:hint="default"/>
                <w:sz w:val="18"/>
                <w:szCs w:val="18"/>
              </w:rPr>
            </w:pPr>
            <w:r>
              <w:rPr>
                <w:rFonts w:ascii="宋体" w:hAnsi="宋体" w:cs="宋体" w:eastAsia="宋体" w:hint="default"/>
                <w:sz w:val="18"/>
                <w:szCs w:val="18"/>
              </w:rPr>
              <w:t>是否连续两 次未亲自参 加董事会会 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06" w:right="125" w:hanging="180"/>
              <w:jc w:val="left"/>
              <w:rPr>
                <w:rFonts w:ascii="宋体" w:hAnsi="宋体" w:cs="宋体" w:eastAsia="宋体" w:hint="default"/>
                <w:sz w:val="18"/>
                <w:szCs w:val="18"/>
              </w:rPr>
            </w:pPr>
            <w:r>
              <w:rPr>
                <w:rFonts w:ascii="宋体" w:hAnsi="宋体" w:cs="宋体" w:eastAsia="宋体" w:hint="default"/>
                <w:sz w:val="18"/>
                <w:szCs w:val="18"/>
              </w:rPr>
              <w:t>出席股东大 会次数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单怀光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肖淑芳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李纪军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苏文力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60" w:lineRule="auto" w:before="51"/>
        <w:ind w:right="8052"/>
        <w:jc w:val="left"/>
      </w:pPr>
      <w:r>
        <w:rPr/>
        <w:t>连续两次未亲自出席董事会的说明 无</w:t>
      </w:r>
    </w:p>
    <w:p>
      <w:pPr>
        <w:spacing w:line="240" w:lineRule="auto" w:before="11"/>
        <w:rPr>
          <w:rFonts w:ascii="宋体" w:hAnsi="宋体" w:cs="宋体" w:eastAsia="宋体" w:hint="default"/>
          <w:sz w:val="19"/>
          <w:szCs w:val="19"/>
        </w:rPr>
      </w:pPr>
    </w:p>
    <w:p>
      <w:pPr>
        <w:pStyle w:val="Heading5"/>
        <w:spacing w:line="240" w:lineRule="auto"/>
        <w:ind w:right="0"/>
        <w:jc w:val="left"/>
        <w:rPr>
          <w:b w:val="0"/>
          <w:bCs w:val="0"/>
        </w:rPr>
      </w:pPr>
      <w:bookmarkStart w:name="2、独立董事对公司有关事项提出异议的情况" w:id="139"/>
      <w:bookmarkEnd w:id="139"/>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57" w:lineRule="auto" w:before="116"/>
        <w:ind w:left="1133" w:right="6973"/>
        <w:jc w:val="left"/>
      </w:pPr>
      <w:r>
        <w:rPr/>
        <w:t>□ 是 √ 否 报告期内独立董事对公司有关事项未提出异议。</w:t>
      </w:r>
    </w:p>
    <w:p>
      <w:pPr>
        <w:spacing w:after="0" w:line="357"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5"/>
        <w:spacing w:line="240" w:lineRule="auto" w:before="35"/>
        <w:ind w:right="0"/>
        <w:jc w:val="left"/>
        <w:rPr>
          <w:b w:val="0"/>
          <w:bCs w:val="0"/>
        </w:rPr>
      </w:pPr>
      <w:bookmarkStart w:name="3、独立董事履行职责的其他说明" w:id="140"/>
      <w:bookmarkEnd w:id="140"/>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60" w:lineRule="auto" w:before="116"/>
        <w:ind w:left="1133" w:right="6793"/>
        <w:jc w:val="left"/>
      </w:pPr>
      <w:r>
        <w:rPr/>
        <w:t>√ 是 □ 否 独立董事对公司有关建议被采纳或未被采纳的说明</w:t>
      </w:r>
    </w:p>
    <w:p>
      <w:pPr>
        <w:pStyle w:val="BodyText"/>
        <w:spacing w:line="316" w:lineRule="auto" w:before="25"/>
        <w:ind w:left="1133" w:right="0" w:firstLine="360"/>
        <w:jc w:val="left"/>
      </w:pPr>
      <w:r>
        <w:rPr>
          <w:spacing w:val="-2"/>
        </w:rPr>
        <w:t>报告期内，公司独立董事本着对公司、股东负责的态度，勤勉尽责，忠实履行职责，积极出席相关会议，认真审议各项</w:t>
      </w:r>
      <w:r>
        <w:rPr/>
        <w:t> </w:t>
      </w:r>
      <w:r>
        <w:rPr>
          <w:spacing w:val="-2"/>
        </w:rPr>
        <w:t>议案，独立客观地发表自己的看法和观点，对公司关联担保、募集资金使用情况、董监高的薪酬、利润分配的预案、聘请会</w:t>
      </w:r>
      <w:r>
        <w:rPr>
          <w:spacing w:val="-68"/>
        </w:rPr>
        <w:t> </w:t>
      </w:r>
      <w:r>
        <w:rPr>
          <w:spacing w:val="-68"/>
        </w:rPr>
      </w:r>
      <w:r>
        <w:rPr>
          <w:spacing w:val="-4"/>
        </w:rPr>
        <w:t>计师事务所等事项做出独立、客观的判断，发表独立意见，不受公司和控股股东的影响，切实维护了公司和全体股东的利益。</w:t>
      </w:r>
      <w:r>
        <w:rPr>
          <w:spacing w:val="-46"/>
        </w:rPr>
        <w:t> </w:t>
      </w:r>
      <w:r>
        <w:rPr>
          <w:spacing w:val="-46"/>
        </w:rPr>
      </w:r>
      <w:r>
        <w:rPr>
          <w:spacing w:val="-2"/>
        </w:rPr>
        <w:t>独立董事利用自己的专业知识，对公司的长期发展战略、内部控制制度的健全和完善、董事的人选以及公司新增投资项目的</w:t>
      </w:r>
      <w:r>
        <w:rPr>
          <w:spacing w:val="-66"/>
        </w:rPr>
        <w:t> </w:t>
      </w:r>
      <w:r>
        <w:rPr>
          <w:spacing w:val="-66"/>
        </w:rPr>
      </w:r>
      <w:r>
        <w:rPr/>
        <w:t>可行性等提出了建设性意见，且公司予以了采纳。</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3"/>
        <w:spacing w:line="240" w:lineRule="auto"/>
        <w:ind w:left="1133" w:right="0"/>
        <w:jc w:val="left"/>
        <w:rPr>
          <w:b w:val="0"/>
          <w:bCs w:val="0"/>
        </w:rPr>
      </w:pPr>
      <w:bookmarkStart w:name="六、董事会下设专门委员会在报告期内履行职责情况" w:id="141"/>
      <w:bookmarkEnd w:id="141"/>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1133" w:right="0" w:firstLine="360"/>
        <w:jc w:val="left"/>
      </w:pPr>
      <w:r>
        <w:rPr>
          <w:spacing w:val="-2"/>
        </w:rPr>
        <w:t>公司严格按照《公司法》和《公司章程》等相关法律法规设立董事会专门委员会，独立董事在各专门委员会中占半数以</w:t>
      </w:r>
      <w:r>
        <w:rPr/>
        <w:t> 上席位并担任召集人，公司董事会审计委员会有一名独立董事是会计专业人士并担任召集人。</w:t>
      </w:r>
    </w:p>
    <w:p>
      <w:pPr>
        <w:pStyle w:val="BodyText"/>
        <w:spacing w:line="316" w:lineRule="auto" w:before="19"/>
        <w:ind w:left="1133" w:right="0" w:firstLine="360"/>
        <w:jc w:val="left"/>
      </w:pPr>
      <w:r>
        <w:rPr>
          <w:spacing w:val="-2"/>
        </w:rPr>
        <w:t>报告期内，各专门委员会本着勤勉尽责的原则，按照有关法律、法规、规范性文件及公司各专门委员会工作细则的规定</w:t>
      </w:r>
      <w:r>
        <w:rPr/>
        <w:t> 开展相关工作。报告期内，各专门委员会履职情况如下：</w:t>
      </w:r>
    </w:p>
    <w:p>
      <w:pPr>
        <w:pStyle w:val="BodyText"/>
        <w:spacing w:line="316" w:lineRule="auto" w:before="19"/>
        <w:ind w:left="1493" w:right="1118"/>
        <w:jc w:val="left"/>
      </w:pPr>
      <w:r>
        <w:rPr>
          <w:rFonts w:ascii="宋体" w:hAnsi="宋体" w:cs="宋体" w:eastAsia="宋体" w:hint="default"/>
        </w:rPr>
        <w:t>1</w:t>
      </w:r>
      <w:r>
        <w:rPr/>
        <w:t>、审计委员会 </w:t>
      </w:r>
      <w:r>
        <w:rPr>
          <w:spacing w:val="-2"/>
        </w:rPr>
        <w:t>公司董事会审计委员会负责公司与外部审计的沟通、对公司聘请年度审计机构进行审查，对公司内部控制体系进行评价</w:t>
      </w:r>
    </w:p>
    <w:p>
      <w:pPr>
        <w:pStyle w:val="BodyText"/>
        <w:spacing w:line="300" w:lineRule="auto" w:before="19"/>
        <w:ind w:right="0"/>
        <w:jc w:val="left"/>
      </w:pPr>
      <w:r>
        <w:rPr>
          <w:spacing w:val="2"/>
        </w:rPr>
        <w:t>和完善，对公司的投资项目等进行风险分析。报告期内，审计委员会召开了</w:t>
      </w:r>
      <w:r>
        <w:rPr>
          <w:rFonts w:ascii="宋体" w:hAnsi="宋体" w:cs="宋体" w:eastAsia="宋体" w:hint="default"/>
          <w:spacing w:val="2"/>
        </w:rPr>
        <w:t>4</w:t>
      </w:r>
      <w:r>
        <w:rPr>
          <w:spacing w:val="2"/>
        </w:rPr>
        <w:t>次会议，公司审计委员会对公司的监督管理</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4"/>
        </w:rPr>
        <w:t> </w:t>
      </w:r>
      <w:r>
        <w:rPr/>
        <w:t>不断完善公司治理结构发挥了重要作用。</w:t>
      </w:r>
    </w:p>
    <w:p>
      <w:pPr>
        <w:pStyle w:val="BodyText"/>
        <w:spacing w:line="316" w:lineRule="auto" w:before="32"/>
        <w:ind w:left="1493" w:right="1118"/>
        <w:jc w:val="left"/>
      </w:pPr>
      <w:r>
        <w:rPr>
          <w:rFonts w:ascii="宋体" w:hAnsi="宋体" w:cs="宋体" w:eastAsia="宋体" w:hint="default"/>
        </w:rPr>
        <w:t>2</w:t>
      </w:r>
      <w:r>
        <w:rPr/>
        <w:t>、战略委员会 </w:t>
      </w:r>
      <w:r>
        <w:rPr>
          <w:spacing w:val="-2"/>
        </w:rPr>
        <w:t>报告期内，公司董事会战略委员会结合公司所处行业发展情况及公司自身发展状况，对公司投资西藏银汐、泛融科技和</w:t>
      </w:r>
    </w:p>
    <w:p>
      <w:pPr>
        <w:pStyle w:val="BodyText"/>
        <w:spacing w:line="300" w:lineRule="auto" w:before="19"/>
        <w:ind w:left="1133" w:right="0"/>
        <w:jc w:val="left"/>
      </w:pPr>
      <w:r>
        <w:rPr/>
        <w:t>优圣美进行研究并提出建议，战略委员会还及时了解公司的经营状况，对公司战略发展提出建议</w:t>
      </w:r>
      <w:r>
        <w:rPr>
          <w:rFonts w:ascii="Times New Roman" w:hAnsi="Times New Roman" w:cs="Times New Roman" w:eastAsia="Times New Roman" w:hint="default"/>
        </w:rPr>
        <w:t>,</w:t>
      </w:r>
      <w:r>
        <w:rPr/>
        <w:t>对公司增强核心竞争力，</w:t>
      </w:r>
      <w:r>
        <w:rPr>
          <w:spacing w:val="-42"/>
        </w:rPr>
        <w:t> </w:t>
      </w:r>
      <w:r>
        <w:rPr>
          <w:spacing w:val="-42"/>
        </w:rPr>
      </w:r>
      <w:r>
        <w:rPr/>
        <w:t>确定公司发展规划，健全投资决策起到了重要作用。</w:t>
      </w:r>
    </w:p>
    <w:p>
      <w:pPr>
        <w:pStyle w:val="BodyText"/>
        <w:spacing w:line="316" w:lineRule="auto" w:before="31"/>
        <w:ind w:left="1493" w:right="3013"/>
        <w:jc w:val="left"/>
      </w:pPr>
      <w:r>
        <w:rPr>
          <w:rFonts w:ascii="宋体" w:hAnsi="宋体" w:cs="宋体" w:eastAsia="宋体" w:hint="default"/>
        </w:rPr>
        <w:t>3</w:t>
      </w:r>
      <w:r>
        <w:rPr/>
        <w:t>、提名委员会 报告期内，公司董事会提名委员会对公司独立董事苏文力进行了提名和任职资格的认真审查。 </w:t>
      </w:r>
      <w:r>
        <w:rPr>
          <w:rFonts w:ascii="宋体" w:hAnsi="宋体" w:cs="宋体" w:eastAsia="宋体" w:hint="default"/>
        </w:rPr>
        <w:t>4</w:t>
      </w:r>
      <w:r>
        <w:rPr/>
        <w:t>、薪酬与考核委员会</w:t>
      </w:r>
    </w:p>
    <w:p>
      <w:pPr>
        <w:pStyle w:val="BodyText"/>
        <w:spacing w:line="316" w:lineRule="auto" w:before="19"/>
        <w:ind w:right="0" w:firstLine="360"/>
        <w:jc w:val="left"/>
      </w:pPr>
      <w:r>
        <w:rPr>
          <w:spacing w:val="-2"/>
        </w:rPr>
        <w:t>报告期内，公司董事会薪酬与考核委员会结合公司实际情况并依据公司董事与高级管理人员薪酬与考核管理办法，对薪</w:t>
      </w:r>
      <w:r>
        <w:rPr/>
        <w:t> 酬制度执行情况进行监督，审核了公司董事、高级管理人的履职情况并对其进行年度绩效考核和评定。</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3"/>
        <w:spacing w:line="240" w:lineRule="auto"/>
        <w:ind w:left="1133" w:right="0"/>
        <w:jc w:val="left"/>
        <w:rPr>
          <w:b w:val="0"/>
          <w:bCs w:val="0"/>
        </w:rPr>
      </w:pPr>
      <w:bookmarkStart w:name="七、监事会工作情况" w:id="142"/>
      <w:bookmarkEnd w:id="142"/>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监事会在报告期内的监督活动中发现公司是否存在风险</w:t>
      </w:r>
    </w:p>
    <w:p>
      <w:pPr>
        <w:pStyle w:val="BodyText"/>
        <w:spacing w:line="357" w:lineRule="auto" w:before="117"/>
        <w:ind w:left="1133" w:right="7333"/>
        <w:jc w:val="left"/>
      </w:pPr>
      <w:r>
        <w:rPr/>
        <w:t>□ 是 √ 否 公司监事会对报告期内的监督事项无异议。</w:t>
      </w:r>
    </w:p>
    <w:p>
      <w:pPr>
        <w:spacing w:line="240" w:lineRule="auto" w:before="3"/>
        <w:rPr>
          <w:rFonts w:ascii="宋体" w:hAnsi="宋体" w:cs="宋体" w:eastAsia="宋体" w:hint="default"/>
          <w:sz w:val="18"/>
          <w:szCs w:val="18"/>
        </w:rPr>
      </w:pPr>
    </w:p>
    <w:p>
      <w:pPr>
        <w:pStyle w:val="Heading3"/>
        <w:spacing w:line="240" w:lineRule="auto"/>
        <w:ind w:left="1133" w:right="0"/>
        <w:jc w:val="left"/>
        <w:rPr>
          <w:b w:val="0"/>
          <w:bCs w:val="0"/>
        </w:rPr>
      </w:pPr>
      <w:bookmarkStart w:name="八、高级管理人员的考评及激励情况" w:id="143"/>
      <w:bookmarkEnd w:id="143"/>
      <w:r>
        <w:rPr>
          <w:b w:val="0"/>
          <w:bCs w:val="0"/>
        </w:rPr>
      </w:r>
      <w:r>
        <w:rPr/>
        <w:t>八、高级管理人员的考评及激励情况</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133" w:right="1131" w:firstLine="360"/>
        <w:jc w:val="both"/>
      </w:pPr>
      <w:r>
        <w:rPr>
          <w:spacing w:val="-2"/>
        </w:rPr>
        <w:t>公司按照《董事、监事、高级管理人员薪酬与考核管理办法》，建立了高级管理人员的薪酬与公司业绩挂钩的绩效考核</w:t>
      </w:r>
      <w:r>
        <w:rPr/>
        <w:t> </w:t>
      </w:r>
      <w:r>
        <w:rPr>
          <w:spacing w:val="-2"/>
        </w:rPr>
        <w:t>机制，实行基本工资和绩效奖金考核相结合的薪酬制度，由董事会薪酬与考核委员会对高级管理人员进行年度考核评定，提</w:t>
      </w:r>
      <w:r>
        <w:rPr>
          <w:spacing w:val="-65"/>
        </w:rPr>
        <w:t> </w:t>
      </w:r>
      <w:r>
        <w:rPr>
          <w:spacing w:val="-65"/>
        </w:rPr>
      </w:r>
      <w:r>
        <w:rPr/>
        <w:t>出考核对象的年度绩效奖金分配预案，报公司董事会审议批准。</w:t>
      </w:r>
    </w:p>
    <w:p>
      <w:pPr>
        <w:spacing w:after="0" w:line="316" w:lineRule="auto"/>
        <w:jc w:val="both"/>
        <w:sectPr>
          <w:headerReference w:type="default" r:id="rId21"/>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before="26"/>
        <w:ind w:right="0"/>
        <w:jc w:val="left"/>
        <w:rPr>
          <w:b w:val="0"/>
          <w:bCs w:val="0"/>
        </w:rPr>
      </w:pPr>
      <w:bookmarkStart w:name="九、内部控制评价报告" w:id="144"/>
      <w:bookmarkEnd w:id="144"/>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133" w:right="0"/>
        <w:jc w:val="left"/>
        <w:rPr>
          <w:b w:val="0"/>
          <w:bCs w:val="0"/>
        </w:rPr>
      </w:pPr>
      <w:bookmarkStart w:name="1、报告期内发现的内部控制重大缺陷的具体情况" w:id="145"/>
      <w:bookmarkEnd w:id="145"/>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 是 √ 否</w:t>
      </w:r>
    </w:p>
    <w:p>
      <w:pPr>
        <w:spacing w:line="240" w:lineRule="auto" w:before="10"/>
        <w:rPr>
          <w:rFonts w:ascii="宋体" w:hAnsi="宋体" w:cs="宋体" w:eastAsia="宋体" w:hint="default"/>
          <w:sz w:val="26"/>
          <w:szCs w:val="26"/>
        </w:rPr>
      </w:pPr>
    </w:p>
    <w:p>
      <w:pPr>
        <w:pStyle w:val="Heading5"/>
        <w:spacing w:line="240" w:lineRule="auto"/>
        <w:ind w:left="1133" w:right="0"/>
        <w:jc w:val="left"/>
        <w:rPr>
          <w:b w:val="0"/>
          <w:bCs w:val="0"/>
        </w:rPr>
      </w:pPr>
      <w:bookmarkStart w:name="2、内控自我评价报告" w:id="146"/>
      <w:bookmarkEnd w:id="146"/>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802"/>
        <w:gridCol w:w="3758"/>
        <w:gridCol w:w="3345"/>
      </w:tblGrid>
      <w:tr>
        <w:trPr>
          <w:trHeight w:val="402"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71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71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714"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67"/>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 司合并财务报表资产总额的比例</w:t>
            </w:r>
          </w:p>
        </w:tc>
        <w:tc>
          <w:tcPr>
            <w:tcW w:w="71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67"/>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 司合并财务报表营业收入的比例</w:t>
            </w:r>
          </w:p>
        </w:tc>
        <w:tc>
          <w:tcPr>
            <w:tcW w:w="71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9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834"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103"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316" w:lineRule="auto"/>
              <w:ind w:left="103" w:right="102"/>
              <w:jc w:val="left"/>
              <w:rPr>
                <w:rFonts w:ascii="宋体" w:hAnsi="宋体" w:cs="宋体" w:eastAsia="宋体" w:hint="default"/>
                <w:sz w:val="18"/>
                <w:szCs w:val="18"/>
              </w:rPr>
            </w:pPr>
            <w:r>
              <w:rPr>
                <w:rFonts w:ascii="宋体" w:hAnsi="宋体" w:cs="宋体" w:eastAsia="宋体" w:hint="default"/>
                <w:sz w:val="18"/>
                <w:szCs w:val="18"/>
              </w:rPr>
              <w:t>① 公司董事、监事和高级管理人员的舞弊行 为；</w:t>
            </w:r>
            <w:r>
              <w:rPr>
                <w:rFonts w:ascii="宋体" w:hAnsi="宋体" w:cs="宋体" w:eastAsia="宋体" w:hint="default"/>
                <w:spacing w:val="-30"/>
                <w:sz w:val="18"/>
                <w:szCs w:val="18"/>
              </w:rPr>
              <w:t> </w:t>
            </w:r>
            <w:r>
              <w:rPr>
                <w:rFonts w:ascii="宋体" w:hAnsi="宋体" w:cs="宋体" w:eastAsia="宋体" w:hint="default"/>
                <w:sz w:val="18"/>
                <w:szCs w:val="18"/>
              </w:rPr>
              <w:t>② 公司更正已公布的财务报告；</w:t>
            </w:r>
            <w:r>
              <w:rPr>
                <w:rFonts w:ascii="宋体" w:hAnsi="宋体" w:cs="宋体" w:eastAsia="宋体" w:hint="default"/>
                <w:spacing w:val="-30"/>
                <w:sz w:val="18"/>
                <w:szCs w:val="18"/>
              </w:rPr>
              <w:t> </w:t>
            </w:r>
            <w:r>
              <w:rPr>
                <w:rFonts w:ascii="宋体" w:hAnsi="宋体" w:cs="宋体" w:eastAsia="宋体" w:hint="default"/>
                <w:sz w:val="18"/>
                <w:szCs w:val="18"/>
              </w:rPr>
              <w:t>③ 注</w:t>
            </w:r>
            <w:r>
              <w:rPr>
                <w:rFonts w:ascii="宋体" w:hAnsi="宋体" w:cs="宋体" w:eastAsia="宋体" w:hint="default"/>
                <w:sz w:val="18"/>
                <w:szCs w:val="18"/>
              </w:rPr>
              <w:t> 册会计师发现的却未被公司内部控制识别的 当期财务报告中的重大错报；④ 审计委员会 和审计部门对公司的对外财务报告和财务报 告内部控制监督无效。</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非财务报告缺陷认定主要以缺陷对业务 流程有效性的影响程度、发生的可能性 作判定。如果缺陷发生的可能性高，会 严重降低工作效率或效果、或严重加大 效果的不确定性、或使之严重偏离预期 目标为重大缺陷；如果缺陷发生的可能 性较高，会显著降低工作效率或效果、 或显著加大效果的不确定性、或使之显 著偏离预期目标为重要缺陷；</w:t>
            </w:r>
            <w:r>
              <w:rPr>
                <w:rFonts w:ascii="宋体" w:hAnsi="宋体" w:cs="宋体" w:eastAsia="宋体" w:hint="default"/>
                <w:spacing w:val="-22"/>
                <w:sz w:val="18"/>
                <w:szCs w:val="18"/>
              </w:rPr>
              <w:t> </w:t>
            </w:r>
            <w:r>
              <w:rPr>
                <w:rFonts w:ascii="宋体" w:hAnsi="宋体" w:cs="宋体" w:eastAsia="宋体" w:hint="default"/>
                <w:sz w:val="18"/>
                <w:szCs w:val="18"/>
              </w:rPr>
              <w:t>如果缺陷</w:t>
            </w:r>
            <w:r>
              <w:rPr>
                <w:rFonts w:ascii="宋体" w:hAnsi="宋体" w:cs="宋体" w:eastAsia="宋体" w:hint="default"/>
                <w:sz w:val="18"/>
                <w:szCs w:val="18"/>
              </w:rPr>
              <w:t> 发生的可能性较小，会降低工作效率或 效果、或加大效果的不确定性、或使之 偏离预期目标为一般缺陷。</w:t>
            </w:r>
          </w:p>
        </w:tc>
      </w:tr>
      <w:tr>
        <w:trPr>
          <w:trHeight w:val="3834"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103" w:right="101"/>
              <w:jc w:val="left"/>
              <w:rPr>
                <w:rFonts w:ascii="宋体" w:hAnsi="宋体" w:cs="宋体" w:eastAsia="宋体" w:hint="default"/>
                <w:sz w:val="18"/>
                <w:szCs w:val="18"/>
              </w:rPr>
            </w:pPr>
            <w:r>
              <w:rPr>
                <w:rFonts w:ascii="宋体" w:hAnsi="宋体" w:cs="宋体" w:eastAsia="宋体" w:hint="default"/>
                <w:sz w:val="18"/>
                <w:szCs w:val="18"/>
              </w:rPr>
              <w:t>定量标准以营业收入、资产总额作为衡量指 </w:t>
            </w:r>
            <w:r>
              <w:rPr>
                <w:rFonts w:ascii="宋体" w:hAnsi="宋体" w:cs="宋体" w:eastAsia="宋体" w:hint="default"/>
                <w:spacing w:val="-3"/>
                <w:sz w:val="18"/>
                <w:szCs w:val="18"/>
              </w:rPr>
              <w:t>标。如果该缺陷单独或连同其他缺陷可能导致</w:t>
            </w:r>
            <w:r>
              <w:rPr>
                <w:rFonts w:ascii="宋体" w:hAnsi="宋体" w:cs="宋体" w:eastAsia="宋体" w:hint="default"/>
                <w:sz w:val="18"/>
                <w:szCs w:val="18"/>
              </w:rPr>
              <w:t> 或导致的财务报告错报金额小于营业收入的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，则认定为一般缺陷；如果超过营业收入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，则认定为重要缺陷；如果超</w:t>
            </w:r>
            <w:r>
              <w:rPr>
                <w:rFonts w:ascii="宋体" w:hAnsi="宋体" w:cs="宋体" w:eastAsia="宋体" w:hint="default"/>
                <w:sz w:val="18"/>
                <w:szCs w:val="18"/>
              </w:rPr>
              <w:t> 过营业收入的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，则认定为重大缺陷；如果 该缺陷单独或连同其他缺陷可能导致的财务 报告错报金额小于资产总额的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 一般缺陷；如果超过资产总额的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，则认定为重要缺陷；如果超过资产总额</w:t>
            </w:r>
          </w:p>
          <w:p>
            <w:pPr>
              <w:pStyle w:val="TableParagraph"/>
              <w:spacing w:line="302" w:lineRule="auto" w:before="7"/>
              <w:ind w:left="103" w:right="16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，则认定为重大缺陷；一般缺陷为重大缺</w:t>
            </w:r>
            <w:r>
              <w:rPr>
                <w:rFonts w:ascii="宋体" w:hAnsi="宋体" w:cs="宋体" w:eastAsia="宋体" w:hint="default"/>
                <w:w w:val="99"/>
                <w:sz w:val="18"/>
                <w:szCs w:val="18"/>
              </w:rPr>
              <w:t> </w:t>
            </w:r>
            <w:r>
              <w:rPr>
                <w:rFonts w:ascii="宋体" w:hAnsi="宋体" w:cs="宋体" w:eastAsia="宋体" w:hint="default"/>
                <w:sz w:val="18"/>
                <w:szCs w:val="18"/>
              </w:rPr>
              <w:t>陷、重要缺陷以外的缺陷。</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103" w:right="171" w:firstLine="90"/>
              <w:jc w:val="left"/>
              <w:rPr>
                <w:rFonts w:ascii="宋体" w:hAnsi="宋体" w:cs="宋体" w:eastAsia="宋体" w:hint="default"/>
                <w:sz w:val="18"/>
                <w:szCs w:val="18"/>
              </w:rPr>
            </w:pPr>
            <w:r>
              <w:rPr>
                <w:rFonts w:ascii="宋体" w:hAnsi="宋体" w:cs="宋体" w:eastAsia="宋体" w:hint="default"/>
                <w:sz w:val="18"/>
                <w:szCs w:val="18"/>
              </w:rPr>
              <w:t>非财务报告内部控制缺陷评价的定量 标准参照财务报告内部控制缺陷的定量 标准执行。</w:t>
            </w:r>
          </w:p>
        </w:tc>
      </w:tr>
    </w:tbl>
    <w:p>
      <w:pPr>
        <w:spacing w:after="0" w:line="316"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802"/>
        <w:gridCol w:w="7075"/>
      </w:tblGrid>
      <w:tr>
        <w:trPr>
          <w:trHeight w:val="402"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7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7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7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7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bookmarkStart w:name="十、内部控制审计报告或鉴证报告" w:id="147"/>
      <w:bookmarkEnd w:id="147"/>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内部控制鉴证报告</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我们认为，贵公司按照《企业内部控制基本规范》和相关规定于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日在所有重大方面保持了有效的财务 报告内部控制。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内部控制鉴证报告全文披露日 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内部控制鉴证报告全文披露索 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会计师事务所是否出具非标准意见的内部控制鉴证报告</w:t>
      </w:r>
    </w:p>
    <w:p>
      <w:pPr>
        <w:pStyle w:val="BodyText"/>
        <w:spacing w:line="357" w:lineRule="auto" w:before="117"/>
        <w:ind w:left="1133" w:right="4633"/>
        <w:jc w:val="left"/>
      </w:pPr>
      <w:r>
        <w:rPr/>
        <w:t>□ 是 √ 否 会计师事务所出具的内部控制鉴证报告与董事会的自我评价报告意见是否一致</w:t>
      </w:r>
    </w:p>
    <w:p>
      <w:pPr>
        <w:pStyle w:val="BodyText"/>
        <w:spacing w:line="240" w:lineRule="auto" w:before="28"/>
        <w:ind w:left="1133" w:right="0"/>
        <w:jc w:val="left"/>
      </w:pPr>
      <w:r>
        <w:rPr/>
        <w:t>√ 是 □ 否</w:t>
      </w:r>
    </w:p>
    <w:p>
      <w:pPr>
        <w:spacing w:after="0" w:line="240" w:lineRule="auto"/>
        <w:jc w:val="left"/>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3403"/>
        <w:jc w:val="center"/>
        <w:rPr>
          <w:b w:val="0"/>
          <w:bCs w:val="0"/>
        </w:rPr>
      </w:pPr>
      <w:bookmarkStart w:name="第十节 公司债券相关情况" w:id="148"/>
      <w:bookmarkEnd w:id="148"/>
      <w:r>
        <w:rPr>
          <w:b w:val="0"/>
          <w:bCs w:val="0"/>
        </w:rPr>
      </w:r>
      <w:bookmarkStart w:name="_bookmark9" w:id="149"/>
      <w:bookmarkEnd w:id="149"/>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left="1133"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spacing w:line="240" w:lineRule="auto"/>
        <w:ind w:right="3403"/>
        <w:jc w:val="center"/>
        <w:rPr>
          <w:b w:val="0"/>
          <w:bCs w:val="0"/>
        </w:rPr>
      </w:pPr>
      <w:bookmarkStart w:name="第十一节 财务报告" w:id="150"/>
      <w:bookmarkEnd w:id="150"/>
      <w:r>
        <w:rPr>
          <w:b w:val="0"/>
          <w:bCs w:val="0"/>
        </w:rPr>
      </w:r>
      <w:bookmarkStart w:name="_bookmark10" w:id="151"/>
      <w:bookmarkEnd w:id="151"/>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left="1133" w:right="0"/>
        <w:jc w:val="left"/>
        <w:rPr>
          <w:b w:val="0"/>
          <w:bCs w:val="0"/>
        </w:rPr>
      </w:pPr>
      <w:bookmarkStart w:name="一、审计报告" w:id="152"/>
      <w:bookmarkEnd w:id="152"/>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大信审字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1-02059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余骞、于曙光</w:t>
            </w:r>
          </w:p>
        </w:tc>
      </w:tr>
    </w:tbl>
    <w:p>
      <w:pPr>
        <w:pStyle w:val="BodyText"/>
        <w:spacing w:line="240" w:lineRule="auto" w:before="51"/>
        <w:ind w:left="3403" w:right="3402"/>
        <w:jc w:val="center"/>
      </w:pPr>
      <w:r>
        <w:rPr/>
        <w:t>审计报告正文</w:t>
      </w:r>
    </w:p>
    <w:p>
      <w:pPr>
        <w:spacing w:line="312" w:lineRule="exact" w:before="96"/>
        <w:ind w:left="1614" w:right="5352" w:hanging="480"/>
        <w:jc w:val="left"/>
        <w:rPr>
          <w:rFonts w:ascii="宋体" w:hAnsi="宋体" w:cs="宋体" w:eastAsia="宋体" w:hint="default"/>
          <w:sz w:val="24"/>
          <w:szCs w:val="24"/>
        </w:rPr>
      </w:pPr>
      <w:r>
        <w:rPr>
          <w:rFonts w:ascii="宋体" w:hAnsi="宋体" w:cs="宋体" w:eastAsia="宋体" w:hint="default"/>
          <w:b/>
          <w:bCs/>
          <w:w w:val="95"/>
          <w:sz w:val="24"/>
          <w:szCs w:val="24"/>
        </w:rPr>
        <w:t>北京先进数通信息技术股份公司全体股东：</w:t>
      </w:r>
      <w:r>
        <w:rPr>
          <w:rFonts w:ascii="宋体" w:hAnsi="宋体" w:cs="宋体" w:eastAsia="宋体" w:hint="default"/>
          <w:b/>
          <w:bCs/>
          <w:spacing w:val="96"/>
          <w:w w:val="95"/>
          <w:sz w:val="24"/>
          <w:szCs w:val="24"/>
        </w:rPr>
        <w:t> </w:t>
      </w:r>
      <w:r>
        <w:rPr>
          <w:rFonts w:ascii="宋体" w:hAnsi="宋体" w:cs="宋体" w:eastAsia="宋体" w:hint="default"/>
          <w:sz w:val="24"/>
          <w:szCs w:val="24"/>
        </w:rPr>
        <w:t>一、审计意见</w:t>
      </w:r>
    </w:p>
    <w:p>
      <w:pPr>
        <w:pStyle w:val="Heading6"/>
        <w:spacing w:line="273" w:lineRule="auto" w:before="0"/>
        <w:ind w:right="1129"/>
        <w:jc w:val="both"/>
      </w:pPr>
      <w:r>
        <w:rPr>
          <w:spacing w:val="-1"/>
        </w:rPr>
        <w:t>我们审计了北京先进数通信息技术股份公司（以下简称“贵公司”）的财务报表，包括</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rFonts w:ascii="宋体" w:hAnsi="宋体" w:cs="宋体" w:eastAsia="宋体" w:hint="default"/>
          <w:spacing w:val="1"/>
        </w:rPr>
        <w:t> </w:t>
      </w:r>
      <w:r>
        <w:rPr>
          <w:spacing w:val="-1"/>
        </w:rPr>
        <w:t>日的合并及母公司资产负债表，</w:t>
      </w:r>
      <w:r>
        <w:rPr>
          <w:rFonts w:ascii="宋体" w:hAnsi="宋体" w:cs="宋体" w:eastAsia="宋体" w:hint="default"/>
          <w:spacing w:val="-1"/>
        </w:rPr>
        <w:t>2017</w:t>
      </w:r>
      <w:r>
        <w:rPr>
          <w:spacing w:val="-1"/>
        </w:rPr>
        <w:t>年度的合并及母公司利润表、合并及母公司现金流量表、合并及母公</w:t>
      </w:r>
      <w:r>
        <w:rPr>
          <w:spacing w:val="-82"/>
        </w:rPr>
        <w:t> </w:t>
      </w:r>
      <w:r>
        <w:rPr>
          <w:spacing w:val="-82"/>
        </w:rPr>
      </w:r>
      <w:r>
        <w:rPr/>
        <w:t>司股东权益变动表，以及财务报表附注。</w:t>
      </w:r>
    </w:p>
    <w:p>
      <w:pPr>
        <w:pStyle w:val="Heading6"/>
        <w:spacing w:line="273" w:lineRule="auto"/>
        <w:ind w:right="0"/>
        <w:jc w:val="left"/>
      </w:pPr>
      <w:r>
        <w:rPr>
          <w:spacing w:val="-1"/>
        </w:rPr>
        <w:t>我们认为，后附的财务报表在所有重大方面按照企业会计准则的规定编制，公允反映了贵公司</w:t>
      </w:r>
      <w:r>
        <w:rPr>
          <w:rFonts w:ascii="宋体" w:hAnsi="宋体" w:cs="宋体" w:eastAsia="宋体" w:hint="default"/>
          <w:spacing w:val="-1"/>
        </w:rPr>
        <w:t>2017</w:t>
      </w:r>
      <w:r>
        <w:rPr>
          <w:spacing w:val="-1"/>
        </w:rPr>
        <w:t>年</w:t>
      </w:r>
      <w:r>
        <w:rPr/>
        <w:t> </w:t>
      </w:r>
      <w:r>
        <w:rPr>
          <w:rFonts w:ascii="宋体" w:hAnsi="宋体" w:cs="宋体" w:eastAsia="宋体" w:hint="default"/>
        </w:rPr>
        <w:t>12</w:t>
      </w:r>
      <w:r>
        <w:rPr/>
        <w:t>月</w:t>
      </w:r>
      <w:r>
        <w:rPr>
          <w:rFonts w:ascii="宋体" w:hAnsi="宋体" w:cs="宋体" w:eastAsia="宋体" w:hint="default"/>
        </w:rPr>
        <w:t>31</w:t>
      </w:r>
      <w:r>
        <w:rPr/>
        <w:t>日的合并及母公司财务状况以及</w:t>
      </w:r>
      <w:r>
        <w:rPr>
          <w:rFonts w:ascii="宋体" w:hAnsi="宋体" w:cs="宋体" w:eastAsia="宋体" w:hint="default"/>
        </w:rPr>
        <w:t>2017</w:t>
      </w:r>
      <w:r>
        <w:rPr/>
        <w:t>年度的合并及母公司经营成果和现金流量。</w:t>
      </w:r>
    </w:p>
    <w:p>
      <w:pPr>
        <w:spacing w:line="240" w:lineRule="auto" w:before="8"/>
        <w:rPr>
          <w:rFonts w:ascii="宋体" w:hAnsi="宋体" w:cs="宋体" w:eastAsia="宋体" w:hint="default"/>
          <w:sz w:val="22"/>
          <w:szCs w:val="22"/>
        </w:rPr>
      </w:pPr>
    </w:p>
    <w:p>
      <w:pPr>
        <w:pStyle w:val="Heading4"/>
        <w:spacing w:line="240" w:lineRule="auto"/>
        <w:ind w:right="0"/>
        <w:jc w:val="left"/>
      </w:pPr>
      <w:r>
        <w:rPr/>
        <w:t>二、形成审计意见的基础</w:t>
      </w:r>
    </w:p>
    <w:p>
      <w:pPr>
        <w:pStyle w:val="Heading6"/>
        <w:spacing w:line="273" w:lineRule="auto" w:before="22"/>
        <w:ind w:right="1131"/>
        <w:jc w:val="both"/>
      </w:pPr>
      <w:r>
        <w:rPr>
          <w:spacing w:val="-1"/>
        </w:rPr>
        <w:t>我们按照中国注册会计师审计准则的规定执行了审计工作。审计报告的“注册会计师对财务报表审计</w:t>
      </w:r>
      <w:r>
        <w:rPr/>
        <w:t> </w:t>
      </w:r>
      <w:r>
        <w:rPr>
          <w:spacing w:val="-1"/>
        </w:rPr>
        <w:t>的责任”部分进一步阐述了我们在这些准则下的责任。按照中国注册会计师职业道德守则，我们独立于贵</w:t>
      </w:r>
      <w:r>
        <w:rPr>
          <w:spacing w:val="-83"/>
        </w:rPr>
        <w:t> </w:t>
      </w:r>
      <w:r>
        <w:rPr>
          <w:spacing w:val="-83"/>
        </w:rPr>
      </w:r>
      <w:r>
        <w:rPr/>
        <w:t>集团，并履行了职业道德方面的其他责任。</w:t>
      </w:r>
    </w:p>
    <w:p>
      <w:pPr>
        <w:pStyle w:val="Heading6"/>
        <w:spacing w:line="240" w:lineRule="auto"/>
        <w:ind w:left="1554" w:right="0" w:firstLine="0"/>
        <w:jc w:val="left"/>
      </w:pPr>
      <w:r>
        <w:rPr/>
        <w:t>我们相信，我们获取的审计证据是充分、适当的，为发表审计意见提供了基础。</w:t>
      </w:r>
    </w:p>
    <w:p>
      <w:pPr>
        <w:spacing w:line="240" w:lineRule="auto" w:before="11"/>
        <w:rPr>
          <w:rFonts w:ascii="宋体" w:hAnsi="宋体" w:cs="宋体" w:eastAsia="宋体" w:hint="default"/>
          <w:sz w:val="24"/>
          <w:szCs w:val="24"/>
        </w:rPr>
      </w:pPr>
    </w:p>
    <w:p>
      <w:pPr>
        <w:pStyle w:val="Heading4"/>
        <w:spacing w:line="240" w:lineRule="auto"/>
        <w:ind w:right="0"/>
        <w:jc w:val="left"/>
      </w:pPr>
      <w:r>
        <w:rPr/>
        <w:t>三、关键审计事项</w:t>
      </w:r>
    </w:p>
    <w:p>
      <w:pPr>
        <w:pStyle w:val="Heading6"/>
        <w:spacing w:line="273" w:lineRule="auto" w:before="22"/>
        <w:ind w:right="0"/>
        <w:jc w:val="left"/>
      </w:pPr>
      <w:r>
        <w:rPr>
          <w:spacing w:val="-1"/>
        </w:rPr>
        <w:t>关键审计事项是我们根据职业判断，认为对本期财务报表审计最为重要的事项。这些事项的应对以对</w:t>
      </w:r>
      <w:r>
        <w:rPr/>
        <w:t> 财务报表整体进行审计并形成审计意见为背景，我们不对这些事项单独发表意见。</w:t>
      </w:r>
    </w:p>
    <w:p>
      <w:pPr>
        <w:pStyle w:val="Heading6"/>
        <w:spacing w:line="273" w:lineRule="auto"/>
        <w:ind w:left="1553" w:right="8863" w:firstLine="0"/>
        <w:jc w:val="left"/>
      </w:pPr>
      <w:r>
        <w:rPr/>
        <w:t>（一）营业收入 </w:t>
      </w:r>
      <w:r>
        <w:rPr>
          <w:rFonts w:ascii="宋体" w:hAnsi="宋体" w:cs="宋体" w:eastAsia="宋体" w:hint="default"/>
        </w:rPr>
        <w:t>1</w:t>
      </w:r>
      <w:r>
        <w:rPr/>
        <w:t>、事项描述</w:t>
      </w:r>
    </w:p>
    <w:p>
      <w:pPr>
        <w:pStyle w:val="Heading6"/>
        <w:spacing w:line="273" w:lineRule="auto"/>
        <w:ind w:right="1024"/>
        <w:jc w:val="left"/>
      </w:pPr>
      <w:r>
        <w:rPr/>
        <w:t>公司营业收入由</w:t>
      </w:r>
      <w:r>
        <w:rPr>
          <w:rFonts w:ascii="宋体" w:hAnsi="宋体" w:cs="宋体" w:eastAsia="宋体" w:hint="default"/>
        </w:rPr>
        <w:t>IT</w:t>
      </w:r>
      <w:r>
        <w:rPr/>
        <w:t>基础设施建设、软件解决方案、</w:t>
      </w:r>
      <w:r>
        <w:rPr>
          <w:rFonts w:ascii="宋体" w:hAnsi="宋体" w:cs="宋体" w:eastAsia="宋体" w:hint="default"/>
        </w:rPr>
        <w:t>IT</w:t>
      </w:r>
      <w:r>
        <w:rPr/>
        <w:t>运行维护服务三种类型组成。</w:t>
      </w:r>
      <w:r>
        <w:rPr>
          <w:rFonts w:ascii="宋体" w:hAnsi="宋体" w:cs="宋体" w:eastAsia="宋体" w:hint="default"/>
        </w:rPr>
        <w:t>IT</w:t>
      </w:r>
      <w:r>
        <w:rPr/>
        <w:t>基础设施建设主 要以货物的验收报告作为收入确认的依据，软件解决方案主要以工作量确认单作为确认收入的依据，</w:t>
      </w:r>
      <w:r>
        <w:rPr>
          <w:rFonts w:ascii="宋体" w:hAnsi="宋体" w:cs="宋体" w:eastAsia="宋体" w:hint="default"/>
        </w:rPr>
        <w:t>IT</w:t>
      </w:r>
      <w:r>
        <w:rPr/>
        <w:t>运 </w:t>
      </w:r>
      <w:r>
        <w:rPr>
          <w:spacing w:val="-3"/>
        </w:rPr>
        <w:t>行维护服务主要以合同约定的服务期限内按月确认收入。报告期内，如财务报表附注五、（二十八）所述，</w:t>
      </w:r>
      <w:r>
        <w:rPr>
          <w:spacing w:val="-96"/>
        </w:rPr>
        <w:t> </w:t>
      </w:r>
      <w:r>
        <w:rPr>
          <w:spacing w:val="-96"/>
        </w:rPr>
      </w:r>
      <w:r>
        <w:rPr/>
        <w:t>公司营业收入分别为</w:t>
      </w:r>
      <w:r>
        <w:rPr>
          <w:rFonts w:ascii="宋体" w:hAnsi="宋体" w:cs="宋体" w:eastAsia="宋体" w:hint="default"/>
        </w:rPr>
        <w:t>2017</w:t>
      </w:r>
      <w:r>
        <w:rPr/>
        <w:t>年度</w:t>
      </w:r>
      <w:r>
        <w:rPr>
          <w:rFonts w:ascii="宋体" w:hAnsi="宋体" w:cs="宋体" w:eastAsia="宋体" w:hint="default"/>
        </w:rPr>
        <w:t>1,011,762,811.34</w:t>
      </w:r>
      <w:r>
        <w:rPr/>
        <w:t>元、</w:t>
      </w:r>
      <w:r>
        <w:rPr>
          <w:rFonts w:ascii="宋体" w:hAnsi="宋体" w:cs="宋体" w:eastAsia="宋体" w:hint="default"/>
        </w:rPr>
        <w:t>2016</w:t>
      </w:r>
      <w:r>
        <w:rPr/>
        <w:t>年度</w:t>
      </w:r>
      <w:r>
        <w:rPr>
          <w:rFonts w:ascii="宋体" w:hAnsi="宋体" w:cs="宋体" w:eastAsia="宋体" w:hint="default"/>
        </w:rPr>
        <w:t>980,588,378.49</w:t>
      </w:r>
      <w:r>
        <w:rPr/>
        <w:t>，营业收入呈增长趋势。</w:t>
      </w:r>
    </w:p>
    <w:p>
      <w:pPr>
        <w:pStyle w:val="Heading6"/>
        <w:spacing w:line="273" w:lineRule="auto"/>
        <w:ind w:left="1134" w:right="0"/>
        <w:jc w:val="left"/>
      </w:pPr>
      <w:r>
        <w:rPr>
          <w:spacing w:val="-1"/>
        </w:rPr>
        <w:t>基于近年来</w:t>
      </w:r>
      <w:r>
        <w:rPr>
          <w:rFonts w:ascii="宋体" w:hAnsi="宋体" w:cs="宋体" w:eastAsia="宋体" w:hint="default"/>
          <w:spacing w:val="-1"/>
        </w:rPr>
        <w:t>IT</w:t>
      </w:r>
      <w:r>
        <w:rPr>
          <w:spacing w:val="-1"/>
        </w:rPr>
        <w:t>行业竞争较为激烈，营业收入的增长成为影响利润的重要指标之一，因此我们将营业收</w:t>
      </w:r>
      <w:r>
        <w:rPr/>
        <w:t> 入的真实性确定为关键审计事项。</w:t>
      </w:r>
    </w:p>
    <w:p>
      <w:pPr>
        <w:pStyle w:val="Heading6"/>
        <w:spacing w:line="240" w:lineRule="auto"/>
        <w:ind w:left="1554" w:right="0" w:firstLine="0"/>
        <w:jc w:val="left"/>
      </w:pPr>
      <w:r>
        <w:rPr>
          <w:rFonts w:ascii="宋体" w:hAnsi="宋体" w:cs="宋体" w:eastAsia="宋体" w:hint="default"/>
        </w:rPr>
        <w:t>2</w:t>
      </w:r>
      <w:r>
        <w:rPr/>
        <w:t>、审计应对</w:t>
      </w:r>
    </w:p>
    <w:p>
      <w:pPr>
        <w:pStyle w:val="Heading6"/>
        <w:spacing w:line="240" w:lineRule="auto" w:before="37"/>
        <w:ind w:left="1553" w:right="0" w:firstLine="0"/>
        <w:jc w:val="left"/>
      </w:pPr>
      <w:r>
        <w:rPr/>
        <w:t>（</w:t>
      </w:r>
      <w:r>
        <w:rPr>
          <w:rFonts w:ascii="宋体" w:hAnsi="宋体" w:cs="宋体" w:eastAsia="宋体" w:hint="default"/>
        </w:rPr>
        <w:t>1</w:t>
      </w:r>
      <w:r>
        <w:rPr/>
        <w:t>）了解公司关于销售与收款的相关内部控制的有效性。</w:t>
      </w:r>
    </w:p>
    <w:p>
      <w:pPr>
        <w:pStyle w:val="Heading6"/>
        <w:spacing w:line="273" w:lineRule="auto" w:before="37"/>
        <w:ind w:right="0"/>
        <w:jc w:val="left"/>
      </w:pPr>
      <w:r>
        <w:rPr/>
        <w:t>（</w:t>
      </w:r>
      <w:r>
        <w:rPr>
          <w:rFonts w:ascii="宋体" w:hAnsi="宋体" w:cs="宋体" w:eastAsia="宋体" w:hint="default"/>
        </w:rPr>
        <w:t>2</w:t>
      </w:r>
      <w:r>
        <w:rPr/>
        <w:t>）对</w:t>
      </w:r>
      <w:r>
        <w:rPr>
          <w:rFonts w:ascii="宋体" w:hAnsi="宋体" w:cs="宋体" w:eastAsia="宋体" w:hint="default"/>
        </w:rPr>
        <w:t>IT</w:t>
      </w:r>
      <w:r>
        <w:rPr/>
        <w:t>基础设施建设、软件解决方案、</w:t>
      </w:r>
      <w:r>
        <w:rPr>
          <w:rFonts w:ascii="宋体" w:hAnsi="宋体" w:cs="宋体" w:eastAsia="宋体" w:hint="default"/>
        </w:rPr>
        <w:t>IT</w:t>
      </w:r>
      <w:r>
        <w:rPr/>
        <w:t>运行维护服务三种类型的收入，分别按照合同检查各类 收入合理保证的样本量，分别收集样本的合同、验收报告、工作量确认单。</w:t>
      </w:r>
    </w:p>
    <w:p>
      <w:pPr>
        <w:pStyle w:val="Heading6"/>
        <w:spacing w:line="240" w:lineRule="auto"/>
        <w:ind w:left="1553" w:right="0" w:firstLine="0"/>
        <w:jc w:val="left"/>
      </w:pPr>
      <w:r>
        <w:rPr/>
        <w:t>（</w:t>
      </w:r>
      <w:r>
        <w:rPr>
          <w:rFonts w:ascii="宋体" w:hAnsi="宋体" w:cs="宋体" w:eastAsia="宋体" w:hint="default"/>
        </w:rPr>
        <w:t>3</w:t>
      </w:r>
      <w:r>
        <w:rPr/>
        <w:t>）检查大额收入开票情况的原始凭证。</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6"/>
        <w:spacing w:line="240" w:lineRule="auto" w:before="35"/>
        <w:ind w:left="1554" w:right="0" w:firstLine="0"/>
        <w:jc w:val="left"/>
      </w:pPr>
      <w:r>
        <w:rPr/>
        <w:t>（</w:t>
      </w:r>
      <w:r>
        <w:rPr>
          <w:rFonts w:ascii="宋体" w:hAnsi="宋体" w:cs="宋体" w:eastAsia="宋体" w:hint="default"/>
        </w:rPr>
        <w:t>4</w:t>
      </w:r>
      <w:r>
        <w:rPr/>
        <w:t>）检查大额收入回款情况的银行回款单。</w:t>
      </w:r>
    </w:p>
    <w:p>
      <w:pPr>
        <w:pStyle w:val="Heading6"/>
        <w:spacing w:line="240" w:lineRule="auto" w:before="37"/>
        <w:ind w:left="1554" w:right="0" w:firstLine="0"/>
        <w:jc w:val="left"/>
      </w:pPr>
      <w:r>
        <w:rPr/>
        <w:t>（</w:t>
      </w:r>
      <w:r>
        <w:rPr>
          <w:rFonts w:ascii="宋体" w:hAnsi="宋体" w:cs="宋体" w:eastAsia="宋体" w:hint="default"/>
        </w:rPr>
        <w:t>5</w:t>
      </w:r>
      <w:r>
        <w:rPr/>
        <w:t>）对收入执行独立发函程序，并保持回函达到合理保证。</w:t>
      </w:r>
    </w:p>
    <w:p>
      <w:pPr>
        <w:pStyle w:val="Heading6"/>
        <w:spacing w:line="273" w:lineRule="auto" w:before="37"/>
        <w:ind w:left="1554" w:right="8442" w:firstLine="0"/>
        <w:jc w:val="left"/>
      </w:pPr>
      <w:r>
        <w:rPr/>
        <w:t>（二）应收账款减值 </w:t>
      </w:r>
      <w:r>
        <w:rPr>
          <w:rFonts w:ascii="宋体" w:hAnsi="宋体" w:cs="宋体" w:eastAsia="宋体" w:hint="default"/>
        </w:rPr>
        <w:t>1</w:t>
      </w:r>
      <w:r>
        <w:rPr/>
        <w:t>、事项描述</w:t>
      </w:r>
    </w:p>
    <w:p>
      <w:pPr>
        <w:pStyle w:val="Heading6"/>
        <w:spacing w:line="273" w:lineRule="auto" w:before="8"/>
        <w:ind w:right="1130"/>
        <w:jc w:val="both"/>
      </w:pPr>
      <w:r>
        <w:rPr/>
        <w:t>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日，贵公司的应收账款原值为人民币</w:t>
      </w:r>
      <w:r>
        <w:rPr>
          <w:rFonts w:ascii="宋体" w:hAnsi="宋体" w:cs="宋体" w:eastAsia="宋体" w:hint="default"/>
        </w:rPr>
        <w:t>53,294.96</w:t>
      </w:r>
      <w:r>
        <w:rPr/>
        <w:t>万元，坏帐准备为人民币</w:t>
      </w:r>
      <w:r>
        <w:rPr>
          <w:rFonts w:ascii="宋体" w:hAnsi="宋体" w:cs="宋体" w:eastAsia="宋体" w:hint="default"/>
        </w:rPr>
        <w:t>1,022.36</w:t>
      </w:r>
      <w:r>
        <w:rPr/>
        <w:t>万 </w:t>
      </w:r>
      <w:r>
        <w:rPr>
          <w:spacing w:val="-1"/>
        </w:rPr>
        <w:t>元。管理层在对应收账款的可回收性进行评估时，需要综合考虑应收账款的账龄、货物的留置权、债务人</w:t>
      </w:r>
      <w:r>
        <w:rPr>
          <w:spacing w:val="-86"/>
        </w:rPr>
        <w:t> </w:t>
      </w:r>
      <w:r>
        <w:rPr>
          <w:spacing w:val="-86"/>
        </w:rPr>
      </w:r>
      <w:r>
        <w:rPr>
          <w:spacing w:val="-1"/>
        </w:rPr>
        <w:t>的还款记录、债务人的行业现状等。由于应收账款余额重大且坏账准备的评估涉及管理层判断，因此我们</w:t>
      </w:r>
      <w:r>
        <w:rPr>
          <w:spacing w:val="-83"/>
        </w:rPr>
        <w:t> </w:t>
      </w:r>
      <w:r>
        <w:rPr>
          <w:spacing w:val="-83"/>
        </w:rPr>
      </w:r>
      <w:r>
        <w:rPr/>
        <w:t>将应收账款的减值作为关键审计事项。</w:t>
      </w:r>
    </w:p>
    <w:p>
      <w:pPr>
        <w:pStyle w:val="Heading6"/>
        <w:spacing w:line="240" w:lineRule="auto"/>
        <w:ind w:left="1553" w:right="0" w:firstLine="0"/>
        <w:jc w:val="left"/>
      </w:pPr>
      <w:r>
        <w:rPr>
          <w:rFonts w:ascii="宋体" w:hAnsi="宋体" w:cs="宋体" w:eastAsia="宋体" w:hint="default"/>
        </w:rPr>
        <w:t>2</w:t>
      </w:r>
      <w:r>
        <w:rPr/>
        <w:t>、审计应对</w:t>
      </w:r>
    </w:p>
    <w:p>
      <w:pPr>
        <w:pStyle w:val="Heading6"/>
        <w:spacing w:line="240" w:lineRule="auto" w:before="37"/>
        <w:ind w:left="1553" w:right="0" w:firstLine="0"/>
        <w:jc w:val="left"/>
      </w:pPr>
      <w:r>
        <w:rPr>
          <w:rFonts w:ascii="宋体" w:hAnsi="宋体" w:cs="宋体" w:eastAsia="宋体" w:hint="default"/>
        </w:rPr>
        <w:t>1</w:t>
      </w:r>
      <w:r>
        <w:rPr/>
        <w:t>、核对记账凭证、发票等支持性记录，检查应收账款账龄的准确性。</w:t>
      </w:r>
    </w:p>
    <w:p>
      <w:pPr>
        <w:pStyle w:val="Heading6"/>
        <w:spacing w:line="240" w:lineRule="auto" w:before="37"/>
        <w:ind w:left="1553" w:right="0" w:firstLine="0"/>
        <w:jc w:val="left"/>
      </w:pPr>
      <w:r>
        <w:rPr>
          <w:rFonts w:ascii="宋体" w:hAnsi="宋体" w:cs="宋体" w:eastAsia="宋体" w:hint="default"/>
        </w:rPr>
        <w:t>2</w:t>
      </w:r>
      <w:r>
        <w:rPr/>
        <w:t>、与管理层进行访谈，了解主要债务人的信息以及管理层对于其可回收性的评估。</w:t>
      </w:r>
    </w:p>
    <w:p>
      <w:pPr>
        <w:pStyle w:val="Heading6"/>
        <w:spacing w:line="240" w:lineRule="auto" w:before="37"/>
        <w:ind w:left="1554" w:right="0" w:firstLine="0"/>
        <w:jc w:val="left"/>
      </w:pPr>
      <w:r>
        <w:rPr>
          <w:rFonts w:ascii="宋体" w:hAnsi="宋体" w:cs="宋体" w:eastAsia="宋体" w:hint="default"/>
        </w:rPr>
        <w:t>3</w:t>
      </w:r>
      <w:r>
        <w:rPr/>
        <w:t>、检查还款记录以及期后还款的相关信息；</w:t>
      </w:r>
    </w:p>
    <w:p>
      <w:pPr>
        <w:pStyle w:val="Heading6"/>
        <w:spacing w:line="273" w:lineRule="auto" w:before="37"/>
        <w:ind w:left="1134" w:right="0"/>
        <w:jc w:val="left"/>
      </w:pPr>
      <w:r>
        <w:rPr>
          <w:rFonts w:ascii="宋体" w:hAnsi="宋体" w:cs="宋体" w:eastAsia="宋体" w:hint="default"/>
        </w:rPr>
        <w:t>3</w:t>
      </w:r>
      <w:r>
        <w:rPr/>
        <w:t>、选取样本对金额重大的应收账款余额实施函证程序，将函证结果与贵公司记录的金额进行核对。 并保持回函达到合理保证。</w:t>
      </w:r>
    </w:p>
    <w:p>
      <w:pPr>
        <w:pStyle w:val="Heading6"/>
        <w:spacing w:line="273" w:lineRule="auto"/>
        <w:ind w:left="1134" w:right="0"/>
        <w:jc w:val="left"/>
      </w:pPr>
      <w:r>
        <w:rPr>
          <w:rFonts w:ascii="宋体" w:hAnsi="宋体" w:cs="宋体" w:eastAsia="宋体" w:hint="default"/>
        </w:rPr>
        <w:t>4</w:t>
      </w:r>
      <w:r>
        <w:rPr/>
        <w:t>、通过比较国内的同行业其他上市公司公开披露的信息，对贵公司应收账款坏账准备占应收账款余 额比例的总体合理性进行评估。</w:t>
      </w:r>
    </w:p>
    <w:p>
      <w:pPr>
        <w:spacing w:line="240" w:lineRule="auto" w:before="8"/>
        <w:rPr>
          <w:rFonts w:ascii="宋体" w:hAnsi="宋体" w:cs="宋体" w:eastAsia="宋体" w:hint="default"/>
          <w:sz w:val="22"/>
          <w:szCs w:val="22"/>
        </w:rPr>
      </w:pPr>
    </w:p>
    <w:p>
      <w:pPr>
        <w:pStyle w:val="Heading4"/>
        <w:spacing w:line="240" w:lineRule="auto"/>
        <w:ind w:left="1554" w:right="0"/>
        <w:jc w:val="left"/>
      </w:pPr>
      <w:r>
        <w:rPr/>
        <w:t>四、其他信息</w:t>
      </w:r>
    </w:p>
    <w:p>
      <w:pPr>
        <w:pStyle w:val="Heading6"/>
        <w:spacing w:line="273" w:lineRule="auto" w:before="22"/>
        <w:ind w:left="1134" w:right="0"/>
        <w:jc w:val="left"/>
      </w:pPr>
      <w:r>
        <w:rPr>
          <w:spacing w:val="-1"/>
        </w:rPr>
        <w:t>贵公司管理层（以下简称管理层）对其他信息负责。其他信息包括贵集团</w:t>
      </w:r>
      <w:r>
        <w:rPr>
          <w:rFonts w:ascii="宋体" w:hAnsi="宋体" w:cs="宋体" w:eastAsia="宋体" w:hint="default"/>
          <w:spacing w:val="-1"/>
        </w:rPr>
        <w:t>2017</w:t>
      </w:r>
      <w:r>
        <w:rPr>
          <w:spacing w:val="-1"/>
        </w:rPr>
        <w:t>年年度报告中涵盖的信</w:t>
      </w:r>
      <w:r>
        <w:rPr/>
        <w:t> 息，但不包括财务报表和我们的审计报告。</w:t>
      </w:r>
    </w:p>
    <w:p>
      <w:pPr>
        <w:pStyle w:val="Heading6"/>
        <w:spacing w:line="273" w:lineRule="auto"/>
        <w:ind w:left="1554" w:right="1092" w:firstLine="0"/>
        <w:jc w:val="left"/>
      </w:pPr>
      <w:r>
        <w:rPr/>
        <w:t>我们对财务报表发表的审计意见并不涵盖其他信息，我们也不对其他信息发表任何形式的鉴证结论。 </w:t>
      </w:r>
      <w:r>
        <w:rPr>
          <w:spacing w:val="-1"/>
        </w:rPr>
        <w:t>结合我们对财务报表的审计，我们的责任是阅读其他信息，在此过程中，考虑其他信息是否与财务报</w:t>
      </w:r>
    </w:p>
    <w:p>
      <w:pPr>
        <w:pStyle w:val="Heading6"/>
        <w:spacing w:line="273" w:lineRule="auto" w:before="8"/>
        <w:ind w:left="1554" w:right="0" w:hanging="420"/>
        <w:jc w:val="left"/>
      </w:pPr>
      <w:r>
        <w:rPr/>
        <w:t>表或我们在审计过程中了解到的情况存在重大不一致或者似乎存在重大错报。 </w:t>
      </w:r>
      <w:r>
        <w:rPr>
          <w:spacing w:val="-1"/>
        </w:rPr>
        <w:t>基于我们已执行的工作，如果我们确定其他信息存在重大错报，我们应当报告该事实。在这方面，我</w:t>
      </w:r>
    </w:p>
    <w:p>
      <w:pPr>
        <w:pStyle w:val="Heading6"/>
        <w:spacing w:line="240" w:lineRule="auto"/>
        <w:ind w:left="1134" w:right="0" w:firstLine="0"/>
        <w:jc w:val="left"/>
      </w:pPr>
      <w:r>
        <w:rPr/>
        <w:t>们无任何事项需要报告。</w:t>
      </w:r>
    </w:p>
    <w:p>
      <w:pPr>
        <w:spacing w:line="240" w:lineRule="auto" w:before="11"/>
        <w:rPr>
          <w:rFonts w:ascii="宋体" w:hAnsi="宋体" w:cs="宋体" w:eastAsia="宋体" w:hint="default"/>
          <w:sz w:val="24"/>
          <w:szCs w:val="24"/>
        </w:rPr>
      </w:pPr>
    </w:p>
    <w:p>
      <w:pPr>
        <w:pStyle w:val="Heading4"/>
        <w:spacing w:line="240" w:lineRule="auto"/>
        <w:ind w:left="1554" w:right="0"/>
        <w:jc w:val="left"/>
      </w:pPr>
      <w:r>
        <w:rPr/>
        <w:t>五、管理层和治理层对财务报表的责任</w:t>
      </w:r>
    </w:p>
    <w:p>
      <w:pPr>
        <w:pStyle w:val="Heading6"/>
        <w:spacing w:line="273" w:lineRule="auto" w:before="22"/>
        <w:ind w:left="1134" w:right="0"/>
        <w:jc w:val="left"/>
      </w:pPr>
      <w:r>
        <w:rPr>
          <w:spacing w:val="-1"/>
        </w:rPr>
        <w:t>管理层负责按照企业会计准则的规定编制财务报表，使其实现公允反映，并设计、执行和维护必要的</w:t>
      </w:r>
      <w:r>
        <w:rPr/>
        <w:t> 内部控制，以使财务报表不存在由于舞弊或错误导致的重大错报。</w:t>
      </w:r>
    </w:p>
    <w:p>
      <w:pPr>
        <w:pStyle w:val="Heading6"/>
        <w:spacing w:line="273" w:lineRule="auto"/>
        <w:ind w:right="1018"/>
        <w:jc w:val="left"/>
      </w:pPr>
      <w:r>
        <w:rPr>
          <w:spacing w:val="-3"/>
        </w:rPr>
        <w:t>在编制财务报表时，管理层负责评估贵公司的持续经营能力，披露与持续经营相关的事项（如适用），</w:t>
      </w:r>
      <w:r>
        <w:rPr/>
        <w:t> 并运用持续经营假设，除非管理层计划清算贵集团、终止运营或别无其他现实的选择。</w:t>
      </w:r>
    </w:p>
    <w:p>
      <w:pPr>
        <w:pStyle w:val="Heading6"/>
        <w:spacing w:line="240" w:lineRule="auto"/>
        <w:ind w:left="1553" w:right="0" w:firstLine="0"/>
        <w:jc w:val="left"/>
      </w:pPr>
      <w:r>
        <w:rPr/>
        <w:t>治理层负责监督贵集团的财务报告过程。</w:t>
      </w:r>
    </w:p>
    <w:p>
      <w:pPr>
        <w:spacing w:line="240" w:lineRule="auto" w:before="11"/>
        <w:rPr>
          <w:rFonts w:ascii="宋体" w:hAnsi="宋体" w:cs="宋体" w:eastAsia="宋体" w:hint="default"/>
          <w:sz w:val="24"/>
          <w:szCs w:val="24"/>
        </w:rPr>
      </w:pPr>
    </w:p>
    <w:p>
      <w:pPr>
        <w:pStyle w:val="Heading4"/>
        <w:spacing w:line="240" w:lineRule="auto"/>
        <w:ind w:left="1614" w:right="0"/>
        <w:jc w:val="left"/>
      </w:pPr>
      <w:r>
        <w:rPr/>
        <w:t>六、注册会计师对财务报表审计的责任</w:t>
      </w:r>
    </w:p>
    <w:p>
      <w:pPr>
        <w:pStyle w:val="Heading6"/>
        <w:spacing w:line="273" w:lineRule="auto" w:before="22"/>
        <w:ind w:left="1134" w:right="1131"/>
        <w:jc w:val="both"/>
      </w:pPr>
      <w:r>
        <w:rPr>
          <w:spacing w:val="-1"/>
        </w:rPr>
        <w:t>我们的目标是对财务报表整体是否不存在由于舞弊或错误导致的重大错报获取合理保证，并出具包含</w:t>
      </w:r>
      <w:r>
        <w:rPr/>
        <w:t> </w:t>
      </w:r>
      <w:r>
        <w:rPr>
          <w:spacing w:val="-1"/>
        </w:rPr>
        <w:t>审计意见的审计报告。合理保证是高水平的保证，但并不能保证按照审计准则执行的审计在某一重大错报</w:t>
      </w:r>
      <w:r>
        <w:rPr>
          <w:spacing w:val="-81"/>
        </w:rPr>
        <w:t> </w:t>
      </w:r>
      <w:r>
        <w:rPr>
          <w:spacing w:val="-81"/>
        </w:rPr>
      </w:r>
      <w:r>
        <w:rPr>
          <w:spacing w:val="-1"/>
        </w:rPr>
        <w:t>存在时总能发现。错报可能由于舞弊或错误导致，如果合理预期错报单独或汇总起来可能影响财务报表使</w:t>
      </w:r>
      <w:r>
        <w:rPr>
          <w:spacing w:val="-81"/>
        </w:rPr>
        <w:t> </w:t>
      </w:r>
      <w:r>
        <w:rPr>
          <w:spacing w:val="-81"/>
        </w:rPr>
      </w:r>
      <w:r>
        <w:rPr/>
        <w:t>用者依据财务报表作出的经济决策，则通常认为错报是重大的。</w:t>
      </w:r>
    </w:p>
    <w:p>
      <w:pPr>
        <w:pStyle w:val="Heading6"/>
        <w:spacing w:line="273" w:lineRule="auto"/>
        <w:ind w:right="1118"/>
        <w:jc w:val="left"/>
      </w:pPr>
      <w:r>
        <w:rPr>
          <w:spacing w:val="-1"/>
        </w:rPr>
        <w:t>在按照审计准则执行审计工作的过程中，我们运用职业判断，并保持职业怀疑。同时，我们也执行以</w:t>
      </w:r>
      <w:r>
        <w:rPr/>
        <w:t> 下工作：</w:t>
      </w:r>
    </w:p>
    <w:p>
      <w:pPr>
        <w:pStyle w:val="Heading6"/>
        <w:spacing w:line="273" w:lineRule="auto" w:before="8"/>
        <w:ind w:left="1134" w:right="1023"/>
        <w:jc w:val="left"/>
      </w:pPr>
      <w:r>
        <w:rPr/>
        <w:t>（一）识别和评估由于舞弊或错误导致的财务报表重大错报风险，设计和实施审计程序以应对这些风 </w:t>
      </w:r>
      <w:r>
        <w:rPr>
          <w:spacing w:val="-3"/>
        </w:rPr>
        <w:t>险，并获取充分、适当的审计证据，作为发表审计意见的基础。由于舞弊可能涉及串通、伪造、故意遗漏、</w:t>
      </w:r>
      <w:r>
        <w:rPr>
          <w:spacing w:val="-94"/>
        </w:rPr>
        <w:t> </w:t>
      </w:r>
      <w:r>
        <w:rPr>
          <w:spacing w:val="-94"/>
        </w:rPr>
      </w:r>
      <w:r>
        <w:rPr/>
        <w:t>虚假陈述或凌驾于内部控制之上，未能发现由于舞弊导致的重大错报的风险高于未能发现由于错误导致的</w:t>
      </w:r>
      <w:r>
        <w:rPr/>
        <w:t> 重大错报的风险。</w:t>
      </w:r>
    </w:p>
    <w:p>
      <w:pPr>
        <w:spacing w:after="0" w:line="273"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6"/>
        <w:spacing w:line="240" w:lineRule="auto" w:before="35"/>
        <w:ind w:left="1554" w:right="0" w:firstLine="0"/>
        <w:jc w:val="left"/>
      </w:pPr>
      <w:r>
        <w:rPr/>
        <w:t>（二）了解与审计相关的内部控制，以设计恰当的审计程序。</w:t>
      </w:r>
    </w:p>
    <w:p>
      <w:pPr>
        <w:pStyle w:val="Heading6"/>
        <w:spacing w:line="240" w:lineRule="auto" w:before="37"/>
        <w:ind w:left="1553" w:right="0" w:firstLine="0"/>
        <w:jc w:val="left"/>
      </w:pPr>
      <w:r>
        <w:rPr/>
        <w:t>（三）评价管理层选用会计政策的恰当性和作出会计估计及相关披露的合理性。</w:t>
      </w:r>
    </w:p>
    <w:p>
      <w:pPr>
        <w:pStyle w:val="Heading6"/>
        <w:spacing w:line="273" w:lineRule="auto" w:before="37"/>
        <w:ind w:right="1131"/>
        <w:jc w:val="both"/>
      </w:pPr>
      <w:r>
        <w:rPr>
          <w:spacing w:val="-1"/>
        </w:rPr>
        <w:t>（四）对管理层使用持续经营假设的恰当性得出结论。同时，根据获取的审计证据，就可能导致对贵</w:t>
      </w:r>
      <w:r>
        <w:rPr/>
        <w:t> </w:t>
      </w:r>
      <w:r>
        <w:rPr>
          <w:spacing w:val="-1"/>
        </w:rPr>
        <w:t>公司持续经营能力产生重大疑虑的事项或情况是否存在重大不确定性得出结论。如果我们得出结论认为存</w:t>
      </w:r>
      <w:r>
        <w:rPr>
          <w:spacing w:val="-81"/>
        </w:rPr>
        <w:t> </w:t>
      </w:r>
      <w:r>
        <w:rPr>
          <w:spacing w:val="-81"/>
        </w:rPr>
      </w:r>
      <w:r>
        <w:rPr>
          <w:spacing w:val="-1"/>
        </w:rPr>
        <w:t>在重大不确定性，审计准则要求我们在审计报告中提请报表使用者注意财务报表中的相关披露；如果披露</w:t>
      </w:r>
      <w:r>
        <w:rPr>
          <w:spacing w:val="-81"/>
        </w:rPr>
        <w:t> </w:t>
      </w:r>
      <w:r>
        <w:rPr>
          <w:spacing w:val="-81"/>
        </w:rPr>
      </w:r>
      <w:r>
        <w:rPr>
          <w:spacing w:val="-1"/>
        </w:rPr>
        <w:t>不充分，我们应当发表非无保留意见。我们的结论基于截至审计报告日可获得的信息。然而，未来的事项</w:t>
      </w:r>
      <w:r>
        <w:rPr>
          <w:spacing w:val="-86"/>
        </w:rPr>
        <w:t> </w:t>
      </w:r>
      <w:r>
        <w:rPr>
          <w:spacing w:val="-86"/>
        </w:rPr>
      </w:r>
      <w:r>
        <w:rPr/>
        <w:t>或情况可能导致贵集团不能持续经营。</w:t>
      </w:r>
    </w:p>
    <w:p>
      <w:pPr>
        <w:pStyle w:val="Heading6"/>
        <w:spacing w:line="273" w:lineRule="auto"/>
        <w:ind w:right="1140"/>
        <w:jc w:val="both"/>
      </w:pPr>
      <w:r>
        <w:rPr>
          <w:spacing w:val="-1"/>
        </w:rPr>
        <w:t>（五）评价财务报表的总体列报、结构和内容（包括披露），并评价财务报表是否公允反映相关交易</w:t>
      </w:r>
      <w:r>
        <w:rPr/>
        <w:t> 和事项。</w:t>
      </w:r>
    </w:p>
    <w:p>
      <w:pPr>
        <w:pStyle w:val="Heading6"/>
        <w:spacing w:line="273" w:lineRule="auto"/>
        <w:ind w:left="1134" w:right="1131"/>
        <w:jc w:val="both"/>
      </w:pPr>
      <w:r>
        <w:rPr>
          <w:spacing w:val="-1"/>
        </w:rPr>
        <w:t>（六）就贵公司中实体或业务活动的财务信息获取充分、恰当的审计证据，以对财务报表发表审计意</w:t>
      </w:r>
      <w:r>
        <w:rPr/>
        <w:t> 见。我们负责指导、监督和执行集团审计，并对审计意见承担全部责任。</w:t>
      </w:r>
    </w:p>
    <w:p>
      <w:pPr>
        <w:pStyle w:val="Heading6"/>
        <w:spacing w:line="273" w:lineRule="auto"/>
        <w:ind w:right="1131"/>
        <w:jc w:val="both"/>
      </w:pPr>
      <w:r>
        <w:rPr>
          <w:spacing w:val="-1"/>
        </w:rPr>
        <w:t>我们与治理层就计划的审计范围、时间安排和重大审计发现等事项进行沟通，包括沟通我们在审计中</w:t>
      </w:r>
      <w:r>
        <w:rPr/>
        <w:t> 识别出的值得关注的内部控制缺陷。</w:t>
      </w:r>
    </w:p>
    <w:p>
      <w:pPr>
        <w:pStyle w:val="Heading6"/>
        <w:spacing w:line="273" w:lineRule="auto"/>
        <w:ind w:right="1132"/>
        <w:jc w:val="both"/>
      </w:pPr>
      <w:r>
        <w:rPr>
          <w:spacing w:val="-1"/>
        </w:rPr>
        <w:t>我们还就遵守与独立性相关的职业道德要求向治理层提供声明，并与治理层沟通可能被合理认为影响</w:t>
      </w:r>
      <w:r>
        <w:rPr/>
        <w:t> </w:t>
      </w:r>
      <w:r>
        <w:rPr>
          <w:spacing w:val="-4"/>
        </w:rPr>
        <w:t>我们独立性的所有关系和其他事项，以及相关的防范措施（如适用）。</w:t>
      </w:r>
    </w:p>
    <w:p>
      <w:pPr>
        <w:pStyle w:val="Heading6"/>
        <w:spacing w:line="273" w:lineRule="auto"/>
        <w:ind w:right="1131"/>
        <w:jc w:val="both"/>
      </w:pPr>
      <w:r>
        <w:rPr>
          <w:spacing w:val="-1"/>
        </w:rPr>
        <w:t>从与治理层沟通过的事项中，我们确定哪些事项对本期财务报表审计最为重要，因而构成关键审计事</w:t>
      </w:r>
      <w:r>
        <w:rPr/>
        <w:t> </w:t>
      </w:r>
      <w:r>
        <w:rPr>
          <w:spacing w:val="-1"/>
        </w:rPr>
        <w:t>项。我们在审计报告中描述这些事项，除非法律法规禁止公开披露这些事项，或在极少数情形下，如果合</w:t>
      </w:r>
      <w:r>
        <w:rPr>
          <w:spacing w:val="-86"/>
        </w:rPr>
        <w:t> </w:t>
      </w:r>
      <w:r>
        <w:rPr>
          <w:spacing w:val="-86"/>
        </w:rPr>
      </w:r>
      <w:r>
        <w:rPr>
          <w:spacing w:val="-1"/>
        </w:rPr>
        <w:t>理预期在审计报告中沟通某事项造成的负面后果超过在公众利益方面产生的益处，我们确定不应在审计报</w:t>
      </w:r>
      <w:r>
        <w:rPr>
          <w:spacing w:val="-81"/>
        </w:rPr>
        <w:t> </w:t>
      </w:r>
      <w:r>
        <w:rPr>
          <w:spacing w:val="-81"/>
        </w:rPr>
      </w:r>
      <w:r>
        <w:rPr/>
        <w:t>告中沟通该事项。</w:t>
      </w: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907" w:footer="1019" w:top="1100" w:bottom="1200" w:left="0" w:right="0"/>
        </w:sectPr>
      </w:pPr>
    </w:p>
    <w:p>
      <w:pPr>
        <w:pStyle w:val="Heading6"/>
        <w:tabs>
          <w:tab w:pos="6073" w:val="left" w:leader="none"/>
        </w:tabs>
        <w:spacing w:line="240" w:lineRule="auto" w:before="35"/>
        <w:ind w:left="1557" w:right="-13" w:firstLine="0"/>
        <w:jc w:val="left"/>
      </w:pPr>
      <w:r>
        <w:rPr/>
        <w:t>大信会计师事务所（特殊普通合伙）</w:t>
        <w:tab/>
      </w:r>
      <w:r>
        <w:rPr>
          <w:spacing w:val="-1"/>
        </w:rPr>
        <w:t>中国注册会计师：</w:t>
      </w:r>
    </w:p>
    <w:p>
      <w:pPr>
        <w:pStyle w:val="Heading6"/>
        <w:spacing w:line="240" w:lineRule="auto" w:before="37"/>
        <w:ind w:left="0" w:right="214" w:firstLine="0"/>
        <w:jc w:val="right"/>
      </w:pPr>
      <w:r>
        <w:rPr>
          <w:spacing w:val="-1"/>
        </w:rPr>
        <w:t>（项目合伙人）</w:t>
      </w:r>
    </w:p>
    <w:p>
      <w:pPr>
        <w:pStyle w:val="Heading6"/>
        <w:tabs>
          <w:tab w:pos="3129" w:val="left" w:leader="none"/>
          <w:tab w:pos="3548" w:val="left" w:leader="none"/>
          <w:tab w:pos="6069" w:val="left" w:leader="none"/>
        </w:tabs>
        <w:spacing w:line="240" w:lineRule="auto" w:before="37"/>
        <w:ind w:left="2394" w:right="-17" w:firstLine="0"/>
        <w:jc w:val="left"/>
      </w:pPr>
      <w:r>
        <w:rPr/>
        <w:t>中 国</w:t>
        <w:tab/>
        <w:t>·</w:t>
        <w:tab/>
        <w:t>北 京</w:t>
        <w:tab/>
        <w:t>中国注册会计师：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6"/>
        <w:spacing w:line="240" w:lineRule="auto" w:before="0"/>
        <w:ind w:left="880" w:right="0" w:firstLine="0"/>
        <w:jc w:val="left"/>
      </w:pPr>
      <w:r>
        <w:rPr/>
        <w:t>二○一八年四月十一日</w:t>
      </w:r>
    </w:p>
    <w:p>
      <w:pPr>
        <w:spacing w:after="0" w:line="240" w:lineRule="auto"/>
        <w:jc w:val="left"/>
        <w:sectPr>
          <w:type w:val="continuous"/>
          <w:pgSz w:w="11910" w:h="16840"/>
          <w:pgMar w:top="1100" w:bottom="1200" w:left="0" w:right="0"/>
          <w:cols w:num="2" w:equalWidth="0">
            <w:col w:w="7753" w:space="40"/>
            <w:col w:w="4117"/>
          </w:cols>
        </w:sectPr>
      </w:pPr>
    </w:p>
    <w:p>
      <w:pPr>
        <w:spacing w:line="240" w:lineRule="auto" w:before="2"/>
        <w:rPr>
          <w:rFonts w:ascii="宋体" w:hAnsi="宋体" w:cs="宋体" w:eastAsia="宋体" w:hint="default"/>
          <w:sz w:val="22"/>
          <w:szCs w:val="22"/>
        </w:rPr>
      </w:pPr>
    </w:p>
    <w:p>
      <w:pPr>
        <w:pStyle w:val="Heading3"/>
        <w:spacing w:line="240" w:lineRule="auto" w:before="26"/>
        <w:ind w:left="1133" w:right="0"/>
        <w:jc w:val="left"/>
        <w:rPr>
          <w:b w:val="0"/>
          <w:bCs w:val="0"/>
        </w:rPr>
      </w:pPr>
      <w:bookmarkStart w:name="二、财务报表" w:id="153"/>
      <w:bookmarkEnd w:id="153"/>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财务附注中报表的单位为：人民币元</w:t>
      </w:r>
    </w:p>
    <w:p>
      <w:pPr>
        <w:spacing w:after="0" w:line="240" w:lineRule="auto"/>
        <w:jc w:val="left"/>
        <w:sectPr>
          <w:type w:val="continuous"/>
          <w:pgSz w:w="11910" w:h="16840"/>
          <w:pgMar w:top="1100" w:bottom="1200" w:left="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5"/>
        <w:spacing w:line="240" w:lineRule="auto" w:before="35"/>
        <w:ind w:right="0"/>
        <w:jc w:val="left"/>
        <w:rPr>
          <w:b w:val="0"/>
          <w:bCs w:val="0"/>
        </w:rPr>
      </w:pPr>
      <w:bookmarkStart w:name="1、合并资产负债表" w:id="154"/>
      <w:bookmarkEnd w:id="154"/>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9" w:top="1100" w:bottom="1200" w:left="0" w:right="0"/>
        </w:sectPr>
      </w:pPr>
    </w:p>
    <w:p>
      <w:pPr>
        <w:pStyle w:val="BodyText"/>
        <w:spacing w:line="240" w:lineRule="auto" w:before="44"/>
        <w:ind w:right="-20"/>
        <w:jc w:val="left"/>
      </w:pPr>
      <w:r>
        <w:rPr/>
        <w:t>编制单位：北京先进数通信息技术股份公司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left="617" w:right="-17"/>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100" w:bottom="1200" w:left="0" w:right="0"/>
          <w:cols w:num="3" w:equalWidth="0">
            <w:col w:w="4555" w:space="40"/>
            <w:col w:w="2102" w:space="2223"/>
            <w:col w:w="299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345,175,989.29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436,839,633.03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522,726,049.65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443,317,554.43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33,934,078.55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6,948,976.06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609,095.89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12,254,936.05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7,242,412.40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226,609,158.54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163,679,938.75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7,689.56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1,141,316,997.53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1,058,028,514.67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102,416,094.05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6,416,918.16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6,030,440.50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5,143,570.45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1,723,574.99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9,986,831.88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4,905,180.64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292,612.62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5,190,828.45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3,992,829.21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53,291,700.00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188,738,555.61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16,652,025.34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1,330,055,553.14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1,074,680,540.01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101,000,000.00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23,654,754.00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22,376,750.85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144,397,953.91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154,363,362.04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19,001,660.91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34,701,710.08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27,627,409.56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31,925,404.59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22,111,550.22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18,254,470.05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5,856,007.32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1,308,460.34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592,649,335.92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363,930,157.95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593,279,335.92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364,920,157.95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355,267,253.00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355,267,253.00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-3,914,239.19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31,144,910.29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26,666,744.99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234,278,293.12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207,826,384.07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736,776,217.22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709,760,382.06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736,776,217.22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709,760,382.06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1,330,055,553.14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1,074,680,540.01</w:t>
            </w:r>
          </w:p>
        </w:tc>
      </w:tr>
    </w:tbl>
    <w:p>
      <w:pPr>
        <w:spacing w:line="240" w:lineRule="auto" w:before="3"/>
        <w:rPr>
          <w:rFonts w:ascii="Times New Roman" w:hAnsi="Times New Roman" w:cs="Times New Roman" w:eastAsia="Times New Roman" w:hint="default"/>
          <w:sz w:val="23"/>
          <w:szCs w:val="23"/>
        </w:rPr>
      </w:pPr>
    </w:p>
    <w:p>
      <w:pPr>
        <w:pStyle w:val="BodyText"/>
        <w:tabs>
          <w:tab w:pos="3330" w:val="left" w:leader="none"/>
          <w:tab w:pos="7561" w:val="left" w:leader="none"/>
        </w:tabs>
        <w:spacing w:line="240" w:lineRule="auto" w:before="44"/>
        <w:ind w:left="0" w:right="1229"/>
        <w:jc w:val="right"/>
      </w:pPr>
      <w:r>
        <w:rPr/>
        <w:t>法定代表人：林鸿</w:t>
        <w:tab/>
        <w:t>主管会计工作负责人：吴文胜</w:t>
        <w:tab/>
        <w:t>会计机构负责人：刘芹芹</w:t>
      </w:r>
    </w:p>
    <w:p>
      <w:pPr>
        <w:spacing w:line="240" w:lineRule="auto" w:before="11"/>
        <w:rPr>
          <w:rFonts w:ascii="宋体" w:hAnsi="宋体" w:cs="宋体" w:eastAsia="宋体" w:hint="default"/>
          <w:sz w:val="26"/>
          <w:szCs w:val="26"/>
        </w:rPr>
      </w:pPr>
    </w:p>
    <w:p>
      <w:pPr>
        <w:pStyle w:val="Heading5"/>
        <w:spacing w:line="240" w:lineRule="auto"/>
        <w:ind w:left="1133" w:right="0"/>
        <w:jc w:val="left"/>
        <w:rPr>
          <w:b w:val="0"/>
          <w:bCs w:val="0"/>
        </w:rPr>
      </w:pPr>
      <w:bookmarkStart w:name="2、母公司资产负债表" w:id="155"/>
      <w:bookmarkEnd w:id="155"/>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335,335,749.97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436,671,644.28</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522,726,049.65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443,317,554.43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33,934,078.55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6,948,976.06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609,095.89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76,316,788.06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7,242,412.40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226,609,158.54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163,679,938.75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1,195,530,920.66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1,057,860,525.92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6,416,918.16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6,030,440.50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5,143,570.45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1,723,574.99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9,986,831.88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4,905,180.64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292,612.62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5,190,828.45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3,992,829.21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53,291,700.00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140,322,461.56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36,652,025.34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1,335,853,382.22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1,094,512,551.26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101,000,000.00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23,654,754.00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22,376,750.85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144,397,953.91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154,363,362.04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19,001,660.91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34,701,710.08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27,627,409.56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31,925,404.59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22,111,550.22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18,254,470.05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5,856,007.32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21,108,460.34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592,649,335.92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383,730,157.95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593,279,335.92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384,720,157.95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355,267,253.00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355,267,253.00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31,144,910.29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26,666,744.99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236,161,883.01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207,858,395.32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742,574,046.30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709,792,393.31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1,335,853,382.22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1,094,512,551.26</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5"/>
        <w:spacing w:line="240" w:lineRule="auto" w:before="159"/>
        <w:ind w:right="0"/>
        <w:jc w:val="left"/>
        <w:rPr>
          <w:b w:val="0"/>
          <w:bCs w:val="0"/>
        </w:rPr>
      </w:pPr>
      <w:bookmarkStart w:name="3、合并利润表" w:id="156"/>
      <w:bookmarkEnd w:id="156"/>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081"/>
        <w:gridCol w:w="3210"/>
        <w:gridCol w:w="3278"/>
      </w:tblGrid>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2"/>
                <w:sz w:val="18"/>
              </w:rPr>
              <w:t>1,011,762,811.34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980,588,378.49</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2"/>
                <w:sz w:val="18"/>
              </w:rPr>
              <w:t>1,011,762,811.34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980,588,378.49</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25"/>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960,706,800.38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914,746,381.97</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824,976,926.13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787,519,415.60</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25"/>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2,934,402.13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3,182,146.85</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42,532,442.93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35,058,840.38</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77,909,766.45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76,070,224.94</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7,950,251.87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10,216,984.85</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4,403,010.87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2,698,769.35</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02" w:firstLine="360"/>
              <w:jc w:val="left"/>
              <w:rPr>
                <w:rFonts w:ascii="宋体" w:hAnsi="宋体" w:cs="宋体" w:eastAsia="宋体" w:hint="default"/>
                <w:sz w:val="18"/>
                <w:szCs w:val="18"/>
              </w:rPr>
            </w:pPr>
            <w:r>
              <w:rPr>
                <w:rFonts w:ascii="宋体" w:hAnsi="宋体" w:cs="宋体" w:eastAsia="宋体" w:hint="default"/>
                <w:spacing w:val="-2"/>
                <w:sz w:val="18"/>
                <w:szCs w:val="18"/>
              </w:rPr>
              <w:t>加：公允价值变动收益（损失以</w:t>
            </w:r>
            <w:r>
              <w:rPr>
                <w:rFonts w:ascii="宋体" w:hAnsi="宋体" w:cs="宋体" w:eastAsia="宋体" w:hint="default"/>
                <w:sz w:val="18"/>
                <w:szCs w:val="18"/>
              </w:rPr>
              <w:t> “－”号填列）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-1,669,666.76</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01" w:firstLine="720"/>
              <w:jc w:val="left"/>
              <w:rPr>
                <w:rFonts w:ascii="宋体" w:hAnsi="宋体" w:cs="宋体" w:eastAsia="宋体" w:hint="default"/>
                <w:sz w:val="18"/>
                <w:szCs w:val="18"/>
              </w:rPr>
            </w:pPr>
            <w:r>
              <w:rPr>
                <w:rFonts w:ascii="宋体" w:hAnsi="宋体" w:cs="宋体" w:eastAsia="宋体" w:hint="default"/>
                <w:spacing w:val="-2"/>
                <w:sz w:val="18"/>
                <w:szCs w:val="18"/>
              </w:rPr>
              <w:t>其中：对联营企业和合营企</w:t>
            </w:r>
            <w:r>
              <w:rPr>
                <w:rFonts w:ascii="宋体" w:hAnsi="宋体" w:cs="宋体" w:eastAsia="宋体" w:hint="default"/>
                <w:sz w:val="18"/>
                <w:szCs w:val="18"/>
              </w:rPr>
              <w:t> 业的投资收益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pacing w:val="-6"/>
                <w:sz w:val="18"/>
                <w:szCs w:val="18"/>
              </w:rPr>
              <w:t>汇兑收益（损失以“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1,270,881.87</w:t>
            </w: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080"/>
        <w:gridCol w:w="321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pacing w:val="-7"/>
                <w:sz w:val="18"/>
                <w:szCs w:val="18"/>
              </w:rPr>
              <w:t>三、营业利润（亏损以“－”号填列）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50,657,226.07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65,841,996.52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278,974.19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4,000,362.92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44,964.94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2,662.64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99"/>
              <w:jc w:val="left"/>
              <w:rPr>
                <w:rFonts w:ascii="宋体" w:hAnsi="宋体" w:cs="宋体" w:eastAsia="宋体" w:hint="default"/>
                <w:sz w:val="18"/>
                <w:szCs w:val="18"/>
              </w:rPr>
            </w:pPr>
            <w:r>
              <w:rPr>
                <w:rFonts w:ascii="宋体" w:hAnsi="宋体" w:cs="宋体" w:eastAsia="宋体" w:hint="default"/>
                <w:spacing w:val="-1"/>
                <w:sz w:val="18"/>
                <w:szCs w:val="18"/>
              </w:rPr>
              <w:t>四、利润总额（亏损总额以“－”号</w:t>
            </w:r>
            <w:r>
              <w:rPr>
                <w:rFonts w:ascii="宋体" w:hAnsi="宋体" w:cs="宋体" w:eastAsia="宋体" w:hint="default"/>
                <w:sz w:val="18"/>
                <w:szCs w:val="18"/>
              </w:rPr>
              <w:t> 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50,891,235.32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69,839,696.80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7,961,160.97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10,332,028.68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pacing w:val="-7"/>
                <w:sz w:val="18"/>
                <w:szCs w:val="18"/>
              </w:rPr>
              <w:t>五、净利润（净亏损以“－”号填列）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42,930,074.35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59,507,668.12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55"/>
              <w:jc w:val="left"/>
              <w:rPr>
                <w:rFonts w:ascii="宋体" w:hAnsi="宋体" w:cs="宋体" w:eastAsia="宋体" w:hint="default"/>
                <w:sz w:val="18"/>
                <w:szCs w:val="18"/>
              </w:rPr>
            </w:pPr>
            <w:r>
              <w:rPr>
                <w:rFonts w:ascii="宋体" w:hAnsi="宋体" w:cs="宋体" w:eastAsia="宋体" w:hint="default"/>
                <w:spacing w:val="-1"/>
                <w:sz w:val="18"/>
                <w:szCs w:val="18"/>
              </w:rPr>
              <w:t>（一）持续经营净利润（净亏损</w:t>
            </w:r>
            <w:r>
              <w:rPr>
                <w:rFonts w:ascii="宋体" w:hAnsi="宋体" w:cs="宋体" w:eastAsia="宋体" w:hint="default"/>
                <w:sz w:val="18"/>
                <w:szCs w:val="18"/>
              </w:rPr>
              <w:t> 以“－”号填列）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42,930,074.35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59,507,668.12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55"/>
              <w:jc w:val="left"/>
              <w:rPr>
                <w:rFonts w:ascii="宋体" w:hAnsi="宋体" w:cs="宋体" w:eastAsia="宋体" w:hint="default"/>
                <w:sz w:val="18"/>
                <w:szCs w:val="18"/>
              </w:rPr>
            </w:pPr>
            <w:r>
              <w:rPr>
                <w:rFonts w:ascii="宋体" w:hAnsi="宋体" w:cs="宋体" w:eastAsia="宋体" w:hint="default"/>
                <w:spacing w:val="-1"/>
                <w:sz w:val="18"/>
                <w:szCs w:val="18"/>
              </w:rPr>
              <w:t>（二）终止经营净利润（净亏损</w:t>
            </w:r>
            <w:r>
              <w:rPr>
                <w:rFonts w:ascii="宋体" w:hAnsi="宋体" w:cs="宋体" w:eastAsia="宋体" w:hint="default"/>
                <w:sz w:val="18"/>
                <w:szCs w:val="18"/>
              </w:rPr>
              <w:t> 以“－”号填列）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42,930,074.35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59,507,668.12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-3,914,239.19</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 益的税后净额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-3,914,239.19</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51"/>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3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3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 中享有的份额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51"/>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-3,914,239.19</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3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 益中享有的份额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-3,914,239.19</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3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3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 的税后净额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081"/>
        <w:gridCol w:w="3210"/>
        <w:gridCol w:w="3278"/>
      </w:tblGrid>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39,015,835.16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59,507,668.12</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7"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 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39,015,835.16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59,507,668.12</w:t>
            </w:r>
          </w:p>
        </w:tc>
      </w:tr>
      <w:tr>
        <w:trPr>
          <w:trHeight w:val="714"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7"/>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0.36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0.61</w:t>
            </w:r>
          </w:p>
        </w:tc>
      </w:tr>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7"/>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0.36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0.61</w:t>
            </w:r>
          </w:p>
        </w:tc>
      </w:tr>
    </w:tbl>
    <w:p>
      <w:pPr>
        <w:pStyle w:val="BodyText"/>
        <w:tabs>
          <w:tab w:pos="4464" w:val="left" w:leader="none"/>
          <w:tab w:pos="8695" w:val="left" w:leader="none"/>
        </w:tabs>
        <w:spacing w:line="592" w:lineRule="auto" w:before="51"/>
        <w:ind w:left="1133"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法定代表人：林鸿</w:t>
        <w:tab/>
        <w:t>主管会计工作负责人：吴文胜</w:t>
        <w:tab/>
        <w:t>会计机构负责人：刘芹芹 </w:t>
      </w:r>
      <w:bookmarkStart w:name="4、母公司利润表" w:id="157"/>
      <w:bookmarkEnd w:id="15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1,011,748,900.74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980,588,378.49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824,976,926.13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787,519,415.60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2,904,382.13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3,182,146.85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42,532,442.93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35,058,840.38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77,706,270.21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76,062,197.06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7,951,046.02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10,216,303.64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4,402,491.60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2,698,769.35</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 以“－”号填列）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-37,418.88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pacing w:val="-8"/>
                <w:sz w:val="18"/>
                <w:szCs w:val="18"/>
              </w:rPr>
              <w:t>资产处置收益（损失以“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1,270,881.87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二、营业利润（亏损以“－”号填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52,508,804.71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65,850,705.61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278,974.19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4,000,362.92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44,964.94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2,662.64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52,742,813.96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69,848,405.89</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36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7,961,160.97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10,332,028.68</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四、净利润（净亏损以“－”号填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44,781,652.99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59,516,377.21</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 损以“－”号填列）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44,781,652.99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59,516,377.21</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 损以“－”号填列）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 的其他综合收益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 划净负债或净资产的变动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 位不能重分类进损益的其他综合收 益中享有的份额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 位以后将重分类进损益的其他综合 收益中享有的份额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 允价值变动损益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 类为可供出售金融资产损益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57"/>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44,781,652.99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59,516,377.21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5"/>
        <w:spacing w:line="240" w:lineRule="auto" w:before="159"/>
        <w:ind w:right="0"/>
        <w:jc w:val="left"/>
        <w:rPr>
          <w:b w:val="0"/>
          <w:bCs w:val="0"/>
        </w:rPr>
      </w:pPr>
      <w:bookmarkStart w:name="5、合并现金流量表" w:id="158"/>
      <w:bookmarkEnd w:id="158"/>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1,042,936,846.49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981,304,225.22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 计入当期损益的金融资产净增加额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678,060.51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4,333,777.48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22,886,414.38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15,125,069.44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1,066,501,321.38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1,000,763,072.14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891,722,774.98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762,868,122.23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6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221,654,028.02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222,126,773.95</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28,174,415.32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44,256,610.66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63,479,164.84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48,330,279.31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1,205,030,383.16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1,077,581,786.15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-138,529,061.78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-76,818,714.01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64,787,558.78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2,223,063.97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114,000,000.00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178,787,558.78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2,223,063.97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-178,787,558.78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-2,223,063.97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312,100,000.00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 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511,829,839.02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314,060,915.20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163,350.00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511,829,839.02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626,324,265.20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262,829,839.02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318,060,915.20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24,999,295.58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11,214,233.08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 的股利、利润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7,143,886.62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287,829,134.60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336,419,034.90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224,000,704.42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289,905,230.30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-136,258.20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185,570.91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-93,452,174.34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211,049,023.23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434,862,054.54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223,813,031.31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341,409,880.20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434,862,054.54</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0"/>
        <w:jc w:val="left"/>
        <w:rPr>
          <w:b w:val="0"/>
          <w:bCs w:val="0"/>
        </w:rPr>
      </w:pPr>
      <w:bookmarkStart w:name="6、母公司现金流量表" w:id="159"/>
      <w:bookmarkEnd w:id="159"/>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1,042,922,935.89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981,303,625.43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678,060.51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4,333,777.48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22,883,111.00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15,125,069.44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1,066,484,107.40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1,000,762,472.35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891,722,774.98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762,858,813.35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221,654,028.02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222,126,773.95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28,137,246.14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44,256,610.66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147,133,951.73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48,330,279.31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1,288,648,000.87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1,077,572,477.27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-222,163,893.47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-76,810,004.92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19,962,581.12</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19,962,581.12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64,787,558.78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2,223,063.97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124,787,558.78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2,223,063.97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-104,824,977.66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-2,223,063.97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312,100,000.00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511,829,839.02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314,060,915.20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163,350.00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511,829,839.02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626,324,265.20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262,829,839.02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318,060,915.20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24,999,295.58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11,214,233.08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7,143,886.62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287,829,134.60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336,419,034.90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224,000,704.42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289,905,230.30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-136,258.20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185,570.91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-103,124,424.91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211,057,732.32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434,694,065.79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223,636,333.47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331,569,640.88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434,694,065.79</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8"/>
        <w:rPr>
          <w:rFonts w:ascii="Times New Roman" w:hAnsi="Times New Roman" w:cs="Times New Roman" w:eastAsia="Times New Roman" w:hint="default"/>
          <w:sz w:val="24"/>
          <w:szCs w:val="24"/>
        </w:rPr>
      </w:pPr>
    </w:p>
    <w:p>
      <w:pPr>
        <w:pStyle w:val="Heading5"/>
        <w:spacing w:line="240" w:lineRule="auto" w:before="35"/>
        <w:ind w:right="0"/>
        <w:jc w:val="left"/>
        <w:rPr>
          <w:b w:val="0"/>
          <w:bCs w:val="0"/>
        </w:rPr>
      </w:pPr>
      <w:bookmarkStart w:name="7、合并所有者权益变动表" w:id="160"/>
      <w:bookmarkEnd w:id="160"/>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143" w:right="14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5" w:right="185"/>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5"/>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8"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147" w:right="145"/>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tcBorders>
              <w:left w:val="single" w:sz="4" w:space="0" w:color="000000"/>
              <w:right w:val="single" w:sz="4" w:space="0" w:color="000000"/>
            </w:tcBorders>
            <w:shd w:val="clear" w:color="auto" w:fill="D2D2D2"/>
          </w:tcPr>
          <w:p>
            <w:pPr/>
          </w:p>
        </w:tc>
      </w:tr>
      <w:tr>
        <w:trPr>
          <w:trHeight w:val="1026"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0" w:right="16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0" w:right="16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70" w:right="168"/>
              <w:jc w:val="left"/>
              <w:rPr>
                <w:rFonts w:ascii="宋体" w:hAnsi="宋体" w:cs="宋体" w:eastAsia="宋体" w:hint="default"/>
                <w:sz w:val="18"/>
                <w:szCs w:val="18"/>
              </w:rPr>
            </w:pPr>
            <w:r>
              <w:rPr>
                <w:rFonts w:ascii="宋体" w:hAnsi="宋体" w:cs="宋体" w:eastAsia="宋体" w:hint="default"/>
                <w:sz w:val="18"/>
                <w:szCs w:val="18"/>
              </w:rPr>
              <w:t>其 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120,</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355,2</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67,25</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26,66</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6,744</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.99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207,8</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26,38</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4.07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709,7</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60,38</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2.06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42"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120,</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355,2</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67,25</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26,66</w:t>
            </w:r>
          </w:p>
          <w:p>
            <w:pPr>
              <w:pStyle w:val="TableParagraph"/>
              <w:spacing w:line="240" w:lineRule="auto" w:before="104"/>
              <w:ind w:left="44" w:right="0"/>
              <w:jc w:val="center"/>
              <w:rPr>
                <w:rFonts w:ascii="Times New Roman" w:hAnsi="Times New Roman" w:cs="Times New Roman" w:eastAsia="Times New Roman" w:hint="default"/>
                <w:sz w:val="18"/>
                <w:szCs w:val="18"/>
              </w:rPr>
            </w:pPr>
            <w:r>
              <w:rPr>
                <w:rFonts w:ascii="Times New Roman"/>
                <w:sz w:val="18"/>
              </w:rPr>
              <w:t>6,744</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.99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207,8</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26,38</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4.07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709,7</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60,38</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2.06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63"/>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-3,91</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4,239</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4,478</w:t>
            </w:r>
          </w:p>
          <w:p>
            <w:pPr>
              <w:pStyle w:val="TableParagraph"/>
              <w:spacing w:line="240" w:lineRule="auto" w:before="104"/>
              <w:ind w:left="87" w:right="0"/>
              <w:jc w:val="center"/>
              <w:rPr>
                <w:rFonts w:ascii="Times New Roman" w:hAnsi="Times New Roman" w:cs="Times New Roman" w:eastAsia="Times New Roman" w:hint="default"/>
                <w:sz w:val="18"/>
                <w:szCs w:val="18"/>
              </w:rPr>
            </w:pPr>
            <w:r>
              <w:rPr>
                <w:rFonts w:ascii="Times New Roman"/>
                <w:sz w:val="18"/>
              </w:rPr>
              <w:t>,165.</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30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26,45</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1,909</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27,01</w:t>
            </w:r>
          </w:p>
          <w:p>
            <w:pPr>
              <w:pStyle w:val="TableParagraph"/>
              <w:spacing w:line="240" w:lineRule="auto" w:before="104"/>
              <w:ind w:left="39" w:right="0"/>
              <w:jc w:val="center"/>
              <w:rPr>
                <w:rFonts w:ascii="Times New Roman" w:hAnsi="Times New Roman" w:cs="Times New Roman" w:eastAsia="Times New Roman" w:hint="default"/>
                <w:sz w:val="18"/>
                <w:szCs w:val="18"/>
              </w:rPr>
            </w:pPr>
            <w:r>
              <w:rPr>
                <w:rFonts w:ascii="Times New Roman"/>
                <w:sz w:val="18"/>
              </w:rPr>
              <w:t>5,835</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.16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-3,91</w:t>
            </w:r>
          </w:p>
          <w:p>
            <w:pPr>
              <w:pStyle w:val="TableParagraph"/>
              <w:spacing w:line="240" w:lineRule="auto" w:before="104"/>
              <w:ind w:left="45" w:right="0"/>
              <w:jc w:val="center"/>
              <w:rPr>
                <w:rFonts w:ascii="Times New Roman" w:hAnsi="Times New Roman" w:cs="Times New Roman" w:eastAsia="Times New Roman" w:hint="default"/>
                <w:sz w:val="18"/>
                <w:szCs w:val="18"/>
              </w:rPr>
            </w:pPr>
            <w:r>
              <w:rPr>
                <w:rFonts w:ascii="Times New Roman"/>
                <w:sz w:val="18"/>
              </w:rPr>
              <w:t>4,239</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42,93</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0,074</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39,01</w:t>
            </w:r>
          </w:p>
          <w:p>
            <w:pPr>
              <w:pStyle w:val="TableParagraph"/>
              <w:spacing w:line="240" w:lineRule="auto" w:before="104"/>
              <w:ind w:left="39" w:right="0"/>
              <w:jc w:val="center"/>
              <w:rPr>
                <w:rFonts w:ascii="Times New Roman" w:hAnsi="Times New Roman" w:cs="Times New Roman" w:eastAsia="Times New Roman" w:hint="default"/>
                <w:sz w:val="18"/>
                <w:szCs w:val="18"/>
              </w:rPr>
            </w:pPr>
            <w:r>
              <w:rPr>
                <w:rFonts w:ascii="Times New Roman"/>
                <w:sz w:val="18"/>
              </w:rPr>
              <w:t>5,835</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.16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4,478</w:t>
            </w:r>
          </w:p>
          <w:p>
            <w:pPr>
              <w:pStyle w:val="TableParagraph"/>
              <w:spacing w:line="240" w:lineRule="auto" w:before="105"/>
              <w:ind w:left="87" w:right="0"/>
              <w:jc w:val="center"/>
              <w:rPr>
                <w:rFonts w:ascii="Times New Roman" w:hAnsi="Times New Roman" w:cs="Times New Roman" w:eastAsia="Times New Roman" w:hint="default"/>
                <w:sz w:val="18"/>
                <w:szCs w:val="18"/>
              </w:rPr>
            </w:pPr>
            <w:r>
              <w:rPr>
                <w:rFonts w:ascii="Times New Roman"/>
                <w:sz w:val="18"/>
              </w:rPr>
              <w:t>,165.</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30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-16,4</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78,16</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5.30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-12,0</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4,478</w:t>
            </w:r>
          </w:p>
          <w:p>
            <w:pPr>
              <w:pStyle w:val="TableParagraph"/>
              <w:spacing w:line="240" w:lineRule="auto" w:before="105"/>
              <w:ind w:left="87" w:right="0"/>
              <w:jc w:val="center"/>
              <w:rPr>
                <w:rFonts w:ascii="Times New Roman" w:hAnsi="Times New Roman" w:cs="Times New Roman" w:eastAsia="Times New Roman" w:hint="default"/>
                <w:sz w:val="18"/>
                <w:szCs w:val="18"/>
              </w:rPr>
            </w:pPr>
            <w:r>
              <w:rPr>
                <w:rFonts w:ascii="Times New Roman"/>
                <w:sz w:val="18"/>
              </w:rPr>
              <w:t>,165.</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30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-4,47</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8,165</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103" w:right="100"/>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．对所有者（或</w:t>
            </w:r>
            <w:r>
              <w:rPr>
                <w:rFonts w:ascii="宋体" w:hAnsi="宋体" w:cs="宋体" w:eastAsia="宋体" w:hint="default"/>
                <w:sz w:val="18"/>
                <w:szCs w:val="18"/>
              </w:rPr>
              <w:t>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-12,0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-12,0</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120,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355,2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67,25</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-3,91</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4,239</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31,14</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4,910</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.29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234,2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78,29</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3.12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736,7</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76,21</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7.22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before="44"/>
        <w:ind w:right="0"/>
        <w:jc w:val="left"/>
      </w:pPr>
      <w:r>
        <w:rPr/>
        <w:t>上期金额</w:t>
      </w:r>
    </w:p>
    <w:p>
      <w:pPr>
        <w:pStyle w:val="BodyText"/>
        <w:spacing w:line="240" w:lineRule="auto" w:before="117"/>
        <w:ind w:left="0" w:right="1130"/>
        <w:jc w:val="right"/>
      </w:pPr>
      <w:r>
        <w:rPr/>
        <w:t>单位：元</w:t>
      </w:r>
    </w:p>
    <w:p>
      <w:pPr>
        <w:spacing w:after="0" w:line="240" w:lineRule="auto"/>
        <w:jc w:val="right"/>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143" w:right="14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6" w:lineRule="auto"/>
              <w:ind w:left="184" w:right="185"/>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9" w:lineRule="auto"/>
              <w:ind w:left="147" w:right="145"/>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9" w:lineRule="auto"/>
              <w:ind w:left="147" w:right="14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9" w:lineRule="auto"/>
              <w:ind w:left="146"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9" w:lineRule="auto"/>
              <w:ind w:left="153" w:right="152"/>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140" w:right="139"/>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tcBorders>
              <w:left w:val="single" w:sz="4" w:space="0" w:color="000000"/>
              <w:right w:val="single" w:sz="4" w:space="0" w:color="000000"/>
            </w:tcBorders>
            <w:shd w:val="clear" w:color="auto" w:fill="D2D2D2"/>
          </w:tcPr>
          <w:p>
            <w:pPr/>
          </w:p>
        </w:tc>
      </w:tr>
      <w:tr>
        <w:trPr>
          <w:trHeight w:val="1026"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16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16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70" w:right="168"/>
              <w:jc w:val="left"/>
              <w:rPr>
                <w:rFonts w:ascii="宋体" w:hAnsi="宋体" w:cs="宋体" w:eastAsia="宋体" w:hint="default"/>
                <w:sz w:val="18"/>
                <w:szCs w:val="18"/>
              </w:rPr>
            </w:pPr>
            <w:r>
              <w:rPr>
                <w:rFonts w:ascii="宋体" w:hAnsi="宋体" w:cs="宋体" w:eastAsia="宋体" w:hint="default"/>
                <w:sz w:val="18"/>
                <w:szCs w:val="18"/>
              </w:rPr>
              <w:t>其 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90,0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357"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80,16</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7,253</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20,71</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5,978</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154,2</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69,48</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2.76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345,1</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52,71</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3.94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42"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90,0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357"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80,16</w:t>
            </w:r>
          </w:p>
          <w:p>
            <w:pPr>
              <w:pStyle w:val="TableParagraph"/>
              <w:spacing w:line="240" w:lineRule="auto" w:before="105"/>
              <w:ind w:left="43" w:right="0"/>
              <w:jc w:val="center"/>
              <w:rPr>
                <w:rFonts w:ascii="Times New Roman" w:hAnsi="Times New Roman" w:cs="Times New Roman" w:eastAsia="Times New Roman" w:hint="default"/>
                <w:sz w:val="18"/>
                <w:szCs w:val="18"/>
              </w:rPr>
            </w:pPr>
            <w:r>
              <w:rPr>
                <w:rFonts w:ascii="Times New Roman"/>
                <w:sz w:val="18"/>
              </w:rPr>
              <w:t>7,253</w:t>
            </w:r>
          </w:p>
          <w:p>
            <w:pPr>
              <w:pStyle w:val="TableParagraph"/>
              <w:spacing w:line="240" w:lineRule="auto" w:before="106"/>
              <w:ind w:left="223"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20,71</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5,978</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154,2</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69,48</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2.76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345,1</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52,71</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3.94</w:t>
            </w: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63"/>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357"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275,1</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5,950</w:t>
            </w:r>
          </w:p>
          <w:p>
            <w:pPr>
              <w:pStyle w:val="TableParagraph"/>
              <w:spacing w:line="240" w:lineRule="auto" w:before="105"/>
              <w:ind w:left="86" w:right="0"/>
              <w:jc w:val="center"/>
              <w:rPr>
                <w:rFonts w:ascii="Times New Roman" w:hAnsi="Times New Roman" w:cs="Times New Roman" w:eastAsia="Times New Roman" w:hint="default"/>
                <w:sz w:val="18"/>
                <w:szCs w:val="18"/>
              </w:rPr>
            </w:pPr>
            <w:r>
              <w:rPr>
                <w:rFonts w:ascii="Times New Roman"/>
                <w:sz w:val="18"/>
              </w:rPr>
              <w:t>,766.</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53,55</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6,901.</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31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364,6</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07,66</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8.12</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59,50</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7,668.</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12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59,50</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7,668</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.12</w:t>
            </w: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357"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275,1</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305,1</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56"/>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30,0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357"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275,1</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305,1</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5,950</w:t>
            </w:r>
          </w:p>
          <w:p>
            <w:pPr>
              <w:pStyle w:val="TableParagraph"/>
              <w:spacing w:line="240" w:lineRule="auto" w:before="105"/>
              <w:ind w:left="86" w:right="0"/>
              <w:jc w:val="center"/>
              <w:rPr>
                <w:rFonts w:ascii="Times New Roman" w:hAnsi="Times New Roman" w:cs="Times New Roman" w:eastAsia="Times New Roman" w:hint="default"/>
                <w:sz w:val="18"/>
                <w:szCs w:val="18"/>
              </w:rPr>
            </w:pPr>
            <w:r>
              <w:rPr>
                <w:rFonts w:ascii="Times New Roman"/>
                <w:sz w:val="18"/>
              </w:rPr>
              <w:t>,766.</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-5,95</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0,766.</w:t>
            </w:r>
          </w:p>
          <w:p>
            <w:pPr>
              <w:pStyle w:val="TableParagraph"/>
              <w:spacing w:line="240" w:lineRule="auto" w:before="106"/>
              <w:ind w:left="282" w:right="0"/>
              <w:jc w:val="center"/>
              <w:rPr>
                <w:rFonts w:ascii="Times New Roman" w:hAnsi="Times New Roman" w:cs="Times New Roman" w:eastAsia="Times New Roman" w:hint="default"/>
                <w:sz w:val="18"/>
                <w:szCs w:val="18"/>
              </w:rPr>
            </w:pPr>
            <w:r>
              <w:rPr>
                <w:rFonts w:ascii="Times New Roman"/>
                <w:sz w:val="18"/>
              </w:rPr>
              <w:t>81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5,950</w:t>
            </w:r>
          </w:p>
          <w:p>
            <w:pPr>
              <w:pStyle w:val="TableParagraph"/>
              <w:spacing w:line="240" w:lineRule="auto" w:before="105"/>
              <w:ind w:left="86" w:right="0"/>
              <w:jc w:val="center"/>
              <w:rPr>
                <w:rFonts w:ascii="Times New Roman" w:hAnsi="Times New Roman" w:cs="Times New Roman" w:eastAsia="Times New Roman" w:hint="default"/>
                <w:sz w:val="18"/>
                <w:szCs w:val="18"/>
              </w:rPr>
            </w:pPr>
            <w:r>
              <w:rPr>
                <w:rFonts w:ascii="Times New Roman"/>
                <w:sz w:val="18"/>
              </w:rPr>
              <w:t>,766.</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-5,95</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0,766.</w:t>
            </w:r>
          </w:p>
          <w:p>
            <w:pPr>
              <w:pStyle w:val="TableParagraph"/>
              <w:spacing w:line="240" w:lineRule="auto" w:before="106"/>
              <w:ind w:left="282" w:right="0"/>
              <w:jc w:val="center"/>
              <w:rPr>
                <w:rFonts w:ascii="Times New Roman" w:hAnsi="Times New Roman" w:cs="Times New Roman" w:eastAsia="Times New Roman" w:hint="default"/>
                <w:sz w:val="18"/>
                <w:szCs w:val="18"/>
              </w:rPr>
            </w:pPr>
            <w:r>
              <w:rPr>
                <w:rFonts w:ascii="Times New Roman"/>
                <w:sz w:val="18"/>
              </w:rPr>
              <w:t>81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3</w:t>
            </w:r>
            <w:r>
              <w:rPr>
                <w:rFonts w:ascii="宋体" w:hAnsi="宋体" w:cs="宋体" w:eastAsia="宋体" w:hint="default"/>
                <w:spacing w:val="-17"/>
                <w:sz w:val="18"/>
                <w:szCs w:val="18"/>
              </w:rPr>
              <w:t>．对所有者（或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0"/>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0"/>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120,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355,2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67,25</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26,66</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6,744</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207,8</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26,38</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4.07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709,7</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60,38</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2.06</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right="0"/>
        <w:jc w:val="left"/>
        <w:rPr>
          <w:b w:val="0"/>
          <w:bCs w:val="0"/>
        </w:rPr>
      </w:pPr>
      <w:bookmarkStart w:name="8、母公司所有者权益变动表" w:id="161"/>
      <w:bookmarkEnd w:id="161"/>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130"/>
        <w:jc w:val="right"/>
      </w:pPr>
      <w:r>
        <w:rPr/>
        <w:t>单位：元</w:t>
      </w:r>
    </w:p>
    <w:p>
      <w:pPr>
        <w:spacing w:after="0" w:line="240" w:lineRule="auto"/>
        <w:jc w:val="right"/>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303" w:right="12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302" w:right="124"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120,0</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355,26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7,253.0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26,666,</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744.99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207,8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58,39</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5.32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709,79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2,393.3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120,0</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355,26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7,253.0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26,666,</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744.99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207,8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58,39</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5.32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709,79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2,393.3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66"/>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4,478,1</w:t>
            </w:r>
          </w:p>
          <w:p>
            <w:pPr>
              <w:pStyle w:val="TableParagraph"/>
              <w:spacing w:line="240" w:lineRule="auto" w:before="106"/>
              <w:ind w:left="174" w:right="0"/>
              <w:jc w:val="center"/>
              <w:rPr>
                <w:rFonts w:ascii="Times New Roman" w:hAnsi="Times New Roman" w:cs="Times New Roman" w:eastAsia="Times New Roman" w:hint="default"/>
                <w:sz w:val="18"/>
                <w:szCs w:val="18"/>
              </w:rPr>
            </w:pPr>
            <w:r>
              <w:rPr>
                <w:rFonts w:ascii="Times New Roman"/>
                <w:sz w:val="18"/>
              </w:rPr>
              <w:t>65.30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28,30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3,487.</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69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32,781,</w:t>
            </w:r>
          </w:p>
          <w:p>
            <w:pPr>
              <w:pStyle w:val="TableParagraph"/>
              <w:spacing w:line="240" w:lineRule="auto" w:before="106"/>
              <w:ind w:left="173" w:right="0"/>
              <w:jc w:val="left"/>
              <w:rPr>
                <w:rFonts w:ascii="Times New Roman" w:hAnsi="Times New Roman" w:cs="Times New Roman" w:eastAsia="Times New Roman" w:hint="default"/>
                <w:sz w:val="18"/>
                <w:szCs w:val="18"/>
              </w:rPr>
            </w:pPr>
            <w:r>
              <w:rPr>
                <w:rFonts w:ascii="Times New Roman"/>
                <w:sz w:val="18"/>
              </w:rPr>
              <w:t>652.99</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44,78</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1,652.</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99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44,781,</w:t>
            </w:r>
          </w:p>
          <w:p>
            <w:pPr>
              <w:pStyle w:val="TableParagraph"/>
              <w:spacing w:line="240" w:lineRule="auto" w:before="106"/>
              <w:ind w:left="173" w:right="0"/>
              <w:jc w:val="left"/>
              <w:rPr>
                <w:rFonts w:ascii="Times New Roman" w:hAnsi="Times New Roman" w:cs="Times New Roman" w:eastAsia="Times New Roman" w:hint="default"/>
                <w:sz w:val="18"/>
                <w:szCs w:val="18"/>
              </w:rPr>
            </w:pPr>
            <w:r>
              <w:rPr>
                <w:rFonts w:ascii="Times New Roman"/>
                <w:sz w:val="18"/>
              </w:rPr>
              <w:t>652.99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4,478,1</w:t>
            </w:r>
          </w:p>
          <w:p>
            <w:pPr>
              <w:pStyle w:val="TableParagraph"/>
              <w:spacing w:line="240" w:lineRule="auto" w:before="106"/>
              <w:ind w:left="174" w:right="0"/>
              <w:jc w:val="center"/>
              <w:rPr>
                <w:rFonts w:ascii="Times New Roman" w:hAnsi="Times New Roman" w:cs="Times New Roman" w:eastAsia="Times New Roman" w:hint="default"/>
                <w:sz w:val="18"/>
                <w:szCs w:val="18"/>
              </w:rPr>
            </w:pPr>
            <w:r>
              <w:rPr>
                <w:rFonts w:ascii="Times New Roman"/>
                <w:sz w:val="18"/>
              </w:rPr>
              <w:t>65.30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-16,4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78,16</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5.30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,000.00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2" w:lineRule="auto"/>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4,478,1</w:t>
            </w:r>
          </w:p>
          <w:p>
            <w:pPr>
              <w:pStyle w:val="TableParagraph"/>
              <w:spacing w:line="240" w:lineRule="auto" w:before="106"/>
              <w:ind w:left="174" w:right="0"/>
              <w:jc w:val="center"/>
              <w:rPr>
                <w:rFonts w:ascii="Times New Roman" w:hAnsi="Times New Roman" w:cs="Times New Roman" w:eastAsia="Times New Roman" w:hint="default"/>
                <w:sz w:val="18"/>
                <w:szCs w:val="18"/>
              </w:rPr>
            </w:pPr>
            <w:r>
              <w:rPr>
                <w:rFonts w:ascii="Times New Roman"/>
                <w:sz w:val="18"/>
              </w:rPr>
              <w:t>65.30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-4,47</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8,165.</w:t>
            </w:r>
          </w:p>
          <w:p>
            <w:pPr>
              <w:pStyle w:val="TableParagraph"/>
              <w:spacing w:line="240" w:lineRule="auto" w:before="106"/>
              <w:ind w:left="279" w:right="0"/>
              <w:jc w:val="center"/>
              <w:rPr>
                <w:rFonts w:ascii="Times New Roman" w:hAnsi="Times New Roman" w:cs="Times New Roman" w:eastAsia="Times New Roman" w:hint="default"/>
                <w:sz w:val="18"/>
                <w:szCs w:val="18"/>
              </w:rPr>
            </w:pPr>
            <w:r>
              <w:rPr>
                <w:rFonts w:ascii="Times New Roman"/>
                <w:sz w:val="18"/>
              </w:rPr>
              <w:t>30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8" w:right="0"/>
              <w:jc w:val="left"/>
              <w:rPr>
                <w:rFonts w:ascii="Times New Roman" w:hAnsi="Times New Roman" w:cs="Times New Roman" w:eastAsia="Times New Roman" w:hint="default"/>
                <w:sz w:val="18"/>
                <w:szCs w:val="18"/>
              </w:rPr>
            </w:pPr>
            <w:r>
              <w:rPr>
                <w:rFonts w:ascii="Times New Roman"/>
                <w:sz w:val="18"/>
              </w:rPr>
              <w:t>-12,0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13" w:right="0"/>
              <w:jc w:val="left"/>
              <w:rPr>
                <w:rFonts w:ascii="Times New Roman" w:hAnsi="Times New Roman" w:cs="Times New Roman" w:eastAsia="Times New Roman" w:hint="default"/>
                <w:sz w:val="18"/>
                <w:szCs w:val="18"/>
              </w:rPr>
            </w:pPr>
            <w:r>
              <w:rPr>
                <w:rFonts w:ascii="Times New Roman"/>
                <w:sz w:val="18"/>
              </w:rPr>
              <w:t>-12,000</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67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8" w:right="0"/>
              <w:jc w:val="left"/>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120,0</w:t>
            </w:r>
          </w:p>
          <w:p>
            <w:pPr>
              <w:pStyle w:val="TableParagraph"/>
              <w:spacing w:line="240" w:lineRule="auto" w:before="104"/>
              <w:ind w:left="17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355,26</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7,253.0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31,144,</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910.29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236,1</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61,88</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3.01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742,57</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4,046.3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3" w:right="12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4"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90,00</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80,167,</w:t>
            </w:r>
          </w:p>
          <w:p>
            <w:pPr>
              <w:pStyle w:val="TableParagraph"/>
              <w:spacing w:line="240" w:lineRule="auto" w:before="106"/>
              <w:ind w:left="189" w:right="0"/>
              <w:jc w:val="left"/>
              <w:rPr>
                <w:rFonts w:ascii="Times New Roman" w:hAnsi="Times New Roman" w:cs="Times New Roman" w:eastAsia="Times New Roman" w:hint="default"/>
                <w:sz w:val="18"/>
                <w:szCs w:val="18"/>
              </w:rPr>
            </w:pPr>
            <w:r>
              <w:rPr>
                <w:rFonts w:ascii="Times New Roman"/>
                <w:sz w:val="18"/>
              </w:rPr>
              <w:t>253.00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20,715,</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978.18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154,2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92,78</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4.92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345,17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6,016.1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90,00</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80,167,</w:t>
            </w:r>
          </w:p>
          <w:p>
            <w:pPr>
              <w:pStyle w:val="TableParagraph"/>
              <w:spacing w:line="240" w:lineRule="auto" w:before="106"/>
              <w:ind w:left="189" w:right="0"/>
              <w:jc w:val="left"/>
              <w:rPr>
                <w:rFonts w:ascii="Times New Roman" w:hAnsi="Times New Roman" w:cs="Times New Roman" w:eastAsia="Times New Roman" w:hint="default"/>
                <w:sz w:val="18"/>
                <w:szCs w:val="18"/>
              </w:rPr>
            </w:pPr>
            <w:r>
              <w:rPr>
                <w:rFonts w:ascii="Times New Roman"/>
                <w:sz w:val="18"/>
              </w:rPr>
              <w:t>253.00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20,715,</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978.18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154,2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92,78</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4.92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345,17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6,016.1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66"/>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275,10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5,950,7</w:t>
            </w:r>
          </w:p>
          <w:p>
            <w:pPr>
              <w:pStyle w:val="TableParagraph"/>
              <w:spacing w:line="240" w:lineRule="auto" w:before="106"/>
              <w:ind w:left="174" w:right="0"/>
              <w:jc w:val="center"/>
              <w:rPr>
                <w:rFonts w:ascii="Times New Roman" w:hAnsi="Times New Roman" w:cs="Times New Roman" w:eastAsia="Times New Roman" w:hint="default"/>
                <w:sz w:val="18"/>
                <w:szCs w:val="18"/>
              </w:rPr>
            </w:pPr>
            <w:r>
              <w:rPr>
                <w:rFonts w:ascii="Times New Roman"/>
                <w:sz w:val="18"/>
              </w:rPr>
              <w:t>66.81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53,56</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5,610.</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40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364,61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6,377.2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59,51</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6,377.</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21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59,516,</w:t>
            </w:r>
          </w:p>
          <w:p>
            <w:pPr>
              <w:pStyle w:val="TableParagraph"/>
              <w:spacing w:line="240" w:lineRule="auto" w:before="106"/>
              <w:ind w:left="173" w:right="0"/>
              <w:jc w:val="left"/>
              <w:rPr>
                <w:rFonts w:ascii="Times New Roman" w:hAnsi="Times New Roman" w:cs="Times New Roman" w:eastAsia="Times New Roman" w:hint="default"/>
                <w:sz w:val="18"/>
                <w:szCs w:val="18"/>
              </w:rPr>
            </w:pPr>
            <w:r>
              <w:rPr>
                <w:rFonts w:ascii="Times New Roman"/>
                <w:sz w:val="18"/>
              </w:rPr>
              <w:t>377.21</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275,10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305,10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275,10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305,10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5,950,7</w:t>
            </w:r>
          </w:p>
          <w:p>
            <w:pPr>
              <w:pStyle w:val="TableParagraph"/>
              <w:spacing w:line="240" w:lineRule="auto" w:before="106"/>
              <w:ind w:left="174" w:right="0"/>
              <w:jc w:val="center"/>
              <w:rPr>
                <w:rFonts w:ascii="Times New Roman" w:hAnsi="Times New Roman" w:cs="Times New Roman" w:eastAsia="Times New Roman" w:hint="default"/>
                <w:sz w:val="18"/>
                <w:szCs w:val="18"/>
              </w:rPr>
            </w:pPr>
            <w:r>
              <w:rPr>
                <w:rFonts w:ascii="Times New Roman"/>
                <w:sz w:val="18"/>
              </w:rPr>
              <w:t>66.81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-5,95</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0,766.</w:t>
            </w:r>
          </w:p>
          <w:p>
            <w:pPr>
              <w:pStyle w:val="TableParagraph"/>
              <w:spacing w:line="240" w:lineRule="auto" w:before="106"/>
              <w:ind w:left="279" w:right="0"/>
              <w:jc w:val="center"/>
              <w:rPr>
                <w:rFonts w:ascii="Times New Roman" w:hAnsi="Times New Roman" w:cs="Times New Roman" w:eastAsia="Times New Roman" w:hint="default"/>
                <w:sz w:val="18"/>
                <w:szCs w:val="18"/>
              </w:rPr>
            </w:pPr>
            <w:r>
              <w:rPr>
                <w:rFonts w:ascii="Times New Roman"/>
                <w:sz w:val="18"/>
              </w:rPr>
              <w:t>81</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5,950,7</w:t>
            </w:r>
          </w:p>
          <w:p>
            <w:pPr>
              <w:pStyle w:val="TableParagraph"/>
              <w:spacing w:line="240" w:lineRule="auto" w:before="106"/>
              <w:ind w:left="174" w:right="0"/>
              <w:jc w:val="center"/>
              <w:rPr>
                <w:rFonts w:ascii="Times New Roman" w:hAnsi="Times New Roman" w:cs="Times New Roman" w:eastAsia="Times New Roman" w:hint="default"/>
                <w:sz w:val="18"/>
                <w:szCs w:val="18"/>
              </w:rPr>
            </w:pPr>
            <w:r>
              <w:rPr>
                <w:rFonts w:ascii="Times New Roman"/>
                <w:sz w:val="18"/>
              </w:rPr>
              <w:t>66.81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-5,95</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0,766.</w:t>
            </w:r>
          </w:p>
          <w:p>
            <w:pPr>
              <w:pStyle w:val="TableParagraph"/>
              <w:spacing w:line="240" w:lineRule="auto" w:before="106"/>
              <w:ind w:left="279" w:right="0"/>
              <w:jc w:val="center"/>
              <w:rPr>
                <w:rFonts w:ascii="Times New Roman" w:hAnsi="Times New Roman" w:cs="Times New Roman" w:eastAsia="Times New Roman" w:hint="default"/>
                <w:sz w:val="18"/>
                <w:szCs w:val="18"/>
              </w:rPr>
            </w:pPr>
            <w:r>
              <w:rPr>
                <w:rFonts w:ascii="Times New Roman"/>
                <w:sz w:val="18"/>
              </w:rPr>
              <w:t>81</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4" w:right="0"/>
              <w:jc w:val="left"/>
              <w:rPr>
                <w:rFonts w:ascii="Times New Roman" w:hAnsi="Times New Roman" w:cs="Times New Roman" w:eastAsia="Times New Roman" w:hint="default"/>
                <w:sz w:val="18"/>
                <w:szCs w:val="18"/>
              </w:rPr>
            </w:pPr>
            <w:r>
              <w:rPr>
                <w:rFonts w:ascii="Times New Roman"/>
                <w:sz w:val="18"/>
              </w:rPr>
              <w:t>120,0</w:t>
            </w:r>
          </w:p>
          <w:p>
            <w:pPr>
              <w:pStyle w:val="TableParagraph"/>
              <w:spacing w:line="240" w:lineRule="auto" w:before="105"/>
              <w:ind w:left="17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264"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355,26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7,253.0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26,666,</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744.99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207,8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58,39</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5.32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709,79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2,393.3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7"/>
        <w:rPr>
          <w:rFonts w:ascii="Times New Roman" w:hAnsi="Times New Roman" w:cs="Times New Roman" w:eastAsia="Times New Roman" w:hint="default"/>
          <w:sz w:val="20"/>
          <w:szCs w:val="20"/>
        </w:rPr>
      </w:pPr>
    </w:p>
    <w:p>
      <w:pPr>
        <w:pStyle w:val="Heading3"/>
        <w:spacing w:line="240" w:lineRule="auto" w:before="26"/>
        <w:ind w:right="0"/>
        <w:jc w:val="left"/>
        <w:rPr>
          <w:b w:val="0"/>
          <w:bCs w:val="0"/>
        </w:rPr>
      </w:pPr>
      <w:bookmarkStart w:name="三、公司基本情况" w:id="162"/>
      <w:bookmarkEnd w:id="162"/>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2034" w:right="5443" w:hanging="541"/>
        <w:jc w:val="left"/>
      </w:pPr>
      <w:r>
        <w:rPr/>
        <w:t>（一）注册地址：北京市海淀区车道沟一号滨河大厦</w:t>
      </w:r>
      <w:r>
        <w:rPr>
          <w:rFonts w:ascii="宋体" w:hAnsi="宋体" w:cs="宋体" w:eastAsia="宋体" w:hint="default"/>
        </w:rPr>
        <w:t>D</w:t>
      </w:r>
      <w:r>
        <w:rPr/>
        <w:t>座六层。 法定代表人：林鸿</w:t>
      </w:r>
    </w:p>
    <w:p>
      <w:pPr>
        <w:pStyle w:val="BodyText"/>
        <w:spacing w:line="316" w:lineRule="auto" w:before="19"/>
        <w:ind w:right="1131" w:firstLine="360"/>
        <w:jc w:val="both"/>
      </w:pPr>
      <w:r>
        <w:rPr/>
        <w:t>（二）经营范围：一般经营项目</w:t>
      </w:r>
      <w:r>
        <w:rPr>
          <w:rFonts w:ascii="宋体" w:hAnsi="宋体" w:cs="宋体" w:eastAsia="宋体" w:hint="default"/>
        </w:rPr>
        <w:t>:</w:t>
      </w:r>
      <w:r>
        <w:rPr/>
        <w:t>技术开发、技术转让、技术咨询、技术服务；计算机技术培训；基础软件服务；应用 </w:t>
      </w:r>
      <w:r>
        <w:rPr>
          <w:spacing w:val="-2"/>
        </w:rPr>
        <w:t>软件服务；计算机系统服务；数据处理；计算机维修；销售自行开发的产品、计算机、软件及辅助设备、电子产品、机械设</w:t>
      </w:r>
      <w:r>
        <w:rPr>
          <w:spacing w:val="-67"/>
        </w:rPr>
        <w:t> </w:t>
      </w:r>
      <w:r>
        <w:rPr>
          <w:spacing w:val="-67"/>
        </w:rPr>
      </w:r>
      <w:r>
        <w:rPr/>
        <w:t>备、通讯设备；货物进出口、技术进出口、代理进出口。</w:t>
      </w:r>
    </w:p>
    <w:p>
      <w:pPr>
        <w:pStyle w:val="BodyText"/>
        <w:spacing w:line="316" w:lineRule="auto" w:before="19"/>
        <w:ind w:left="1133" w:right="1132" w:firstLine="360"/>
        <w:jc w:val="both"/>
      </w:pPr>
      <w:r>
        <w:rPr>
          <w:spacing w:val="-2"/>
        </w:rPr>
        <w:t>主要经营活动：公司主要提供面向商业银行为主的</w:t>
      </w:r>
      <w:r>
        <w:rPr>
          <w:rFonts w:ascii="宋体" w:hAnsi="宋体" w:cs="宋体" w:eastAsia="宋体" w:hint="default"/>
          <w:spacing w:val="-2"/>
        </w:rPr>
        <w:t>IT</w:t>
      </w:r>
      <w:r>
        <w:rPr>
          <w:spacing w:val="-2"/>
        </w:rPr>
        <w:t>解决方案及服务，包括软件解决方案、</w:t>
      </w:r>
      <w:r>
        <w:rPr>
          <w:rFonts w:ascii="宋体" w:hAnsi="宋体" w:cs="宋体" w:eastAsia="宋体" w:hint="default"/>
          <w:spacing w:val="-2"/>
        </w:rPr>
        <w:t>IT</w:t>
      </w:r>
      <w:r>
        <w:rPr>
          <w:spacing w:val="-2"/>
        </w:rPr>
        <w:t>基础设施建设及</w:t>
      </w:r>
      <w:r>
        <w:rPr>
          <w:rFonts w:ascii="宋体" w:hAnsi="宋体" w:cs="宋体" w:eastAsia="宋体" w:hint="default"/>
          <w:spacing w:val="-2"/>
        </w:rPr>
        <w:t>IT</w:t>
      </w:r>
      <w:r>
        <w:rPr>
          <w:spacing w:val="-2"/>
        </w:rPr>
        <w:t>运维服</w:t>
      </w:r>
      <w:r>
        <w:rPr/>
        <w:t> 务。</w:t>
      </w:r>
    </w:p>
    <w:p>
      <w:pPr>
        <w:pStyle w:val="BodyText"/>
        <w:spacing w:line="240" w:lineRule="auto" w:before="19"/>
        <w:ind w:left="1494" w:right="0"/>
        <w:jc w:val="left"/>
      </w:pPr>
      <w:r>
        <w:rPr/>
        <w:t>（三）本财务报表业经本公司董事会于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11</w:t>
      </w:r>
      <w:r>
        <w:rPr/>
        <w:t>日决议批准。</w:t>
      </w:r>
    </w:p>
    <w:p>
      <w:pPr>
        <w:pStyle w:val="BodyText"/>
        <w:spacing w:line="316" w:lineRule="auto" w:before="76"/>
        <w:ind w:left="1493" w:right="0"/>
        <w:jc w:val="left"/>
      </w:pPr>
      <w:r>
        <w:rPr/>
        <w:t>（四）本年度合并财务报表范围 </w:t>
      </w:r>
      <w:r>
        <w:rPr>
          <w:spacing w:val="-2"/>
        </w:rPr>
        <w:t>本年度合并报表范围含三家子公司：江苏先进数通信息技术有限公司、西藏先进数通信息技术有限公司、广州先进数通</w:t>
      </w:r>
    </w:p>
    <w:p>
      <w:pPr>
        <w:pStyle w:val="BodyText"/>
        <w:spacing w:line="240" w:lineRule="auto" w:before="19"/>
        <w:ind w:left="1133" w:right="0"/>
        <w:jc w:val="left"/>
      </w:pPr>
      <w:r>
        <w:rPr/>
        <w:t>信息技术有限公司。</w:t>
      </w:r>
    </w:p>
    <w:p>
      <w:pPr>
        <w:spacing w:line="240" w:lineRule="auto" w:before="2"/>
        <w:rPr>
          <w:rFonts w:ascii="宋体" w:hAnsi="宋体" w:cs="宋体" w:eastAsia="宋体" w:hint="default"/>
          <w:sz w:val="25"/>
          <w:szCs w:val="25"/>
        </w:rPr>
      </w:pPr>
    </w:p>
    <w:p>
      <w:pPr>
        <w:pStyle w:val="Heading3"/>
        <w:spacing w:line="240" w:lineRule="auto"/>
        <w:ind w:left="1133" w:right="0"/>
        <w:jc w:val="left"/>
        <w:rPr>
          <w:b w:val="0"/>
          <w:bCs w:val="0"/>
        </w:rPr>
      </w:pPr>
      <w:bookmarkStart w:name="四、财务报表的编制基础" w:id="163"/>
      <w:bookmarkEnd w:id="163"/>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编制基础" w:id="164"/>
      <w:bookmarkEnd w:id="164"/>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133" w:right="1139" w:firstLine="360"/>
        <w:jc w:val="both"/>
      </w:pPr>
      <w:r>
        <w:rPr/>
        <w:t>本公司财务报表以持续经营为基础，根据实际发生的交易和事项，按照财政部颁布的《企业会计准则</w:t>
      </w:r>
      <w:r>
        <w:rPr>
          <w:rFonts w:ascii="宋体" w:hAnsi="宋体" w:cs="宋体" w:eastAsia="宋体" w:hint="default"/>
        </w:rPr>
        <w:t>-</w:t>
      </w:r>
      <w:r>
        <w:rPr/>
        <w:t>基本准则》和具 </w:t>
      </w:r>
      <w:r>
        <w:rPr>
          <w:spacing w:val="-4"/>
        </w:rPr>
        <w:t>体会计准则等规定（以下合称“企业会计准则”），并基于以下所述重要会计政策、会计估计进行编制。</w:t>
      </w:r>
    </w:p>
    <w:p>
      <w:pPr>
        <w:spacing w:line="240" w:lineRule="auto" w:before="7"/>
        <w:rPr>
          <w:rFonts w:ascii="宋体" w:hAnsi="宋体" w:cs="宋体" w:eastAsia="宋体" w:hint="default"/>
          <w:sz w:val="22"/>
          <w:szCs w:val="22"/>
        </w:rPr>
      </w:pPr>
    </w:p>
    <w:p>
      <w:pPr>
        <w:pStyle w:val="Heading5"/>
        <w:spacing w:line="240" w:lineRule="auto"/>
        <w:ind w:left="1133" w:right="0"/>
        <w:jc w:val="left"/>
        <w:rPr>
          <w:b w:val="0"/>
          <w:bCs w:val="0"/>
        </w:rPr>
      </w:pPr>
      <w:bookmarkStart w:name="2、持续经营" w:id="165"/>
      <w:bookmarkEnd w:id="165"/>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3" w:right="0"/>
        <w:jc w:val="left"/>
      </w:pPr>
      <w:r>
        <w:rPr/>
        <w:t>公司自本报告期末至少</w:t>
      </w:r>
      <w:r>
        <w:rPr>
          <w:rFonts w:ascii="宋体" w:hAnsi="宋体" w:cs="宋体" w:eastAsia="宋体" w:hint="default"/>
        </w:rPr>
        <w:t>12</w:t>
      </w:r>
      <w:r>
        <w:rPr/>
        <w:t>个月内具备持续经营能力，无影响持续经营能力的重大事项。</w:t>
      </w:r>
    </w:p>
    <w:p>
      <w:pPr>
        <w:spacing w:line="240" w:lineRule="auto" w:before="2"/>
        <w:rPr>
          <w:rFonts w:ascii="宋体" w:hAnsi="宋体" w:cs="宋体" w:eastAsia="宋体" w:hint="default"/>
          <w:sz w:val="25"/>
          <w:szCs w:val="25"/>
        </w:rPr>
      </w:pPr>
    </w:p>
    <w:p>
      <w:pPr>
        <w:pStyle w:val="Heading3"/>
        <w:spacing w:line="240" w:lineRule="auto"/>
        <w:ind w:left="1133" w:right="0"/>
        <w:jc w:val="left"/>
        <w:rPr>
          <w:b w:val="0"/>
          <w:bCs w:val="0"/>
        </w:rPr>
      </w:pPr>
      <w:bookmarkStart w:name="五、重要会计政策及会计估计" w:id="166"/>
      <w:bookmarkEnd w:id="166"/>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133" w:right="7693"/>
        <w:jc w:val="left"/>
      </w:pPr>
      <w:r>
        <w:rPr/>
        <w:t>公司是否需要遵守特殊行业的披露要求 否</w:t>
      </w:r>
    </w:p>
    <w:p>
      <w:pPr>
        <w:pStyle w:val="BodyText"/>
        <w:spacing w:line="357" w:lineRule="auto" w:before="28"/>
        <w:ind w:left="1494" w:right="0" w:hanging="360"/>
        <w:jc w:val="left"/>
      </w:pPr>
      <w:r>
        <w:rPr/>
        <w:t>具体会计政策和会计估计提示： </w:t>
      </w:r>
      <w:r>
        <w:rPr>
          <w:spacing w:val="-2"/>
        </w:rPr>
        <w:t>本公司及各子公司根据实际经营特点，依据相关企业会计准则的规定，制定了若干项具体会计政策和会计估计，详见本</w:t>
      </w:r>
    </w:p>
    <w:p>
      <w:pPr>
        <w:pStyle w:val="BodyText"/>
        <w:spacing w:line="224" w:lineRule="exact"/>
        <w:ind w:right="0"/>
        <w:jc w:val="left"/>
      </w:pPr>
      <w:r>
        <w:rPr/>
        <w:t>附注五各项描述。</w:t>
      </w:r>
    </w:p>
    <w:p>
      <w:pPr>
        <w:spacing w:after="0" w:line="224" w:lineRule="exact"/>
        <w:jc w:val="left"/>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5"/>
        <w:spacing w:line="240" w:lineRule="auto" w:before="35"/>
        <w:ind w:right="0"/>
        <w:jc w:val="both"/>
        <w:rPr>
          <w:b w:val="0"/>
          <w:bCs w:val="0"/>
        </w:rPr>
      </w:pPr>
      <w:bookmarkStart w:name="1、遵循企业会计准则的声明" w:id="167"/>
      <w:bookmarkEnd w:id="167"/>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1213" w:firstLine="360"/>
        <w:jc w:val="left"/>
      </w:pPr>
      <w:r>
        <w:rPr/>
        <w:t>本公司编制的财务报表符合《企业会计准则》的要求，真实、完整地反映了本公司</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日的财务状况、</w:t>
      </w:r>
      <w:r>
        <w:rPr>
          <w:rFonts w:ascii="宋体" w:hAnsi="宋体" w:cs="宋体" w:eastAsia="宋体" w:hint="default"/>
        </w:rPr>
        <w:t>2017 </w:t>
      </w:r>
      <w:r>
        <w:rPr/>
        <w:t>年度的经营成果和现金流量等相关信息。</w:t>
      </w:r>
    </w:p>
    <w:p>
      <w:pPr>
        <w:spacing w:line="240" w:lineRule="auto" w:before="7"/>
        <w:rPr>
          <w:rFonts w:ascii="宋体" w:hAnsi="宋体" w:cs="宋体" w:eastAsia="宋体" w:hint="default"/>
          <w:sz w:val="22"/>
          <w:szCs w:val="22"/>
        </w:rPr>
      </w:pPr>
    </w:p>
    <w:p>
      <w:pPr>
        <w:pStyle w:val="Heading5"/>
        <w:spacing w:line="240" w:lineRule="auto"/>
        <w:ind w:left="1133" w:right="0"/>
        <w:jc w:val="both"/>
        <w:rPr>
          <w:b w:val="0"/>
          <w:bCs w:val="0"/>
        </w:rPr>
      </w:pPr>
      <w:bookmarkStart w:name="2、会计期间" w:id="168"/>
      <w:bookmarkEnd w:id="168"/>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3" w:right="0"/>
        <w:jc w:val="left"/>
      </w:pPr>
      <w:r>
        <w:rPr/>
        <w:t>本公司会计年度为公历年度，即每年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12"/>
        <w:rPr>
          <w:rFonts w:ascii="宋体" w:hAnsi="宋体" w:cs="宋体" w:eastAsia="宋体" w:hint="default"/>
          <w:sz w:val="26"/>
          <w:szCs w:val="26"/>
        </w:rPr>
      </w:pPr>
    </w:p>
    <w:p>
      <w:pPr>
        <w:pStyle w:val="Heading5"/>
        <w:spacing w:line="240" w:lineRule="auto"/>
        <w:ind w:left="1133" w:right="0"/>
        <w:jc w:val="both"/>
        <w:rPr>
          <w:b w:val="0"/>
          <w:bCs w:val="0"/>
        </w:rPr>
      </w:pPr>
      <w:bookmarkStart w:name="3、营业周期" w:id="169"/>
      <w:bookmarkEnd w:id="169"/>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3" w:right="0"/>
        <w:jc w:val="left"/>
      </w:pPr>
      <w:r>
        <w:rPr/>
        <w:t>本公司以一年</w:t>
      </w:r>
      <w:r>
        <w:rPr>
          <w:rFonts w:ascii="宋体" w:hAnsi="宋体" w:cs="宋体" w:eastAsia="宋体" w:hint="default"/>
        </w:rPr>
        <w:t>12</w:t>
      </w:r>
      <w:r>
        <w:rPr/>
        <w:t>个月作为正常营业周期，并以营业周期作为资产和负债的流动性划分标准。</w:t>
      </w:r>
    </w:p>
    <w:p>
      <w:pPr>
        <w:spacing w:line="240" w:lineRule="auto" w:before="12"/>
        <w:rPr>
          <w:rFonts w:ascii="宋体" w:hAnsi="宋体" w:cs="宋体" w:eastAsia="宋体" w:hint="default"/>
          <w:sz w:val="26"/>
          <w:szCs w:val="26"/>
        </w:rPr>
      </w:pPr>
    </w:p>
    <w:p>
      <w:pPr>
        <w:pStyle w:val="Heading5"/>
        <w:spacing w:line="240" w:lineRule="auto"/>
        <w:ind w:left="1133" w:right="0"/>
        <w:jc w:val="both"/>
        <w:rPr>
          <w:b w:val="0"/>
          <w:bCs w:val="0"/>
        </w:rPr>
      </w:pPr>
      <w:bookmarkStart w:name="4、记账本位币" w:id="170"/>
      <w:bookmarkEnd w:id="170"/>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3" w:right="0"/>
        <w:jc w:val="left"/>
      </w:pPr>
      <w:r>
        <w:rPr/>
        <w:t>本公司以人民币为记账本位币。</w:t>
      </w:r>
    </w:p>
    <w:p>
      <w:pPr>
        <w:spacing w:line="240" w:lineRule="auto" w:before="12"/>
        <w:rPr>
          <w:rFonts w:ascii="宋体" w:hAnsi="宋体" w:cs="宋体" w:eastAsia="宋体" w:hint="default"/>
          <w:sz w:val="26"/>
          <w:szCs w:val="26"/>
        </w:rPr>
      </w:pPr>
    </w:p>
    <w:p>
      <w:pPr>
        <w:pStyle w:val="Heading5"/>
        <w:spacing w:line="240" w:lineRule="auto"/>
        <w:ind w:left="1133" w:right="0"/>
        <w:jc w:val="both"/>
        <w:rPr>
          <w:b w:val="0"/>
          <w:bCs w:val="0"/>
        </w:rPr>
      </w:pPr>
      <w:bookmarkStart w:name="5、同一控制下和非同一控制下企业合并的会计处理方法" w:id="171"/>
      <w:bookmarkEnd w:id="171"/>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94" w:right="0"/>
        <w:jc w:val="left"/>
      </w:pPr>
      <w:r>
        <w:rPr/>
        <w:t>（</w:t>
      </w:r>
      <w:r>
        <w:rPr>
          <w:rFonts w:ascii="宋体" w:hAnsi="宋体" w:cs="宋体" w:eastAsia="宋体" w:hint="default"/>
        </w:rPr>
        <w:t>1</w:t>
      </w:r>
      <w:r>
        <w:rPr/>
        <w:t>）同一控制下的企业合并 </w:t>
      </w:r>
      <w:r>
        <w:rPr>
          <w:spacing w:val="-2"/>
        </w:rPr>
        <w:t>同一控制下企业合并形成的长期股权投资合并方以支付现金、转让非现金资产或承担债务方式作为合并对价的，本公司</w:t>
      </w:r>
    </w:p>
    <w:p>
      <w:pPr>
        <w:pStyle w:val="BodyText"/>
        <w:spacing w:line="319" w:lineRule="auto" w:before="19"/>
        <w:ind w:right="0"/>
        <w:jc w:val="left"/>
      </w:pPr>
      <w:r>
        <w:rPr/>
        <w:t>在合并日按照所取得的被合并方在最终控制方合并财务报表中的净资产的账面价值的份额作为长期股权投资的初始投资成 </w:t>
      </w:r>
      <w:r>
        <w:rPr>
          <w:spacing w:val="-2"/>
        </w:rPr>
        <w:t>本。合并方以发行权益性工具作为合并对价的，按发行股份的面值总额作为股本。长期股权投资的初始投资成本与合并对价</w:t>
      </w:r>
      <w:r>
        <w:rPr>
          <w:spacing w:val="-66"/>
        </w:rPr>
        <w:t> </w:t>
      </w:r>
      <w:r>
        <w:rPr>
          <w:spacing w:val="-66"/>
        </w:rPr>
      </w:r>
      <w:r>
        <w:rPr/>
        <w:t>账面价值（或发行股份面值总额）的差额，应当调整资本公积；资本公积不足冲减的，调整留存收益。</w:t>
      </w:r>
    </w:p>
    <w:p>
      <w:pPr>
        <w:pStyle w:val="BodyText"/>
        <w:spacing w:line="316" w:lineRule="auto" w:before="17"/>
        <w:ind w:left="1494" w:right="0"/>
        <w:jc w:val="left"/>
      </w:pPr>
      <w:r>
        <w:rPr/>
        <w:t>（</w:t>
      </w:r>
      <w:r>
        <w:rPr>
          <w:rFonts w:ascii="宋体" w:hAnsi="宋体" w:cs="宋体" w:eastAsia="宋体" w:hint="default"/>
        </w:rPr>
        <w:t>2</w:t>
      </w:r>
      <w:r>
        <w:rPr/>
        <w:t>）非同一控制下的企业合并 </w:t>
      </w:r>
      <w:r>
        <w:rPr>
          <w:spacing w:val="-2"/>
        </w:rPr>
        <w:t>对于非同一控制下的企业合并，合并成本为购买方在购买日为取得对被购买方的控制权而付出的资产、发生或承担的负</w:t>
      </w:r>
    </w:p>
    <w:p>
      <w:pPr>
        <w:pStyle w:val="BodyText"/>
        <w:spacing w:line="316" w:lineRule="auto" w:before="19"/>
        <w:ind w:right="1132"/>
        <w:jc w:val="both"/>
      </w:pPr>
      <w:r>
        <w:rPr>
          <w:spacing w:val="-2"/>
        </w:rPr>
        <w:t>债以及发行的权益性证券的公允价值之和。非同一控制下企业合并中所取得的被购买方符合确认条件的可辨认资产、负债及</w:t>
      </w:r>
      <w:r>
        <w:rPr>
          <w:spacing w:val="-64"/>
        </w:rPr>
        <w:t> </w:t>
      </w:r>
      <w:r>
        <w:rPr>
          <w:spacing w:val="-64"/>
        </w:rPr>
      </w:r>
      <w:r>
        <w:rPr>
          <w:spacing w:val="-2"/>
        </w:rPr>
        <w:t>或有负债，在购买日以公允价值计量。购买方对合并成本大于合并中取得的被购买方可辨认净资产公允价值份额的差额，体</w:t>
      </w:r>
      <w:r>
        <w:rPr>
          <w:spacing w:val="-66"/>
        </w:rPr>
        <w:t> </w:t>
      </w:r>
      <w:r>
        <w:rPr>
          <w:spacing w:val="-66"/>
        </w:rPr>
      </w:r>
      <w:r>
        <w:rPr>
          <w:spacing w:val="-2"/>
        </w:rPr>
        <w:t>现为商誉价值。购买方对合并成本小于合并中取得的被购买方可辨认净资产公允价值份额的，经复核后合并成本仍小于合并</w:t>
      </w:r>
      <w:r>
        <w:rPr>
          <w:spacing w:val="-64"/>
        </w:rPr>
        <w:t> </w:t>
      </w:r>
      <w:r>
        <w:rPr>
          <w:spacing w:val="-64"/>
        </w:rPr>
      </w:r>
      <w:r>
        <w:rPr/>
        <w:t>中取得的被购买方可辨认净资产公允价值份额的差额，计入当期营业外收入。</w:t>
      </w:r>
    </w:p>
    <w:p>
      <w:pPr>
        <w:spacing w:line="240" w:lineRule="auto" w:before="7"/>
        <w:rPr>
          <w:rFonts w:ascii="宋体" w:hAnsi="宋体" w:cs="宋体" w:eastAsia="宋体" w:hint="default"/>
          <w:sz w:val="22"/>
          <w:szCs w:val="22"/>
        </w:rPr>
      </w:pPr>
    </w:p>
    <w:p>
      <w:pPr>
        <w:pStyle w:val="Heading5"/>
        <w:spacing w:line="240" w:lineRule="auto"/>
        <w:ind w:left="1133" w:right="0"/>
        <w:jc w:val="both"/>
        <w:rPr>
          <w:b w:val="0"/>
          <w:bCs w:val="0"/>
        </w:rPr>
      </w:pPr>
      <w:bookmarkStart w:name="6、合并财务报表的编制方法" w:id="172"/>
      <w:bookmarkEnd w:id="172"/>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94" w:right="0"/>
        <w:jc w:val="left"/>
      </w:pPr>
      <w:r>
        <w:rPr/>
        <w:t>（</w:t>
      </w:r>
      <w:r>
        <w:rPr>
          <w:rFonts w:ascii="宋体" w:hAnsi="宋体" w:cs="宋体" w:eastAsia="宋体" w:hint="default"/>
        </w:rPr>
        <w:t>1</w:t>
      </w:r>
      <w:r>
        <w:rPr/>
        <w:t>）合并财务报表范围 </w:t>
      </w:r>
      <w:r>
        <w:rPr>
          <w:spacing w:val="-2"/>
        </w:rPr>
        <w:t>本公司将全部子公司（包括本公司所控制的单独主体）纳入合并财务报表范围，包括被本公司控制的企业、被投资单位</w:t>
      </w:r>
    </w:p>
    <w:p>
      <w:pPr>
        <w:pStyle w:val="BodyText"/>
        <w:spacing w:line="240" w:lineRule="auto" w:before="19"/>
        <w:ind w:right="0"/>
        <w:jc w:val="both"/>
      </w:pPr>
      <w:r>
        <w:rPr/>
        <w:t>中可分割的部分以及结构化主体。</w:t>
      </w:r>
    </w:p>
    <w:p>
      <w:pPr>
        <w:pStyle w:val="BodyText"/>
        <w:spacing w:line="316" w:lineRule="auto" w:before="76"/>
        <w:ind w:left="1493" w:right="0"/>
        <w:jc w:val="left"/>
      </w:pPr>
      <w:r>
        <w:rPr/>
        <w:t>（</w:t>
      </w:r>
      <w:r>
        <w:rPr>
          <w:rFonts w:ascii="宋体" w:hAnsi="宋体" w:cs="宋体" w:eastAsia="宋体" w:hint="default"/>
        </w:rPr>
        <w:t>2</w:t>
      </w:r>
      <w:r>
        <w:rPr/>
        <w:t>）统一母子公司的会计政策、统一母子公司的资产负债表日及会计期间 </w:t>
      </w:r>
      <w:r>
        <w:rPr>
          <w:spacing w:val="-2"/>
        </w:rPr>
        <w:t>子公司与本公司采用的会计政策或会计期间不一致的，在编制合并财务报表时，按照本公司的会计政策或会计期间对子</w:t>
      </w:r>
    </w:p>
    <w:p>
      <w:pPr>
        <w:pStyle w:val="BodyText"/>
        <w:spacing w:line="240" w:lineRule="auto" w:before="19"/>
        <w:ind w:left="1133" w:right="0"/>
        <w:jc w:val="both"/>
      </w:pPr>
      <w:r>
        <w:rPr/>
        <w:t>公司财务报表进行必要的调整。</w:t>
      </w:r>
    </w:p>
    <w:p>
      <w:pPr>
        <w:pStyle w:val="BodyText"/>
        <w:spacing w:line="316" w:lineRule="auto" w:before="76"/>
        <w:ind w:left="1494" w:right="0"/>
        <w:jc w:val="left"/>
      </w:pPr>
      <w:r>
        <w:rPr/>
        <w:t>（</w:t>
      </w:r>
      <w:r>
        <w:rPr>
          <w:rFonts w:ascii="宋体" w:hAnsi="宋体" w:cs="宋体" w:eastAsia="宋体" w:hint="default"/>
        </w:rPr>
        <w:t>3</w:t>
      </w:r>
      <w:r>
        <w:rPr/>
        <w:t>）合并财务报表抵销事项 </w:t>
      </w:r>
      <w:r>
        <w:rPr>
          <w:spacing w:val="-2"/>
        </w:rPr>
        <w:t>合并财务报表以母公司和子公司的资产负债表为基础，已抵销了母公司与子公司、子公司相互之间发生的内部交易。子</w:t>
      </w:r>
    </w:p>
    <w:p>
      <w:pPr>
        <w:pStyle w:val="BodyText"/>
        <w:spacing w:line="316" w:lineRule="auto" w:before="19"/>
        <w:ind w:right="1131"/>
        <w:jc w:val="both"/>
      </w:pPr>
      <w:r>
        <w:rPr>
          <w:spacing w:val="-2"/>
        </w:rPr>
        <w:t>公司所有者权益中不属于母公司的份额，作为少数股东权益，在合并资产负债表中所有者权益项目下以“少数股东权益”项</w:t>
      </w:r>
      <w:r>
        <w:rPr>
          <w:spacing w:val="-66"/>
        </w:rPr>
        <w:t> </w:t>
      </w:r>
      <w:r>
        <w:rPr>
          <w:spacing w:val="-66"/>
        </w:rPr>
      </w:r>
      <w:r>
        <w:rPr>
          <w:spacing w:val="-2"/>
        </w:rPr>
        <w:t>目列示。子公司持有母公司的长期股权投资，视为企业集团的库存股，作为所有者权益的减项，在合并资产负债表中所有者</w:t>
      </w:r>
      <w:r>
        <w:rPr>
          <w:spacing w:val="-66"/>
        </w:rPr>
        <w:t> </w:t>
      </w:r>
      <w:r>
        <w:rPr>
          <w:spacing w:val="-66"/>
        </w:rPr>
      </w:r>
      <w:r>
        <w:rPr/>
        <w:t>权益项目下以“减：库存股”项目列示。</w:t>
      </w:r>
    </w:p>
    <w:p>
      <w:pPr>
        <w:pStyle w:val="BodyText"/>
        <w:spacing w:line="240" w:lineRule="auto" w:before="19"/>
        <w:ind w:left="1493" w:right="0"/>
        <w:jc w:val="left"/>
      </w:pPr>
      <w:r>
        <w:rPr/>
        <w:t>（</w:t>
      </w:r>
      <w:r>
        <w:rPr>
          <w:rFonts w:ascii="宋体" w:hAnsi="宋体" w:cs="宋体" w:eastAsia="宋体" w:hint="default"/>
        </w:rPr>
        <w:t>4</w:t>
      </w:r>
      <w:r>
        <w:rPr/>
        <w:t>）合并取得子公司会计处理</w:t>
      </w:r>
    </w:p>
    <w:p>
      <w:pPr>
        <w:spacing w:after="0" w:line="240"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left="1133" w:right="1131" w:firstLine="360"/>
        <w:jc w:val="both"/>
      </w:pPr>
      <w:r>
        <w:rPr>
          <w:spacing w:val="-2"/>
        </w:rPr>
        <w:t>对于同一控制下企业合并取得的子公司，视同该企业合并于自最终控制方开始实时控制时已经发生，从合并当期的期初</w:t>
      </w:r>
      <w:r>
        <w:rPr/>
        <w:t> </w:t>
      </w:r>
      <w:r>
        <w:rPr>
          <w:spacing w:val="-2"/>
        </w:rPr>
        <w:t>起将其资产、负债、经营成果和现金流量纳入合并财务报表；对于非同一控制下企业合并取得的子公司，在编制合并财务报</w:t>
      </w:r>
      <w:r>
        <w:rPr>
          <w:spacing w:val="-66"/>
        </w:rPr>
        <w:t> </w:t>
      </w:r>
      <w:r>
        <w:rPr>
          <w:spacing w:val="-66"/>
        </w:rPr>
      </w:r>
      <w:r>
        <w:rPr/>
        <w:t>表时，以购买日可辨认净资产公允价值为基础对其个别财务报表进行调整。</w:t>
      </w:r>
    </w:p>
    <w:p>
      <w:pPr>
        <w:spacing w:line="240" w:lineRule="auto" w:before="7"/>
        <w:rPr>
          <w:rFonts w:ascii="宋体" w:hAnsi="宋体" w:cs="宋体" w:eastAsia="宋体" w:hint="default"/>
          <w:sz w:val="22"/>
          <w:szCs w:val="22"/>
        </w:rPr>
      </w:pPr>
    </w:p>
    <w:p>
      <w:pPr>
        <w:pStyle w:val="Heading5"/>
        <w:spacing w:line="240" w:lineRule="auto"/>
        <w:ind w:left="1133" w:right="0"/>
        <w:jc w:val="left"/>
        <w:rPr>
          <w:b w:val="0"/>
          <w:bCs w:val="0"/>
        </w:rPr>
      </w:pPr>
      <w:bookmarkStart w:name="7、合营安排分类及共同经营会计处理方法" w:id="173"/>
      <w:bookmarkEnd w:id="173"/>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94" w:right="0"/>
        <w:jc w:val="left"/>
      </w:pPr>
      <w:r>
        <w:rPr/>
        <w:t>（</w:t>
      </w:r>
      <w:r>
        <w:rPr>
          <w:rFonts w:ascii="宋体" w:hAnsi="宋体" w:cs="宋体" w:eastAsia="宋体" w:hint="default"/>
        </w:rPr>
        <w:t>1</w:t>
      </w:r>
      <w:r>
        <w:rPr/>
        <w:t>）合营安排的分类 </w:t>
      </w:r>
      <w:r>
        <w:rPr>
          <w:spacing w:val="-2"/>
        </w:rPr>
        <w:t>合营安排分为共同经营和合营企业。未通过单独主体达成的合营安排，划分为共同经营。单独主体，是指具有单独可辨</w:t>
      </w:r>
    </w:p>
    <w:p>
      <w:pPr>
        <w:pStyle w:val="BodyText"/>
        <w:spacing w:line="316" w:lineRule="auto" w:before="19"/>
        <w:ind w:right="1132"/>
        <w:jc w:val="both"/>
      </w:pPr>
      <w:r>
        <w:rPr>
          <w:spacing w:val="-2"/>
        </w:rPr>
        <w:t>认的财务架构的主体，包括单独的法人主体和不具备法人主体资格但法律认可的主体。通过单独主体达成的合营安排，通常</w:t>
      </w:r>
      <w:r>
        <w:rPr>
          <w:spacing w:val="-66"/>
        </w:rPr>
        <w:t> </w:t>
      </w:r>
      <w:r>
        <w:rPr>
          <w:spacing w:val="-66"/>
        </w:rPr>
      </w:r>
      <w:r>
        <w:rPr>
          <w:spacing w:val="-2"/>
        </w:rPr>
        <w:t>划分为合营企业。相关事实和情况变化导致合营方在合营安排中享有的权利和承担的义务发生变化的，合营方对合营安排的</w:t>
      </w:r>
      <w:r>
        <w:rPr>
          <w:spacing w:val="-64"/>
        </w:rPr>
        <w:t> </w:t>
      </w:r>
      <w:r>
        <w:rPr>
          <w:spacing w:val="-64"/>
        </w:rPr>
      </w:r>
      <w:r>
        <w:rPr/>
        <w:t>分类进行重新评估。</w:t>
      </w:r>
    </w:p>
    <w:p>
      <w:pPr>
        <w:pStyle w:val="BodyText"/>
        <w:spacing w:line="316" w:lineRule="auto" w:before="19"/>
        <w:ind w:left="1494" w:right="0"/>
        <w:jc w:val="left"/>
      </w:pPr>
      <w:r>
        <w:rPr/>
        <w:t>（</w:t>
      </w:r>
      <w:r>
        <w:rPr>
          <w:rFonts w:ascii="宋体" w:hAnsi="宋体" w:cs="宋体" w:eastAsia="宋体" w:hint="default"/>
        </w:rPr>
        <w:t>2</w:t>
      </w:r>
      <w:r>
        <w:rPr/>
        <w:t>）共同经营的会计处理 </w:t>
      </w:r>
      <w:r>
        <w:rPr>
          <w:spacing w:val="-2"/>
        </w:rPr>
        <w:t>共同经营参与方应当确认其与共同经营中利益份额相关的下列项目，并按照相关企业会计准则的规定进行会计处理：确</w:t>
      </w:r>
    </w:p>
    <w:p>
      <w:pPr>
        <w:pStyle w:val="BodyText"/>
        <w:spacing w:line="316" w:lineRule="auto" w:before="19"/>
        <w:ind w:right="0"/>
        <w:jc w:val="left"/>
      </w:pPr>
      <w:r>
        <w:rPr>
          <w:spacing w:val="-4"/>
        </w:rPr>
        <w:t>认单独所持有的资产或负债，以及按其份额确认共同持有的资产或负债；确认出售其享有的共同经营产出份额所产生的收入；</w:t>
      </w:r>
      <w:r>
        <w:rPr>
          <w:spacing w:val="-44"/>
        </w:rPr>
        <w:t> </w:t>
      </w:r>
      <w:r>
        <w:rPr>
          <w:spacing w:val="-44"/>
        </w:rPr>
      </w:r>
      <w:r>
        <w:rPr/>
        <w:t>按其份额确认共同经营因出售产出所产生的收入；确认单独所发生的费用，以及按其份额确认共同经营发生的费用。</w:t>
      </w:r>
    </w:p>
    <w:p>
      <w:pPr>
        <w:pStyle w:val="BodyText"/>
        <w:spacing w:line="316" w:lineRule="auto" w:before="19"/>
        <w:ind w:left="1133" w:right="1132" w:firstLine="360"/>
        <w:jc w:val="both"/>
      </w:pPr>
      <w:r>
        <w:rPr>
          <w:spacing w:val="-2"/>
        </w:rPr>
        <w:t>对共同经营不享有共同控制的参与方，如果享有该共同经营相关资产且承担该共同经营相关负债的，参照共同经营参与</w:t>
      </w:r>
      <w:r>
        <w:rPr/>
        <w:t> 方的规定进行会计处理；否则，应当按照相关企业会计准则的规定进行会计处理。</w:t>
      </w:r>
    </w:p>
    <w:p>
      <w:pPr>
        <w:pStyle w:val="BodyText"/>
        <w:spacing w:line="316" w:lineRule="auto" w:before="19"/>
        <w:ind w:left="1494" w:right="1122"/>
        <w:jc w:val="left"/>
      </w:pPr>
      <w:r>
        <w:rPr/>
        <w:t>（</w:t>
      </w:r>
      <w:r>
        <w:rPr>
          <w:rFonts w:ascii="宋体" w:hAnsi="宋体" w:cs="宋体" w:eastAsia="宋体" w:hint="default"/>
        </w:rPr>
        <w:t>3</w:t>
      </w:r>
      <w:r>
        <w:rPr/>
        <w:t>）合营企业的会计处理</w:t>
      </w:r>
      <w:hyperlink r:id="rId22">
        <w:r>
          <w:rPr/>
          <w:t> 合营企业参与方应当按照《企业会计准则第</w:t>
        </w:r>
        <w:r>
          <w:rPr>
            <w:rFonts w:ascii="宋体" w:hAnsi="宋体" w:cs="宋体" w:eastAsia="宋体" w:hint="default"/>
          </w:rPr>
          <w:t>2</w:t>
        </w:r>
        <w:r>
          <w:rPr/>
          <w:t>号</w:t>
        </w:r>
        <w:r>
          <w:rPr>
            <w:rFonts w:ascii="Times New Roman" w:hAnsi="Times New Roman" w:cs="Times New Roman" w:eastAsia="Times New Roman" w:hint="default"/>
          </w:rPr>
          <w:t>—</w:t>
        </w:r>
        <w:r>
          <w:rPr/>
          <w:t>长期股权投资</w:t>
        </w:r>
      </w:hyperlink>
      <w:r>
        <w:rPr/>
        <w:t>》的规定对合营企业的投资进行会计处理，不享有共同</w:t>
      </w:r>
    </w:p>
    <w:p>
      <w:pPr>
        <w:pStyle w:val="BodyText"/>
        <w:spacing w:line="235" w:lineRule="exact"/>
        <w:ind w:left="1133" w:right="0"/>
        <w:jc w:val="left"/>
      </w:pPr>
      <w:r>
        <w:rPr/>
        <w:t>控制的参与方应当根据其对该合营企业的影响程度进行会计处理。</w:t>
      </w:r>
    </w:p>
    <w:p>
      <w:pPr>
        <w:spacing w:line="240" w:lineRule="auto" w:before="12"/>
        <w:rPr>
          <w:rFonts w:ascii="宋体" w:hAnsi="宋体" w:cs="宋体" w:eastAsia="宋体" w:hint="default"/>
          <w:sz w:val="26"/>
          <w:szCs w:val="26"/>
        </w:rPr>
      </w:pPr>
    </w:p>
    <w:p>
      <w:pPr>
        <w:pStyle w:val="Heading5"/>
        <w:spacing w:line="240" w:lineRule="auto"/>
        <w:ind w:left="1133" w:right="0"/>
        <w:jc w:val="left"/>
        <w:rPr>
          <w:b w:val="0"/>
          <w:bCs w:val="0"/>
        </w:rPr>
      </w:pPr>
      <w:bookmarkStart w:name="8、现金及现金等价物的确定标准" w:id="174"/>
      <w:bookmarkEnd w:id="174"/>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1132" w:firstLine="360"/>
        <w:jc w:val="both"/>
      </w:pPr>
      <w:r>
        <w:rPr>
          <w:spacing w:val="-2"/>
        </w:rPr>
        <w:t>本公司在编制现金流量表时所确定的现金，是指本公司库存现金以及可以随时用于支付的存款。在编制现金流量表时所</w:t>
      </w:r>
      <w:r>
        <w:rPr/>
        <w:t> 确定的现金等价物，是指持有的期限短、流动性强、易于转换为已知金额现金、价值变动风险很小的投资。</w:t>
      </w:r>
    </w:p>
    <w:p>
      <w:pPr>
        <w:spacing w:line="240" w:lineRule="auto" w:before="7"/>
        <w:rPr>
          <w:rFonts w:ascii="宋体" w:hAnsi="宋体" w:cs="宋体" w:eastAsia="宋体" w:hint="default"/>
          <w:sz w:val="22"/>
          <w:szCs w:val="22"/>
        </w:rPr>
      </w:pPr>
    </w:p>
    <w:p>
      <w:pPr>
        <w:pStyle w:val="Heading5"/>
        <w:spacing w:line="240" w:lineRule="auto"/>
        <w:ind w:left="1133" w:right="0"/>
        <w:jc w:val="left"/>
        <w:rPr>
          <w:b w:val="0"/>
          <w:bCs w:val="0"/>
        </w:rPr>
      </w:pPr>
      <w:bookmarkStart w:name="9、外币业务和外币报表折算" w:id="175"/>
      <w:bookmarkEnd w:id="175"/>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94" w:right="0"/>
        <w:jc w:val="left"/>
      </w:pPr>
      <w:r>
        <w:rPr/>
        <w:t>（</w:t>
      </w:r>
      <w:r>
        <w:rPr>
          <w:rFonts w:ascii="宋体" w:hAnsi="宋体" w:cs="宋体" w:eastAsia="宋体" w:hint="default"/>
        </w:rPr>
        <w:t>1</w:t>
      </w:r>
      <w:r>
        <w:rPr/>
        <w:t>）外币业务折算 </w:t>
      </w:r>
      <w:r>
        <w:rPr>
          <w:spacing w:val="-2"/>
        </w:rPr>
        <w:t>本公司对发生的外币交易，采用与交易发生日折合本位币入账。资产负债表日外币货币性项目按资产负债表日即期汇率</w:t>
      </w:r>
    </w:p>
    <w:p>
      <w:pPr>
        <w:pStyle w:val="BodyText"/>
        <w:spacing w:line="316" w:lineRule="auto" w:before="19"/>
        <w:ind w:left="1133" w:right="0"/>
        <w:jc w:val="left"/>
      </w:pPr>
      <w:r>
        <w:rPr>
          <w:spacing w:val="-2"/>
        </w:rPr>
        <w:t>折算，因该日的即期汇率与初始确认时或者前一资产负债表日即期汇率不同而产生的汇兑差额，除符合资本化条件的外币专</w:t>
      </w:r>
      <w:r>
        <w:rPr>
          <w:spacing w:val="-64"/>
        </w:rPr>
        <w:t> </w:t>
      </w:r>
      <w:r>
        <w:rPr>
          <w:spacing w:val="-64"/>
        </w:rPr>
      </w:r>
      <w:r>
        <w:rPr>
          <w:spacing w:val="-4"/>
        </w:rPr>
        <w:t>门借款的汇兑差额在资本化期间予以资本化计入相关资产的成本外，均计入当期损益。以历史成本计量的外币非货币性项目，</w:t>
      </w:r>
      <w:r>
        <w:rPr>
          <w:spacing w:val="-44"/>
        </w:rPr>
        <w:t> </w:t>
      </w:r>
      <w:r>
        <w:rPr>
          <w:spacing w:val="-44"/>
        </w:rPr>
      </w:r>
      <w:r>
        <w:rPr>
          <w:spacing w:val="-2"/>
        </w:rPr>
        <w:t>仍采用交易发生日的即期汇率折算，不改变其记账本位币金额。以公允价值计量的外币非货币性项目，采用公允价值确定日</w:t>
      </w:r>
      <w:r>
        <w:rPr>
          <w:spacing w:val="-66"/>
        </w:rPr>
        <w:t> </w:t>
      </w:r>
      <w:r>
        <w:rPr>
          <w:spacing w:val="-66"/>
        </w:rPr>
      </w:r>
      <w:r>
        <w:rPr>
          <w:spacing w:val="-2"/>
        </w:rPr>
        <w:t>的即期汇率折算，折算后的记账本位币金额与原记账本位币金额的差额，作为公允价值变动</w:t>
      </w:r>
      <w:r>
        <w:rPr>
          <w:rFonts w:ascii="宋体" w:hAnsi="宋体" w:cs="宋体" w:eastAsia="宋体" w:hint="default"/>
          <w:spacing w:val="-2"/>
        </w:rPr>
        <w:t>(</w:t>
      </w:r>
      <w:r>
        <w:rPr>
          <w:spacing w:val="-2"/>
        </w:rPr>
        <w:t>含汇率变动</w:t>
      </w:r>
      <w:r>
        <w:rPr>
          <w:rFonts w:ascii="宋体" w:hAnsi="宋体" w:cs="宋体" w:eastAsia="宋体" w:hint="default"/>
          <w:spacing w:val="-2"/>
        </w:rPr>
        <w:t>)</w:t>
      </w:r>
      <w:r>
        <w:rPr>
          <w:spacing w:val="-2"/>
        </w:rPr>
        <w:t>处理，计入当期损</w:t>
      </w:r>
      <w:r>
        <w:rPr>
          <w:spacing w:val="-63"/>
        </w:rPr>
        <w:t> </w:t>
      </w:r>
      <w:r>
        <w:rPr>
          <w:spacing w:val="-63"/>
        </w:rPr>
      </w:r>
      <w:r>
        <w:rPr/>
        <w:t>益或确认为其他综合收益。</w:t>
      </w:r>
    </w:p>
    <w:p>
      <w:pPr>
        <w:pStyle w:val="BodyText"/>
        <w:spacing w:line="316" w:lineRule="auto" w:before="19"/>
        <w:ind w:left="1494" w:right="0" w:firstLine="90"/>
        <w:jc w:val="left"/>
      </w:pPr>
      <w:r>
        <w:rPr/>
        <w:t>（</w:t>
      </w:r>
      <w:r>
        <w:rPr>
          <w:rFonts w:ascii="宋体" w:hAnsi="宋体" w:cs="宋体" w:eastAsia="宋体" w:hint="default"/>
        </w:rPr>
        <w:t>2</w:t>
      </w:r>
      <w:r>
        <w:rPr/>
        <w:t>）外币财务报表折算 </w:t>
      </w:r>
      <w:r>
        <w:rPr>
          <w:spacing w:val="-2"/>
        </w:rPr>
        <w:t>本公司的控股子公司、合营企业、联营企业等，若采用与本公司不同的记账本位币，需对其外币财务报表折算后，再进</w:t>
      </w:r>
    </w:p>
    <w:p>
      <w:pPr>
        <w:pStyle w:val="BodyText"/>
        <w:spacing w:line="319" w:lineRule="auto" w:before="19"/>
        <w:ind w:right="1032"/>
        <w:jc w:val="left"/>
      </w:pPr>
      <w:r>
        <w:rPr>
          <w:spacing w:val="-2"/>
        </w:rPr>
        <w:t>行会计核算及合并财务报表的编报。资产负债表中的资产和负债项目，采用资产负债表日的即期汇率折算，所有者权益项目</w:t>
      </w:r>
      <w:r>
        <w:rPr>
          <w:spacing w:val="-66"/>
        </w:rPr>
        <w:t> </w:t>
      </w:r>
      <w:r>
        <w:rPr>
          <w:spacing w:val="-66"/>
        </w:rPr>
      </w:r>
      <w:r>
        <w:rPr>
          <w:spacing w:val="-2"/>
        </w:rPr>
        <w:t>除“未分配利润”项目外，其他项目采用发生时的即期汇率折算。利润表中的收入和费用项目，采用交易发生日的即期汇率</w:t>
      </w:r>
      <w:r>
        <w:rPr>
          <w:spacing w:val="-66"/>
        </w:rPr>
        <w:t> </w:t>
      </w:r>
      <w:r>
        <w:rPr>
          <w:spacing w:val="-66"/>
        </w:rPr>
      </w:r>
      <w:r>
        <w:rPr>
          <w:spacing w:val="-2"/>
        </w:rPr>
        <w:t>折算。折算产生的外币财务报表折算差额，在资产负债表中所有者权益项目其他综合收益下列示。外币现金流量按照系统合</w:t>
      </w:r>
      <w:r>
        <w:rPr>
          <w:spacing w:val="-66"/>
        </w:rPr>
        <w:t> </w:t>
      </w:r>
      <w:r>
        <w:rPr>
          <w:spacing w:val="-66"/>
        </w:rPr>
      </w:r>
      <w:r>
        <w:rPr/>
        <w:t>理方法确定的，采用交易发生日的即期汇率折算。汇率变动对现金的影响额，在现金流量表中单独列示。处置境外经营时， 与该境外经营有关的外币报表折算差额，全部或按处置该境外经营的比例转入处置当期损益。</w:t>
      </w:r>
    </w:p>
    <w:p>
      <w:pPr>
        <w:spacing w:after="0" w:line="319" w:lineRule="auto"/>
        <w:jc w:val="left"/>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5"/>
        <w:spacing w:line="240" w:lineRule="auto" w:before="35"/>
        <w:ind w:right="0"/>
        <w:jc w:val="both"/>
        <w:rPr>
          <w:b w:val="0"/>
          <w:bCs w:val="0"/>
        </w:rPr>
      </w:pPr>
      <w:bookmarkStart w:name="10、金融工具" w:id="176"/>
      <w:bookmarkEnd w:id="176"/>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94" w:right="0"/>
        <w:jc w:val="left"/>
      </w:pPr>
      <w:r>
        <w:rPr/>
        <w:t>（</w:t>
      </w:r>
      <w:r>
        <w:rPr>
          <w:rFonts w:ascii="宋体" w:hAnsi="宋体" w:cs="宋体" w:eastAsia="宋体" w:hint="default"/>
        </w:rPr>
        <w:t>1</w:t>
      </w:r>
      <w:r>
        <w:rPr/>
        <w:t>）金融工具的分类及确认 </w:t>
      </w:r>
      <w:r>
        <w:rPr>
          <w:spacing w:val="-4"/>
        </w:rPr>
        <w:t>金融工具划分为金融资产或金融负债和权益工具。本公司成为金融工具合同的一方时，确认为一项金融资产或金融负债，</w:t>
      </w:r>
    </w:p>
    <w:p>
      <w:pPr>
        <w:pStyle w:val="BodyText"/>
        <w:spacing w:line="240" w:lineRule="auto" w:before="19"/>
        <w:ind w:right="0"/>
        <w:jc w:val="both"/>
      </w:pPr>
      <w:r>
        <w:rPr/>
        <w:t>或权益工具。</w:t>
      </w:r>
    </w:p>
    <w:p>
      <w:pPr>
        <w:pStyle w:val="BodyText"/>
        <w:spacing w:line="316" w:lineRule="auto" w:before="76"/>
        <w:ind w:left="1133" w:right="1131" w:firstLine="360"/>
        <w:jc w:val="both"/>
      </w:pPr>
      <w:r>
        <w:rPr>
          <w:spacing w:val="-2"/>
        </w:rPr>
        <w:t>金融资产于初始确认时分类为：以公允价值计量且其变动计入当期损益的金融资产、持有至到期投资、应收款项、可供</w:t>
      </w:r>
      <w:r>
        <w:rPr/>
        <w:t> </w:t>
      </w:r>
      <w:r>
        <w:rPr>
          <w:spacing w:val="-2"/>
        </w:rPr>
        <w:t>出售金融资产。除应收款项以外的金融资产的分类取决于本公司及其子公司对金融资产的持有意图和持有能力等。金融负债</w:t>
      </w:r>
      <w:r>
        <w:rPr>
          <w:spacing w:val="-64"/>
        </w:rPr>
        <w:t> </w:t>
      </w:r>
      <w:r>
        <w:rPr>
          <w:spacing w:val="-64"/>
        </w:rPr>
      </w:r>
      <w:r>
        <w:rPr/>
        <w:t>于初始确认时分类为：以公允价值计量且其变动计入当期损益的金融负债以及其他金融负债。</w:t>
      </w:r>
    </w:p>
    <w:p>
      <w:pPr>
        <w:pStyle w:val="BodyText"/>
        <w:spacing w:line="316" w:lineRule="auto" w:before="19"/>
        <w:ind w:left="1133" w:right="0" w:firstLine="360"/>
        <w:jc w:val="left"/>
      </w:pPr>
      <w:r>
        <w:rPr/>
        <w:t>以公允价值计量且其变动计入当期损益的金融资产包括持有目的为短期内出售的交易性金融资产和初始确认时指定为 </w:t>
      </w:r>
      <w:r>
        <w:rPr>
          <w:spacing w:val="-2"/>
        </w:rPr>
        <w:t>以公允价值计量且其变动计入当期损益的金融资产；应收款项是指在活跃市场中没有报价、回收金额固定或可确定的非衍生</w:t>
      </w:r>
      <w:r>
        <w:rPr>
          <w:spacing w:val="-64"/>
        </w:rPr>
        <w:t> </w:t>
      </w:r>
      <w:r>
        <w:rPr>
          <w:spacing w:val="-64"/>
        </w:rPr>
      </w:r>
      <w:r>
        <w:rPr>
          <w:spacing w:val="-2"/>
        </w:rPr>
        <w:t>金融资产；可供出售金融资产包括初始确认时即被指定为可供出售的非衍生金融资产及未被划分为其他类的金融资产；持有</w:t>
      </w:r>
      <w:r>
        <w:rPr>
          <w:spacing w:val="-64"/>
        </w:rPr>
        <w:t> </w:t>
      </w:r>
      <w:r>
        <w:rPr>
          <w:spacing w:val="-64"/>
        </w:rPr>
      </w:r>
      <w:r>
        <w:rPr/>
        <w:t>至到期投资是指到期日固定、回收金额固定或可确定，且管理层有明确意图和能力持有至到期的非衍生金融资产。</w:t>
      </w:r>
    </w:p>
    <w:p>
      <w:pPr>
        <w:pStyle w:val="BodyText"/>
        <w:spacing w:line="316" w:lineRule="auto" w:before="19"/>
        <w:ind w:left="1494" w:right="0"/>
        <w:jc w:val="left"/>
      </w:pPr>
      <w:r>
        <w:rPr/>
        <w:t>（</w:t>
      </w:r>
      <w:r>
        <w:rPr>
          <w:rFonts w:ascii="宋体" w:hAnsi="宋体" w:cs="宋体" w:eastAsia="宋体" w:hint="default"/>
        </w:rPr>
        <w:t>2</w:t>
      </w:r>
      <w:r>
        <w:rPr/>
        <w:t>）金融工具的计量 </w:t>
      </w:r>
      <w:r>
        <w:rPr>
          <w:spacing w:val="-2"/>
        </w:rPr>
        <w:t>本公司金融工具始确认按公允价值计量。后续计量分类为：以公允价值计量且其变动计入当期损益的金融资产、可供出</w:t>
      </w:r>
    </w:p>
    <w:p>
      <w:pPr>
        <w:pStyle w:val="BodyText"/>
        <w:spacing w:line="316" w:lineRule="auto" w:before="19"/>
        <w:ind w:right="1131"/>
        <w:jc w:val="both"/>
      </w:pPr>
      <w:r>
        <w:rPr>
          <w:spacing w:val="-2"/>
        </w:rPr>
        <w:t>售金融资产及以公允价值计量且其变动计入当期损益的金融负债按公允价值计量；持有到期投资、贷款和应收款项以及其他</w:t>
      </w:r>
      <w:r>
        <w:rPr>
          <w:spacing w:val="-64"/>
        </w:rPr>
        <w:t> </w:t>
      </w:r>
      <w:r>
        <w:rPr>
          <w:spacing w:val="-64"/>
        </w:rPr>
      </w:r>
      <w:r>
        <w:rPr>
          <w:spacing w:val="-2"/>
        </w:rPr>
        <w:t>金融负债按摊余成本计量；在活跃市场中没有报价且其公允价值不能可靠计量的权益工具投资，以及与该权益工具挂钩并须</w:t>
      </w:r>
      <w:r>
        <w:rPr>
          <w:spacing w:val="-64"/>
        </w:rPr>
        <w:t> </w:t>
      </w:r>
      <w:r>
        <w:rPr>
          <w:spacing w:val="-64"/>
        </w:rPr>
      </w:r>
      <w:r>
        <w:rPr>
          <w:spacing w:val="-2"/>
        </w:rPr>
        <w:t>通过交付该权益工具结算的衍生金融资产或者衍生金融负债，按照成本计量。本公司金融资产或金融负债后续计量中公允价</w:t>
      </w:r>
      <w:r>
        <w:rPr>
          <w:spacing w:val="-64"/>
        </w:rPr>
        <w:t> </w:t>
      </w:r>
      <w:r>
        <w:rPr>
          <w:spacing w:val="-64"/>
        </w:rPr>
      </w:r>
      <w:r>
        <w:rPr>
          <w:spacing w:val="-2"/>
        </w:rPr>
        <w:t>值变动形成的利得或损失，除与套期保值有关外，按照如下方法处理：①以公允价值计量且其变动计入当期损益的金融资产</w:t>
      </w:r>
      <w:r>
        <w:rPr>
          <w:spacing w:val="-66"/>
        </w:rPr>
        <w:t> </w:t>
      </w:r>
      <w:r>
        <w:rPr>
          <w:spacing w:val="-66"/>
        </w:rPr>
      </w:r>
      <w:r>
        <w:rPr>
          <w:spacing w:val="-2"/>
        </w:rPr>
        <w:t>或金融负债公允价值变动形成的利得或损失，计入公允价值变动损益。②可供出售金融资产的公允价值变动计入其他综合收</w:t>
      </w:r>
      <w:r>
        <w:rPr>
          <w:spacing w:val="-64"/>
        </w:rPr>
        <w:t> </w:t>
      </w:r>
      <w:r>
        <w:rPr>
          <w:spacing w:val="-64"/>
        </w:rPr>
      </w:r>
      <w:r>
        <w:rPr/>
        <w:t>益。</w:t>
      </w:r>
    </w:p>
    <w:p>
      <w:pPr>
        <w:pStyle w:val="BodyText"/>
        <w:spacing w:line="316" w:lineRule="auto" w:before="19"/>
        <w:ind w:left="1494" w:right="0"/>
        <w:jc w:val="left"/>
      </w:pPr>
      <w:r>
        <w:rPr/>
        <w:t>（</w:t>
      </w:r>
      <w:r>
        <w:rPr>
          <w:rFonts w:ascii="宋体" w:hAnsi="宋体" w:cs="宋体" w:eastAsia="宋体" w:hint="default"/>
        </w:rPr>
        <w:t>3</w:t>
      </w:r>
      <w:r>
        <w:rPr/>
        <w:t>）本公司对金融工具的公允价值的确认方法 </w:t>
      </w:r>
      <w:r>
        <w:rPr>
          <w:spacing w:val="-2"/>
        </w:rPr>
        <w:t>如存在活跃市场的金融工具，以活跃市场中的报价确定其公允价值；如不存在活跃市场的金融工具，采用估值技术确定</w:t>
      </w:r>
    </w:p>
    <w:p>
      <w:pPr>
        <w:pStyle w:val="BodyText"/>
        <w:spacing w:line="240" w:lineRule="auto" w:before="19"/>
        <w:ind w:right="0"/>
        <w:jc w:val="both"/>
      </w:pPr>
      <w:r>
        <w:rPr/>
        <w:t>其公允价值。估值技术主要包括市场法、收益法和成本法。</w:t>
      </w:r>
    </w:p>
    <w:p>
      <w:pPr>
        <w:pStyle w:val="BodyText"/>
        <w:spacing w:line="316" w:lineRule="auto" w:before="76"/>
        <w:ind w:left="1494" w:right="1032"/>
        <w:jc w:val="left"/>
      </w:pPr>
      <w:r>
        <w:rPr/>
        <w:t>（</w:t>
      </w:r>
      <w:r>
        <w:rPr>
          <w:rFonts w:ascii="宋体" w:hAnsi="宋体" w:cs="宋体" w:eastAsia="宋体" w:hint="default"/>
        </w:rPr>
        <w:t>4</w:t>
      </w:r>
      <w:r>
        <w:rPr/>
        <w:t>）金融资产负债转移的确认依据和计量方法 金融资产所有权上几乎所有的风险和报酬转移时，或既没有转移也没有保留金融资产所有权上几乎所有的风险和报酬，</w:t>
      </w:r>
    </w:p>
    <w:p>
      <w:pPr>
        <w:pStyle w:val="BodyText"/>
        <w:spacing w:line="316" w:lineRule="auto" w:before="19"/>
        <w:ind w:right="1131"/>
        <w:jc w:val="both"/>
      </w:pPr>
      <w:r>
        <w:rPr>
          <w:spacing w:val="-2"/>
        </w:rPr>
        <w:t>但放弃了对该金融资产控制的，应当终止确认该项金融资产。金融资产满足终止确认条件的，将所转移金融资产的账面价值</w:t>
      </w:r>
      <w:r>
        <w:rPr>
          <w:spacing w:val="-66"/>
        </w:rPr>
        <w:t> </w:t>
      </w:r>
      <w:r>
        <w:rPr>
          <w:spacing w:val="-66"/>
        </w:rPr>
      </w:r>
      <w:r>
        <w:rPr>
          <w:spacing w:val="-2"/>
        </w:rPr>
        <w:t>与因转移而收到的对价和原直接计入其他综合收益的公允价值变动累计额之和的差额部分，计入当期损益。部分转移满足终</w:t>
      </w:r>
      <w:r>
        <w:rPr>
          <w:spacing w:val="-64"/>
        </w:rPr>
        <w:t> </w:t>
      </w:r>
      <w:r>
        <w:rPr>
          <w:spacing w:val="-64"/>
        </w:rPr>
      </w:r>
      <w:r>
        <w:rPr>
          <w:spacing w:val="-2"/>
        </w:rPr>
        <w:t>止确认条件的，将所转移金融资产整体的账面价值，在终止确认部分和未终止确认部分之间，按照各自的相对公允价值进行</w:t>
      </w:r>
      <w:r>
        <w:rPr>
          <w:spacing w:val="-65"/>
        </w:rPr>
        <w:t> </w:t>
      </w:r>
      <w:r>
        <w:rPr>
          <w:spacing w:val="-65"/>
        </w:rPr>
      </w:r>
      <w:r>
        <w:rPr/>
        <w:t>分摊。</w:t>
      </w:r>
    </w:p>
    <w:p>
      <w:pPr>
        <w:pStyle w:val="BodyText"/>
        <w:spacing w:line="240" w:lineRule="auto" w:before="19"/>
        <w:ind w:left="1494" w:right="0"/>
        <w:jc w:val="left"/>
      </w:pPr>
      <w:r>
        <w:rPr/>
        <w:t>金融负债的现时义务全部或部分已经解除的，则应终止确认该金融负债或其一部分。</w:t>
      </w:r>
    </w:p>
    <w:p>
      <w:pPr>
        <w:pStyle w:val="BodyText"/>
        <w:spacing w:line="316" w:lineRule="auto" w:before="76"/>
        <w:ind w:left="1494" w:right="0"/>
        <w:jc w:val="left"/>
      </w:pPr>
      <w:r>
        <w:rPr/>
        <w:t>（</w:t>
      </w:r>
      <w:r>
        <w:rPr>
          <w:rFonts w:ascii="宋体" w:hAnsi="宋体" w:cs="宋体" w:eastAsia="宋体" w:hint="default"/>
        </w:rPr>
        <w:t>5</w:t>
      </w:r>
      <w:r>
        <w:rPr/>
        <w:t>）金融资产减值 </w:t>
      </w:r>
      <w:r>
        <w:rPr>
          <w:spacing w:val="-2"/>
        </w:rPr>
        <w:t>以摊余成本计量的金融资产发生减值时，按预计未来现金流量</w:t>
      </w:r>
      <w:r>
        <w:rPr>
          <w:rFonts w:ascii="宋体" w:hAnsi="宋体" w:cs="宋体" w:eastAsia="宋体" w:hint="default"/>
          <w:spacing w:val="-2"/>
        </w:rPr>
        <w:t>(</w:t>
      </w:r>
      <w:r>
        <w:rPr>
          <w:spacing w:val="-2"/>
        </w:rPr>
        <w:t>不包括尚未发生的未来信用损失</w:t>
      </w:r>
      <w:r>
        <w:rPr>
          <w:rFonts w:ascii="宋体" w:hAnsi="宋体" w:cs="宋体" w:eastAsia="宋体" w:hint="default"/>
          <w:spacing w:val="-2"/>
        </w:rPr>
        <w:t>)</w:t>
      </w:r>
      <w:r>
        <w:rPr>
          <w:spacing w:val="-2"/>
        </w:rPr>
        <w:t>现值低于账面价值的差</w:t>
      </w:r>
    </w:p>
    <w:p>
      <w:pPr>
        <w:pStyle w:val="BodyText"/>
        <w:spacing w:line="316" w:lineRule="auto" w:before="19"/>
        <w:ind w:left="1133" w:right="1131"/>
        <w:jc w:val="both"/>
      </w:pPr>
      <w:r>
        <w:rPr>
          <w:spacing w:val="-2"/>
        </w:rPr>
        <w:t>额，计提减值准备。如果有客观证据表明该金融资产价值已恢复，且客观上与确认该损失后发生的事项有关，原确认的减值</w:t>
      </w:r>
      <w:r>
        <w:rPr>
          <w:spacing w:val="-66"/>
        </w:rPr>
        <w:t> </w:t>
      </w:r>
      <w:r>
        <w:rPr>
          <w:spacing w:val="-66"/>
        </w:rPr>
      </w:r>
      <w:r>
        <w:rPr/>
        <w:t>损失予以转回，计入当期损益。</w:t>
      </w:r>
    </w:p>
    <w:p>
      <w:pPr>
        <w:pStyle w:val="BodyText"/>
        <w:spacing w:line="316" w:lineRule="auto" w:before="19"/>
        <w:ind w:left="1493" w:right="0"/>
        <w:jc w:val="left"/>
      </w:pPr>
      <w:r>
        <w:rPr/>
        <w:t>以成本计量的金融资产发生减值时，计提减值准备。发生的减值损失，一经确认，不再转回。 </w:t>
      </w:r>
      <w:r>
        <w:rPr>
          <w:spacing w:val="-2"/>
        </w:rPr>
        <w:t>当有客观证据表明可供出售金融资产发生减值时，原直接计入股东权益的因公允价值下降形成的累计损失予以转出并计</w:t>
      </w:r>
    </w:p>
    <w:p>
      <w:pPr>
        <w:pStyle w:val="BodyText"/>
        <w:spacing w:line="316" w:lineRule="auto" w:before="19"/>
        <w:ind w:left="1133" w:right="1132"/>
        <w:jc w:val="both"/>
      </w:pPr>
      <w:r>
        <w:rPr>
          <w:spacing w:val="-2"/>
        </w:rPr>
        <w:t>入减值损失。对已确认减值损失的可供出售债务工具投资，在期后公允价值上升且客观上与确认原减值损失后发生的事项有</w:t>
      </w:r>
      <w:r>
        <w:rPr>
          <w:spacing w:val="-64"/>
        </w:rPr>
        <w:t> </w:t>
      </w:r>
      <w:r>
        <w:rPr>
          <w:spacing w:val="-64"/>
        </w:rPr>
      </w:r>
      <w:r>
        <w:rPr>
          <w:spacing w:val="-2"/>
        </w:rPr>
        <w:t>关的，原确认的减值损失予以转回并计入当期损益。对已确认减值损失的可供出售权益工具投资，期后公允价值上升直接计</w:t>
      </w:r>
      <w:r>
        <w:rPr>
          <w:spacing w:val="-66"/>
        </w:rPr>
        <w:t> </w:t>
      </w:r>
      <w:r>
        <w:rPr>
          <w:spacing w:val="-66"/>
        </w:rPr>
      </w:r>
      <w:r>
        <w:rPr/>
        <w:t>入股东权益。</w:t>
      </w:r>
    </w:p>
    <w:p>
      <w:pPr>
        <w:spacing w:after="0" w:line="316" w:lineRule="auto"/>
        <w:jc w:val="both"/>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5"/>
        <w:spacing w:line="240" w:lineRule="auto" w:before="35"/>
        <w:ind w:right="0"/>
        <w:jc w:val="left"/>
        <w:rPr>
          <w:b w:val="0"/>
          <w:bCs w:val="0"/>
        </w:rPr>
      </w:pPr>
      <w:bookmarkStart w:name="11、应收款项" w:id="177"/>
      <w:bookmarkEnd w:id="177"/>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单项金额重大并单独计提坏账准备的应收款项" w:id="178"/>
      <w:bookmarkEnd w:id="178"/>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应收款项账面余额</w:t>
            </w:r>
            <w:r>
              <w:rPr>
                <w:rFonts w:ascii="宋体" w:hAnsi="宋体" w:cs="宋体" w:eastAsia="宋体" w:hint="default"/>
                <w:spacing w:val="-30"/>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以上的款项，经减值测试后存在减值</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按照个别认定法计提</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2）按信用风险特征组合计提坏账准备的应收款项" w:id="179"/>
      <w:bookmarkEnd w:id="179"/>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按组合计提坏账准备的计提方法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0"/>
        <w:jc w:val="left"/>
      </w:pPr>
      <w:r>
        <w:rPr/>
        <w:t>组合中，采用账龄分析法计提坏账准备的：</w:t>
      </w:r>
    </w:p>
    <w:p>
      <w:pPr>
        <w:pStyle w:val="BodyText"/>
        <w:spacing w:line="240" w:lineRule="auto" w:before="117"/>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69"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组合中，采用余额百分比法计提坏账准备的：</w:t>
      </w:r>
    </w:p>
    <w:p>
      <w:pPr>
        <w:pStyle w:val="BodyText"/>
        <w:spacing w:line="357" w:lineRule="auto" w:before="117"/>
        <w:ind w:right="7512"/>
        <w:jc w:val="left"/>
      </w:pPr>
      <w:r>
        <w:rPr/>
        <w:t>□ 适用 √ 不适用 组合中，采用其他方法计提坏账准备的：</w:t>
      </w:r>
    </w:p>
    <w:p>
      <w:pPr>
        <w:pStyle w:val="BodyText"/>
        <w:spacing w:line="240" w:lineRule="auto" w:before="29"/>
        <w:ind w:right="0"/>
        <w:jc w:val="left"/>
      </w:pPr>
      <w:r>
        <w:rPr/>
        <w:t>□ 适用 √ 不适用</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3）单项金额不重大但单独计提坏账准备的应收款项" w:id="180"/>
      <w:bookmarkEnd w:id="180"/>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经减值测试后存在减值情况</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按照个别认定法计提</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12、存货" w:id="181"/>
      <w:bookmarkEnd w:id="181"/>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19" w:lineRule="auto" w:before="28"/>
        <w:ind w:left="1494" w:right="0"/>
        <w:jc w:val="left"/>
      </w:pPr>
      <w:r>
        <w:rPr/>
        <w:t>（</w:t>
      </w:r>
      <w:r>
        <w:rPr>
          <w:rFonts w:ascii="宋体" w:hAnsi="宋体" w:cs="宋体" w:eastAsia="宋体" w:hint="default"/>
        </w:rPr>
        <w:t>1</w:t>
      </w:r>
      <w:r>
        <w:rPr/>
        <w:t>）存货的分类 </w:t>
      </w:r>
      <w:r>
        <w:rPr>
          <w:spacing w:val="-2"/>
        </w:rPr>
        <w:t>存货是指本公司在日常活动中持有以备出售的产成品或商品、处在生产过程中的在产品、在生产过程或提供劳务过程中</w:t>
      </w:r>
    </w:p>
    <w:p>
      <w:pPr>
        <w:pStyle w:val="BodyText"/>
        <w:spacing w:line="240" w:lineRule="auto" w:before="17"/>
        <w:ind w:right="0"/>
        <w:jc w:val="left"/>
      </w:pPr>
      <w:r>
        <w:rPr/>
        <w:t>耗用的材料和物料等。主要包括原材料、在产品等。</w:t>
      </w:r>
    </w:p>
    <w:p>
      <w:pPr>
        <w:pStyle w:val="BodyText"/>
        <w:spacing w:line="316" w:lineRule="auto" w:before="76"/>
        <w:ind w:left="1494" w:right="6072"/>
        <w:jc w:val="left"/>
      </w:pPr>
      <w:r>
        <w:rPr/>
        <w:t>（</w:t>
      </w:r>
      <w:r>
        <w:rPr>
          <w:rFonts w:ascii="宋体" w:hAnsi="宋体" w:cs="宋体" w:eastAsia="宋体" w:hint="default"/>
        </w:rPr>
        <w:t>2</w:t>
      </w:r>
      <w:r>
        <w:rPr/>
        <w:t>）发出存货的计价方法 存货发出时，采取个别计价法确定其发出的实际成本。</w:t>
      </w:r>
    </w:p>
    <w:p>
      <w:pPr>
        <w:pStyle w:val="BodyText"/>
        <w:spacing w:line="240" w:lineRule="auto" w:before="19"/>
        <w:ind w:left="1494" w:right="0"/>
        <w:jc w:val="left"/>
      </w:pPr>
      <w:r>
        <w:rPr/>
        <w:t>（</w:t>
      </w:r>
      <w:r>
        <w:rPr>
          <w:rFonts w:ascii="宋体" w:hAnsi="宋体" w:cs="宋体" w:eastAsia="宋体" w:hint="default"/>
        </w:rPr>
        <w:t>3</w:t>
      </w:r>
      <w:r>
        <w:rPr/>
        <w:t>）存货跌价准备的计提方法</w:t>
      </w:r>
    </w:p>
    <w:p>
      <w:pPr>
        <w:spacing w:after="0" w:line="240" w:lineRule="auto"/>
        <w:jc w:val="left"/>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right="0" w:firstLine="360"/>
        <w:jc w:val="left"/>
      </w:pPr>
      <w:r>
        <w:rPr>
          <w:spacing w:val="-2"/>
        </w:rPr>
        <w:t>资产负债表日，存货按照成本与可变现净值孰低计量，并按单个存货项目计提存货跌价准备，但对于数量繁多、单价较</w:t>
      </w:r>
      <w:r>
        <w:rPr/>
        <w:t> 低的存货，按照存货类别计提存货跌价准备。</w:t>
      </w:r>
    </w:p>
    <w:p>
      <w:pPr>
        <w:pStyle w:val="BodyText"/>
        <w:spacing w:line="316" w:lineRule="auto" w:before="19"/>
        <w:ind w:left="1494" w:right="7332"/>
        <w:jc w:val="left"/>
      </w:pPr>
      <w:r>
        <w:rPr/>
        <w:t>（</w:t>
      </w:r>
      <w:r>
        <w:rPr>
          <w:rFonts w:ascii="宋体" w:hAnsi="宋体" w:cs="宋体" w:eastAsia="宋体" w:hint="default"/>
        </w:rPr>
        <w:t>4</w:t>
      </w:r>
      <w:r>
        <w:rPr/>
        <w:t>）存货的盘存制度 本公司的存货盘存制度为永续盘存制。</w:t>
      </w:r>
    </w:p>
    <w:p>
      <w:pPr>
        <w:pStyle w:val="BodyText"/>
        <w:spacing w:line="316" w:lineRule="auto" w:before="19"/>
        <w:ind w:left="1493" w:right="6973"/>
        <w:jc w:val="left"/>
      </w:pPr>
      <w:r>
        <w:rPr/>
        <w:t>（</w:t>
      </w:r>
      <w:r>
        <w:rPr>
          <w:rFonts w:ascii="宋体" w:hAnsi="宋体" w:cs="宋体" w:eastAsia="宋体" w:hint="default"/>
        </w:rPr>
        <w:t>5</w:t>
      </w:r>
      <w:r>
        <w:rPr/>
        <w:t>）低值易耗品和包装物的摊销方法 低值易耗品和包装物采用一次转销法摊销。</w:t>
      </w:r>
    </w:p>
    <w:p>
      <w:pPr>
        <w:spacing w:line="240" w:lineRule="auto" w:before="7"/>
        <w:rPr>
          <w:rFonts w:ascii="宋体" w:hAnsi="宋体" w:cs="宋体" w:eastAsia="宋体" w:hint="default"/>
          <w:sz w:val="22"/>
          <w:szCs w:val="22"/>
        </w:rPr>
      </w:pPr>
    </w:p>
    <w:p>
      <w:pPr>
        <w:pStyle w:val="Heading5"/>
        <w:spacing w:line="240" w:lineRule="auto"/>
        <w:ind w:left="1133" w:right="0"/>
        <w:jc w:val="both"/>
        <w:rPr>
          <w:b w:val="0"/>
          <w:bCs w:val="0"/>
        </w:rPr>
      </w:pPr>
      <w:bookmarkStart w:name="13、持有待售资产" w:id="182"/>
      <w:bookmarkEnd w:id="182"/>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4、长期股权投资" w:id="183"/>
      <w:bookmarkEnd w:id="183"/>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94" w:right="0"/>
        <w:jc w:val="left"/>
      </w:pPr>
      <w:r>
        <w:rPr/>
        <w:t>（</w:t>
      </w:r>
      <w:r>
        <w:rPr>
          <w:rFonts w:ascii="宋体" w:hAnsi="宋体" w:cs="宋体" w:eastAsia="宋体" w:hint="default"/>
        </w:rPr>
        <w:t>1</w:t>
      </w:r>
      <w:r>
        <w:rPr/>
        <w:t>）初始投资成本确定 </w:t>
      </w:r>
      <w:r>
        <w:rPr>
          <w:spacing w:val="-2"/>
        </w:rPr>
        <w:t>对于企业合并取得的长期股权投资，如为同一控制下的企业合并，应当按照取得被合并方所有者权益账面价值的份额确</w:t>
      </w:r>
    </w:p>
    <w:p>
      <w:pPr>
        <w:pStyle w:val="BodyText"/>
        <w:spacing w:line="312" w:lineRule="auto" w:before="19"/>
        <w:ind w:left="1133" w:right="0"/>
        <w:jc w:val="left"/>
      </w:pPr>
      <w:r>
        <w:rPr>
          <w:spacing w:val="-4"/>
        </w:rPr>
        <w:t>认为初始成本；非同一控制下的企业合并，应当按购买日确定的合并成本确认为初始成本；以支付现金取得的长期股权投资，</w:t>
      </w:r>
      <w:r>
        <w:rPr>
          <w:spacing w:val="-44"/>
        </w:rPr>
        <w:t> </w:t>
      </w:r>
      <w:r>
        <w:rPr>
          <w:spacing w:val="-44"/>
        </w:rPr>
      </w:r>
      <w:r>
        <w:rPr>
          <w:spacing w:val="-4"/>
        </w:rPr>
        <w:t>初始投资成本为实际支付的购买价款；以发行权益性证券取得的长期股权投资，初始投资成本为发行权益性证券的公允价值；</w:t>
      </w:r>
      <w:r>
        <w:rPr>
          <w:spacing w:val="-44"/>
        </w:rPr>
        <w:t> </w:t>
      </w:r>
      <w:r>
        <w:rPr>
          <w:spacing w:val="-44"/>
        </w:rPr>
      </w:r>
      <w:r>
        <w:rPr>
          <w:spacing w:val="-2"/>
        </w:rPr>
        <w:t>通过债务重组取得的长期股权投资，其初始投资成本应当按照《企业会计准则第</w:t>
      </w:r>
      <w:r>
        <w:rPr>
          <w:rFonts w:ascii="宋体" w:hAnsi="宋体" w:cs="宋体" w:eastAsia="宋体" w:hint="default"/>
          <w:spacing w:val="-2"/>
        </w:rPr>
        <w:t>12</w:t>
      </w:r>
      <w:r>
        <w:rPr>
          <w:spacing w:val="-2"/>
        </w:rPr>
        <w:t>号</w:t>
      </w:r>
      <w:r>
        <w:rPr>
          <w:rFonts w:ascii="Times New Roman" w:hAnsi="Times New Roman" w:cs="Times New Roman" w:eastAsia="Times New Roman" w:hint="default"/>
          <w:spacing w:val="-2"/>
        </w:rPr>
        <w:t>—</w:t>
      </w:r>
      <w:r>
        <w:rPr>
          <w:spacing w:val="-2"/>
        </w:rPr>
        <w:t>债务重组》的有关规定确定；非货币</w:t>
      </w:r>
      <w:r>
        <w:rPr>
          <w:spacing w:val="-64"/>
        </w:rPr>
        <w:t> </w:t>
      </w:r>
      <w:r>
        <w:rPr>
          <w:spacing w:val="-64"/>
        </w:rPr>
      </w:r>
      <w:r>
        <w:rPr/>
        <w:t>性资产交换取得的长期股权投资，初始投资成本根据准则相关规定确定。</w:t>
      </w:r>
    </w:p>
    <w:p>
      <w:pPr>
        <w:pStyle w:val="BodyText"/>
        <w:spacing w:line="316" w:lineRule="auto" w:before="22"/>
        <w:ind w:left="1494" w:right="0"/>
        <w:jc w:val="left"/>
      </w:pPr>
      <w:r>
        <w:rPr/>
        <w:t>（</w:t>
      </w:r>
      <w:r>
        <w:rPr>
          <w:rFonts w:ascii="宋体" w:hAnsi="宋体" w:cs="宋体" w:eastAsia="宋体" w:hint="default"/>
        </w:rPr>
        <w:t>2</w:t>
      </w:r>
      <w:r>
        <w:rPr/>
        <w:t>）后续计量及损益确认方法 </w:t>
      </w:r>
      <w:r>
        <w:rPr>
          <w:spacing w:val="-2"/>
        </w:rPr>
        <w:t>投资方能够对被投资单位实施控制的长期股权投资应当采用成本法核算，对联营企业和合营企业的长期股权投资采用权</w:t>
      </w:r>
    </w:p>
    <w:p>
      <w:pPr>
        <w:pStyle w:val="BodyText"/>
        <w:spacing w:line="312" w:lineRule="auto" w:before="19"/>
        <w:ind w:left="1133" w:right="1131"/>
        <w:jc w:val="both"/>
      </w:pPr>
      <w:r>
        <w:rPr>
          <w:spacing w:val="-2"/>
        </w:rPr>
        <w:t>益法核算。投资方对联营企业的权益性投资，其中一部分通过风险投资机构、共同基金、信托公司或包括投连险基金在内的</w:t>
      </w:r>
      <w:r>
        <w:rPr>
          <w:spacing w:val="-66"/>
        </w:rPr>
        <w:t> </w:t>
      </w:r>
      <w:r>
        <w:rPr>
          <w:spacing w:val="-66"/>
        </w:rPr>
      </w:r>
      <w:r>
        <w:rPr>
          <w:spacing w:val="-2"/>
        </w:rPr>
        <w:t>类似主体间接持有的，无论以上主体是否对这部分投资具有重大影响，投资方都应当按照《企业会计准则第</w:t>
      </w:r>
      <w:r>
        <w:rPr>
          <w:rFonts w:ascii="宋体" w:hAnsi="宋体" w:cs="宋体" w:eastAsia="宋体" w:hint="default"/>
          <w:spacing w:val="-2"/>
        </w:rPr>
        <w:t>22</w:t>
      </w:r>
      <w:r>
        <w:rPr>
          <w:spacing w:val="-2"/>
        </w:rPr>
        <w:t>号</w:t>
      </w:r>
      <w:r>
        <w:rPr>
          <w:rFonts w:ascii="Times New Roman" w:hAnsi="Times New Roman" w:cs="Times New Roman" w:eastAsia="Times New Roman" w:hint="default"/>
          <w:spacing w:val="-2"/>
        </w:rPr>
        <w:t>——</w:t>
      </w:r>
      <w:r>
        <w:rPr>
          <w:spacing w:val="-2"/>
        </w:rPr>
        <w:t>金融工</w:t>
      </w:r>
      <w:r>
        <w:rPr>
          <w:spacing w:val="-63"/>
        </w:rPr>
        <w:t> </w:t>
      </w:r>
      <w:r>
        <w:rPr>
          <w:spacing w:val="-2"/>
        </w:rPr>
        <w:t>具确认和计量》的有关规定，对间接持有的该部分投资选择以公允价值计量且其变动计入损益，并对其余部分采用权益法核</w:t>
      </w:r>
      <w:r>
        <w:rPr>
          <w:spacing w:val="-66"/>
        </w:rPr>
        <w:t> </w:t>
      </w:r>
      <w:r>
        <w:rPr>
          <w:spacing w:val="-66"/>
        </w:rPr>
      </w:r>
      <w:r>
        <w:rPr/>
        <w:t>算。</w:t>
      </w:r>
    </w:p>
    <w:p>
      <w:pPr>
        <w:pStyle w:val="BodyText"/>
        <w:spacing w:line="316" w:lineRule="auto" w:before="22"/>
        <w:ind w:left="1494" w:right="0"/>
        <w:jc w:val="left"/>
      </w:pPr>
      <w:r>
        <w:rPr/>
        <w:t>（</w:t>
      </w:r>
      <w:r>
        <w:rPr>
          <w:rFonts w:ascii="宋体" w:hAnsi="宋体" w:cs="宋体" w:eastAsia="宋体" w:hint="default"/>
        </w:rPr>
        <w:t>3</w:t>
      </w:r>
      <w:r>
        <w:rPr/>
        <w:t>）确定对被投资单位具有共同控制、重大影响的依据 </w:t>
      </w:r>
      <w:r>
        <w:rPr>
          <w:spacing w:val="-2"/>
        </w:rPr>
        <w:t>对被投资单位具有共同控制，是指对某项安排的回报产生重大影响的活动必须经过分享控制权的参与方一致同意后才能</w:t>
      </w:r>
    </w:p>
    <w:p>
      <w:pPr>
        <w:pStyle w:val="BodyText"/>
        <w:spacing w:line="316" w:lineRule="auto" w:before="19"/>
        <w:ind w:left="1133" w:right="1131"/>
        <w:jc w:val="both"/>
      </w:pPr>
      <w:r>
        <w:rPr>
          <w:spacing w:val="-2"/>
        </w:rPr>
        <w:t>决策，包括商品或劳务的销售和购买、金融资产的管理、资产的购买和处置、研究与开发活动以及融资活动等；对被投资单</w:t>
      </w:r>
      <w:r>
        <w:rPr>
          <w:spacing w:val="-66"/>
        </w:rPr>
        <w:t> </w:t>
      </w:r>
      <w:r>
        <w:rPr>
          <w:spacing w:val="-66"/>
        </w:rPr>
      </w:r>
      <w:r>
        <w:rPr/>
        <w:t>位具有重大影响，是指当持有被投资单位</w:t>
      </w:r>
      <w:r>
        <w:rPr>
          <w:rFonts w:ascii="宋体" w:hAnsi="宋体" w:cs="宋体" w:eastAsia="宋体" w:hint="default"/>
        </w:rPr>
        <w:t>20%</w:t>
      </w:r>
      <w:r>
        <w:rPr/>
        <w:t>以上至</w:t>
      </w:r>
      <w:r>
        <w:rPr>
          <w:rFonts w:ascii="宋体" w:hAnsi="宋体" w:cs="宋体" w:eastAsia="宋体" w:hint="default"/>
        </w:rPr>
        <w:t>50%</w:t>
      </w:r>
      <w:r>
        <w:rPr/>
        <w:t>的表决权资本时，具有重大影响。或虽不足</w:t>
      </w:r>
      <w:r>
        <w:rPr>
          <w:rFonts w:ascii="宋体" w:hAnsi="宋体" w:cs="宋体" w:eastAsia="宋体" w:hint="default"/>
        </w:rPr>
        <w:t>20%</w:t>
      </w:r>
      <w:r>
        <w:rPr/>
        <w:t>，但符合下列条件之 </w:t>
      </w:r>
      <w:r>
        <w:rPr>
          <w:spacing w:val="-2"/>
        </w:rPr>
        <w:t>一时，具有重大影响：在被投资单位的董事会或类似的权力机构中派有代表；参与被投资单位的政策制定过程；向被投资单</w:t>
      </w:r>
      <w:r>
        <w:rPr>
          <w:spacing w:val="-66"/>
        </w:rPr>
        <w:t> </w:t>
      </w:r>
      <w:r>
        <w:rPr>
          <w:spacing w:val="-66"/>
        </w:rPr>
      </w:r>
      <w:r>
        <w:rPr/>
        <w:t>位派出管理人员；被投资单位依赖投资公司的技术或技术资料；与被投资单位之间发生重要交易。</w:t>
      </w:r>
    </w:p>
    <w:p>
      <w:pPr>
        <w:spacing w:line="240" w:lineRule="auto" w:before="7"/>
        <w:rPr>
          <w:rFonts w:ascii="宋体" w:hAnsi="宋体" w:cs="宋体" w:eastAsia="宋体" w:hint="default"/>
          <w:sz w:val="22"/>
          <w:szCs w:val="22"/>
        </w:rPr>
      </w:pPr>
    </w:p>
    <w:p>
      <w:pPr>
        <w:pStyle w:val="Heading5"/>
        <w:spacing w:line="240" w:lineRule="auto"/>
        <w:ind w:left="1133" w:right="0"/>
        <w:jc w:val="both"/>
        <w:rPr>
          <w:b w:val="0"/>
          <w:bCs w:val="0"/>
        </w:rPr>
      </w:pPr>
      <w:bookmarkStart w:name="15、投资性房地产" w:id="184"/>
      <w:bookmarkEnd w:id="184"/>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952"/>
        <w:jc w:val="left"/>
      </w:pPr>
      <w:r>
        <w:rPr/>
        <w:t>投资性房地产计量模式 不适用</w:t>
      </w:r>
    </w:p>
    <w:p>
      <w:pPr>
        <w:spacing w:line="240" w:lineRule="auto" w:before="11"/>
        <w:rPr>
          <w:rFonts w:ascii="宋体" w:hAnsi="宋体" w:cs="宋体" w:eastAsia="宋体" w:hint="default"/>
          <w:sz w:val="19"/>
          <w:szCs w:val="19"/>
        </w:rPr>
      </w:pPr>
    </w:p>
    <w:p>
      <w:pPr>
        <w:pStyle w:val="Heading5"/>
        <w:spacing w:line="240" w:lineRule="auto"/>
        <w:ind w:right="0"/>
        <w:jc w:val="both"/>
        <w:rPr>
          <w:b w:val="0"/>
          <w:bCs w:val="0"/>
        </w:rPr>
      </w:pPr>
      <w:bookmarkStart w:name="16、固定资产" w:id="185"/>
      <w:bookmarkEnd w:id="185"/>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bookmarkStart w:name="（1）确认条件" w:id="186"/>
      <w:bookmarkEnd w:id="186"/>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22" w:firstLine="630"/>
        <w:jc w:val="left"/>
      </w:pPr>
      <w:r>
        <w:rPr/>
        <w:t>固定资产指为生产商品、提供劳务、出租或经营管理而持有的，使用寿命超过一个会计年度的有形资产。同时满足 以下条件时予以确认：与该固定资产有关的经济利益很可能流入企业；该固定资产的成本能够可靠地计量。</w:t>
      </w:r>
    </w:p>
    <w:p>
      <w:pPr>
        <w:spacing w:after="0" w:line="319"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5"/>
        <w:spacing w:line="240" w:lineRule="auto" w:before="35"/>
        <w:ind w:right="0"/>
        <w:jc w:val="left"/>
        <w:rPr>
          <w:b w:val="0"/>
          <w:bCs w:val="0"/>
        </w:rPr>
      </w:pPr>
      <w:bookmarkStart w:name="（2）折旧方法" w:id="187"/>
      <w:bookmarkEnd w:id="187"/>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年</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3.17%-1.90%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11.88%-19.00%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6"/>
          <w:szCs w:val="26"/>
        </w:rPr>
      </w:pPr>
    </w:p>
    <w:p>
      <w:pPr>
        <w:pStyle w:val="Heading5"/>
        <w:spacing w:line="240" w:lineRule="auto" w:before="35"/>
        <w:ind w:right="0"/>
        <w:jc w:val="left"/>
        <w:rPr>
          <w:b w:val="0"/>
          <w:bCs w:val="0"/>
        </w:rPr>
      </w:pPr>
      <w:bookmarkStart w:name="（3）融资租入固定资产的认定依据、计价和折旧方法" w:id="188"/>
      <w:bookmarkEnd w:id="188"/>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630"/>
        <w:jc w:val="both"/>
      </w:pPr>
      <w:r>
        <w:rPr/>
        <w:t>融资租入固定资产为实质上转移了与资产所有权有关的全部风险和报酬的租赁。融资租入固定资产初始计价为租赁 </w:t>
      </w:r>
      <w:r>
        <w:rPr>
          <w:spacing w:val="-2"/>
        </w:rPr>
        <w:t>期开始日租赁资产公允价值与最低租赁付款额现值较低者作为入账价值；融资租入固定资产后续计价采用与自有固定资产相</w:t>
      </w:r>
      <w:r>
        <w:rPr>
          <w:spacing w:val="-64"/>
        </w:rPr>
        <w:t> </w:t>
      </w:r>
      <w:r>
        <w:rPr>
          <w:spacing w:val="-64"/>
        </w:rPr>
      </w:r>
      <w:r>
        <w:rPr/>
        <w:t>一致的折旧政策计提折旧及减值准备。</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bookmarkStart w:name="17、在建工程" w:id="189"/>
      <w:bookmarkEnd w:id="189"/>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19" w:lineRule="auto" w:before="26"/>
        <w:ind w:right="1131" w:firstLine="360"/>
        <w:jc w:val="both"/>
      </w:pPr>
      <w:r>
        <w:rPr>
          <w:spacing w:val="-2"/>
        </w:rPr>
        <w:t>公司在建工程分为自营方式建造和出包方式建造两种。在建工程在工程完工达到预定可使用状态时，结转固定资产。预</w:t>
      </w:r>
      <w:r>
        <w:rPr/>
        <w:t> </w:t>
      </w:r>
      <w:r>
        <w:rPr>
          <w:spacing w:val="-2"/>
        </w:rPr>
        <w:t>定可使用状态的判断标准，应符合下列情况之一：固定资产的实体建造（包括安装）工作已经全部完成或实质上已经全部完</w:t>
      </w:r>
      <w:r>
        <w:rPr>
          <w:spacing w:val="-66"/>
        </w:rPr>
        <w:t> </w:t>
      </w:r>
      <w:r>
        <w:rPr>
          <w:spacing w:val="-66"/>
        </w:rPr>
      </w:r>
      <w:r>
        <w:rPr>
          <w:spacing w:val="-2"/>
        </w:rPr>
        <w:t>成；已经试生产或试运行，并且其结果表明资产能够正常运行或能够稳定地生产出合格产品，或者试运行结果表明其能够正</w:t>
      </w:r>
      <w:r>
        <w:rPr>
          <w:spacing w:val="-66"/>
        </w:rPr>
        <w:t> </w:t>
      </w:r>
      <w:r>
        <w:rPr>
          <w:spacing w:val="-66"/>
        </w:rPr>
      </w:r>
      <w:r>
        <w:rPr>
          <w:spacing w:val="-2"/>
        </w:rPr>
        <w:t>常运转或营业；该项建造的固定资产上的支出金额很少或者几乎不再发生；所购建的固定资产已经达到设计或合同要求，或</w:t>
      </w:r>
      <w:r>
        <w:rPr>
          <w:spacing w:val="-66"/>
        </w:rPr>
        <w:t> </w:t>
      </w:r>
      <w:r>
        <w:rPr>
          <w:spacing w:val="-66"/>
        </w:rPr>
      </w:r>
      <w:r>
        <w:rPr/>
        <w:t>与设计或合同要求基本相符。</w:t>
      </w:r>
    </w:p>
    <w:p>
      <w:pPr>
        <w:spacing w:line="240" w:lineRule="auto" w:before="5"/>
        <w:rPr>
          <w:rFonts w:ascii="宋体" w:hAnsi="宋体" w:cs="宋体" w:eastAsia="宋体" w:hint="default"/>
          <w:sz w:val="22"/>
          <w:szCs w:val="22"/>
        </w:rPr>
      </w:pPr>
    </w:p>
    <w:p>
      <w:pPr>
        <w:pStyle w:val="Heading5"/>
        <w:spacing w:line="240" w:lineRule="auto"/>
        <w:ind w:right="0"/>
        <w:jc w:val="both"/>
        <w:rPr>
          <w:b w:val="0"/>
          <w:bCs w:val="0"/>
        </w:rPr>
      </w:pPr>
      <w:bookmarkStart w:name="18、借款费用" w:id="190"/>
      <w:bookmarkEnd w:id="190"/>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93" w:right="0"/>
        <w:jc w:val="left"/>
      </w:pPr>
      <w:r>
        <w:rPr/>
        <w:t>（</w:t>
      </w:r>
      <w:r>
        <w:rPr>
          <w:rFonts w:ascii="宋体" w:hAnsi="宋体" w:cs="宋体" w:eastAsia="宋体" w:hint="default"/>
        </w:rPr>
        <w:t>1</w:t>
      </w:r>
      <w:r>
        <w:rPr/>
        <w:t>）借款费用资本化的确认原则 </w:t>
      </w:r>
      <w:r>
        <w:rPr>
          <w:spacing w:val="-2"/>
        </w:rPr>
        <w:t>本公司发生的借款费用，可直接归属于符合资本化条件的资产的购建或者生产的，予以资本化，计入相关资产成本；其</w:t>
      </w:r>
    </w:p>
    <w:p>
      <w:pPr>
        <w:pStyle w:val="BodyText"/>
        <w:spacing w:line="316" w:lineRule="auto" w:before="19"/>
        <w:ind w:left="1133" w:right="1131"/>
        <w:jc w:val="both"/>
      </w:pPr>
      <w:r>
        <w:rPr>
          <w:spacing w:val="-2"/>
        </w:rPr>
        <w:t>他借款费用，在发生时根据其发生额确认为费用，计入当期损益。符合资本化条件的资产，是指需要经过相当长时间的购建</w:t>
      </w:r>
      <w:r>
        <w:rPr>
          <w:spacing w:val="-66"/>
        </w:rPr>
        <w:t> </w:t>
      </w:r>
      <w:r>
        <w:rPr>
          <w:spacing w:val="-66"/>
        </w:rPr>
      </w:r>
      <w:r>
        <w:rPr/>
        <w:t>或者生产活动才能达到预定可使用或者可销售状态的固定资产、投资性房地产和存货等资产。</w:t>
      </w:r>
    </w:p>
    <w:p>
      <w:pPr>
        <w:pStyle w:val="BodyText"/>
        <w:spacing w:line="316" w:lineRule="auto" w:before="19"/>
        <w:ind w:left="1494" w:right="0"/>
        <w:jc w:val="left"/>
      </w:pPr>
      <w:r>
        <w:rPr/>
        <w:t>（</w:t>
      </w:r>
      <w:r>
        <w:rPr>
          <w:rFonts w:ascii="宋体" w:hAnsi="宋体" w:cs="宋体" w:eastAsia="宋体" w:hint="default"/>
        </w:rPr>
        <w:t>2</w:t>
      </w:r>
      <w:r>
        <w:rPr/>
        <w:t>）资本化金额计算方法 </w:t>
      </w:r>
      <w:r>
        <w:rPr>
          <w:spacing w:val="-2"/>
        </w:rPr>
        <w:t>资本化期间，是指从借款费用开始资本化时点到停止资本化时点的期间。借款费用暂停资本化的期间不包括在内。在购</w:t>
      </w:r>
    </w:p>
    <w:p>
      <w:pPr>
        <w:pStyle w:val="BodyText"/>
        <w:spacing w:line="316" w:lineRule="auto" w:before="19"/>
        <w:ind w:left="1493" w:right="0" w:hanging="360"/>
        <w:jc w:val="left"/>
      </w:pPr>
      <w:r>
        <w:rPr/>
        <w:t>建或生产过程中发生非正常中断、且中断时间连续超过</w:t>
      </w:r>
      <w:r>
        <w:rPr>
          <w:rFonts w:ascii="宋体" w:hAnsi="宋体" w:cs="宋体" w:eastAsia="宋体" w:hint="default"/>
        </w:rPr>
        <w:t>3</w:t>
      </w:r>
      <w:r>
        <w:rPr/>
        <w:t>个月的，应当暂停借款费用的资本化。 </w:t>
      </w:r>
      <w:r>
        <w:rPr>
          <w:spacing w:val="-2"/>
        </w:rPr>
        <w:t>借入专门借款，按照专门借款当期实际发生的利息费用，减去将尚未动用的借款资金存入银行取得的利息收入或进行暂</w:t>
      </w:r>
    </w:p>
    <w:p>
      <w:pPr>
        <w:pStyle w:val="BodyText"/>
        <w:spacing w:line="316" w:lineRule="auto" w:before="19"/>
        <w:ind w:left="1133" w:right="1131"/>
        <w:jc w:val="both"/>
      </w:pPr>
      <w:r>
        <w:rPr>
          <w:spacing w:val="-2"/>
        </w:rPr>
        <w:t>时性投资取得的投资收益后的金额确定；占用一般借款按照累计资产支出超过专门借款部分的资产支出加权平均数乘以所占</w:t>
      </w:r>
      <w:r>
        <w:rPr>
          <w:spacing w:val="-64"/>
        </w:rPr>
        <w:t> </w:t>
      </w:r>
      <w:r>
        <w:rPr>
          <w:spacing w:val="-64"/>
        </w:rPr>
      </w:r>
      <w:r>
        <w:rPr>
          <w:spacing w:val="-2"/>
        </w:rPr>
        <w:t>用一般借款的资本化率计算确定，资本化率为一般借款的加权平均利率；借款存在折价或溢价的，按照实际利率法确定每一</w:t>
      </w:r>
      <w:r>
        <w:rPr>
          <w:spacing w:val="-66"/>
        </w:rPr>
        <w:t> </w:t>
      </w:r>
      <w:r>
        <w:rPr>
          <w:spacing w:val="-66"/>
        </w:rPr>
      </w:r>
      <w:r>
        <w:rPr/>
        <w:t>会计期间应摊销的折价或溢价金额，调整每期利息金额。</w:t>
      </w:r>
    </w:p>
    <w:p>
      <w:pPr>
        <w:pStyle w:val="BodyText"/>
        <w:spacing w:line="319" w:lineRule="auto" w:before="19"/>
        <w:ind w:right="1131" w:firstLine="360"/>
        <w:jc w:val="both"/>
      </w:pPr>
      <w:r>
        <w:rPr>
          <w:spacing w:val="-2"/>
        </w:rPr>
        <w:t>实际利率法是根据借款实际利率计算其摊余折价或溢价或利息费用的方法。其中实际利率是借款在预期存续期间的未来</w:t>
      </w:r>
      <w:r>
        <w:rPr/>
        <w:t> 现金流量，折现为该借款当前账面价值所使用的利率。</w:t>
      </w:r>
    </w:p>
    <w:p>
      <w:pPr>
        <w:spacing w:after="0" w:line="319" w:lineRule="auto"/>
        <w:jc w:val="both"/>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5"/>
        <w:spacing w:line="240" w:lineRule="auto" w:before="35"/>
        <w:ind w:right="0"/>
        <w:jc w:val="left"/>
        <w:rPr>
          <w:b w:val="0"/>
          <w:bCs w:val="0"/>
        </w:rPr>
      </w:pPr>
      <w:bookmarkStart w:name="19、生物资产" w:id="191"/>
      <w:bookmarkEnd w:id="191"/>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20、油气资产" w:id="192"/>
      <w:bookmarkEnd w:id="192"/>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21、无形资产" w:id="193"/>
      <w:bookmarkEnd w:id="193"/>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计价方法、使用寿命、减值测试" w:id="194"/>
      <w:bookmarkEnd w:id="194"/>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316" w:lineRule="auto" w:before="25"/>
        <w:ind w:left="1494" w:right="0"/>
        <w:jc w:val="left"/>
      </w:pPr>
      <w:r>
        <w:rPr>
          <w:rFonts w:ascii="宋体" w:hAnsi="宋体" w:cs="宋体" w:eastAsia="宋体" w:hint="default"/>
        </w:rPr>
        <w:t>1</w:t>
      </w:r>
      <w:r>
        <w:rPr/>
        <w:t>）无形资产的计价方法 </w:t>
      </w:r>
      <w:r>
        <w:rPr>
          <w:spacing w:val="-2"/>
        </w:rPr>
        <w:t>本公司无形资产按照成本进行初始计量。购入的无形资产，按实际支付的价款和相关支出作为实际成本。投资者投入的</w:t>
      </w:r>
    </w:p>
    <w:p>
      <w:pPr>
        <w:pStyle w:val="BodyText"/>
        <w:spacing w:line="316" w:lineRule="auto" w:before="19"/>
        <w:ind w:right="0"/>
        <w:jc w:val="left"/>
      </w:pPr>
      <w:r>
        <w:rPr>
          <w:spacing w:val="-2"/>
        </w:rPr>
        <w:t>无形资产，按投资合同或协议约定的价值确定实际成本，但合同或协议约定价值不公允的，按公允价值确定实际成本。自行</w:t>
      </w:r>
      <w:r>
        <w:rPr>
          <w:spacing w:val="-66"/>
        </w:rPr>
        <w:t> </w:t>
      </w:r>
      <w:r>
        <w:rPr>
          <w:spacing w:val="-66"/>
        </w:rPr>
      </w:r>
      <w:r>
        <w:rPr/>
        <w:t>开发的无形资产，其成本为达到预定用途前所发生的支出总额。</w:t>
      </w:r>
    </w:p>
    <w:p>
      <w:pPr>
        <w:pStyle w:val="BodyText"/>
        <w:spacing w:line="316" w:lineRule="auto" w:before="19"/>
        <w:ind w:right="1032" w:firstLine="360"/>
        <w:jc w:val="left"/>
      </w:pPr>
      <w:r>
        <w:rPr>
          <w:spacing w:val="-2"/>
        </w:rPr>
        <w:t>本公司无形资产后续计量方法分别为：使用寿命有限无形资产采用直线法摊销，并在年度终了，对无形资产的使用寿命</w:t>
      </w:r>
      <w:r>
        <w:rPr/>
        <w:t> 和摊销方法进行复核，如与原先估计数存在差异的，进行相应的调整；使用寿命不确定的无形资产不摊销，但在年度终了， 对使用寿命进行复核，当有确凿证据表明其使用寿命是有限的，则估计其使用寿命，按直线法进行摊销。</w:t>
      </w:r>
    </w:p>
    <w:p>
      <w:pPr>
        <w:pStyle w:val="BodyText"/>
        <w:spacing w:line="316" w:lineRule="auto" w:before="19"/>
        <w:ind w:left="1494" w:right="1212"/>
        <w:jc w:val="left"/>
      </w:pPr>
      <w:r>
        <w:rPr>
          <w:rFonts w:ascii="宋体" w:hAnsi="宋体" w:cs="宋体" w:eastAsia="宋体" w:hint="default"/>
        </w:rPr>
        <w:t>2</w:t>
      </w:r>
      <w:r>
        <w:rPr/>
        <w:t>）使用寿命不确定的判断依据 本公司将无法预见该资产为公司带来经济利益的期限，或使用期限不确定等无形资产确定为使用寿命不确定的无形资</w:t>
      </w:r>
    </w:p>
    <w:p>
      <w:pPr>
        <w:pStyle w:val="BodyText"/>
        <w:spacing w:line="316" w:lineRule="auto" w:before="19"/>
        <w:ind w:right="0"/>
        <w:jc w:val="left"/>
      </w:pPr>
      <w:r>
        <w:rPr>
          <w:spacing w:val="-2"/>
        </w:rPr>
        <w:t>产。使用寿命不确定的判断依据为：来源于合同性权利或其他法定权利，但合同规定或法律规定无明确使用年限；综合同行</w:t>
      </w:r>
      <w:r>
        <w:rPr>
          <w:spacing w:val="-66"/>
        </w:rPr>
        <w:t> </w:t>
      </w:r>
      <w:r>
        <w:rPr>
          <w:spacing w:val="-66"/>
        </w:rPr>
      </w:r>
      <w:r>
        <w:rPr/>
        <w:t>业情况或相关专家论证等，仍无法判断无形资产为公司带来经济利益的期限。</w:t>
      </w:r>
    </w:p>
    <w:p>
      <w:pPr>
        <w:pStyle w:val="BodyText"/>
        <w:spacing w:line="319" w:lineRule="auto" w:before="19"/>
        <w:ind w:left="1133" w:right="1133" w:firstLine="360"/>
        <w:jc w:val="both"/>
      </w:pPr>
      <w:r>
        <w:rPr>
          <w:spacing w:val="-2"/>
        </w:rPr>
        <w:t>每年年末，对使用寿命不确定无形资产使用寿命进行复核，主要采取自下而上的方式，由无形资产使用相关部门进行基</w:t>
      </w:r>
      <w:r>
        <w:rPr/>
        <w:t> 础复核，评价使用寿命不确定判断依据是否存在变化等。</w:t>
      </w:r>
    </w:p>
    <w:p>
      <w:pPr>
        <w:spacing w:line="240" w:lineRule="auto" w:before="5"/>
        <w:rPr>
          <w:rFonts w:ascii="宋体" w:hAnsi="宋体" w:cs="宋体" w:eastAsia="宋体" w:hint="default"/>
          <w:sz w:val="22"/>
          <w:szCs w:val="22"/>
        </w:rPr>
      </w:pPr>
    </w:p>
    <w:p>
      <w:pPr>
        <w:pStyle w:val="Heading5"/>
        <w:spacing w:line="240" w:lineRule="auto"/>
        <w:ind w:right="0"/>
        <w:jc w:val="left"/>
        <w:rPr>
          <w:b w:val="0"/>
          <w:bCs w:val="0"/>
        </w:rPr>
      </w:pPr>
      <w:bookmarkStart w:name="（2）内部研究开发支出会计政策" w:id="195"/>
      <w:bookmarkEnd w:id="195"/>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360"/>
        <w:jc w:val="both"/>
      </w:pPr>
      <w:r>
        <w:rPr>
          <w:spacing w:val="-2"/>
        </w:rPr>
        <w:t>内部研究开发项目研究阶段的支出，于发生时计入当期损益；开发阶段的支出，满足确认为无形资产条件的转入无形资</w:t>
      </w:r>
      <w:r>
        <w:rPr/>
        <w:t> 产核算。</w:t>
      </w:r>
    </w:p>
    <w:p>
      <w:pPr>
        <w:pStyle w:val="BodyText"/>
        <w:spacing w:line="316" w:lineRule="auto" w:before="19"/>
        <w:ind w:right="1132" w:firstLine="360"/>
        <w:jc w:val="both"/>
      </w:pPr>
      <w:r>
        <w:rPr>
          <w:spacing w:val="-2"/>
        </w:rPr>
        <w:t>划分内部研究开发项目的研究阶段和开发阶段的具体标准：为获取新的技术和知识等进行的有计划的调查阶段，应确定</w:t>
      </w:r>
      <w:r>
        <w:rPr/>
        <w:t> </w:t>
      </w:r>
      <w:r>
        <w:rPr>
          <w:spacing w:val="-2"/>
        </w:rPr>
        <w:t>为研究阶段，该阶段具有计划性和探索性等特点；在进行商业性生产或使用前，将研究成果或其他知识应用于某项计划或设</w:t>
      </w:r>
      <w:r>
        <w:rPr>
          <w:spacing w:val="-66"/>
        </w:rPr>
        <w:t> </w:t>
      </w:r>
      <w:r>
        <w:rPr>
          <w:spacing w:val="-66"/>
        </w:rPr>
      </w:r>
      <w:r>
        <w:rPr>
          <w:spacing w:val="-2"/>
        </w:rPr>
        <w:t>计，以生产出新的或具有实质性改进的材料、装置、产品等阶段，应确定为开发阶段，该阶段具有针对性和形成成果的可能</w:t>
      </w:r>
      <w:r>
        <w:rPr>
          <w:spacing w:val="-66"/>
        </w:rPr>
        <w:t> </w:t>
      </w:r>
      <w:r>
        <w:rPr>
          <w:spacing w:val="-66"/>
        </w:rPr>
      </w:r>
      <w:r>
        <w:rPr/>
        <w:t>性较大等特点。</w:t>
      </w:r>
    </w:p>
    <w:p>
      <w:pPr>
        <w:spacing w:line="240" w:lineRule="auto" w:before="7"/>
        <w:rPr>
          <w:rFonts w:ascii="宋体" w:hAnsi="宋体" w:cs="宋体" w:eastAsia="宋体" w:hint="default"/>
          <w:sz w:val="22"/>
          <w:szCs w:val="22"/>
        </w:rPr>
      </w:pPr>
    </w:p>
    <w:p>
      <w:pPr>
        <w:pStyle w:val="Heading5"/>
        <w:spacing w:line="240" w:lineRule="auto"/>
        <w:ind w:right="0"/>
        <w:jc w:val="left"/>
        <w:rPr>
          <w:b w:val="0"/>
          <w:bCs w:val="0"/>
        </w:rPr>
      </w:pPr>
      <w:bookmarkStart w:name="22、长期资产减值" w:id="196"/>
      <w:bookmarkEnd w:id="196"/>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长期股权投资、采用成本模式计量的投资性房地产、固定资产、在建工程、采用成本模式计量的生产性生物资产、油气</w:t>
      </w:r>
      <w:r>
        <w:rPr/>
        <w:t> </w:t>
      </w:r>
      <w:r>
        <w:rPr>
          <w:spacing w:val="-2"/>
        </w:rPr>
        <w:t>资产、无形资产、商誉等长期资产于资产负债表日存在减值迹象的，进行减值测试。减值测试结果表明资产的可收回金额低</w:t>
      </w:r>
      <w:r>
        <w:rPr>
          <w:spacing w:val="-66"/>
        </w:rPr>
        <w:t> </w:t>
      </w:r>
      <w:r>
        <w:rPr>
          <w:spacing w:val="-66"/>
        </w:rPr>
      </w:r>
      <w:r>
        <w:rPr/>
        <w:t>于其账面价值的，按其差额计提减值准备并计入减值损失。</w:t>
      </w:r>
    </w:p>
    <w:p>
      <w:pPr>
        <w:pStyle w:val="BodyText"/>
        <w:spacing w:line="319" w:lineRule="auto" w:before="19"/>
        <w:ind w:right="1131" w:firstLine="360"/>
        <w:jc w:val="both"/>
      </w:pPr>
      <w:r>
        <w:rPr>
          <w:spacing w:val="-2"/>
        </w:rPr>
        <w:t>可收回金额为资产的公允价值减去处置费用后的净额与资产预计未来现金流量的现值两者之间的较高者。资产减值准备</w:t>
      </w:r>
      <w:r>
        <w:rPr/>
        <w:t> </w:t>
      </w:r>
      <w:r>
        <w:rPr>
          <w:spacing w:val="-2"/>
        </w:rPr>
        <w:t>按单项资产为基础计算并确认，如果难以对单项资产的可收回金额进行估计的，以该资产所属的资产组确定资产组的可收回</w:t>
      </w:r>
      <w:r>
        <w:rPr>
          <w:spacing w:val="-64"/>
        </w:rPr>
        <w:t> </w:t>
      </w:r>
      <w:r>
        <w:rPr>
          <w:spacing w:val="-64"/>
        </w:rPr>
      </w:r>
      <w:r>
        <w:rPr/>
        <w:t>金额。资产组是能够独立产生现金流入的最小资产组合。</w:t>
      </w:r>
    </w:p>
    <w:p>
      <w:pPr>
        <w:pStyle w:val="BodyText"/>
        <w:spacing w:line="316" w:lineRule="auto" w:before="17"/>
        <w:ind w:right="1131" w:firstLine="360"/>
        <w:jc w:val="both"/>
      </w:pPr>
      <w:r>
        <w:rPr>
          <w:spacing w:val="-2"/>
        </w:rPr>
        <w:t>在财务报表中单独列示的商誉，无论是否存在减值迹象，至少每年进行减值测试。减值测试时，商誉的账面价值分摊至</w:t>
      </w:r>
      <w:r>
        <w:rPr/>
        <w:t> </w:t>
      </w:r>
      <w:r>
        <w:rPr>
          <w:spacing w:val="-2"/>
        </w:rPr>
        <w:t>预期从企业合并的协同效应中受益的资产组或资产组组合。测试结果表明包含分摊的商誉的资产组或资产组组合的可收回金</w:t>
      </w:r>
      <w:r>
        <w:rPr>
          <w:spacing w:val="-64"/>
        </w:rPr>
        <w:t> </w:t>
      </w:r>
      <w:r>
        <w:rPr>
          <w:spacing w:val="-64"/>
        </w:rPr>
      </w:r>
      <w:r>
        <w:rPr>
          <w:spacing w:val="-2"/>
        </w:rPr>
        <w:t>额低于其账面价值的，确认相应的减值损失。减值损失金额先抵减分摊至该资产组或资产组组合的商誉的账面价值，再根据</w:t>
      </w:r>
    </w:p>
    <w:p>
      <w:pPr>
        <w:spacing w:after="0" w:line="316" w:lineRule="auto"/>
        <w:jc w:val="both"/>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left="1493" w:right="1933" w:hanging="360"/>
        <w:jc w:val="left"/>
      </w:pPr>
      <w:r>
        <w:rPr/>
        <w:t>资产组或资产组组合中除商誉以外的其他各项资产的账面价值所占比重，按比例抵减其他各项资产的账面价值。 上述资产减值损失一经确认，以后期间不予转回价值得以恢复的部分。</w:t>
      </w:r>
    </w:p>
    <w:p>
      <w:pPr>
        <w:spacing w:line="240" w:lineRule="auto" w:before="7"/>
        <w:rPr>
          <w:rFonts w:ascii="宋体" w:hAnsi="宋体" w:cs="宋体" w:eastAsia="宋体" w:hint="default"/>
          <w:sz w:val="22"/>
          <w:szCs w:val="22"/>
        </w:rPr>
      </w:pPr>
    </w:p>
    <w:p>
      <w:pPr>
        <w:pStyle w:val="Heading5"/>
        <w:spacing w:line="240" w:lineRule="auto"/>
        <w:ind w:left="1133" w:right="0"/>
        <w:jc w:val="left"/>
        <w:rPr>
          <w:b w:val="0"/>
          <w:bCs w:val="0"/>
        </w:rPr>
      </w:pPr>
      <w:bookmarkStart w:name="23、长期待摊费用" w:id="197"/>
      <w:bookmarkEnd w:id="197"/>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49" w:firstLine="420"/>
        <w:jc w:val="both"/>
      </w:pPr>
      <w:r>
        <w:rPr/>
        <w:t>本公司长期待摊费用是指已经支出，但受益期限在一年以上（不含一年）的各项费用。长期待摊费用按费用项目的受 益期限分期摊销。若长期待摊的费用项目不能使以后会计期间受益，则将尚未摊销的该项目的摊余价值全部转入当期损益。</w:t>
      </w:r>
    </w:p>
    <w:p>
      <w:pPr>
        <w:spacing w:line="240" w:lineRule="auto" w:before="7"/>
        <w:rPr>
          <w:rFonts w:ascii="宋体" w:hAnsi="宋体" w:cs="宋体" w:eastAsia="宋体" w:hint="default"/>
          <w:sz w:val="22"/>
          <w:szCs w:val="22"/>
        </w:rPr>
      </w:pPr>
    </w:p>
    <w:p>
      <w:pPr>
        <w:pStyle w:val="Heading5"/>
        <w:spacing w:line="240" w:lineRule="auto"/>
        <w:ind w:right="0"/>
        <w:jc w:val="left"/>
        <w:rPr>
          <w:b w:val="0"/>
          <w:bCs w:val="0"/>
        </w:rPr>
      </w:pPr>
      <w:bookmarkStart w:name="24、职工薪酬" w:id="198"/>
      <w:bookmarkEnd w:id="198"/>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短期薪酬的会计处理方法" w:id="199"/>
      <w:bookmarkEnd w:id="199"/>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在职工为本公司提供服务的会计期间，将实际发生的短期薪酬确认为负债，并计入当期损益，其他会计准则要求或允许</w:t>
      </w:r>
      <w:r>
        <w:rPr/>
        <w:t> </w:t>
      </w:r>
      <w:r>
        <w:rPr>
          <w:spacing w:val="-2"/>
        </w:rPr>
        <w:t>计入资产成本的除外。本公司发生的职工福利费，在实际发生时根据实际发生额计入当期损益或相关资产成本。职工福利费</w:t>
      </w:r>
      <w:r>
        <w:rPr>
          <w:spacing w:val="-66"/>
        </w:rPr>
        <w:t> </w:t>
      </w:r>
      <w:r>
        <w:rPr>
          <w:spacing w:val="-66"/>
        </w:rPr>
      </w:r>
      <w:r>
        <w:rPr>
          <w:spacing w:val="-2"/>
        </w:rPr>
        <w:t>为非货币性福利的，按照公允价值计量。企业为职工缴纳的医疗保险费、工伤保险费、生育保险费等社会保险费和住房公积</w:t>
      </w:r>
      <w:r>
        <w:rPr>
          <w:spacing w:val="-66"/>
        </w:rPr>
        <w:t> </w:t>
      </w:r>
      <w:r>
        <w:rPr>
          <w:spacing w:val="-66"/>
        </w:rPr>
      </w:r>
      <w:r>
        <w:rPr>
          <w:spacing w:val="-2"/>
        </w:rPr>
        <w:t>金，以及按规定提取的工会经费和职工教育经费，在职工提供服务的会计期间，根据规定的计提基础和计提比例计算确定相</w:t>
      </w:r>
      <w:r>
        <w:rPr>
          <w:spacing w:val="-65"/>
        </w:rPr>
        <w:t> </w:t>
      </w:r>
      <w:r>
        <w:rPr>
          <w:spacing w:val="-65"/>
        </w:rPr>
      </w:r>
      <w:r>
        <w:rPr/>
        <w:t>应的职工薪酬金额，并确认相应负债，计入当期损益或相关资产成本。</w:t>
      </w:r>
    </w:p>
    <w:p>
      <w:pPr>
        <w:spacing w:line="240" w:lineRule="auto" w:before="7"/>
        <w:rPr>
          <w:rFonts w:ascii="宋体" w:hAnsi="宋体" w:cs="宋体" w:eastAsia="宋体" w:hint="default"/>
          <w:sz w:val="22"/>
          <w:szCs w:val="22"/>
        </w:rPr>
      </w:pPr>
    </w:p>
    <w:p>
      <w:pPr>
        <w:pStyle w:val="Heading5"/>
        <w:spacing w:line="240" w:lineRule="auto"/>
        <w:ind w:left="1133" w:right="0"/>
        <w:jc w:val="left"/>
        <w:rPr>
          <w:b w:val="0"/>
          <w:bCs w:val="0"/>
        </w:rPr>
      </w:pPr>
      <w:bookmarkStart w:name="（2）离职后福利的会计处理方法" w:id="200"/>
      <w:bookmarkEnd w:id="200"/>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3" w:right="1032" w:firstLine="360"/>
        <w:jc w:val="left"/>
      </w:pPr>
      <w:r>
        <w:rPr>
          <w:spacing w:val="-4"/>
        </w:rPr>
        <w:t>本公司在职工提供服务的会计期间，根据设定提存计划计算的应缴存金额确认为负债，并计入当期损益或相关资产成本。</w:t>
      </w:r>
      <w:r>
        <w:rPr/>
        <w:t> </w:t>
      </w:r>
      <w:r>
        <w:rPr>
          <w:spacing w:val="-2"/>
        </w:rPr>
        <w:t>根据预期累计福利单位法确定的公式将设定受益计划产生的福利义务归属于职工提供服务的期间，并计入当期损益或相关资</w:t>
      </w:r>
      <w:r>
        <w:rPr>
          <w:spacing w:val="-64"/>
        </w:rPr>
        <w:t> </w:t>
      </w:r>
      <w:r>
        <w:rPr>
          <w:spacing w:val="-64"/>
        </w:rPr>
      </w:r>
      <w:r>
        <w:rPr/>
        <w:t>产成本。</w:t>
      </w:r>
    </w:p>
    <w:p>
      <w:pPr>
        <w:spacing w:line="240" w:lineRule="auto" w:before="5"/>
        <w:rPr>
          <w:rFonts w:ascii="宋体" w:hAnsi="宋体" w:cs="宋体" w:eastAsia="宋体" w:hint="default"/>
          <w:sz w:val="22"/>
          <w:szCs w:val="22"/>
        </w:rPr>
      </w:pPr>
    </w:p>
    <w:p>
      <w:pPr>
        <w:pStyle w:val="Heading5"/>
        <w:spacing w:line="240" w:lineRule="auto"/>
        <w:ind w:left="1133" w:right="0"/>
        <w:jc w:val="left"/>
        <w:rPr>
          <w:b w:val="0"/>
          <w:bCs w:val="0"/>
        </w:rPr>
      </w:pPr>
      <w:bookmarkStart w:name="（3）辞退福利的会计处理方法" w:id="201"/>
      <w:bookmarkEnd w:id="201"/>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3" w:right="1050" w:firstLine="360"/>
        <w:jc w:val="both"/>
      </w:pPr>
      <w:r>
        <w:rPr>
          <w:spacing w:val="-2"/>
        </w:rPr>
        <w:t>公司向职工提供辞退福利时，在下列两者孰早日确认辞退福利产生的职工薪酬负债，并计入当期损益：本公司不能单方</w:t>
      </w:r>
      <w:r>
        <w:rPr/>
        <w:t> 面撤回因解除劳动关系计划或裁减建议所提供的辞退福利时；本公司确认与涉及支付辞退福利的重组相关的成本或费用时。</w:t>
      </w:r>
    </w:p>
    <w:p>
      <w:pPr>
        <w:spacing w:line="240" w:lineRule="auto" w:before="7"/>
        <w:rPr>
          <w:rFonts w:ascii="宋体" w:hAnsi="宋体" w:cs="宋体" w:eastAsia="宋体" w:hint="default"/>
          <w:sz w:val="22"/>
          <w:szCs w:val="22"/>
        </w:rPr>
      </w:pPr>
    </w:p>
    <w:p>
      <w:pPr>
        <w:pStyle w:val="Heading5"/>
        <w:spacing w:line="240" w:lineRule="auto"/>
        <w:ind w:right="0"/>
        <w:jc w:val="left"/>
        <w:rPr>
          <w:b w:val="0"/>
          <w:bCs w:val="0"/>
        </w:rPr>
      </w:pPr>
      <w:bookmarkStart w:name="（4）其他长期职工福利的会计处理方法" w:id="202"/>
      <w:bookmarkEnd w:id="202"/>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360"/>
        <w:jc w:val="both"/>
      </w:pPr>
      <w:r>
        <w:rPr>
          <w:spacing w:val="-2"/>
        </w:rPr>
        <w:t>本公司向职工提供的其他长期职工福利，符合设定提存计划条件的，应当按照有关设定提存计划的规定进行处理；除此</w:t>
      </w:r>
      <w:r>
        <w:rPr/>
        <w:t> 外，根据设定受益计划的有关规定，确认和计量其他长期职工福利净负债或净资产。</w:t>
      </w:r>
    </w:p>
    <w:p>
      <w:pPr>
        <w:spacing w:line="240" w:lineRule="auto" w:before="7"/>
        <w:rPr>
          <w:rFonts w:ascii="宋体" w:hAnsi="宋体" w:cs="宋体" w:eastAsia="宋体" w:hint="default"/>
          <w:sz w:val="22"/>
          <w:szCs w:val="22"/>
        </w:rPr>
      </w:pPr>
    </w:p>
    <w:p>
      <w:pPr>
        <w:pStyle w:val="Heading5"/>
        <w:spacing w:line="240" w:lineRule="auto"/>
        <w:ind w:right="0"/>
        <w:jc w:val="left"/>
        <w:rPr>
          <w:b w:val="0"/>
          <w:bCs w:val="0"/>
        </w:rPr>
      </w:pPr>
      <w:bookmarkStart w:name="25、预计负债" w:id="203"/>
      <w:bookmarkEnd w:id="203"/>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130" w:firstLine="360"/>
        <w:jc w:val="both"/>
      </w:pPr>
      <w:r>
        <w:rPr>
          <w:spacing w:val="-2"/>
        </w:rPr>
        <w:t>当与或有事项相关的义务是公司承担的现时义务，且履行该义务很可能导致经济利益流出，同时其金额能够可靠地计量</w:t>
      </w:r>
      <w:r>
        <w:rPr/>
        <w:t> </w:t>
      </w:r>
      <w:r>
        <w:rPr>
          <w:spacing w:val="-2"/>
        </w:rPr>
        <w:t>时确认该义务为预计负债。本公司按照履行相关现时义务所需支出的最佳估计数进行初始计量，如所需支出存在一个连续范</w:t>
      </w:r>
      <w:r>
        <w:rPr>
          <w:spacing w:val="-63"/>
        </w:rPr>
        <w:t> </w:t>
      </w:r>
      <w:r>
        <w:rPr>
          <w:spacing w:val="-63"/>
        </w:rPr>
      </w:r>
      <w:r>
        <w:rPr>
          <w:spacing w:val="-2"/>
        </w:rPr>
        <w:t>围，且该范围内各种结果发生的可能性相同，最佳估计数按照该范围内的中间值确定；如涉及多个项目，按照各种可能结果</w:t>
      </w:r>
      <w:r>
        <w:rPr>
          <w:spacing w:val="-66"/>
        </w:rPr>
        <w:t> </w:t>
      </w:r>
      <w:r>
        <w:rPr>
          <w:spacing w:val="-66"/>
        </w:rPr>
      </w:r>
      <w:r>
        <w:rPr/>
        <w:t>及相关概率计算确定最佳估计数。</w:t>
      </w:r>
    </w:p>
    <w:p>
      <w:pPr>
        <w:pStyle w:val="BodyText"/>
        <w:spacing w:line="319" w:lineRule="auto" w:before="19"/>
        <w:ind w:right="1132" w:firstLine="360"/>
        <w:jc w:val="both"/>
      </w:pPr>
      <w:r>
        <w:rPr>
          <w:spacing w:val="-2"/>
        </w:rPr>
        <w:t>资产负债表日应当对预计负债账面价值进行复核，有确凿证据表明该账面价值不能真实反映当前最佳估计数，应当按照</w:t>
      </w:r>
      <w:r>
        <w:rPr/>
        <w:t> 当前最佳估计数对该账面价值进行调整。</w:t>
      </w:r>
    </w:p>
    <w:p>
      <w:pPr>
        <w:spacing w:after="0" w:line="319" w:lineRule="auto"/>
        <w:jc w:val="both"/>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5"/>
        <w:spacing w:line="240" w:lineRule="auto" w:before="35"/>
        <w:ind w:right="0"/>
        <w:jc w:val="left"/>
        <w:rPr>
          <w:b w:val="0"/>
          <w:bCs w:val="0"/>
        </w:rPr>
      </w:pPr>
      <w:bookmarkStart w:name="26、股份支付" w:id="204"/>
      <w:bookmarkEnd w:id="204"/>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32" w:firstLine="360"/>
        <w:jc w:val="left"/>
      </w:pPr>
      <w:r>
        <w:rPr>
          <w:spacing w:val="-2"/>
        </w:rPr>
        <w:t>本公司股份支付包括以权益结算的股份支付和以现金结算的股份支付。以权益结算的股份支付换取职工提供服务的，以</w:t>
      </w:r>
      <w:r>
        <w:rPr/>
        <w:t> </w:t>
      </w:r>
      <w:r>
        <w:rPr>
          <w:spacing w:val="-4"/>
        </w:rPr>
        <w:t>授予职工权益工具的公允价值计量。存在活跃市场的，按照活跃市场中的报价确定；不存在活跃市场的，采用估值技术确定，</w:t>
      </w:r>
      <w:r>
        <w:rPr>
          <w:spacing w:val="-46"/>
        </w:rPr>
        <w:t> </w:t>
      </w:r>
      <w:r>
        <w:rPr>
          <w:spacing w:val="-46"/>
        </w:rPr>
      </w:r>
      <w:r>
        <w:rPr/>
        <w:t>包括参考熟悉情况并自愿交易的各方最近进行的市场交易中使用的价格、参照实质上相同的其他金融工具的当前公允价值、 现金流量折现法和期权定价模型等。</w:t>
      </w:r>
    </w:p>
    <w:p>
      <w:pPr>
        <w:pStyle w:val="BodyText"/>
        <w:spacing w:line="316" w:lineRule="auto" w:before="17"/>
        <w:ind w:left="1133" w:right="1132" w:firstLine="360"/>
        <w:jc w:val="both"/>
      </w:pPr>
      <w:r>
        <w:rPr>
          <w:spacing w:val="-2"/>
        </w:rPr>
        <w:t>在各个资产负债表日，根据最新取得的可行权人数变动、业绩指标完成情况等后续信息，修正预计可行权的股票期权数</w:t>
      </w:r>
      <w:r>
        <w:rPr/>
        <w:t> </w:t>
      </w:r>
      <w:r>
        <w:rPr>
          <w:spacing w:val="-2"/>
        </w:rPr>
        <w:t>量，并以此为依据确认各期应分摊的费用。对于跨越多个会计期间的期权费用，一般可以按照该期权在某会计期间内等待期</w:t>
      </w:r>
      <w:r>
        <w:rPr>
          <w:spacing w:val="-66"/>
        </w:rPr>
        <w:t> </w:t>
      </w:r>
      <w:r>
        <w:rPr>
          <w:spacing w:val="-66"/>
        </w:rPr>
      </w:r>
      <w:r>
        <w:rPr/>
        <w:t>长度占整个等待期长度的比例进行分摊。</w:t>
      </w:r>
    </w:p>
    <w:p>
      <w:pPr>
        <w:spacing w:line="240" w:lineRule="auto" w:before="7"/>
        <w:rPr>
          <w:rFonts w:ascii="宋体" w:hAnsi="宋体" w:cs="宋体" w:eastAsia="宋体" w:hint="default"/>
          <w:sz w:val="22"/>
          <w:szCs w:val="22"/>
        </w:rPr>
      </w:pPr>
    </w:p>
    <w:p>
      <w:pPr>
        <w:pStyle w:val="Heading5"/>
        <w:spacing w:line="240" w:lineRule="auto"/>
        <w:ind w:left="1133" w:right="0"/>
        <w:jc w:val="left"/>
        <w:rPr>
          <w:b w:val="0"/>
          <w:bCs w:val="0"/>
        </w:rPr>
      </w:pPr>
      <w:bookmarkStart w:name="27、优先股、永续债等其他金融工具" w:id="205"/>
      <w:bookmarkEnd w:id="205"/>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28、收入" w:id="206"/>
      <w:bookmarkEnd w:id="206"/>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240" w:lineRule="auto" w:before="25"/>
        <w:ind w:left="1494" w:right="0"/>
        <w:jc w:val="left"/>
      </w:pPr>
      <w:r>
        <w:rPr/>
        <w:t>本公司的收入包括销售商品收入、提供劳务收入和让渡资产使用权收入。</w:t>
      </w:r>
    </w:p>
    <w:p>
      <w:pPr>
        <w:pStyle w:val="BodyText"/>
        <w:spacing w:line="316" w:lineRule="auto" w:before="76"/>
        <w:ind w:left="1494" w:right="8322"/>
        <w:jc w:val="left"/>
      </w:pPr>
      <w:r>
        <w:rPr/>
        <w:t>（</w:t>
      </w:r>
      <w:r>
        <w:rPr>
          <w:rFonts w:ascii="宋体" w:hAnsi="宋体" w:cs="宋体" w:eastAsia="宋体" w:hint="default"/>
        </w:rPr>
        <w:t>1</w:t>
      </w:r>
      <w:r>
        <w:rPr/>
        <w:t>）收入确认的一般原则 </w:t>
      </w:r>
      <w:r>
        <w:rPr>
          <w:rFonts w:ascii="宋体" w:hAnsi="宋体" w:cs="宋体" w:eastAsia="宋体" w:hint="default"/>
        </w:rPr>
        <w:t>1</w:t>
      </w:r>
      <w:r>
        <w:rPr/>
        <w:t>）销售商品</w:t>
      </w:r>
    </w:p>
    <w:p>
      <w:pPr>
        <w:pStyle w:val="BodyText"/>
        <w:spacing w:line="319" w:lineRule="auto" w:before="19"/>
        <w:ind w:left="1133" w:right="1132" w:firstLine="360"/>
        <w:jc w:val="both"/>
      </w:pPr>
      <w:r>
        <w:rPr>
          <w:spacing w:val="-2"/>
        </w:rPr>
        <w:t>本公司销售的商品在同时满足下列条件时，按从购货方已收或应收的合同或协议价款的金额确认销售商品收入：①已将</w:t>
      </w:r>
      <w:r>
        <w:rPr/>
        <w:t> </w:t>
      </w:r>
      <w:r>
        <w:rPr>
          <w:spacing w:val="-2"/>
        </w:rPr>
        <w:t>商品所有权上的主要风险和报酬转移给购货方；②既没有保留通常与所有权相联系的继续管理权，也没有对已售出的商品实</w:t>
      </w:r>
      <w:r>
        <w:rPr>
          <w:spacing w:val="-64"/>
        </w:rPr>
        <w:t> </w:t>
      </w:r>
      <w:r>
        <w:rPr>
          <w:spacing w:val="-64"/>
        </w:rPr>
      </w:r>
      <w:r>
        <w:rPr>
          <w:spacing w:val="-2"/>
        </w:rPr>
        <w:t>施有效控制；③收入的金额能够可靠地计量；④相关的经济利益很可能流入企业；⑤相关的已发生或将发生的成本能够可靠</w:t>
      </w:r>
      <w:r>
        <w:rPr>
          <w:spacing w:val="-66"/>
        </w:rPr>
        <w:t> </w:t>
      </w:r>
      <w:r>
        <w:rPr>
          <w:spacing w:val="-66"/>
        </w:rPr>
      </w:r>
      <w:r>
        <w:rPr/>
        <w:t>地计量。</w:t>
      </w:r>
    </w:p>
    <w:p>
      <w:pPr>
        <w:pStyle w:val="BodyText"/>
        <w:spacing w:line="316" w:lineRule="auto" w:before="17"/>
        <w:ind w:right="1132" w:firstLine="360"/>
        <w:jc w:val="both"/>
      </w:pPr>
      <w:r>
        <w:rPr>
          <w:spacing w:val="-2"/>
        </w:rPr>
        <w:t>合同或协议价款的收取采用递延方式，实质上具有融资性质的，按照应收的合同或协议价款的公允价值确定销售商品收</w:t>
      </w:r>
      <w:r>
        <w:rPr/>
        <w:t> 入金额。</w:t>
      </w:r>
    </w:p>
    <w:p>
      <w:pPr>
        <w:pStyle w:val="BodyText"/>
        <w:spacing w:line="316" w:lineRule="auto" w:before="19"/>
        <w:ind w:left="1493" w:right="1118"/>
        <w:jc w:val="left"/>
      </w:pPr>
      <w:r>
        <w:rPr>
          <w:rFonts w:ascii="宋体" w:hAnsi="宋体" w:cs="宋体" w:eastAsia="宋体" w:hint="default"/>
        </w:rPr>
        <w:t>2</w:t>
      </w:r>
      <w:r>
        <w:rPr/>
        <w:t>）提供劳务 </w:t>
      </w:r>
      <w:r>
        <w:rPr>
          <w:spacing w:val="-2"/>
        </w:rPr>
        <w:t>在同一会计期间内开始并完成的，在劳务已经提供，收到价款或取得收到价款的有关凭证时，确认为劳务收入；劳务的</w:t>
      </w:r>
    </w:p>
    <w:p>
      <w:pPr>
        <w:pStyle w:val="BodyText"/>
        <w:spacing w:line="316" w:lineRule="auto" w:before="19"/>
        <w:ind w:left="1133" w:right="1118"/>
        <w:jc w:val="left"/>
      </w:pPr>
      <w:r>
        <w:rPr>
          <w:spacing w:val="-2"/>
        </w:rPr>
        <w:t>开始和完成分属不同会计期间的，在提供劳务交易的结果能够可靠估计的情况下，在资产负债表日按完工百分比法确认相关</w:t>
      </w:r>
      <w:r>
        <w:rPr>
          <w:spacing w:val="-64"/>
        </w:rPr>
        <w:t> </w:t>
      </w:r>
      <w:r>
        <w:rPr>
          <w:spacing w:val="-64"/>
        </w:rPr>
      </w:r>
      <w:r>
        <w:rPr/>
        <w:t>的劳务收入。</w:t>
      </w:r>
    </w:p>
    <w:p>
      <w:pPr>
        <w:pStyle w:val="BodyText"/>
        <w:spacing w:line="316" w:lineRule="auto" w:before="19"/>
        <w:ind w:left="1133" w:right="0" w:firstLine="360"/>
        <w:jc w:val="left"/>
      </w:pPr>
      <w:r>
        <w:rPr>
          <w:spacing w:val="-4"/>
        </w:rPr>
        <w:t>在资产负债表日提供劳务交易结果不能够可靠估计的，分别下列情况处理：①已经发生的劳务成本预计能够得到补偿的，</w:t>
      </w:r>
      <w:r>
        <w:rPr/>
        <w:t> </w:t>
      </w:r>
      <w:r>
        <w:rPr>
          <w:spacing w:val="-2"/>
        </w:rPr>
        <w:t>按照已经发生的劳务成本金额确认提供劳务收入，并按相同金额结转劳务成本。②已经发生的劳务成本预计不能够得到补偿</w:t>
      </w:r>
      <w:r>
        <w:rPr>
          <w:spacing w:val="-64"/>
        </w:rPr>
        <w:t> </w:t>
      </w:r>
      <w:r>
        <w:rPr>
          <w:spacing w:val="-64"/>
        </w:rPr>
      </w:r>
      <w:r>
        <w:rPr/>
        <w:t>的，将已经发生的劳务成本计入当期损益，不确认提供劳务收入。</w:t>
      </w:r>
    </w:p>
    <w:p>
      <w:pPr>
        <w:pStyle w:val="BodyText"/>
        <w:spacing w:line="316" w:lineRule="auto" w:before="19"/>
        <w:ind w:left="1494" w:right="1572"/>
        <w:jc w:val="left"/>
      </w:pPr>
      <w:r>
        <w:rPr>
          <w:rFonts w:ascii="宋体" w:hAnsi="宋体" w:cs="宋体" w:eastAsia="宋体" w:hint="default"/>
        </w:rPr>
        <w:t>3</w:t>
      </w:r>
      <w:r>
        <w:rPr/>
        <w:t>）让渡资产使用权 本公司在与让渡资产使用权相关的经济利益能够流入和收入的金额能够可靠的计量时确认让渡资产使用权收入。</w:t>
      </w:r>
    </w:p>
    <w:p>
      <w:pPr>
        <w:pStyle w:val="BodyText"/>
        <w:spacing w:line="316" w:lineRule="auto" w:before="19"/>
        <w:ind w:left="1494" w:right="8322"/>
        <w:jc w:val="left"/>
      </w:pPr>
      <w:r>
        <w:rPr/>
        <w:t>（</w:t>
      </w:r>
      <w:r>
        <w:rPr>
          <w:rFonts w:ascii="宋体" w:hAnsi="宋体" w:cs="宋体" w:eastAsia="宋体" w:hint="default"/>
        </w:rPr>
        <w:t>2</w:t>
      </w:r>
      <w:r>
        <w:rPr/>
        <w:t>）收入确认的具体应用 </w:t>
      </w:r>
      <w:r>
        <w:rPr>
          <w:rFonts w:ascii="宋体" w:hAnsi="宋体" w:cs="宋体" w:eastAsia="宋体" w:hint="default"/>
        </w:rPr>
        <w:t>1</w:t>
      </w:r>
      <w:r>
        <w:rPr/>
        <w:t>）</w:t>
      </w:r>
      <w:r>
        <w:rPr>
          <w:rFonts w:ascii="宋体" w:hAnsi="宋体" w:cs="宋体" w:eastAsia="宋体" w:hint="default"/>
        </w:rPr>
        <w:t>IT</w:t>
      </w:r>
      <w:r>
        <w:rPr/>
        <w:t>基础设施建设</w:t>
      </w:r>
    </w:p>
    <w:p>
      <w:pPr>
        <w:pStyle w:val="BodyText"/>
        <w:spacing w:line="316" w:lineRule="auto" w:before="19"/>
        <w:ind w:left="1133" w:right="1131" w:firstLine="360"/>
        <w:jc w:val="both"/>
      </w:pPr>
      <w:r>
        <w:rPr>
          <w:rFonts w:ascii="宋体" w:hAnsi="宋体" w:cs="宋体" w:eastAsia="宋体" w:hint="default"/>
          <w:spacing w:val="-2"/>
        </w:rPr>
        <w:t>IT</w:t>
      </w:r>
      <w:r>
        <w:rPr>
          <w:spacing w:val="-2"/>
        </w:rPr>
        <w:t>基础设施建设业务根据银行业</w:t>
      </w:r>
      <w:r>
        <w:rPr>
          <w:rFonts w:ascii="宋体" w:hAnsi="宋体" w:cs="宋体" w:eastAsia="宋体" w:hint="default"/>
          <w:spacing w:val="-2"/>
        </w:rPr>
        <w:t>IT</w:t>
      </w:r>
      <w:r>
        <w:rPr>
          <w:spacing w:val="-2"/>
        </w:rPr>
        <w:t>基础设施建设不同层次的需求，为客户提供规划设计咨询、软硬件选型采购与部署实</w:t>
      </w:r>
      <w:r>
        <w:rPr/>
        <w:t> </w:t>
      </w:r>
      <w:r>
        <w:rPr>
          <w:spacing w:val="-2"/>
        </w:rPr>
        <w:t>施等覆盖</w:t>
      </w:r>
      <w:r>
        <w:rPr>
          <w:rFonts w:ascii="宋体" w:hAnsi="宋体" w:cs="宋体" w:eastAsia="宋体" w:hint="default"/>
          <w:spacing w:val="-2"/>
        </w:rPr>
        <w:t>IT</w:t>
      </w:r>
      <w:r>
        <w:rPr>
          <w:spacing w:val="-2"/>
        </w:rPr>
        <w:t>基础设施建设全生命周期的解决方案和服务，同时结合自有知识产权的软件产品为客户提供增值服务。同时，公</w:t>
      </w:r>
      <w:r>
        <w:rPr>
          <w:spacing w:val="-64"/>
        </w:rPr>
        <w:t> </w:t>
      </w:r>
      <w:r>
        <w:rPr>
          <w:spacing w:val="-64"/>
        </w:rPr>
      </w:r>
      <w:r>
        <w:rPr/>
        <w:t>司还代理销售相关的</w:t>
      </w:r>
      <w:r>
        <w:rPr>
          <w:rFonts w:ascii="宋体" w:hAnsi="宋体" w:cs="宋体" w:eastAsia="宋体" w:hint="default"/>
        </w:rPr>
        <w:t>IT</w:t>
      </w:r>
      <w:r>
        <w:rPr/>
        <w:t>基础设施产品。</w:t>
      </w:r>
    </w:p>
    <w:p>
      <w:pPr>
        <w:pStyle w:val="BodyText"/>
        <w:spacing w:line="319" w:lineRule="auto" w:before="19"/>
        <w:ind w:left="1493" w:right="4453"/>
        <w:jc w:val="left"/>
      </w:pPr>
      <w:r>
        <w:rPr/>
        <w:t>此类产品（除代理销售产品外）在产品交付并经客户验收合格后确认收入。 代理销售相关的</w:t>
      </w:r>
      <w:r>
        <w:rPr>
          <w:rFonts w:ascii="宋体" w:hAnsi="宋体" w:cs="宋体" w:eastAsia="宋体" w:hint="default"/>
        </w:rPr>
        <w:t>IT</w:t>
      </w:r>
      <w:r>
        <w:rPr/>
        <w:t>基础设施产品在产品交付客户时确认收入。 </w:t>
      </w:r>
      <w:r>
        <w:rPr>
          <w:rFonts w:ascii="宋体" w:hAnsi="宋体" w:cs="宋体" w:eastAsia="宋体" w:hint="default"/>
        </w:rPr>
        <w:t>2</w:t>
      </w:r>
      <w:r>
        <w:rPr/>
        <w:t>）</w:t>
      </w:r>
      <w:r>
        <w:rPr>
          <w:rFonts w:ascii="宋体" w:hAnsi="宋体" w:cs="宋体" w:eastAsia="宋体" w:hint="default"/>
        </w:rPr>
        <w:t>IT</w:t>
      </w:r>
      <w:r>
        <w:rPr/>
        <w:t>运维服务</w:t>
      </w:r>
    </w:p>
    <w:p>
      <w:pPr>
        <w:pStyle w:val="BodyText"/>
        <w:spacing w:line="316" w:lineRule="auto" w:before="17"/>
        <w:ind w:left="1133" w:right="1132" w:firstLine="360"/>
        <w:jc w:val="both"/>
      </w:pPr>
      <w:r>
        <w:rPr>
          <w:rFonts w:ascii="宋体" w:hAnsi="宋体" w:cs="宋体" w:eastAsia="宋体" w:hint="default"/>
          <w:spacing w:val="-2"/>
        </w:rPr>
        <w:t>IT</w:t>
      </w:r>
      <w:r>
        <w:rPr>
          <w:spacing w:val="-2"/>
        </w:rPr>
        <w:t>运维服务业务主要为客户提供软硬件系统运维支持服务，包括基础软硬件维保、系统运维、专项运维、系统调优、产</w:t>
      </w:r>
      <w:r>
        <w:rPr/>
        <w:t> 品培训等。</w:t>
      </w:r>
    </w:p>
    <w:p>
      <w:pPr>
        <w:spacing w:after="0" w:line="316" w:lineRule="auto"/>
        <w:jc w:val="both"/>
        <w:sectPr>
          <w:pgSz w:w="11910" w:h="16840"/>
          <w:pgMar w:header="907" w:footer="1019" w:top="1100" w:bottom="1200" w:left="0" w:right="0"/>
        </w:sectPr>
      </w:pPr>
    </w:p>
    <w:p>
      <w:pPr>
        <w:spacing w:line="240" w:lineRule="auto" w:before="11"/>
        <w:rPr>
          <w:rFonts w:ascii="宋体" w:hAnsi="宋体" w:cs="宋体" w:eastAsia="宋体" w:hint="default"/>
          <w:sz w:val="22"/>
          <w:szCs w:val="22"/>
        </w:rPr>
      </w:pPr>
    </w:p>
    <w:p>
      <w:pPr>
        <w:pStyle w:val="BodyText"/>
        <w:spacing w:line="316" w:lineRule="auto" w:before="44"/>
        <w:ind w:left="1494" w:right="5712"/>
        <w:jc w:val="left"/>
      </w:pPr>
      <w:r>
        <w:rPr/>
        <w:t>此类服务主要根据相关合同约定的服务期间按期确认收入。 </w:t>
      </w:r>
      <w:r>
        <w:rPr>
          <w:rFonts w:ascii="宋体" w:hAnsi="宋体" w:cs="宋体" w:eastAsia="宋体" w:hint="default"/>
        </w:rPr>
        <w:t>3</w:t>
      </w:r>
      <w:r>
        <w:rPr/>
        <w:t>）软件解决方案</w:t>
      </w:r>
    </w:p>
    <w:p>
      <w:pPr>
        <w:pStyle w:val="BodyText"/>
        <w:spacing w:line="316" w:lineRule="auto" w:before="19"/>
        <w:ind w:left="1493" w:right="1123"/>
        <w:jc w:val="left"/>
      </w:pPr>
      <w:r>
        <w:rPr/>
        <w:t>软件解决方案业务向客户提供以自主平台软件为基础的软件系统开发服务，包括定制软件开发、定量软件开发服务。 定制开发是指合同签订时有明确开发需求</w:t>
      </w:r>
      <w:r>
        <w:rPr>
          <w:rFonts w:ascii="宋体" w:hAnsi="宋体" w:cs="宋体" w:eastAsia="宋体" w:hint="default"/>
        </w:rPr>
        <w:t>,</w:t>
      </w:r>
      <w:r>
        <w:rPr/>
        <w:t>在软件主要功能通过测试时点并经客户确认后，开始按完工百分比法确认收</w:t>
      </w:r>
    </w:p>
    <w:p>
      <w:pPr>
        <w:pStyle w:val="BodyText"/>
        <w:spacing w:line="316" w:lineRule="auto" w:before="19"/>
        <w:ind w:left="1493" w:right="0" w:hanging="360"/>
        <w:jc w:val="left"/>
      </w:pPr>
      <w:r>
        <w:rPr/>
        <w:t>入，完工进度根据累计实际发生的合同成本占合同预计总成本的比例确定。 </w:t>
      </w:r>
      <w:r>
        <w:rPr>
          <w:spacing w:val="-2"/>
        </w:rPr>
        <w:t>定量开发是指合同约定按照开发工作量结算，在提供相应工作量的开发劳务并经客户确认后，确认对应工作量劳务的收</w:t>
      </w:r>
    </w:p>
    <w:p>
      <w:pPr>
        <w:pStyle w:val="BodyText"/>
        <w:spacing w:line="240" w:lineRule="auto" w:before="19"/>
        <w:ind w:left="1133" w:right="0"/>
        <w:jc w:val="left"/>
      </w:pPr>
      <w:r>
        <w:rPr/>
        <w:t>入。</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29、政府补助" w:id="207"/>
      <w:bookmarkEnd w:id="207"/>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与资产相关的政府补助判断依据及会计处理方法" w:id="208"/>
      <w:bookmarkEnd w:id="208"/>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3"/>
        <w:rPr>
          <w:rFonts w:ascii="宋体" w:hAnsi="宋体" w:cs="宋体" w:eastAsia="宋体" w:hint="default"/>
          <w:b/>
          <w:bCs/>
          <w:sz w:val="25"/>
          <w:szCs w:val="25"/>
        </w:rPr>
      </w:pPr>
    </w:p>
    <w:p>
      <w:pPr>
        <w:pStyle w:val="Heading7"/>
        <w:spacing w:line="285" w:lineRule="auto"/>
        <w:ind w:right="1135"/>
        <w:jc w:val="both"/>
      </w:pPr>
      <w:r>
        <w:rPr/>
        <w:t>本公司取得的、用于购建或以其他方式形成长期资产的政府补助，确认为与资产相关的政府补助，与资产</w:t>
      </w:r>
      <w:r>
        <w:rPr>
          <w:w w:val="100"/>
        </w:rPr>
        <w:t> </w:t>
      </w:r>
      <w:r>
        <w:rPr/>
        <w:t>相关的政府补助，确认为递延收益，自相关资产可供使用时起，按照相关资产的预计使用期限，将递延收益平</w:t>
      </w:r>
      <w:r>
        <w:rPr>
          <w:spacing w:val="-65"/>
        </w:rPr>
        <w:t> </w:t>
      </w:r>
      <w:r>
        <w:rPr>
          <w:spacing w:val="-65"/>
        </w:rPr>
      </w:r>
      <w:r>
        <w:rPr/>
        <w:t>均分摊转入当期损益，其中与本公司日常活动相关的，计入其他收益或冲减相关成本费用，与本公司日常活动</w:t>
      </w:r>
      <w:r>
        <w:rPr>
          <w:spacing w:val="-65"/>
        </w:rPr>
        <w:t> </w:t>
      </w:r>
      <w:r>
        <w:rPr>
          <w:spacing w:val="-65"/>
        </w:rPr>
      </w:r>
      <w:r>
        <w:rPr/>
        <w:t>无关的，计入营业外收入。</w:t>
      </w:r>
    </w:p>
    <w:p>
      <w:pPr>
        <w:pStyle w:val="Heading7"/>
        <w:spacing w:line="240" w:lineRule="auto" w:before="12"/>
        <w:ind w:left="1533" w:right="0" w:firstLine="0"/>
        <w:jc w:val="left"/>
      </w:pPr>
      <w:r>
        <w:rPr/>
        <w:t>按照名义金额计量的政府补助，直接计入当期损益。</w:t>
      </w:r>
    </w:p>
    <w:p>
      <w:pPr>
        <w:spacing w:line="240" w:lineRule="auto" w:before="2"/>
        <w:rPr>
          <w:rFonts w:ascii="宋体" w:hAnsi="宋体" w:cs="宋体" w:eastAsia="宋体" w:hint="default"/>
          <w:sz w:val="26"/>
          <w:szCs w:val="26"/>
        </w:rPr>
      </w:pPr>
    </w:p>
    <w:p>
      <w:pPr>
        <w:pStyle w:val="Heading5"/>
        <w:spacing w:line="240" w:lineRule="auto"/>
        <w:ind w:left="1133" w:right="0"/>
        <w:jc w:val="left"/>
        <w:rPr>
          <w:b w:val="0"/>
          <w:bCs w:val="0"/>
        </w:rPr>
      </w:pPr>
      <w:bookmarkStart w:name="（2）与收益相关的政府补助判断依据及会计处理方法" w:id="209"/>
      <w:bookmarkEnd w:id="209"/>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3"/>
        <w:rPr>
          <w:rFonts w:ascii="宋体" w:hAnsi="宋体" w:cs="宋体" w:eastAsia="宋体" w:hint="default"/>
          <w:b/>
          <w:bCs/>
          <w:sz w:val="25"/>
          <w:szCs w:val="25"/>
        </w:rPr>
      </w:pPr>
    </w:p>
    <w:p>
      <w:pPr>
        <w:pStyle w:val="Heading7"/>
        <w:spacing w:line="285" w:lineRule="auto"/>
        <w:ind w:right="1135"/>
        <w:jc w:val="both"/>
      </w:pPr>
      <w:r>
        <w:rPr/>
        <w:t>除与资产相关的政府补助之外的政府补助，确认为与收益相关的政府补助。分别下列情况处理：用于补偿</w:t>
      </w:r>
      <w:r>
        <w:rPr>
          <w:w w:val="100"/>
        </w:rPr>
        <w:t> </w:t>
      </w:r>
      <w:r>
        <w:rPr/>
        <w:t>企业以后期间的相关费用或损失的，确认为递延收益，并在确认相关费用的期间，计入当期损益。用于补偿企</w:t>
      </w:r>
      <w:r>
        <w:rPr>
          <w:spacing w:val="-65"/>
        </w:rPr>
        <w:t> </w:t>
      </w:r>
      <w:r>
        <w:rPr>
          <w:spacing w:val="-65"/>
        </w:rPr>
      </w:r>
      <w:r>
        <w:rPr/>
        <w:t>业已发生的相关费用或损失的，直接计入当期损益。计入当期损益时，与本公司日常活动相关的政府补助，计</w:t>
      </w:r>
      <w:r>
        <w:rPr>
          <w:spacing w:val="-65"/>
        </w:rPr>
        <w:t> </w:t>
      </w:r>
      <w:r>
        <w:rPr>
          <w:spacing w:val="-65"/>
        </w:rPr>
      </w:r>
      <w:r>
        <w:rPr/>
        <w:t>入其他收益或冲减相关成本费用；与本公司日常活动无关的政府补助，计入营业外收入。</w:t>
      </w:r>
    </w:p>
    <w:p>
      <w:pPr>
        <w:spacing w:line="240" w:lineRule="auto" w:before="3"/>
        <w:rPr>
          <w:rFonts w:ascii="宋体" w:hAnsi="宋体" w:cs="宋体" w:eastAsia="宋体" w:hint="default"/>
          <w:sz w:val="23"/>
          <w:szCs w:val="23"/>
        </w:rPr>
      </w:pPr>
    </w:p>
    <w:p>
      <w:pPr>
        <w:pStyle w:val="Heading5"/>
        <w:spacing w:line="240" w:lineRule="auto"/>
        <w:ind w:right="0"/>
        <w:jc w:val="left"/>
        <w:rPr>
          <w:b w:val="0"/>
          <w:bCs w:val="0"/>
        </w:rPr>
      </w:pPr>
      <w:bookmarkStart w:name="30、递延所得税资产/递延所得税负债" w:id="210"/>
      <w:bookmarkEnd w:id="210"/>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9" w:firstLine="360"/>
        <w:jc w:val="both"/>
      </w:pPr>
      <w:r>
        <w:rPr/>
        <w:t>（</w:t>
      </w:r>
      <w:r>
        <w:rPr>
          <w:rFonts w:ascii="宋体" w:hAnsi="宋体" w:cs="宋体" w:eastAsia="宋体" w:hint="default"/>
        </w:rPr>
        <w:t>1</w:t>
      </w:r>
      <w:r>
        <w:rPr/>
        <w:t>）根据资产、负债的账面价值与其计税基础之间的差额（未作为资产和负债确认的项目按照税法规定可以确定其计 </w:t>
      </w:r>
      <w:r>
        <w:rPr>
          <w:spacing w:val="-2"/>
        </w:rPr>
        <w:t>税基础的，确定该计税基础为其差额），按照预期收回该资产或清偿该负债期间的适用税率计算确认递延所得税资产或递延</w:t>
      </w:r>
      <w:r>
        <w:rPr>
          <w:spacing w:val="-72"/>
        </w:rPr>
        <w:t> </w:t>
      </w:r>
      <w:r>
        <w:rPr>
          <w:spacing w:val="-72"/>
        </w:rPr>
      </w:r>
      <w:r>
        <w:rPr/>
        <w:t>所得税负债。</w:t>
      </w:r>
    </w:p>
    <w:p>
      <w:pPr>
        <w:pStyle w:val="BodyText"/>
        <w:spacing w:line="316" w:lineRule="auto" w:before="19"/>
        <w:ind w:right="1122" w:firstLine="360"/>
        <w:jc w:val="left"/>
      </w:pPr>
      <w:r>
        <w:rPr/>
        <w:t>（</w:t>
      </w:r>
      <w:r>
        <w:rPr>
          <w:rFonts w:ascii="宋体" w:hAnsi="宋体" w:cs="宋体" w:eastAsia="宋体" w:hint="default"/>
        </w:rPr>
        <w:t>2</w:t>
      </w:r>
      <w:r>
        <w:rPr/>
        <w:t>）递延所得税资产的确认以很可能取得用来抵扣可抵扣暂时性差异的应纳税所得额为限。资产负债表日，有确凿证 据表明未来期间很可能获得足够的应纳税所得额用来抵扣可抵扣暂时性差异的，确认以前会计期间未确认的递延所得税资 产。如未来期间很可能无法获得足够的应纳税所得额用以抵扣递延所得税资产的，则减记递延所得税资产的账面价值。</w:t>
      </w:r>
    </w:p>
    <w:p>
      <w:pPr>
        <w:pStyle w:val="BodyText"/>
        <w:spacing w:line="316" w:lineRule="auto" w:before="19"/>
        <w:ind w:left="1133" w:right="1050" w:firstLine="360"/>
        <w:jc w:val="both"/>
      </w:pPr>
      <w:r>
        <w:rPr/>
        <w:t>（</w:t>
      </w:r>
      <w:r>
        <w:rPr>
          <w:rFonts w:ascii="宋体" w:hAnsi="宋体" w:cs="宋体" w:eastAsia="宋体" w:hint="default"/>
        </w:rPr>
        <w:t>3</w:t>
      </w:r>
      <w:r>
        <w:rPr/>
        <w:t>）对与子公司及联营企业投资相关的应纳税暂时性差异，确认递延所得税负债，除非本公司能够控制暂时性差异转 </w:t>
      </w:r>
      <w:r>
        <w:rPr>
          <w:spacing w:val="-2"/>
        </w:rPr>
        <w:t>回的时间且该暂时性差异在可预见的未来很可能不会转回。对与子公司及联营企业投资相关的可抵扣暂时性差异，当该暂时</w:t>
      </w:r>
      <w:r>
        <w:rPr>
          <w:spacing w:val="-64"/>
        </w:rPr>
        <w:t> </w:t>
      </w:r>
      <w:r>
        <w:rPr>
          <w:spacing w:val="-64"/>
        </w:rPr>
      </w:r>
      <w:r>
        <w:rPr/>
        <w:t>性差异在可预见的未来很可能转回且未来很可能获得用来抵扣可抵扣暂时性差异的应纳税所得额时，确认递延所得税资产。</w:t>
      </w:r>
    </w:p>
    <w:p>
      <w:pPr>
        <w:spacing w:line="240" w:lineRule="auto" w:before="7"/>
        <w:rPr>
          <w:rFonts w:ascii="宋体" w:hAnsi="宋体" w:cs="宋体" w:eastAsia="宋体" w:hint="default"/>
          <w:sz w:val="22"/>
          <w:szCs w:val="22"/>
        </w:rPr>
      </w:pPr>
    </w:p>
    <w:p>
      <w:pPr>
        <w:pStyle w:val="Heading5"/>
        <w:spacing w:line="240" w:lineRule="auto"/>
        <w:ind w:right="0"/>
        <w:jc w:val="left"/>
        <w:rPr>
          <w:b w:val="0"/>
          <w:bCs w:val="0"/>
        </w:rPr>
      </w:pPr>
      <w:bookmarkStart w:name="31、租赁" w:id="211"/>
      <w:bookmarkEnd w:id="211"/>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经营租赁的会计处理方法" w:id="212"/>
      <w:bookmarkEnd w:id="212"/>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4" w:right="0"/>
        <w:jc w:val="left"/>
      </w:pPr>
      <w:r>
        <w:rPr/>
        <w:t>经营租赁的租金支出在租赁期内按照直线法计入相关资产成本或当期损益。</w:t>
      </w:r>
    </w:p>
    <w:p>
      <w:pPr>
        <w:spacing w:after="0" w:line="240" w:lineRule="auto"/>
        <w:jc w:val="left"/>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5"/>
        <w:spacing w:line="240" w:lineRule="auto" w:before="35"/>
        <w:ind w:right="0"/>
        <w:jc w:val="left"/>
        <w:rPr>
          <w:b w:val="0"/>
          <w:bCs w:val="0"/>
        </w:rPr>
      </w:pPr>
      <w:bookmarkStart w:name="（2）融资租赁的会计处理方法" w:id="213"/>
      <w:bookmarkEnd w:id="213"/>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0" w:firstLine="360"/>
        <w:jc w:val="both"/>
      </w:pPr>
      <w:r>
        <w:rPr>
          <w:spacing w:val="-2"/>
        </w:rPr>
        <w:t>以租赁资产的公允价值与最低租赁付款额的现值两者中较低者作为租入资产的入账价值，租入资产的入账价值与最低租</w:t>
      </w:r>
      <w:r>
        <w:rPr/>
        <w:t> </w:t>
      </w:r>
      <w:r>
        <w:rPr>
          <w:spacing w:val="-2"/>
        </w:rPr>
        <w:t>赁付款额之间的差额作为未确认融资费用，在租赁期内按实际利率法摊销。最低租赁付款额扣除未确认融资费用后的余额作</w:t>
      </w:r>
      <w:r>
        <w:rPr>
          <w:spacing w:val="-64"/>
        </w:rPr>
        <w:t> </w:t>
      </w:r>
      <w:r>
        <w:rPr>
          <w:spacing w:val="-64"/>
        </w:rPr>
      </w:r>
      <w:r>
        <w:rPr/>
        <w:t>为长期应付款列示。</w:t>
      </w:r>
    </w:p>
    <w:p>
      <w:pPr>
        <w:spacing w:line="240" w:lineRule="auto" w:before="5"/>
        <w:rPr>
          <w:rFonts w:ascii="宋体" w:hAnsi="宋体" w:cs="宋体" w:eastAsia="宋体" w:hint="default"/>
          <w:sz w:val="22"/>
          <w:szCs w:val="22"/>
        </w:rPr>
      </w:pPr>
    </w:p>
    <w:p>
      <w:pPr>
        <w:pStyle w:val="Heading5"/>
        <w:spacing w:line="240" w:lineRule="auto"/>
        <w:ind w:right="0"/>
        <w:jc w:val="left"/>
        <w:rPr>
          <w:b w:val="0"/>
          <w:bCs w:val="0"/>
        </w:rPr>
      </w:pPr>
      <w:bookmarkStart w:name="32、其他重要的会计政策和会计估计" w:id="214"/>
      <w:bookmarkEnd w:id="214"/>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right="0"/>
        <w:jc w:val="left"/>
        <w:rPr>
          <w:b w:val="0"/>
          <w:bCs w:val="0"/>
        </w:rPr>
      </w:pPr>
      <w:bookmarkStart w:name="33、重要会计政策和会计估计变更" w:id="215"/>
      <w:bookmarkEnd w:id="215"/>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重要会计政策变更" w:id="216"/>
      <w:bookmarkEnd w:id="216"/>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21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0"/>
              <w:jc w:val="both"/>
              <w:rPr>
                <w:rFonts w:ascii="宋体" w:hAnsi="宋体" w:cs="宋体" w:eastAsia="宋体" w:hint="default"/>
                <w:sz w:val="18"/>
                <w:szCs w:val="18"/>
              </w:rPr>
            </w:pPr>
            <w:r>
              <w:rPr>
                <w:rFonts w:ascii="宋体" w:hAnsi="宋体" w:cs="宋体" w:eastAsia="宋体" w:hint="default"/>
                <w:spacing w:val="-6"/>
                <w:sz w:val="18"/>
                <w:szCs w:val="18"/>
              </w:rPr>
              <w:t>内容：部分与收益相关的政府补助冲减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6"/>
                <w:sz w:val="18"/>
                <w:szCs w:val="18"/>
              </w:rPr>
              <w:t>了相关成本费用；与本公司日常活动相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关的政府补助计入其他收益。原因：财</w:t>
            </w:r>
            <w:r>
              <w:rPr>
                <w:rFonts w:ascii="宋体" w:hAnsi="宋体" w:cs="宋体" w:eastAsia="宋体" w:hint="default"/>
                <w:sz w:val="18"/>
                <w:szCs w:val="18"/>
              </w:rPr>
              <w:t> 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年度修订了《企业会计准</w:t>
            </w:r>
          </w:p>
          <w:p>
            <w:pPr>
              <w:pStyle w:val="TableParagraph"/>
              <w:spacing w:line="248" w:lineRule="exact"/>
              <w:ind w:left="103" w:right="0"/>
              <w:jc w:val="both"/>
              <w:rPr>
                <w:rFonts w:ascii="宋体" w:hAnsi="宋体" w:cs="宋体" w:eastAsia="宋体" w:hint="default"/>
                <w:sz w:val="18"/>
                <w:szCs w:val="18"/>
              </w:rPr>
            </w:pPr>
            <w:r>
              <w:rPr>
                <w:rFonts w:ascii="宋体" w:hAnsi="宋体" w:cs="宋体" w:eastAsia="宋体" w:hint="default"/>
                <w:sz w:val="18"/>
                <w:szCs w:val="18"/>
              </w:rPr>
              <w:t>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政府补助</w:t>
            </w:r>
            <w:r>
              <w:rPr>
                <w:rFonts w:ascii="宋体" w:hAnsi="宋体" w:cs="宋体" w:eastAsia="宋体" w:hint="default"/>
                <w:spacing w:val="-90"/>
                <w:sz w:val="18"/>
                <w:szCs w:val="18"/>
              </w:rPr>
              <w:t>》</w:t>
            </w:r>
            <w:r>
              <w:rPr>
                <w:rFonts w:ascii="宋体" w:hAnsi="宋体" w:cs="宋体" w:eastAsia="宋体" w:hint="default"/>
                <w:spacing w:val="-86"/>
                <w:sz w:val="18"/>
                <w:szCs w:val="18"/>
              </w:rPr>
              <w:t>，</w:t>
            </w:r>
            <w:r>
              <w:rPr>
                <w:rFonts w:ascii="宋体" w:hAnsi="宋体" w:cs="宋体" w:eastAsia="宋体" w:hint="default"/>
                <w:sz w:val="18"/>
                <w:szCs w:val="18"/>
              </w:rPr>
              <w:t>修订后的准</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则自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日起施行，对于</w:t>
            </w:r>
          </w:p>
          <w:p>
            <w:pPr>
              <w:pStyle w:val="TableParagraph"/>
              <w:spacing w:line="240" w:lineRule="auto" w:before="63"/>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日存在的政府补助，要</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求采用未来适用法处理；对于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2" w:lineRule="auto" w:before="63"/>
              <w:ind w:left="103"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日至施行日新增的政府补助，也</w:t>
            </w:r>
            <w:r>
              <w:rPr>
                <w:rFonts w:ascii="宋体" w:hAnsi="宋体" w:cs="宋体" w:eastAsia="宋体" w:hint="default"/>
                <w:sz w:val="18"/>
                <w:szCs w:val="18"/>
              </w:rPr>
              <w:t> 要求按照修订后的准则进行调整。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103" w:right="102"/>
              <w:jc w:val="left"/>
              <w:rPr>
                <w:rFonts w:ascii="宋体" w:hAnsi="宋体" w:cs="宋体" w:eastAsia="宋体" w:hint="default"/>
                <w:sz w:val="18"/>
                <w:szCs w:val="18"/>
              </w:rPr>
            </w:pPr>
            <w:r>
              <w:rPr>
                <w:rFonts w:ascii="宋体" w:hAnsi="宋体" w:cs="宋体" w:eastAsia="宋体" w:hint="default"/>
                <w:spacing w:val="-6"/>
                <w:sz w:val="18"/>
                <w:szCs w:val="18"/>
              </w:rPr>
              <w:t>经公司董事会、监事会及独立董事审议</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通过</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0"/>
              <w:jc w:val="left"/>
              <w:rPr>
                <w:rFonts w:ascii="宋体" w:hAnsi="宋体" w:cs="宋体" w:eastAsia="宋体" w:hint="default"/>
                <w:sz w:val="18"/>
                <w:szCs w:val="18"/>
              </w:rPr>
            </w:pPr>
            <w:r>
              <w:rPr>
                <w:rFonts w:ascii="宋体" w:hAnsi="宋体" w:cs="宋体" w:eastAsia="宋体" w:hint="default"/>
                <w:spacing w:val="-5"/>
                <w:sz w:val="18"/>
                <w:szCs w:val="18"/>
              </w:rPr>
              <w:t>内容：资产负债表上新增“持有待售资</w:t>
            </w:r>
            <w:r>
              <w:rPr>
                <w:rFonts w:ascii="宋体" w:hAnsi="宋体" w:cs="宋体" w:eastAsia="宋体" w:hint="default"/>
                <w:sz w:val="18"/>
                <w:szCs w:val="18"/>
              </w:rPr>
              <w:t> </w:t>
            </w:r>
            <w:r>
              <w:rPr>
                <w:rFonts w:ascii="宋体" w:hAnsi="宋体" w:cs="宋体" w:eastAsia="宋体" w:hint="default"/>
                <w:spacing w:val="-6"/>
                <w:sz w:val="18"/>
                <w:szCs w:val="18"/>
              </w:rPr>
              <w:t>产”和“持有待售负债”行项目；利润</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1"/>
                <w:sz w:val="18"/>
                <w:szCs w:val="18"/>
              </w:rPr>
              <w:t>表上新增“资产处置收益”、“其他收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4"/>
                <w:sz w:val="18"/>
                <w:szCs w:val="18"/>
              </w:rPr>
              <w:t>益”、“持续经营净利润”、“终止经营净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利润”行项目。原因：财政部于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pacing w:val="-6"/>
                <w:sz w:val="18"/>
                <w:szCs w:val="18"/>
              </w:rPr>
              <w:t>年度发布了《财政部关于修订印发一般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6"/>
                <w:sz w:val="18"/>
                <w:szCs w:val="18"/>
              </w:rPr>
              <w:t>企业财务报表格式的通知》（财会</w:t>
            </w:r>
          </w:p>
          <w:p>
            <w:pPr>
              <w:pStyle w:val="TableParagraph"/>
              <w:spacing w:line="307" w:lineRule="auto" w:before="20"/>
              <w:ind w:left="103" w:right="101"/>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pacing w:val="-10"/>
                <w:sz w:val="18"/>
                <w:szCs w:val="18"/>
              </w:rPr>
              <w:t>号），执行企业会计准则的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企业应按照企业会计准则和该通知要 求编制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年度及以后期间的财务报 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103" w:right="102"/>
              <w:jc w:val="left"/>
              <w:rPr>
                <w:rFonts w:ascii="宋体" w:hAnsi="宋体" w:cs="宋体" w:eastAsia="宋体" w:hint="default"/>
                <w:sz w:val="18"/>
                <w:szCs w:val="18"/>
              </w:rPr>
            </w:pPr>
            <w:r>
              <w:rPr>
                <w:rFonts w:ascii="宋体" w:hAnsi="宋体" w:cs="宋体" w:eastAsia="宋体" w:hint="default"/>
                <w:spacing w:val="-6"/>
                <w:sz w:val="18"/>
                <w:szCs w:val="18"/>
              </w:rPr>
              <w:t>经公司董事会、监事会及独立董事审议</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通过</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1799" w:lineRule="exact"/>
        <w:ind w:left="1134" w:right="0" w:firstLine="0"/>
        <w:rPr>
          <w:rFonts w:ascii="宋体" w:hAnsi="宋体" w:cs="宋体" w:eastAsia="宋体" w:hint="default"/>
          <w:sz w:val="20"/>
          <w:szCs w:val="20"/>
        </w:rPr>
      </w:pPr>
      <w:r>
        <w:rPr>
          <w:rFonts w:ascii="宋体" w:hAnsi="宋体" w:cs="宋体" w:eastAsia="宋体" w:hint="default"/>
          <w:position w:val="-35"/>
          <w:sz w:val="20"/>
          <w:szCs w:val="20"/>
        </w:rPr>
        <w:drawing>
          <wp:inline distT="0" distB="0" distL="0" distR="0">
            <wp:extent cx="2893096" cy="1142714"/>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23" cstate="print"/>
                    <a:stretch>
                      <a:fillRect/>
                    </a:stretch>
                  </pic:blipFill>
                  <pic:spPr>
                    <a:xfrm>
                      <a:off x="0" y="0"/>
                      <a:ext cx="2893096" cy="1142714"/>
                    </a:xfrm>
                    <a:prstGeom prst="rect">
                      <a:avLst/>
                    </a:prstGeom>
                  </pic:spPr>
                </pic:pic>
              </a:graphicData>
            </a:graphic>
          </wp:inline>
        </w:drawing>
      </w:r>
      <w:r>
        <w:rPr>
          <w:rFonts w:ascii="宋体" w:hAnsi="宋体" w:cs="宋体" w:eastAsia="宋体" w:hint="default"/>
          <w:position w:val="-35"/>
          <w:sz w:val="20"/>
          <w:szCs w:val="20"/>
        </w:rPr>
      </w:r>
    </w:p>
    <w:p>
      <w:pPr>
        <w:spacing w:after="0" w:line="1799" w:lineRule="exact"/>
        <w:rPr>
          <w:rFonts w:ascii="宋体" w:hAnsi="宋体" w:cs="宋体" w:eastAsia="宋体" w:hint="default"/>
          <w:sz w:val="20"/>
          <w:szCs w:val="20"/>
        </w:rPr>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5"/>
        <w:spacing w:line="240" w:lineRule="auto" w:before="35"/>
        <w:ind w:right="0"/>
        <w:jc w:val="left"/>
        <w:rPr>
          <w:b w:val="0"/>
          <w:bCs w:val="0"/>
        </w:rPr>
      </w:pPr>
      <w:bookmarkStart w:name="（2）重要会计估计变更" w:id="217"/>
      <w:bookmarkEnd w:id="217"/>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spacing w:line="487" w:lineRule="auto" w:before="0"/>
        <w:ind w:left="1134" w:right="8966" w:firstLine="0"/>
        <w:jc w:val="left"/>
        <w:rPr>
          <w:rFonts w:ascii="宋体" w:hAnsi="宋体" w:cs="宋体" w:eastAsia="宋体" w:hint="default"/>
          <w:sz w:val="21"/>
          <w:szCs w:val="21"/>
        </w:rPr>
      </w:pPr>
      <w:bookmarkStart w:name="34、其他" w:id="218"/>
      <w:bookmarkEnd w:id="218"/>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19"/>
      <w:bookmarkEnd w:id="219"/>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20"/>
      <w:bookmarkEnd w:id="220"/>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6"/>
        <w:rPr>
          <w:rFonts w:ascii="宋体" w:hAnsi="宋体" w:cs="宋体" w:eastAsia="宋体" w:hint="default"/>
          <w:b/>
          <w:bCs/>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101"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应纳增值额</w:t>
            </w:r>
            <w:r>
              <w:rPr>
                <w:rFonts w:ascii="Times New Roman" w:hAnsi="Times New Roman" w:cs="Times New Roman" w:eastAsia="Times New Roman" w:hint="default"/>
                <w:sz w:val="18"/>
                <w:szCs w:val="18"/>
              </w:rPr>
              <w:t>(</w:t>
            </w:r>
            <w:r>
              <w:rPr>
                <w:rFonts w:ascii="宋体" w:hAnsi="宋体" w:cs="宋体" w:eastAsia="宋体" w:hint="default"/>
                <w:sz w:val="18"/>
                <w:szCs w:val="18"/>
              </w:rPr>
              <w:t>应纳税额按应纳税销售额 乘以适用税率扣除当期允计抵扣的进 项税后的余额计算</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15%</w:t>
            </w:r>
          </w:p>
        </w:tc>
      </w:tr>
    </w:tbl>
    <w:p>
      <w:pPr>
        <w:pStyle w:val="BodyText"/>
        <w:spacing w:line="240" w:lineRule="auto" w:before="51"/>
        <w:ind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江苏先进数通信息技术有限公司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西藏先进数通信息技术有限公司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广州先进数通信息技术有限公司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税收优惠" w:id="221"/>
      <w:bookmarkEnd w:id="221"/>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94" w:right="1122"/>
        <w:jc w:val="left"/>
      </w:pPr>
      <w:r>
        <w:rPr/>
        <w:t>（</w:t>
      </w:r>
      <w:r>
        <w:rPr>
          <w:rFonts w:ascii="宋体" w:hAnsi="宋体" w:cs="宋体" w:eastAsia="宋体" w:hint="default"/>
        </w:rPr>
        <w:t>1</w:t>
      </w:r>
      <w:r>
        <w:rPr/>
        <w:t>）企业所得税税收优惠 公司经北京市科学技术委员会、北京市财政局、北京市国家税务局、北京市地方税务局认定和批准，于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6</w:t>
      </w:r>
      <w:r>
        <w:rPr/>
        <w:t>日</w:t>
      </w:r>
    </w:p>
    <w:p>
      <w:pPr>
        <w:pStyle w:val="BodyText"/>
        <w:spacing w:line="316" w:lineRule="auto" w:before="19"/>
        <w:ind w:left="1133" w:right="0"/>
        <w:jc w:val="left"/>
      </w:pPr>
      <w:r>
        <w:rPr>
          <w:spacing w:val="-2"/>
        </w:rPr>
        <w:t>取得</w:t>
      </w:r>
      <w:r>
        <w:rPr>
          <w:rFonts w:ascii="宋体" w:hAnsi="宋体" w:cs="宋体" w:eastAsia="宋体" w:hint="default"/>
          <w:spacing w:val="-2"/>
        </w:rPr>
        <w:t>GR201711007355</w:t>
      </w:r>
      <w:r>
        <w:rPr>
          <w:spacing w:val="-2"/>
        </w:rPr>
        <w:t>号高新技术企业证书，有效期三年。公司自</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日止按</w:t>
      </w:r>
      <w:r>
        <w:rPr>
          <w:rFonts w:ascii="宋体" w:hAnsi="宋体" w:cs="宋体" w:eastAsia="宋体" w:hint="default"/>
          <w:spacing w:val="-2"/>
        </w:rPr>
        <w:t>15</w:t>
      </w:r>
      <w:r>
        <w:rPr>
          <w:spacing w:val="-2"/>
        </w:rPr>
        <w:t>％的企业所得税率</w:t>
      </w:r>
      <w:r>
        <w:rPr>
          <w:spacing w:val="-34"/>
        </w:rPr>
        <w:t> </w:t>
      </w:r>
      <w:r>
        <w:rPr/>
        <w:t>征收企业所得税。</w:t>
      </w:r>
    </w:p>
    <w:p>
      <w:pPr>
        <w:pStyle w:val="BodyText"/>
        <w:spacing w:line="316" w:lineRule="auto" w:before="19"/>
        <w:ind w:left="1494" w:right="0"/>
        <w:jc w:val="left"/>
      </w:pPr>
      <w:r>
        <w:rPr/>
        <w:t>（</w:t>
      </w:r>
      <w:r>
        <w:rPr>
          <w:rFonts w:ascii="宋体" w:hAnsi="宋体" w:cs="宋体" w:eastAsia="宋体" w:hint="default"/>
        </w:rPr>
        <w:t>2</w:t>
      </w:r>
      <w:r>
        <w:rPr/>
        <w:t>）增值税税收优惠 </w:t>
      </w:r>
      <w:r>
        <w:rPr>
          <w:spacing w:val="-4"/>
        </w:rPr>
        <w:t>依据国务院下发的《国务院关于印发进一步鼓励软件产业和集成电路产业发展若干政策的通知》（国发</w:t>
      </w:r>
      <w:r>
        <w:rPr>
          <w:rFonts w:ascii="宋体" w:hAnsi="宋体" w:cs="宋体" w:eastAsia="宋体" w:hint="default"/>
          <w:spacing w:val="-4"/>
        </w:rPr>
        <w:t>[2011]4</w:t>
      </w:r>
      <w:r>
        <w:rPr>
          <w:spacing w:val="-4"/>
        </w:rPr>
        <w:t>号）的规</w:t>
      </w:r>
    </w:p>
    <w:p>
      <w:pPr>
        <w:pStyle w:val="BodyText"/>
        <w:spacing w:line="316" w:lineRule="auto" w:before="19"/>
        <w:ind w:left="1133" w:right="0"/>
        <w:jc w:val="left"/>
      </w:pPr>
      <w:r>
        <w:rPr>
          <w:spacing w:val="-2"/>
        </w:rPr>
        <w:t>定，以及财政部、国家税务总局联合下发的《财政部、国家税务总局关于软件产品增值税政策的通知》（财税</w:t>
      </w:r>
      <w:r>
        <w:rPr>
          <w:rFonts w:ascii="宋体" w:hAnsi="宋体" w:cs="宋体" w:eastAsia="宋体" w:hint="default"/>
          <w:spacing w:val="-2"/>
        </w:rPr>
        <w:t>[2011]100</w:t>
      </w:r>
      <w:r>
        <w:rPr>
          <w:spacing w:val="-2"/>
        </w:rPr>
        <w:t>号）</w:t>
      </w:r>
      <w:r>
        <w:rPr>
          <w:spacing w:val="-61"/>
        </w:rPr>
        <w:t> </w:t>
      </w:r>
      <w:r>
        <w:rPr/>
        <w:t>的规定，自</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1</w:t>
      </w:r>
      <w:r>
        <w:rPr/>
        <w:t>日起，公司销售其自行开发生产的软件产品，按</w:t>
      </w:r>
      <w:r>
        <w:rPr>
          <w:rFonts w:ascii="宋体" w:hAnsi="宋体" w:cs="宋体" w:eastAsia="宋体" w:hint="default"/>
        </w:rPr>
        <w:t>17%</w:t>
      </w:r>
      <w:r>
        <w:rPr/>
        <w:t>税率征收增值税后，对其增值税实际税负超过</w:t>
      </w:r>
      <w:r>
        <w:rPr>
          <w:rFonts w:ascii="宋体" w:hAnsi="宋体" w:cs="宋体" w:eastAsia="宋体" w:hint="default"/>
        </w:rPr>
        <w:t>3% </w:t>
      </w:r>
      <w:r>
        <w:rPr/>
        <w:t>的部分实行即征即退政策。</w:t>
      </w:r>
    </w:p>
    <w:p>
      <w:pPr>
        <w:pStyle w:val="BodyText"/>
        <w:spacing w:line="316" w:lineRule="auto" w:before="19"/>
        <w:ind w:left="1133" w:right="1123" w:firstLine="360"/>
        <w:jc w:val="left"/>
      </w:pPr>
      <w:r>
        <w:rPr/>
        <w:t>依据国务院下发的</w:t>
      </w:r>
      <w:r>
        <w:rPr>
          <w:rFonts w:ascii="宋体" w:hAnsi="宋体" w:cs="宋体" w:eastAsia="宋体" w:hint="default"/>
        </w:rPr>
        <w:t>&lt;&lt;</w:t>
      </w:r>
      <w:r>
        <w:rPr/>
        <w:t>财务部 国家税务总局关于在全国开展交通运输业和部分现代服务业营业税改增值税试点税收政策 的通知</w:t>
      </w:r>
      <w:r>
        <w:rPr>
          <w:rFonts w:ascii="宋体" w:hAnsi="宋体" w:cs="宋体" w:eastAsia="宋体" w:hint="default"/>
        </w:rPr>
        <w:t>&gt;&gt;(</w:t>
      </w:r>
      <w:r>
        <w:rPr/>
        <w:t>财税</w:t>
      </w:r>
      <w:r>
        <w:rPr>
          <w:rFonts w:ascii="宋体" w:hAnsi="宋体" w:cs="宋体" w:eastAsia="宋体" w:hint="default"/>
        </w:rPr>
        <w:t>[2013]37</w:t>
      </w:r>
      <w:r>
        <w:rPr/>
        <w:t>号</w:t>
      </w:r>
      <w:r>
        <w:rPr>
          <w:rFonts w:ascii="宋体" w:hAnsi="宋体" w:cs="宋体" w:eastAsia="宋体" w:hint="default"/>
        </w:rPr>
        <w:t>)</w:t>
      </w:r>
      <w:r>
        <w:rPr/>
        <w:t>的规定</w:t>
      </w:r>
      <w:r>
        <w:rPr>
          <w:rFonts w:ascii="宋体" w:hAnsi="宋体" w:cs="宋体" w:eastAsia="宋体" w:hint="default"/>
        </w:rPr>
        <w:t>,</w:t>
      </w:r>
      <w:r>
        <w:rPr/>
        <w:t>试点纳税人提供技术转让、技术开发和与之相关的技术咨询、技术服务、免征增值税。</w:t>
      </w:r>
    </w:p>
    <w:p>
      <w:pPr>
        <w:spacing w:after="0" w:line="316" w:lineRule="auto"/>
        <w:jc w:val="left"/>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spacing w:line="487" w:lineRule="auto" w:before="35"/>
        <w:ind w:left="1133" w:right="7862" w:firstLine="0"/>
        <w:jc w:val="left"/>
        <w:rPr>
          <w:rFonts w:ascii="宋体" w:hAnsi="宋体" w:cs="宋体" w:eastAsia="宋体" w:hint="default"/>
          <w:sz w:val="21"/>
          <w:szCs w:val="21"/>
        </w:rPr>
      </w:pPr>
      <w:bookmarkStart w:name="3、 其他" w:id="222"/>
      <w:bookmarkEnd w:id="22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23"/>
      <w:bookmarkEnd w:id="223"/>
      <w:r>
        <w:rPr>
          <w:rFonts w:ascii="宋体" w:hAnsi="宋体" w:cs="宋体" w:eastAsia="宋体" w:hint="default"/>
          <w:b/>
          <w:bCs/>
          <w:spacing w:val="1"/>
          <w:w w:val="99"/>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bookmarkStart w:name="1、货币资金" w:id="224"/>
      <w:bookmarkEnd w:id="22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5,237.46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6,427.02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336,952,363.94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431,524,516.60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8,218,387.89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5,308,689.41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345,175,989.29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436,839,633.03</w:t>
            </w:r>
          </w:p>
        </w:tc>
      </w:tr>
    </w:tbl>
    <w:p>
      <w:pPr>
        <w:pStyle w:val="BodyText"/>
        <w:spacing w:line="240" w:lineRule="auto" w:before="51"/>
        <w:ind w:right="0"/>
        <w:jc w:val="left"/>
      </w:pPr>
      <w:r>
        <w:rPr/>
        <w:t>其他说明</w:t>
      </w:r>
    </w:p>
    <w:p>
      <w:pPr>
        <w:pStyle w:val="BodyText"/>
        <w:spacing w:line="316" w:lineRule="auto" w:before="116"/>
        <w:ind w:right="1122" w:firstLine="360"/>
        <w:jc w:val="left"/>
      </w:pPr>
      <w:r>
        <w:rPr/>
        <w:t>本期末其他货币资金系保函保证金，其中于</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31</w:t>
      </w:r>
      <w:r>
        <w:rPr/>
        <w:t>后到期的金额</w:t>
      </w:r>
      <w:r>
        <w:rPr>
          <w:rFonts w:ascii="宋体" w:hAnsi="宋体" w:cs="宋体" w:eastAsia="宋体" w:hint="default"/>
        </w:rPr>
        <w:t>3,766,109.09</w:t>
      </w:r>
      <w:r>
        <w:rPr/>
        <w:t>元。货币资金中不存在其他因抵押 或冻结等对使用有限制、存放在境外、有潜在回收风险的款项。</w:t>
      </w:r>
    </w:p>
    <w:p>
      <w:pPr>
        <w:spacing w:line="240" w:lineRule="auto" w:before="7"/>
        <w:rPr>
          <w:rFonts w:ascii="宋体" w:hAnsi="宋体" w:cs="宋体" w:eastAsia="宋体" w:hint="default"/>
          <w:sz w:val="22"/>
          <w:szCs w:val="22"/>
        </w:rPr>
      </w:pPr>
    </w:p>
    <w:p>
      <w:pPr>
        <w:pStyle w:val="Heading5"/>
        <w:spacing w:line="240" w:lineRule="auto"/>
        <w:ind w:right="0"/>
        <w:jc w:val="left"/>
        <w:rPr>
          <w:b w:val="0"/>
          <w:bCs w:val="0"/>
        </w:rPr>
      </w:pPr>
      <w:bookmarkStart w:name="2、以公允价值计量且其变动计入当期损益的金融资产" w:id="225"/>
      <w:bookmarkEnd w:id="225"/>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3、衍生金融资产" w:id="226"/>
      <w:bookmarkEnd w:id="226"/>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4、应收票据" w:id="227"/>
      <w:bookmarkEnd w:id="227"/>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5、应收账款" w:id="228"/>
      <w:bookmarkEnd w:id="228"/>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应收账款分类披露" w:id="229"/>
      <w:bookmarkEnd w:id="22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532,94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9,621.0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10,223,</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571.43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522,72</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6,049.6</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6" w:right="0"/>
              <w:jc w:val="left"/>
              <w:rPr>
                <w:rFonts w:ascii="Times New Roman" w:hAnsi="Times New Roman" w:cs="Times New Roman" w:eastAsia="Times New Roman" w:hint="default"/>
                <w:sz w:val="18"/>
                <w:szCs w:val="18"/>
              </w:rPr>
            </w:pPr>
            <w:r>
              <w:rPr>
                <w:rFonts w:ascii="Times New Roman"/>
                <w:sz w:val="18"/>
              </w:rPr>
              <w:t>450,2</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99,41</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5.43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6,981,8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61.00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443,317,</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554.43</w:t>
            </w: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532,94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9,621.0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10,223,</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571.43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522,72</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6,049.6</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6" w:right="0"/>
              <w:jc w:val="left"/>
              <w:rPr>
                <w:rFonts w:ascii="Times New Roman" w:hAnsi="Times New Roman" w:cs="Times New Roman" w:eastAsia="Times New Roman" w:hint="default"/>
                <w:sz w:val="18"/>
                <w:szCs w:val="18"/>
              </w:rPr>
            </w:pPr>
            <w:r>
              <w:rPr>
                <w:rFonts w:ascii="Times New Roman"/>
                <w:sz w:val="18"/>
              </w:rPr>
              <w:t>450,2</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99,41</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5.43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6,981,8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61.00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443,317,</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554.43</w:t>
            </w:r>
          </w:p>
        </w:tc>
      </w:tr>
    </w:tbl>
    <w:p>
      <w:pPr>
        <w:pStyle w:val="BodyText"/>
        <w:spacing w:line="240" w:lineRule="auto" w:before="51"/>
        <w:ind w:right="0"/>
        <w:jc w:val="left"/>
      </w:pPr>
      <w:r>
        <w:rPr/>
        <w:t>期末单项金额重大并单项计提坏账准备的应收账款：</w:t>
      </w:r>
    </w:p>
    <w:p>
      <w:pPr>
        <w:pStyle w:val="BodyText"/>
        <w:spacing w:line="240" w:lineRule="auto" w:before="116"/>
        <w:ind w:right="0"/>
        <w:jc w:val="left"/>
      </w:pPr>
      <w:r>
        <w:rPr/>
        <w:t>□ 适用 √ 不适用</w:t>
      </w:r>
    </w:p>
    <w:p>
      <w:pPr>
        <w:spacing w:after="0" w:line="240" w:lineRule="auto"/>
        <w:jc w:val="left"/>
        <w:sectPr>
          <w:footerReference w:type="default" r:id="rId24"/>
          <w:pgSz w:w="11910" w:h="16840"/>
          <w:pgMar w:footer="1019" w:header="907" w:top="1100" w:bottom="1200" w:left="0" w:right="0"/>
        </w:sectPr>
      </w:pPr>
    </w:p>
    <w:p>
      <w:pPr>
        <w:spacing w:line="240" w:lineRule="auto" w:before="1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25"/>
          <w:pgSz w:w="11910" w:h="16840"/>
          <w:pgMar w:footer="1019" w:header="907" w:top="1100" w:bottom="1200" w:left="0" w:right="0"/>
          <w:pgNumType w:start="101"/>
        </w:sectPr>
      </w:pPr>
    </w:p>
    <w:p>
      <w:pPr>
        <w:pStyle w:val="BodyText"/>
        <w:spacing w:line="240" w:lineRule="auto" w:before="44"/>
        <w:ind w:right="-20"/>
        <w:jc w:val="left"/>
      </w:pPr>
      <w:r>
        <w:rPr/>
        <w:t>组合中，按账龄分析法计提坏账准备的应收账款：</w:t>
      </w:r>
    </w:p>
    <w:p>
      <w:pPr>
        <w:pStyle w:val="BodyText"/>
        <w:spacing w:line="240" w:lineRule="auto" w:before="116"/>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100" w:bottom="1200" w:left="0" w:right="0"/>
          <w:cols w:num="2" w:equalWidth="0">
            <w:col w:w="5095" w:space="373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454,846,617.24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4,548,466.17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60,362,817.96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3,018,140.90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15,179,602.03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1,517,960.20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1,985,113.86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595,534.16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63,999.99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511,470.00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511,470.00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532,949,621.08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10,223,571.43</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432"/>
        <w:jc w:val="left"/>
      </w:pPr>
      <w:r>
        <w:rPr/>
        <w:t>确定该组合依据的说明： 组合中，采用余额百分比法计提坏账准备的应收账款：</w:t>
      </w:r>
    </w:p>
    <w:p>
      <w:pPr>
        <w:pStyle w:val="BodyText"/>
        <w:spacing w:line="360" w:lineRule="auto" w:before="26"/>
        <w:ind w:right="6792"/>
        <w:jc w:val="left"/>
      </w:pPr>
      <w:r>
        <w:rPr/>
        <w:t>□ 适用 √ 不适用 组合中，采用其他方法计提坏账准备的应收账款：</w:t>
      </w:r>
    </w:p>
    <w:p>
      <w:pPr>
        <w:spacing w:line="240" w:lineRule="auto" w:before="12"/>
        <w:rPr>
          <w:rFonts w:ascii="宋体" w:hAnsi="宋体" w:cs="宋体" w:eastAsia="宋体" w:hint="default"/>
          <w:sz w:val="19"/>
          <w:szCs w:val="19"/>
        </w:rPr>
      </w:pPr>
    </w:p>
    <w:p>
      <w:pPr>
        <w:pStyle w:val="Heading5"/>
        <w:spacing w:line="240" w:lineRule="auto"/>
        <w:ind w:right="0"/>
        <w:jc w:val="left"/>
        <w:rPr>
          <w:b w:val="0"/>
          <w:bCs w:val="0"/>
        </w:rPr>
      </w:pPr>
      <w:bookmarkStart w:name="（2）本期计提、收回或转回的坏账准备情况" w:id="230"/>
      <w:bookmarkEnd w:id="23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133" w:right="4461"/>
        <w:jc w:val="left"/>
      </w:pPr>
      <w:r>
        <w:rPr/>
        <w:t>本期计提坏账准备金额</w:t>
      </w:r>
      <w:r>
        <w:rPr>
          <w:spacing w:val="-47"/>
        </w:rPr>
        <w:t> </w:t>
      </w:r>
      <w:r>
        <w:rPr>
          <w:rFonts w:ascii="Times New Roman" w:hAnsi="Times New Roman" w:cs="Times New Roman" w:eastAsia="Times New Roman" w:hint="default"/>
        </w:rPr>
        <w:t>4,180,144.18</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1"/>
        <w:rPr>
          <w:rFonts w:ascii="宋体" w:hAnsi="宋体" w:cs="宋体" w:eastAsia="宋体" w:hint="default"/>
          <w:sz w:val="21"/>
          <w:szCs w:val="21"/>
        </w:rPr>
      </w:pPr>
    </w:p>
    <w:p>
      <w:pPr>
        <w:pStyle w:val="Heading5"/>
        <w:spacing w:line="240" w:lineRule="auto"/>
        <w:ind w:left="1133" w:right="0"/>
        <w:jc w:val="left"/>
        <w:rPr>
          <w:b w:val="0"/>
          <w:bCs w:val="0"/>
        </w:rPr>
      </w:pPr>
      <w:bookmarkStart w:name="（3）本期实际核销的应收账款情况" w:id="231"/>
      <w:bookmarkEnd w:id="231"/>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合同款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938,433.75</w:t>
            </w:r>
          </w:p>
        </w:tc>
      </w:tr>
    </w:tbl>
    <w:p>
      <w:pPr>
        <w:pStyle w:val="BodyText"/>
        <w:spacing w:line="357" w:lineRule="auto" w:before="51"/>
        <w:ind w:right="8232"/>
        <w:jc w:val="left"/>
      </w:pPr>
      <w:r>
        <w:rPr/>
        <w:t>其中重要的应收账款核销情况： 应收账款核销说明：</w:t>
      </w:r>
    </w:p>
    <w:p>
      <w:pPr>
        <w:pStyle w:val="BodyText"/>
        <w:spacing w:line="240" w:lineRule="auto" w:before="28"/>
        <w:ind w:right="0"/>
        <w:jc w:val="left"/>
      </w:pPr>
      <w:r>
        <w:rPr/>
        <w:t>公司核销的应收账款为三年以上账龄，经核实确实无法收回，经业务经理及总经理审核后进行核销。</w:t>
      </w:r>
    </w:p>
    <w:p>
      <w:pPr>
        <w:spacing w:line="240" w:lineRule="auto" w:before="12"/>
        <w:rPr>
          <w:rFonts w:ascii="宋体" w:hAnsi="宋体" w:cs="宋体" w:eastAsia="宋体" w:hint="default"/>
          <w:sz w:val="26"/>
          <w:szCs w:val="26"/>
        </w:rPr>
      </w:pPr>
    </w:p>
    <w:p>
      <w:pPr>
        <w:pStyle w:val="Heading5"/>
        <w:spacing w:line="240" w:lineRule="auto"/>
        <w:ind w:left="1133" w:right="0"/>
        <w:jc w:val="left"/>
        <w:rPr>
          <w:b w:val="0"/>
          <w:bCs w:val="0"/>
        </w:rPr>
      </w:pPr>
      <w:bookmarkStart w:name="（4）按欠款方归集的期末余额前五名的应收账款情况" w:id="232"/>
      <w:bookmarkEnd w:id="232"/>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spacing w:line="240" w:lineRule="auto" w:before="6"/>
        <w:rPr>
          <w:rFonts w:ascii="宋体" w:hAnsi="宋体" w:cs="宋体" w:eastAsia="宋体" w:hint="default"/>
          <w:sz w:val="11"/>
          <w:szCs w:val="11"/>
        </w:rPr>
      </w:pPr>
    </w:p>
    <w:p>
      <w:pPr>
        <w:spacing w:line="979" w:lineRule="exact"/>
        <w:ind w:left="1134" w:right="0" w:firstLine="0"/>
        <w:rPr>
          <w:rFonts w:ascii="宋体" w:hAnsi="宋体" w:cs="宋体" w:eastAsia="宋体" w:hint="default"/>
          <w:sz w:val="20"/>
          <w:szCs w:val="20"/>
        </w:rPr>
      </w:pPr>
      <w:r>
        <w:rPr>
          <w:rFonts w:ascii="宋体" w:hAnsi="宋体" w:cs="宋体" w:eastAsia="宋体" w:hint="default"/>
          <w:position w:val="-19"/>
          <w:sz w:val="20"/>
          <w:szCs w:val="20"/>
        </w:rPr>
        <w:drawing>
          <wp:inline distT="0" distB="0" distL="0" distR="0">
            <wp:extent cx="3374173" cy="621791"/>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26" cstate="print"/>
                    <a:stretch>
                      <a:fillRect/>
                    </a:stretch>
                  </pic:blipFill>
                  <pic:spPr>
                    <a:xfrm>
                      <a:off x="0" y="0"/>
                      <a:ext cx="3374173" cy="621791"/>
                    </a:xfrm>
                    <a:prstGeom prst="rect">
                      <a:avLst/>
                    </a:prstGeom>
                  </pic:spPr>
                </pic:pic>
              </a:graphicData>
            </a:graphic>
          </wp:inline>
        </w:drawing>
      </w:r>
      <w:r>
        <w:rPr>
          <w:rFonts w:ascii="宋体" w:hAnsi="宋体" w:cs="宋体" w:eastAsia="宋体" w:hint="default"/>
          <w:position w:val="-19"/>
          <w:sz w:val="20"/>
          <w:szCs w:val="20"/>
        </w:rPr>
      </w:r>
    </w:p>
    <w:p>
      <w:pPr>
        <w:spacing w:after="0" w:line="979" w:lineRule="exact"/>
        <w:rPr>
          <w:rFonts w:ascii="宋体" w:hAnsi="宋体" w:cs="宋体" w:eastAsia="宋体" w:hint="default"/>
          <w:sz w:val="20"/>
          <w:szCs w:val="20"/>
        </w:rPr>
        <w:sectPr>
          <w:type w:val="continuous"/>
          <w:pgSz w:w="11910" w:h="16840"/>
          <w:pgMar w:top="1100" w:bottom="1200" w:left="0" w:right="0"/>
        </w:sectPr>
      </w:pPr>
    </w:p>
    <w:p>
      <w:pPr>
        <w:spacing w:line="240" w:lineRule="auto" w:before="10"/>
        <w:rPr>
          <w:rFonts w:ascii="宋体" w:hAnsi="宋体" w:cs="宋体" w:eastAsia="宋体" w:hint="default"/>
          <w:sz w:val="21"/>
          <w:szCs w:val="21"/>
        </w:rPr>
      </w:pPr>
    </w:p>
    <w:p>
      <w:pPr>
        <w:pStyle w:val="Heading5"/>
        <w:spacing w:line="240" w:lineRule="auto" w:before="35"/>
        <w:ind w:right="0"/>
        <w:jc w:val="left"/>
        <w:rPr>
          <w:b w:val="0"/>
          <w:bCs w:val="0"/>
        </w:rPr>
      </w:pPr>
      <w:bookmarkStart w:name="（5）因金融资产转移而终止确认的应收账款" w:id="233"/>
      <w:bookmarkEnd w:id="233"/>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6）转移应收账款且继续涉入形成的资产、负债金额" w:id="234"/>
      <w:bookmarkEnd w:id="234"/>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6、预付款项" w:id="235"/>
      <w:bookmarkEnd w:id="235"/>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预付款项按账龄列示" w:id="236"/>
      <w:bookmarkEnd w:id="236"/>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32,371,742.73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95.40%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5,699,969.89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82.02%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346,727.93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1,190,103.10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17.13%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1,156,704.82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58,903.07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0.85%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58,903.07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33,934,078.55</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6,948,976.06</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6"/>
        <w:rPr>
          <w:rFonts w:ascii="宋体" w:hAnsi="宋体" w:cs="宋体" w:eastAsia="宋体" w:hint="default"/>
          <w:sz w:val="13"/>
          <w:szCs w:val="13"/>
        </w:rPr>
      </w:pPr>
    </w:p>
    <w:p>
      <w:pPr>
        <w:spacing w:line="1078" w:lineRule="exact"/>
        <w:ind w:left="1134" w:right="0" w:firstLine="0"/>
        <w:rPr>
          <w:rFonts w:ascii="宋体" w:hAnsi="宋体" w:cs="宋体" w:eastAsia="宋体" w:hint="default"/>
          <w:sz w:val="20"/>
          <w:szCs w:val="20"/>
        </w:rPr>
      </w:pPr>
      <w:r>
        <w:rPr>
          <w:rFonts w:ascii="宋体" w:hAnsi="宋体" w:cs="宋体" w:eastAsia="宋体" w:hint="default"/>
          <w:position w:val="-21"/>
          <w:sz w:val="20"/>
          <w:szCs w:val="20"/>
        </w:rPr>
        <w:drawing>
          <wp:inline distT="0" distB="0" distL="0" distR="0">
            <wp:extent cx="6067031" cy="684752"/>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27" cstate="print"/>
                    <a:stretch>
                      <a:fillRect/>
                    </a:stretch>
                  </pic:blipFill>
                  <pic:spPr>
                    <a:xfrm>
                      <a:off x="0" y="0"/>
                      <a:ext cx="6067031" cy="684752"/>
                    </a:xfrm>
                    <a:prstGeom prst="rect">
                      <a:avLst/>
                    </a:prstGeom>
                  </pic:spPr>
                </pic:pic>
              </a:graphicData>
            </a:graphic>
          </wp:inline>
        </w:drawing>
      </w:r>
      <w:r>
        <w:rPr>
          <w:rFonts w:ascii="宋体" w:hAnsi="宋体" w:cs="宋体" w:eastAsia="宋体" w:hint="default"/>
          <w:position w:val="-21"/>
          <w:sz w:val="20"/>
          <w:szCs w:val="20"/>
        </w:rPr>
      </w:r>
    </w:p>
    <w:p>
      <w:pPr>
        <w:spacing w:line="240" w:lineRule="auto" w:before="0"/>
        <w:rPr>
          <w:rFonts w:ascii="宋体" w:hAnsi="宋体" w:cs="宋体" w:eastAsia="宋体" w:hint="default"/>
          <w:sz w:val="18"/>
          <w:szCs w:val="18"/>
        </w:rPr>
      </w:pPr>
    </w:p>
    <w:p>
      <w:pPr>
        <w:pStyle w:val="Heading5"/>
        <w:spacing w:line="240" w:lineRule="auto" w:before="137"/>
        <w:ind w:right="0"/>
        <w:jc w:val="left"/>
        <w:rPr>
          <w:b w:val="0"/>
          <w:bCs w:val="0"/>
        </w:rPr>
      </w:pPr>
      <w:bookmarkStart w:name="（2）按预付对象归集的期末余额前五名的预付款情况" w:id="237"/>
      <w:bookmarkEnd w:id="237"/>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6"/>
          <w:szCs w:val="26"/>
        </w:rPr>
      </w:pPr>
    </w:p>
    <w:p>
      <w:pPr>
        <w:spacing w:line="915" w:lineRule="exact"/>
        <w:ind w:left="1134" w:right="0" w:firstLine="0"/>
        <w:rPr>
          <w:rFonts w:ascii="宋体" w:hAnsi="宋体" w:cs="宋体" w:eastAsia="宋体" w:hint="default"/>
          <w:sz w:val="20"/>
          <w:szCs w:val="20"/>
        </w:rPr>
      </w:pPr>
      <w:r>
        <w:rPr>
          <w:rFonts w:ascii="宋体" w:hAnsi="宋体" w:cs="宋体" w:eastAsia="宋体" w:hint="default"/>
          <w:position w:val="-17"/>
          <w:sz w:val="20"/>
          <w:szCs w:val="20"/>
        </w:rPr>
        <w:drawing>
          <wp:inline distT="0" distB="0" distL="0" distR="0">
            <wp:extent cx="3720598" cy="581025"/>
            <wp:effectExtent l="0" t="0" r="0" b="0"/>
            <wp:docPr id="13" name="image8.png" descr=""/>
            <wp:cNvGraphicFramePr>
              <a:graphicFrameLocks noChangeAspect="1"/>
            </wp:cNvGraphicFramePr>
            <a:graphic>
              <a:graphicData uri="http://schemas.openxmlformats.org/drawingml/2006/picture">
                <pic:pic>
                  <pic:nvPicPr>
                    <pic:cNvPr id="14" name="image8.png"/>
                    <pic:cNvPicPr/>
                  </pic:nvPicPr>
                  <pic:blipFill>
                    <a:blip r:embed="rId28" cstate="print"/>
                    <a:stretch>
                      <a:fillRect/>
                    </a:stretch>
                  </pic:blipFill>
                  <pic:spPr>
                    <a:xfrm>
                      <a:off x="0" y="0"/>
                      <a:ext cx="3720598" cy="581025"/>
                    </a:xfrm>
                    <a:prstGeom prst="rect">
                      <a:avLst/>
                    </a:prstGeom>
                  </pic:spPr>
                </pic:pic>
              </a:graphicData>
            </a:graphic>
          </wp:inline>
        </w:drawing>
      </w:r>
      <w:r>
        <w:rPr>
          <w:rFonts w:ascii="宋体" w:hAnsi="宋体" w:cs="宋体" w:eastAsia="宋体" w:hint="default"/>
          <w:position w:val="-17"/>
          <w:sz w:val="20"/>
          <w:szCs w:val="20"/>
        </w:rPr>
      </w:r>
    </w:p>
    <w:p>
      <w:pPr>
        <w:spacing w:line="240" w:lineRule="auto" w:before="8"/>
        <w:rPr>
          <w:rFonts w:ascii="宋体" w:hAnsi="宋体" w:cs="宋体" w:eastAsia="宋体" w:hint="default"/>
          <w:b/>
          <w:bCs/>
          <w:sz w:val="22"/>
          <w:szCs w:val="22"/>
        </w:rPr>
      </w:pPr>
    </w:p>
    <w:p>
      <w:pPr>
        <w:pStyle w:val="Heading5"/>
        <w:spacing w:line="240" w:lineRule="auto"/>
        <w:ind w:left="1133" w:right="0"/>
        <w:jc w:val="left"/>
        <w:rPr>
          <w:b w:val="0"/>
          <w:bCs w:val="0"/>
        </w:rPr>
      </w:pPr>
      <w:bookmarkStart w:name="7、应收利息" w:id="238"/>
      <w:bookmarkEnd w:id="238"/>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应收利息分类" w:id="239"/>
      <w:bookmarkEnd w:id="239"/>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89"/>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609,095.89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609,095.89</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2） 重要逾期利息" w:id="240"/>
      <w:bookmarkEnd w:id="240"/>
      <w:r>
        <w:rPr>
          <w:b w:val="0"/>
          <w:bCs w:val="0"/>
        </w:rPr>
      </w:r>
      <w:r>
        <w:rPr/>
        <w:t>（</w:t>
      </w:r>
      <w:r>
        <w:rPr>
          <w:rFonts w:ascii="Times New Roman" w:hAnsi="Times New Roman" w:cs="Times New Roman" w:eastAsia="Times New Roman" w:hint="default"/>
        </w:rPr>
        <w:t>2</w:t>
      </w:r>
      <w:r>
        <w:rPr/>
        <w:t>）重要逾期利息</w:t>
      </w:r>
      <w:r>
        <w:rPr>
          <w:b w:val="0"/>
          <w:bCs w:val="0"/>
        </w:rPr>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b/>
          <w:bCs/>
          <w:sz w:val="21"/>
          <w:szCs w:val="21"/>
        </w:rPr>
      </w:pPr>
    </w:p>
    <w:p>
      <w:pPr>
        <w:pStyle w:val="Heading5"/>
        <w:spacing w:line="240" w:lineRule="auto" w:before="35"/>
        <w:ind w:right="0"/>
        <w:jc w:val="left"/>
        <w:rPr>
          <w:b w:val="0"/>
          <w:bCs w:val="0"/>
        </w:rPr>
      </w:pPr>
      <w:bookmarkStart w:name="8、应收股利" w:id="241"/>
      <w:bookmarkEnd w:id="241"/>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9、其他应收款" w:id="242"/>
      <w:bookmarkEnd w:id="242"/>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其他应收款分类披露" w:id="243"/>
      <w:bookmarkEnd w:id="243"/>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9"/>
                <w:szCs w:val="19"/>
              </w:rPr>
            </w:pPr>
          </w:p>
          <w:p>
            <w:pPr>
              <w:pStyle w:val="TableParagraph"/>
              <w:spacing w:line="319"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9"/>
                <w:szCs w:val="19"/>
              </w:rPr>
            </w:pPr>
          </w:p>
          <w:p>
            <w:pPr>
              <w:pStyle w:val="TableParagraph"/>
              <w:spacing w:line="319"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12,681,</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397.51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426,46</w:t>
            </w:r>
          </w:p>
          <w:p>
            <w:pPr>
              <w:pStyle w:val="TableParagraph"/>
              <w:spacing w:line="240" w:lineRule="auto" w:before="105"/>
              <w:ind w:left="229" w:right="0"/>
              <w:jc w:val="center"/>
              <w:rPr>
                <w:rFonts w:ascii="Times New Roman" w:hAnsi="Times New Roman" w:cs="Times New Roman" w:eastAsia="Times New Roman" w:hint="default"/>
                <w:sz w:val="18"/>
                <w:szCs w:val="18"/>
              </w:rPr>
            </w:pPr>
            <w:r>
              <w:rPr>
                <w:rFonts w:ascii="Times New Roman"/>
                <w:sz w:val="18"/>
              </w:rPr>
              <w:t>1.46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12,254,</w:t>
            </w:r>
          </w:p>
          <w:p>
            <w:pPr>
              <w:pStyle w:val="TableParagraph"/>
              <w:spacing w:line="240" w:lineRule="auto" w:before="105"/>
              <w:ind w:left="181" w:right="0"/>
              <w:jc w:val="left"/>
              <w:rPr>
                <w:rFonts w:ascii="Times New Roman" w:hAnsi="Times New Roman" w:cs="Times New Roman" w:eastAsia="Times New Roman" w:hint="default"/>
                <w:sz w:val="18"/>
                <w:szCs w:val="18"/>
              </w:rPr>
            </w:pPr>
            <w:r>
              <w:rPr>
                <w:rFonts w:ascii="Times New Roman"/>
                <w:sz w:val="18"/>
              </w:rPr>
              <w:t>936.05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7,446</w:t>
            </w:r>
          </w:p>
          <w:p>
            <w:pPr>
              <w:pStyle w:val="TableParagraph"/>
              <w:spacing w:line="240" w:lineRule="auto" w:before="104"/>
              <w:ind w:left="78" w:right="0"/>
              <w:jc w:val="center"/>
              <w:rPr>
                <w:rFonts w:ascii="Times New Roman" w:hAnsi="Times New Roman" w:cs="Times New Roman" w:eastAsia="Times New Roman" w:hint="default"/>
                <w:sz w:val="18"/>
                <w:szCs w:val="18"/>
              </w:rPr>
            </w:pPr>
            <w:r>
              <w:rPr>
                <w:rFonts w:ascii="Times New Roman"/>
                <w:sz w:val="18"/>
              </w:rPr>
              <w:t>,007.</w:t>
            </w:r>
          </w:p>
          <w:p>
            <w:pPr>
              <w:pStyle w:val="TableParagraph"/>
              <w:spacing w:line="240" w:lineRule="auto" w:before="106"/>
              <w:ind w:left="258" w:right="0"/>
              <w:jc w:val="center"/>
              <w:rPr>
                <w:rFonts w:ascii="Times New Roman" w:hAnsi="Times New Roman" w:cs="Times New Roman" w:eastAsia="Times New Roman" w:hint="default"/>
                <w:sz w:val="18"/>
                <w:szCs w:val="18"/>
              </w:rPr>
            </w:pPr>
            <w:r>
              <w:rPr>
                <w:rFonts w:ascii="Times New Roman"/>
                <w:sz w:val="18"/>
              </w:rPr>
              <w:t>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203,594</w:t>
            </w:r>
          </w:p>
          <w:p>
            <w:pPr>
              <w:pStyle w:val="TableParagraph"/>
              <w:spacing w:line="240" w:lineRule="auto" w:before="105"/>
              <w:ind w:left="476" w:right="0"/>
              <w:jc w:val="left"/>
              <w:rPr>
                <w:rFonts w:ascii="Times New Roman" w:hAnsi="Times New Roman" w:cs="Times New Roman" w:eastAsia="Times New Roman" w:hint="default"/>
                <w:sz w:val="18"/>
                <w:szCs w:val="18"/>
              </w:rPr>
            </w:pPr>
            <w:r>
              <w:rPr>
                <w:rFonts w:ascii="Times New Roman"/>
                <w:sz w:val="18"/>
              </w:rPr>
              <w:t>.77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7,242,41</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2.40</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12,681,</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397.51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426,46</w:t>
            </w:r>
          </w:p>
          <w:p>
            <w:pPr>
              <w:pStyle w:val="TableParagraph"/>
              <w:spacing w:line="240" w:lineRule="auto" w:before="105"/>
              <w:ind w:left="229" w:right="0"/>
              <w:jc w:val="center"/>
              <w:rPr>
                <w:rFonts w:ascii="Times New Roman" w:hAnsi="Times New Roman" w:cs="Times New Roman" w:eastAsia="Times New Roman" w:hint="default"/>
                <w:sz w:val="18"/>
                <w:szCs w:val="18"/>
              </w:rPr>
            </w:pPr>
            <w:r>
              <w:rPr>
                <w:rFonts w:ascii="Times New Roman"/>
                <w:sz w:val="18"/>
              </w:rPr>
              <w:t>1.46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12,254,</w:t>
            </w:r>
          </w:p>
          <w:p>
            <w:pPr>
              <w:pStyle w:val="TableParagraph"/>
              <w:spacing w:line="240" w:lineRule="auto" w:before="105"/>
              <w:ind w:left="181" w:right="0"/>
              <w:jc w:val="left"/>
              <w:rPr>
                <w:rFonts w:ascii="Times New Roman" w:hAnsi="Times New Roman" w:cs="Times New Roman" w:eastAsia="Times New Roman" w:hint="default"/>
                <w:sz w:val="18"/>
                <w:szCs w:val="18"/>
              </w:rPr>
            </w:pPr>
            <w:r>
              <w:rPr>
                <w:rFonts w:ascii="Times New Roman"/>
                <w:sz w:val="18"/>
              </w:rPr>
              <w:t>936.05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7,446</w:t>
            </w:r>
          </w:p>
          <w:p>
            <w:pPr>
              <w:pStyle w:val="TableParagraph"/>
              <w:spacing w:line="240" w:lineRule="auto" w:before="104"/>
              <w:ind w:left="78" w:right="0"/>
              <w:jc w:val="center"/>
              <w:rPr>
                <w:rFonts w:ascii="Times New Roman" w:hAnsi="Times New Roman" w:cs="Times New Roman" w:eastAsia="Times New Roman" w:hint="default"/>
                <w:sz w:val="18"/>
                <w:szCs w:val="18"/>
              </w:rPr>
            </w:pPr>
            <w:r>
              <w:rPr>
                <w:rFonts w:ascii="Times New Roman"/>
                <w:sz w:val="18"/>
              </w:rPr>
              <w:t>,007.</w:t>
            </w:r>
          </w:p>
          <w:p>
            <w:pPr>
              <w:pStyle w:val="TableParagraph"/>
              <w:spacing w:line="240" w:lineRule="auto" w:before="106"/>
              <w:ind w:left="258" w:right="0"/>
              <w:jc w:val="center"/>
              <w:rPr>
                <w:rFonts w:ascii="Times New Roman" w:hAnsi="Times New Roman" w:cs="Times New Roman" w:eastAsia="Times New Roman" w:hint="default"/>
                <w:sz w:val="18"/>
                <w:szCs w:val="18"/>
              </w:rPr>
            </w:pPr>
            <w:r>
              <w:rPr>
                <w:rFonts w:ascii="Times New Roman"/>
                <w:sz w:val="18"/>
              </w:rPr>
              <w:t>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203,594</w:t>
            </w:r>
          </w:p>
          <w:p>
            <w:pPr>
              <w:pStyle w:val="TableParagraph"/>
              <w:spacing w:line="240" w:lineRule="auto" w:before="105"/>
              <w:ind w:left="476" w:right="0"/>
              <w:jc w:val="left"/>
              <w:rPr>
                <w:rFonts w:ascii="Times New Roman" w:hAnsi="Times New Roman" w:cs="Times New Roman" w:eastAsia="Times New Roman" w:hint="default"/>
                <w:sz w:val="18"/>
                <w:szCs w:val="18"/>
              </w:rPr>
            </w:pPr>
            <w:r>
              <w:rPr>
                <w:rFonts w:ascii="Times New Roman"/>
                <w:sz w:val="18"/>
              </w:rPr>
              <w:t>.77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7,242,41</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2.40</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pStyle w:val="BodyText"/>
        <w:spacing w:line="240" w:lineRule="auto" w:before="51"/>
        <w:ind w:right="-20"/>
        <w:jc w:val="left"/>
      </w:pPr>
      <w:r>
        <w:rPr/>
        <w:t>期末单项金额重大并单项计提坏账准备的其他应收款：</w:t>
      </w:r>
    </w:p>
    <w:p>
      <w:pPr>
        <w:pStyle w:val="BodyText"/>
        <w:spacing w:line="357" w:lineRule="auto" w:before="117"/>
        <w:ind w:right="160"/>
        <w:jc w:val="left"/>
      </w:pPr>
      <w:r>
        <w:rPr/>
        <w:t>□ 适用 √ 不适用 组合中，按账龄分析法计提坏账准备的其他应收款：</w:t>
      </w:r>
    </w:p>
    <w:p>
      <w:pPr>
        <w:pStyle w:val="BodyText"/>
        <w:spacing w:line="240" w:lineRule="auto" w:before="28"/>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100" w:bottom="1200" w:left="0" w:right="0"/>
          <w:cols w:num="2" w:equalWidth="0">
            <w:col w:w="5455" w:space="337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10,504,282.98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105,042.83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1,240,962.93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62,048.15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347,375.00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34,737.50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348,776.60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104,632.98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12,681,397.51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426,461.46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252"/>
        <w:jc w:val="left"/>
      </w:pPr>
      <w:r>
        <w:rPr/>
        <w:t>确定该组合依据的说明： 组合中，采用余额百分比法计提坏账准备的其他应收款：</w:t>
      </w:r>
    </w:p>
    <w:p>
      <w:pPr>
        <w:pStyle w:val="BodyText"/>
        <w:spacing w:line="360" w:lineRule="auto" w:before="26"/>
        <w:ind w:right="6612"/>
        <w:jc w:val="left"/>
      </w:pPr>
      <w:r>
        <w:rPr/>
        <w:t>□ 适用 √ 不适用 组合中，采用其他方法计提坏账准备的其他应收款：</w:t>
      </w:r>
    </w:p>
    <w:p>
      <w:pPr>
        <w:pStyle w:val="BodyText"/>
        <w:spacing w:line="240" w:lineRule="auto" w:before="26"/>
        <w:ind w:right="0"/>
        <w:jc w:val="left"/>
      </w:pPr>
      <w:r>
        <w:rPr/>
        <w:t>□ 适用 √ 不适用</w:t>
      </w:r>
    </w:p>
    <w:p>
      <w:pPr>
        <w:spacing w:after="0" w:line="240" w:lineRule="auto"/>
        <w:jc w:val="left"/>
        <w:sectPr>
          <w:type w:val="continuous"/>
          <w:pgSz w:w="11910" w:h="16840"/>
          <w:pgMar w:top="1100" w:bottom="1200" w:left="0" w:right="0"/>
        </w:sectPr>
      </w:pPr>
    </w:p>
    <w:p>
      <w:pPr>
        <w:spacing w:line="240" w:lineRule="auto" w:before="8"/>
        <w:rPr>
          <w:rFonts w:ascii="宋体" w:hAnsi="宋体" w:cs="宋体" w:eastAsia="宋体" w:hint="default"/>
          <w:sz w:val="21"/>
          <w:szCs w:val="21"/>
        </w:rPr>
      </w:pPr>
    </w:p>
    <w:p>
      <w:pPr>
        <w:pStyle w:val="Heading5"/>
        <w:spacing w:line="240" w:lineRule="auto" w:before="35"/>
        <w:ind w:right="0"/>
        <w:jc w:val="left"/>
        <w:rPr>
          <w:b w:val="0"/>
          <w:bCs w:val="0"/>
        </w:rPr>
      </w:pPr>
      <w:bookmarkStart w:name="（2）本期计提、收回或转回的坏账准备情况" w:id="244"/>
      <w:bookmarkEnd w:id="24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6"/>
        </w:rPr>
        <w:t> </w:t>
      </w:r>
      <w:r>
        <w:rPr>
          <w:rFonts w:ascii="Times New Roman" w:hAnsi="Times New Roman" w:cs="Times New Roman" w:eastAsia="Times New Roman" w:hint="default"/>
        </w:rPr>
        <w:t>222,866.69</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5"/>
        <w:spacing w:line="240" w:lineRule="auto"/>
        <w:ind w:left="1133" w:right="0"/>
        <w:jc w:val="left"/>
        <w:rPr>
          <w:b w:val="0"/>
          <w:bCs w:val="0"/>
        </w:rPr>
      </w:pPr>
      <w:bookmarkStart w:name="（3）本期实际核销的其他应收款情况" w:id="245"/>
      <w:bookmarkEnd w:id="245"/>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3" w:right="0"/>
        <w:jc w:val="left"/>
        <w:rPr>
          <w:b w:val="0"/>
          <w:bCs w:val="0"/>
        </w:rPr>
      </w:pPr>
      <w:bookmarkStart w:name="（4）其他应收款按款项性质分类情况" w:id="246"/>
      <w:bookmarkEnd w:id="246"/>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11,263,744.88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6,619,982.74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个人备用金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920,114.17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377,373.49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497,538.46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448,650.94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12,681,397.51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7,446,007.17</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5）按欠款方归集的期末余额前五名的其他应收款情况" w:id="247"/>
      <w:bookmarkEnd w:id="247"/>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102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62" w:right="162"/>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00" w:right="162"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1,199,900.00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9.46%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11,999.00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951,000.00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7.50%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9,510.00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847,602.50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8,476.03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827,044.29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8,270.44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4,425,546.79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34.89%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68,255.47</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6）涉及政府补助的应收款项" w:id="248"/>
      <w:bookmarkEnd w:id="248"/>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7）因金融资产转移而终止确认的其他应收款" w:id="249"/>
      <w:bookmarkEnd w:id="249"/>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8）转移其他应收款且继续涉入形成的资产、负债金额" w:id="250"/>
      <w:bookmarkEnd w:id="250"/>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0、存货" w:id="251"/>
      <w:bookmarkEnd w:id="251"/>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512"/>
        <w:jc w:val="left"/>
      </w:pPr>
      <w:r>
        <w:rPr/>
        <w:t>公司是否需要遵守房地产行业的披露要求 否</w:t>
      </w:r>
    </w:p>
    <w:p>
      <w:pPr>
        <w:spacing w:after="0" w:line="357"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5"/>
        <w:spacing w:line="240" w:lineRule="auto" w:before="35"/>
        <w:ind w:right="0"/>
        <w:jc w:val="left"/>
        <w:rPr>
          <w:b w:val="0"/>
          <w:bCs w:val="0"/>
        </w:rPr>
      </w:pPr>
      <w:bookmarkStart w:name="（1）存货分类" w:id="252"/>
      <w:bookmarkEnd w:id="252"/>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169,824,135.59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center"/>
              <w:rPr>
                <w:rFonts w:ascii="Times New Roman" w:hAnsi="Times New Roman" w:cs="Times New Roman" w:eastAsia="Times New Roman" w:hint="default"/>
                <w:sz w:val="18"/>
                <w:szCs w:val="18"/>
              </w:rPr>
            </w:pPr>
            <w:r>
              <w:rPr>
                <w:rFonts w:ascii="Times New Roman"/>
                <w:sz w:val="18"/>
              </w:rPr>
              <w:t>169,824,135.59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90,804,317.40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90,804,317.40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56,785,022.95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6" w:right="0"/>
              <w:jc w:val="center"/>
              <w:rPr>
                <w:rFonts w:ascii="Times New Roman" w:hAnsi="Times New Roman" w:cs="Times New Roman" w:eastAsia="Times New Roman" w:hint="default"/>
                <w:sz w:val="18"/>
                <w:szCs w:val="18"/>
              </w:rPr>
            </w:pPr>
            <w:r>
              <w:rPr>
                <w:rFonts w:ascii="Times New Roman"/>
                <w:sz w:val="18"/>
              </w:rPr>
              <w:t>56,785,022.95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72,875,621.35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72,875,621.35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226,609,158.54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center"/>
              <w:rPr>
                <w:rFonts w:ascii="Times New Roman" w:hAnsi="Times New Roman" w:cs="Times New Roman" w:eastAsia="Times New Roman" w:hint="default"/>
                <w:sz w:val="18"/>
                <w:szCs w:val="18"/>
              </w:rPr>
            </w:pPr>
            <w:r>
              <w:rPr>
                <w:rFonts w:ascii="Times New Roman"/>
                <w:sz w:val="18"/>
              </w:rPr>
              <w:t>226,609,158.54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163,679,938.75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163,679,938.75</w:t>
            </w:r>
          </w:p>
        </w:tc>
      </w:tr>
    </w:tbl>
    <w:p>
      <w:pPr>
        <w:pStyle w:val="BodyText"/>
        <w:spacing w:line="338"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3"/>
        <w:ind w:left="1133" w:right="1574"/>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2"/>
        <w:ind w:left="1133" w:right="1754"/>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bookmarkStart w:name="（2）存货跌价准备" w:id="253"/>
      <w:bookmarkEnd w:id="253"/>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3）存货期末余额含有借款费用资本化金额的说明" w:id="254"/>
      <w:bookmarkEnd w:id="254"/>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4）期末建造合同形成的已完工未结算资产情况" w:id="255"/>
      <w:bookmarkEnd w:id="255"/>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1、持有待售的资产" w:id="256"/>
      <w:bookmarkEnd w:id="256"/>
      <w:r>
        <w:rPr>
          <w:b w:val="0"/>
          <w:bCs w:val="0"/>
        </w:rPr>
      </w:r>
      <w:r>
        <w:rPr>
          <w:rFonts w:ascii="Times New Roman" w:hAnsi="Times New Roman" w:cs="Times New Roman" w:eastAsia="Times New Roman" w:hint="default"/>
        </w:rPr>
        <w:t>11</w:t>
      </w:r>
      <w:r>
        <w:rPr/>
        <w:t>、持有待售的资产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2、一年内到期的非流动资产" w:id="257"/>
      <w:bookmarkEnd w:id="257"/>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3、其他流动资产" w:id="258"/>
      <w:bookmarkEnd w:id="258"/>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子公司待抵扣进项税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7,689.56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7,689.56</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5"/>
        <w:spacing w:line="240" w:lineRule="auto" w:before="35"/>
        <w:ind w:right="0"/>
        <w:jc w:val="left"/>
        <w:rPr>
          <w:b w:val="0"/>
          <w:bCs w:val="0"/>
        </w:rPr>
      </w:pPr>
      <w:bookmarkStart w:name="14、可供出售金融资产" w:id="259"/>
      <w:bookmarkEnd w:id="259"/>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3" w:right="0"/>
        <w:jc w:val="left"/>
        <w:rPr>
          <w:b w:val="0"/>
          <w:bCs w:val="0"/>
        </w:rPr>
      </w:pPr>
      <w:bookmarkStart w:name="（1）可供出售金融资产情况" w:id="260"/>
      <w:bookmarkEnd w:id="260"/>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402" w:hRule="exact"/>
        </w:trPr>
        <w:tc>
          <w:tcPr>
            <w:tcW w:w="2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001"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 w:right="0"/>
              <w:jc w:val="center"/>
              <w:rPr>
                <w:rFonts w:ascii="Times New Roman" w:hAnsi="Times New Roman" w:cs="Times New Roman" w:eastAsia="Times New Roman" w:hint="default"/>
                <w:sz w:val="18"/>
                <w:szCs w:val="18"/>
              </w:rPr>
            </w:pPr>
            <w:r>
              <w:rPr>
                <w:rFonts w:ascii="Times New Roman"/>
                <w:sz w:val="18"/>
              </w:rPr>
              <w:t>6,000,000.00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 w:right="0"/>
              <w:jc w:val="center"/>
              <w:rPr>
                <w:rFonts w:ascii="Times New Roman" w:hAnsi="Times New Roman" w:cs="Times New Roman" w:eastAsia="Times New Roman" w:hint="default"/>
                <w:sz w:val="18"/>
                <w:szCs w:val="18"/>
              </w:rPr>
            </w:pPr>
            <w:r>
              <w:rPr>
                <w:rFonts w:ascii="Times New Roman"/>
                <w:sz w:val="18"/>
              </w:rPr>
              <w:t>6,000,000.00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 w:right="0"/>
              <w:jc w:val="center"/>
              <w:rPr>
                <w:rFonts w:ascii="Times New Roman" w:hAnsi="Times New Roman" w:cs="Times New Roman" w:eastAsia="Times New Roman" w:hint="default"/>
                <w:sz w:val="18"/>
                <w:szCs w:val="18"/>
              </w:rPr>
            </w:pPr>
            <w:r>
              <w:rPr>
                <w:rFonts w:ascii="Times New Roman"/>
                <w:sz w:val="18"/>
              </w:rPr>
              <w:t>6,000,000.00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 w:right="0"/>
              <w:jc w:val="center"/>
              <w:rPr>
                <w:rFonts w:ascii="Times New Roman" w:hAnsi="Times New Roman" w:cs="Times New Roman" w:eastAsia="Times New Roman" w:hint="default"/>
                <w:sz w:val="18"/>
                <w:szCs w:val="18"/>
              </w:rPr>
            </w:pPr>
            <w:r>
              <w:rPr>
                <w:rFonts w:ascii="Times New Roman"/>
                <w:sz w:val="18"/>
              </w:rPr>
              <w:t>6,000,000.00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 w:right="0"/>
              <w:jc w:val="center"/>
              <w:rPr>
                <w:rFonts w:ascii="Times New Roman" w:hAnsi="Times New Roman" w:cs="Times New Roman" w:eastAsia="Times New Roman" w:hint="default"/>
                <w:sz w:val="18"/>
                <w:szCs w:val="18"/>
              </w:rPr>
            </w:pPr>
            <w:r>
              <w:rPr>
                <w:rFonts w:ascii="Times New Roman"/>
                <w:sz w:val="18"/>
              </w:rPr>
              <w:t>6,000,000.00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 w:right="0"/>
              <w:jc w:val="center"/>
              <w:rPr>
                <w:rFonts w:ascii="Times New Roman" w:hAnsi="Times New Roman" w:cs="Times New Roman" w:eastAsia="Times New Roman" w:hint="default"/>
                <w:sz w:val="18"/>
                <w:szCs w:val="18"/>
              </w:rPr>
            </w:pPr>
            <w:r>
              <w:rPr>
                <w:rFonts w:ascii="Times New Roman"/>
                <w:sz w:val="18"/>
              </w:rPr>
              <w:t>6,000,000.00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期末按公允价值计量的可供出售金融资产" w:id="261"/>
      <w:bookmarkEnd w:id="261"/>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3）期末按成本计量的可供出售金融资产" w:id="262"/>
      <w:bookmarkEnd w:id="262"/>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5" w:right="155"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59" w:right="158"/>
              <w:jc w:val="center"/>
              <w:rPr>
                <w:rFonts w:ascii="宋体" w:hAnsi="宋体" w:cs="宋体" w:eastAsia="宋体" w:hint="default"/>
                <w:sz w:val="18"/>
                <w:szCs w:val="18"/>
              </w:rPr>
            </w:pPr>
            <w:r>
              <w:rPr>
                <w:rFonts w:ascii="宋体" w:hAnsi="宋体" w:cs="宋体" w:eastAsia="宋体" w:hint="default"/>
                <w:sz w:val="18"/>
                <w:szCs w:val="18"/>
              </w:rPr>
              <w:t>在被投 资单位 持股比 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59" w:right="158"/>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935"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208"/>
              <w:jc w:val="both"/>
              <w:rPr>
                <w:rFonts w:ascii="宋体" w:hAnsi="宋体" w:cs="宋体" w:eastAsia="宋体" w:hint="default"/>
                <w:sz w:val="18"/>
                <w:szCs w:val="18"/>
              </w:rPr>
            </w:pPr>
            <w:r>
              <w:rPr>
                <w:rFonts w:ascii="宋体" w:hAnsi="宋体" w:cs="宋体" w:eastAsia="宋体" w:hint="default"/>
                <w:sz w:val="18"/>
                <w:szCs w:val="18"/>
              </w:rPr>
              <w:t>苏州优 圣美智 能系统 有限公 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3.00%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4）报告期内可供出售金融资产减值的变动情况" w:id="263"/>
      <w:bookmarkEnd w:id="263"/>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5）可供出售权益工具期末公允价值严重下跌或非暂时性下跌但未计提减值准备的相关说" w:id="264"/>
      <w:bookmarkEnd w:id="264"/>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5、持有至到期投资" w:id="265"/>
      <w:bookmarkEnd w:id="265"/>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6、长期应收款" w:id="266"/>
      <w:bookmarkEnd w:id="266"/>
      <w:r>
        <w:rPr>
          <w:b w:val="0"/>
          <w:bCs w:val="0"/>
        </w:rPr>
      </w:r>
      <w:r>
        <w:rPr>
          <w:rFonts w:ascii="Times New Roman" w:hAnsi="Times New Roman" w:cs="Times New Roman" w:eastAsia="Times New Roman" w:hint="default"/>
        </w:rPr>
        <w:t>16</w:t>
      </w:r>
      <w:r>
        <w:rPr/>
        <w:t>、长期应收款</w:t>
      </w:r>
      <w:r>
        <w:rPr>
          <w:b w:val="0"/>
          <w:bCs w:val="0"/>
        </w:rPr>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b/>
          <w:bCs/>
          <w:sz w:val="21"/>
          <w:szCs w:val="21"/>
        </w:rPr>
      </w:pPr>
    </w:p>
    <w:p>
      <w:pPr>
        <w:pStyle w:val="Heading5"/>
        <w:spacing w:line="240" w:lineRule="auto" w:before="35"/>
        <w:ind w:right="0"/>
        <w:jc w:val="left"/>
        <w:rPr>
          <w:b w:val="0"/>
          <w:bCs w:val="0"/>
        </w:rPr>
      </w:pPr>
      <w:bookmarkStart w:name="17、长期股权投资" w:id="267"/>
      <w:bookmarkEnd w:id="267"/>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212" w:right="123"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2" w:right="122"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3"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3"/>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22"/>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2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9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1"/>
              <w:jc w:val="both"/>
              <w:rPr>
                <w:rFonts w:ascii="宋体" w:hAnsi="宋体" w:cs="宋体" w:eastAsia="宋体" w:hint="default"/>
                <w:sz w:val="18"/>
                <w:szCs w:val="18"/>
              </w:rPr>
            </w:pPr>
            <w:r>
              <w:rPr>
                <w:rFonts w:ascii="宋体" w:hAnsi="宋体" w:cs="宋体" w:eastAsia="宋体" w:hint="default"/>
                <w:sz w:val="18"/>
                <w:szCs w:val="18"/>
              </w:rPr>
              <w:t>西藏银 汐企业 管理合 伙企业</w:t>
            </w:r>
          </w:p>
          <w:p>
            <w:pPr>
              <w:pStyle w:val="TableParagraph"/>
              <w:spacing w:line="319" w:lineRule="auto" w:before="19"/>
              <w:ind w:left="103" w:right="141"/>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-1,466,</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731.46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-3,914,</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239.19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94,619,</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029.35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1"/>
              <w:jc w:val="both"/>
              <w:rPr>
                <w:rFonts w:ascii="宋体" w:hAnsi="宋体" w:cs="宋体" w:eastAsia="宋体" w:hint="default"/>
                <w:sz w:val="18"/>
                <w:szCs w:val="18"/>
              </w:rPr>
            </w:pPr>
            <w:r>
              <w:rPr>
                <w:rFonts w:ascii="宋体" w:hAnsi="宋体" w:cs="宋体" w:eastAsia="宋体" w:hint="default"/>
                <w:sz w:val="18"/>
                <w:szCs w:val="18"/>
              </w:rPr>
              <w:t>北京泛 融科技 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-202,93</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5.30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7,797,0</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64.70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108,00</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-1,669,</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666.76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-3,914,</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239.19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102,41</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6,094.0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108,00</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-1,669,</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666.76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-3,914,</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239.19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102,41</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6,094.0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left="1133" w:right="0"/>
        <w:jc w:val="left"/>
        <w:rPr>
          <w:b w:val="0"/>
          <w:bCs w:val="0"/>
        </w:rPr>
      </w:pPr>
      <w:bookmarkStart w:name="18、投资性房地产" w:id="268"/>
      <w:bookmarkEnd w:id="268"/>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采用成本计量模式的投资性房地产" w:id="269"/>
      <w:bookmarkEnd w:id="269"/>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采用公允价值计量模式的投资性房地产" w:id="270"/>
      <w:bookmarkEnd w:id="270"/>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未办妥产权证书的投资性房地产情况" w:id="271"/>
      <w:bookmarkEnd w:id="271"/>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5"/>
        <w:spacing w:line="240" w:lineRule="auto" w:before="35"/>
        <w:ind w:right="0"/>
        <w:jc w:val="left"/>
        <w:rPr>
          <w:b w:val="0"/>
          <w:bCs w:val="0"/>
        </w:rPr>
      </w:pPr>
      <w:bookmarkStart w:name="19、固定资产" w:id="272"/>
      <w:bookmarkEnd w:id="272"/>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固定资产情况" w:id="273"/>
      <w:bookmarkEnd w:id="273"/>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运输工具</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电子设备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1,024,228.66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15,391,234.28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16,415,462.94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2,413,834.69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2,413,834.69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2,413,834.69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2,413,834.69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8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8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909,009.11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909,009.11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909,009.11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909,009.11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1,024,228.66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16,896,059.86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17,920,288.52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654,606.93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9,730,415.51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10,385,022.44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114,995.16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1,859,206.54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1,974,201.70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114,995.16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1,859,206.54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1,974,201.70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855,853.78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855,853.78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855,853.78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855,853.78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769,602.09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10,733,768.27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11,503,370.36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8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254,626.57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6,162,291.59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6,416,918.16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8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369,621.73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5,660,818.77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6,030,440.50</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2）暂时闲置的固定资产情况" w:id="274"/>
      <w:bookmarkEnd w:id="274"/>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3）通过融资租赁租入的固定资产情况" w:id="275"/>
      <w:bookmarkEnd w:id="275"/>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4）通过经营租赁租出的固定资产" w:id="276"/>
      <w:bookmarkEnd w:id="276"/>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5）未办妥产权证书的固定资产情况" w:id="277"/>
      <w:bookmarkEnd w:id="277"/>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20、在建工程" w:id="278"/>
      <w:bookmarkEnd w:id="278"/>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21、工程物资" w:id="279"/>
      <w:bookmarkEnd w:id="279"/>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22、固定资产清理" w:id="280"/>
      <w:bookmarkEnd w:id="280"/>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23、生产性生物资产" w:id="281"/>
      <w:bookmarkEnd w:id="281"/>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采用成本计量模式的生产性生物资产" w:id="282"/>
      <w:bookmarkEnd w:id="282"/>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2）采用公允价值计量模式的生产性生物资产" w:id="283"/>
      <w:bookmarkEnd w:id="283"/>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24、油气资产" w:id="284"/>
      <w:bookmarkEnd w:id="284"/>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5、无形资产" w:id="285"/>
      <w:bookmarkEnd w:id="285"/>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无形资产情况" w:id="286"/>
      <w:bookmarkEnd w:id="286"/>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3"/>
        <w:ind w:left="1133" w:right="0"/>
        <w:jc w:val="left"/>
      </w:pPr>
      <w:r>
        <w:rPr/>
        <w:t>□ 是 √ 否</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6" w:right="0"/>
              <w:jc w:val="left"/>
              <w:rPr>
                <w:rFonts w:ascii="Times New Roman" w:hAnsi="Times New Roman" w:cs="Times New Roman" w:eastAsia="Times New Roman" w:hint="default"/>
                <w:sz w:val="18"/>
                <w:szCs w:val="18"/>
              </w:rPr>
            </w:pPr>
            <w:r>
              <w:rPr>
                <w:rFonts w:ascii="Times New Roman"/>
                <w:sz w:val="18"/>
              </w:rPr>
              <w:t>4,430,672.16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6" w:right="0"/>
              <w:jc w:val="left"/>
              <w:rPr>
                <w:rFonts w:ascii="Times New Roman" w:hAnsi="Times New Roman" w:cs="Times New Roman" w:eastAsia="Times New Roman" w:hint="default"/>
                <w:sz w:val="18"/>
                <w:szCs w:val="18"/>
              </w:rPr>
            </w:pPr>
            <w:r>
              <w:rPr>
                <w:rFonts w:ascii="Times New Roman"/>
                <w:sz w:val="18"/>
              </w:rPr>
              <w:t>4,430,672.16</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4,277,463.11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19,038.46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4,296,501.57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19,038.46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19,038.46</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4,277,463.11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4,277,463.11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28"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 合并增加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4,277,463.11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4,449,710.62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8,727,173.73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2,707,097.17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2,707,097.17</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191,509.75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684,996.36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876,506.11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191,509.75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684,996.36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876,506.11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191,509.75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3,392,093.53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3,583,603.28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36" w:right="0"/>
              <w:jc w:val="left"/>
              <w:rPr>
                <w:rFonts w:ascii="Times New Roman" w:hAnsi="Times New Roman" w:cs="Times New Roman" w:eastAsia="Times New Roman" w:hint="default"/>
                <w:sz w:val="18"/>
                <w:szCs w:val="18"/>
              </w:rPr>
            </w:pPr>
            <w:r>
              <w:rPr>
                <w:rFonts w:ascii="Times New Roman"/>
                <w:sz w:val="18"/>
              </w:rPr>
              <w:t>4,085,953.36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1,057,617.09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5,143,570.45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6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1,723,574.99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1,723,574.99</w:t>
            </w:r>
          </w:p>
        </w:tc>
      </w:tr>
    </w:tbl>
    <w:p>
      <w:pPr>
        <w:pStyle w:val="BodyText"/>
        <w:spacing w:line="240" w:lineRule="auto" w:before="51"/>
        <w:ind w:right="0"/>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5"/>
        <w:spacing w:line="240" w:lineRule="auto"/>
        <w:ind w:left="1133" w:right="0"/>
        <w:jc w:val="left"/>
        <w:rPr>
          <w:b w:val="0"/>
          <w:bCs w:val="0"/>
        </w:rPr>
      </w:pPr>
      <w:bookmarkStart w:name="（2）未办妥产权证书的土地使用权情况" w:id="287"/>
      <w:bookmarkEnd w:id="287"/>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3" w:right="0"/>
        <w:jc w:val="left"/>
        <w:rPr>
          <w:b w:val="0"/>
          <w:bCs w:val="0"/>
        </w:rPr>
      </w:pPr>
      <w:bookmarkStart w:name="26、开发支出" w:id="288"/>
      <w:bookmarkEnd w:id="288"/>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5"/>
              <w:jc w:val="righ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4"/>
              <w:jc w:val="righ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架构的金 融渠道和 业务平台</w:t>
            </w:r>
          </w:p>
          <w:p>
            <w:pPr>
              <w:pStyle w:val="TableParagraph"/>
              <w:spacing w:line="240" w:lineRule="auto" w:before="58"/>
              <w:ind w:left="103" w:right="0"/>
              <w:jc w:val="both"/>
              <w:rPr>
                <w:rFonts w:ascii="Times New Roman" w:hAnsi="Times New Roman" w:cs="Times New Roman" w:eastAsia="Times New Roman" w:hint="default"/>
                <w:sz w:val="18"/>
                <w:szCs w:val="18"/>
              </w:rPr>
            </w:pPr>
            <w:r>
              <w:rPr>
                <w:rFonts w:ascii="Times New Roman"/>
                <w:sz w:val="18"/>
              </w:rPr>
              <w:t>Starring6</w:t>
            </w:r>
          </w:p>
          <w:p>
            <w:pPr>
              <w:pStyle w:val="TableParagraph"/>
              <w:spacing w:line="240" w:lineRule="auto" w:before="66"/>
              <w:ind w:left="103" w:right="0"/>
              <w:jc w:val="both"/>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1,872,425.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3,681,793.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4,049,768.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1,504,449.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91</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103" w:right="194"/>
              <w:jc w:val="both"/>
              <w:rPr>
                <w:rFonts w:ascii="宋体" w:hAnsi="宋体" w:cs="宋体" w:eastAsia="宋体" w:hint="default"/>
                <w:sz w:val="18"/>
                <w:szCs w:val="18"/>
              </w:rPr>
            </w:pPr>
            <w:r>
              <w:rPr>
                <w:rFonts w:ascii="宋体" w:hAnsi="宋体" w:cs="宋体" w:eastAsia="宋体" w:hint="default"/>
                <w:sz w:val="18"/>
                <w:szCs w:val="18"/>
              </w:rPr>
              <w:t>企业数据 管理及应 用软件包 </w:t>
            </w:r>
            <w:r>
              <w:rPr>
                <w:rFonts w:ascii="Times New Roman" w:hAnsi="Times New Roman" w:cs="Times New Roman" w:eastAsia="Times New Roman" w:hint="default"/>
                <w:sz w:val="18"/>
                <w:szCs w:val="18"/>
              </w:rPr>
              <w:t>iMOIA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 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699,258.97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707,318.17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227,694.14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1,178,883.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统一客户 服务平台 </w:t>
            </w:r>
            <w:r>
              <w:rPr>
                <w:rFonts w:ascii="Times New Roman" w:hAnsi="Times New Roman" w:cs="Times New Roman" w:eastAsia="Times New Roman" w:hint="default"/>
                <w:sz w:val="18"/>
                <w:szCs w:val="18"/>
              </w:rPr>
              <w:t>UCSP</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456,089.07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1,575,983.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2,032,072.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95</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103" w:right="161"/>
              <w:jc w:val="both"/>
              <w:rPr>
                <w:rFonts w:ascii="宋体" w:hAnsi="宋体" w:cs="宋体" w:eastAsia="宋体" w:hint="default"/>
                <w:sz w:val="18"/>
                <w:szCs w:val="18"/>
              </w:rPr>
            </w:pPr>
            <w:r>
              <w:rPr>
                <w:rFonts w:ascii="宋体" w:hAnsi="宋体" w:cs="宋体" w:eastAsia="宋体" w:hint="default"/>
                <w:sz w:val="18"/>
                <w:szCs w:val="18"/>
              </w:rPr>
              <w:t>大数据平 台及应用 </w:t>
            </w:r>
            <w:r>
              <w:rPr>
                <w:rFonts w:ascii="Times New Roman" w:hAnsi="Times New Roman" w:cs="Times New Roman" w:eastAsia="Times New Roman" w:hint="default"/>
                <w:spacing w:val="-4"/>
                <w:sz w:val="18"/>
                <w:szCs w:val="18"/>
              </w:rPr>
              <w:t>BDPAS</w:t>
            </w:r>
            <w:r>
              <w:rPr>
                <w:rFonts w:ascii="Times New Roman" w:hAnsi="Times New Roman" w:cs="Times New Roman" w:eastAsia="Times New Roman" w:hint="default"/>
                <w:sz w:val="18"/>
                <w:szCs w:val="18"/>
              </w:rPr>
              <w:t> </w:t>
            </w:r>
            <w:r>
              <w:rPr>
                <w:rFonts w:ascii="宋体" w:hAnsi="宋体" w:cs="宋体" w:eastAsia="宋体" w:hint="default"/>
                <w:sz w:val="18"/>
                <w:szCs w:val="18"/>
              </w:rPr>
              <w:t>项</w:t>
            </w:r>
          </w:p>
          <w:p>
            <w:pPr>
              <w:pStyle w:val="TableParagraph"/>
              <w:spacing w:line="240" w:lineRule="auto"/>
              <w:ind w:left="103" w:right="0"/>
              <w:jc w:val="both"/>
              <w:rPr>
                <w:rFonts w:ascii="宋体" w:hAnsi="宋体" w:cs="宋体" w:eastAsia="宋体" w:hint="default"/>
                <w:sz w:val="18"/>
                <w:szCs w:val="18"/>
              </w:rPr>
            </w:pPr>
            <w:r>
              <w:rPr>
                <w:rFonts w:ascii="宋体" w:hAnsi="宋体" w:cs="宋体" w:eastAsia="宋体" w:hint="default"/>
                <w:sz w:val="18"/>
                <w:szCs w:val="18"/>
              </w:rPr>
              <w:t>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1,840,051.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2,282,011.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4,122,063.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26</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创智平台 研发项目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37,355.29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42,642.86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79,998.15</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9" w:lineRule="auto" w:before="51"/>
              <w:ind w:left="103" w:right="195"/>
              <w:jc w:val="both"/>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运维服</w:t>
            </w:r>
            <w:r>
              <w:rPr>
                <w:rFonts w:ascii="宋体" w:hAnsi="宋体" w:cs="宋体" w:eastAsia="宋体" w:hint="default"/>
                <w:w w:val="99"/>
                <w:sz w:val="18"/>
                <w:szCs w:val="18"/>
              </w:rPr>
              <w:t> </w:t>
            </w:r>
            <w:r>
              <w:rPr>
                <w:rFonts w:ascii="宋体" w:hAnsi="宋体" w:cs="宋体" w:eastAsia="宋体" w:hint="default"/>
                <w:sz w:val="18"/>
                <w:szCs w:val="18"/>
              </w:rPr>
              <w:t>务体系建</w:t>
            </w:r>
            <w:r>
              <w:rPr>
                <w:rFonts w:ascii="宋体" w:hAnsi="宋体" w:cs="宋体" w:eastAsia="宋体" w:hint="default"/>
                <w:w w:val="99"/>
                <w:sz w:val="18"/>
                <w:szCs w:val="18"/>
              </w:rPr>
              <w:t> </w:t>
            </w:r>
            <w:r>
              <w:rPr>
                <w:rFonts w:ascii="宋体" w:hAnsi="宋体" w:cs="宋体" w:eastAsia="宋体" w:hint="default"/>
                <w:sz w:val="18"/>
                <w:szCs w:val="18"/>
              </w:rPr>
              <w:t>设项目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1,069,364.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1,069,364.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61</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5"/>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4,905,180.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9,359,114.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4,277,463.</w:t>
            </w:r>
          </w:p>
          <w:p>
            <w:pPr>
              <w:pStyle w:val="TableParagraph"/>
              <w:spacing w:line="240" w:lineRule="auto" w:before="106"/>
              <w:ind w:right="108"/>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9,986,831.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88</w:t>
            </w:r>
          </w:p>
        </w:tc>
      </w:tr>
    </w:tbl>
    <w:p>
      <w:pPr>
        <w:pStyle w:val="BodyText"/>
        <w:spacing w:line="240" w:lineRule="auto" w:before="51"/>
        <w:ind w:right="0"/>
        <w:jc w:val="left"/>
      </w:pPr>
      <w:r>
        <w:rPr/>
        <w:t>其他说明</w:t>
      </w:r>
    </w:p>
    <w:p>
      <w:pPr>
        <w:spacing w:after="0" w:line="240" w:lineRule="auto"/>
        <w:jc w:val="left"/>
        <w:sectPr>
          <w:pgSz w:w="11910" w:h="16840"/>
          <w:pgMar w:header="907" w:footer="1019" w:top="1100" w:bottom="1200" w:left="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0"/>
          <w:szCs w:val="10"/>
        </w:rPr>
      </w:pPr>
    </w:p>
    <w:p>
      <w:pPr>
        <w:spacing w:line="3300" w:lineRule="exact"/>
        <w:ind w:left="1134" w:right="0" w:firstLine="0"/>
        <w:rPr>
          <w:rFonts w:ascii="宋体" w:hAnsi="宋体" w:cs="宋体" w:eastAsia="宋体" w:hint="default"/>
          <w:sz w:val="20"/>
          <w:szCs w:val="20"/>
        </w:rPr>
      </w:pPr>
      <w:r>
        <w:rPr>
          <w:rFonts w:ascii="宋体" w:hAnsi="宋体" w:cs="宋体" w:eastAsia="宋体" w:hint="default"/>
          <w:position w:val="-65"/>
          <w:sz w:val="20"/>
          <w:szCs w:val="20"/>
        </w:rPr>
        <w:drawing>
          <wp:inline distT="0" distB="0" distL="0" distR="0">
            <wp:extent cx="6002020" cy="2095500"/>
            <wp:effectExtent l="0" t="0" r="0" b="0"/>
            <wp:docPr id="15" name="image9.png" descr=""/>
            <wp:cNvGraphicFramePr>
              <a:graphicFrameLocks noChangeAspect="1"/>
            </wp:cNvGraphicFramePr>
            <a:graphic>
              <a:graphicData uri="http://schemas.openxmlformats.org/drawingml/2006/picture">
                <pic:pic>
                  <pic:nvPicPr>
                    <pic:cNvPr id="16" name="image9.png"/>
                    <pic:cNvPicPr/>
                  </pic:nvPicPr>
                  <pic:blipFill>
                    <a:blip r:embed="rId29" cstate="print"/>
                    <a:stretch>
                      <a:fillRect/>
                    </a:stretch>
                  </pic:blipFill>
                  <pic:spPr>
                    <a:xfrm>
                      <a:off x="0" y="0"/>
                      <a:ext cx="6002020" cy="2095500"/>
                    </a:xfrm>
                    <a:prstGeom prst="rect">
                      <a:avLst/>
                    </a:prstGeom>
                  </pic:spPr>
                </pic:pic>
              </a:graphicData>
            </a:graphic>
          </wp:inline>
        </w:drawing>
      </w:r>
      <w:r>
        <w:rPr>
          <w:rFonts w:ascii="宋体" w:hAnsi="宋体" w:cs="宋体" w:eastAsia="宋体" w:hint="default"/>
          <w:position w:val="-65"/>
          <w:sz w:val="20"/>
          <w:szCs w:val="20"/>
        </w:rPr>
      </w:r>
    </w:p>
    <w:p>
      <w:pPr>
        <w:spacing w:line="240" w:lineRule="auto" w:before="3"/>
        <w:rPr>
          <w:rFonts w:ascii="宋体" w:hAnsi="宋体" w:cs="宋体" w:eastAsia="宋体" w:hint="default"/>
          <w:sz w:val="24"/>
          <w:szCs w:val="24"/>
        </w:rPr>
      </w:pPr>
    </w:p>
    <w:p>
      <w:pPr>
        <w:pStyle w:val="Heading5"/>
        <w:spacing w:line="240" w:lineRule="auto" w:before="35"/>
        <w:ind w:left="1133" w:right="0"/>
        <w:jc w:val="left"/>
        <w:rPr>
          <w:b w:val="0"/>
          <w:bCs w:val="0"/>
        </w:rPr>
      </w:pPr>
      <w:bookmarkStart w:name="27、商誉" w:id="289"/>
      <w:bookmarkEnd w:id="289"/>
      <w:r>
        <w:rPr>
          <w:b w:val="0"/>
          <w:bCs w:val="0"/>
        </w:rPr>
      </w:r>
      <w:r>
        <w:rPr>
          <w:rFonts w:ascii="Times New Roman" w:hAnsi="Times New Roman" w:cs="Times New Roman" w:eastAsia="Times New Roman" w:hint="default"/>
        </w:rPr>
        <w:t>27</w:t>
      </w:r>
      <w:r>
        <w:rPr/>
        <w:t>、商誉</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28、长期待摊费用" w:id="290"/>
      <w:bookmarkEnd w:id="290"/>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292,612.62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292,612.62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292,612.62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292,612.62</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left="1133" w:right="0"/>
        <w:jc w:val="left"/>
        <w:rPr>
          <w:b w:val="0"/>
          <w:bCs w:val="0"/>
        </w:rPr>
      </w:pPr>
      <w:bookmarkStart w:name="29、递延所得税资产/递延所得税负债" w:id="291"/>
      <w:bookmarkEnd w:id="291"/>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3" w:right="0"/>
        <w:jc w:val="left"/>
        <w:rPr>
          <w:b w:val="0"/>
          <w:bCs w:val="0"/>
        </w:rPr>
      </w:pPr>
      <w:bookmarkStart w:name="（1）未经抵销的递延所得税资产" w:id="292"/>
      <w:bookmarkEnd w:id="292"/>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10,649,513.60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1,597,427.04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7,185,455.80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1,077,818.37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暂估入账成本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23,326,009.40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3,498,901.41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18,443,405.60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2,766,510.84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94,500.00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148,500.00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34,605,523.00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5,190,828.45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26,618,861.40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3,992,829.21</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 未经抵销的递延所得税负债" w:id="293"/>
      <w:bookmarkEnd w:id="293"/>
      <w:r>
        <w:rPr>
          <w:b w:val="0"/>
          <w:bCs w:val="0"/>
        </w:rPr>
      </w:r>
      <w:r>
        <w:rPr/>
        <w:t>（</w:t>
      </w:r>
      <w:r>
        <w:rPr>
          <w:rFonts w:ascii="Times New Roman" w:hAnsi="Times New Roman" w:cs="Times New Roman" w:eastAsia="Times New Roman" w:hint="default"/>
        </w:rPr>
        <w:t>3</w:t>
      </w:r>
      <w:r>
        <w:rPr/>
        <w:t>）未经抵销的递延所得税负债</w:t>
      </w:r>
      <w:r>
        <w:rPr>
          <w:b w:val="0"/>
          <w:bCs w:val="0"/>
        </w:rPr>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b/>
          <w:bCs/>
          <w:sz w:val="21"/>
          <w:szCs w:val="21"/>
        </w:rPr>
      </w:pPr>
    </w:p>
    <w:p>
      <w:pPr>
        <w:pStyle w:val="Heading5"/>
        <w:spacing w:line="240" w:lineRule="auto" w:before="35"/>
        <w:ind w:right="0"/>
        <w:jc w:val="left"/>
        <w:rPr>
          <w:b w:val="0"/>
          <w:bCs w:val="0"/>
        </w:rPr>
      </w:pPr>
      <w:bookmarkStart w:name="（3）以抵销后净额列示的递延所得税资产或负债" w:id="294"/>
      <w:bookmarkEnd w:id="294"/>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22" w:right="142"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31" w:right="140" w:hanging="90"/>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21" w:right="141"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31" w:right="140" w:hanging="90"/>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产或负债期初余额</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6" w:right="0"/>
              <w:jc w:val="left"/>
              <w:rPr>
                <w:rFonts w:ascii="Times New Roman" w:hAnsi="Times New Roman" w:cs="Times New Roman" w:eastAsia="Times New Roman" w:hint="default"/>
                <w:sz w:val="18"/>
                <w:szCs w:val="18"/>
              </w:rPr>
            </w:pPr>
            <w:r>
              <w:rPr>
                <w:rFonts w:ascii="Times New Roman"/>
                <w:sz w:val="18"/>
              </w:rPr>
              <w:t>5,190,828.45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6" w:right="0"/>
              <w:jc w:val="left"/>
              <w:rPr>
                <w:rFonts w:ascii="Times New Roman" w:hAnsi="Times New Roman" w:cs="Times New Roman" w:eastAsia="Times New Roman" w:hint="default"/>
                <w:sz w:val="18"/>
                <w:szCs w:val="18"/>
              </w:rPr>
            </w:pPr>
            <w:r>
              <w:rPr>
                <w:rFonts w:ascii="Times New Roman"/>
                <w:sz w:val="18"/>
              </w:rPr>
              <w:t>3,992,829.21</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4）未确认递延所得税资产明细" w:id="295"/>
      <w:bookmarkEnd w:id="295"/>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5）未确认递延所得税资产的可抵扣亏损将于以下年度到期" w:id="296"/>
      <w:bookmarkEnd w:id="296"/>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30、其他非流动资产" w:id="297"/>
      <w:bookmarkEnd w:id="297"/>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尚未取得产权的房屋</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53,291,700.00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53,291,700.00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left="1133" w:right="0"/>
        <w:jc w:val="left"/>
        <w:rPr>
          <w:b w:val="0"/>
          <w:bCs w:val="0"/>
        </w:rPr>
      </w:pPr>
      <w:bookmarkStart w:name="31、短期借款" w:id="298"/>
      <w:bookmarkEnd w:id="298"/>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短期借款分类" w:id="299"/>
      <w:bookmarkEnd w:id="299"/>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101,000,000.00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101,000,000.00</w:t>
            </w:r>
          </w:p>
        </w:tc>
      </w:tr>
    </w:tbl>
    <w:p>
      <w:pPr>
        <w:pStyle w:val="BodyText"/>
        <w:spacing w:line="357" w:lineRule="auto" w:before="51"/>
        <w:ind w:right="2652"/>
        <w:jc w:val="left"/>
      </w:pPr>
      <w:r>
        <w:rPr/>
        <w:t>短期借款分类的说明： 列示的短期贷款均为银行贷款，由公司部分股东、董事、监事、高级管理人员提供个人连带责任担保。</w:t>
      </w:r>
    </w:p>
    <w:p>
      <w:pPr>
        <w:spacing w:line="240" w:lineRule="auto" w:before="1"/>
        <w:rPr>
          <w:rFonts w:ascii="宋体" w:hAnsi="宋体" w:cs="宋体" w:eastAsia="宋体" w:hint="default"/>
          <w:sz w:val="20"/>
          <w:szCs w:val="20"/>
        </w:rPr>
      </w:pPr>
    </w:p>
    <w:p>
      <w:pPr>
        <w:pStyle w:val="Heading5"/>
        <w:spacing w:line="240" w:lineRule="auto"/>
        <w:ind w:left="1133" w:right="0"/>
        <w:jc w:val="left"/>
        <w:rPr>
          <w:b w:val="0"/>
          <w:bCs w:val="0"/>
        </w:rPr>
      </w:pPr>
      <w:bookmarkStart w:name="（2）已逾期未偿还的短期借款情况" w:id="300"/>
      <w:bookmarkEnd w:id="300"/>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3" w:right="0"/>
        <w:jc w:val="left"/>
        <w:rPr>
          <w:b w:val="0"/>
          <w:bCs w:val="0"/>
        </w:rPr>
      </w:pPr>
      <w:bookmarkStart w:name="32、以公允价值计量且其变动计入当期损益的金融负债" w:id="301"/>
      <w:bookmarkEnd w:id="301"/>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33、衍生金融负债" w:id="302"/>
      <w:bookmarkEnd w:id="302"/>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5"/>
        <w:spacing w:line="240" w:lineRule="auto" w:before="35"/>
        <w:ind w:right="0"/>
        <w:jc w:val="left"/>
        <w:rPr>
          <w:b w:val="0"/>
          <w:bCs w:val="0"/>
        </w:rPr>
      </w:pPr>
      <w:bookmarkStart w:name="34、应付票据" w:id="303"/>
      <w:bookmarkEnd w:id="303"/>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23,654,754.00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15,714,529.01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6,662,221.84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23,654,754.00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22,376,750.85</w:t>
            </w:r>
          </w:p>
        </w:tc>
      </w:tr>
    </w:tbl>
    <w:p>
      <w:pPr>
        <w:pStyle w:val="BodyText"/>
        <w:spacing w:line="240" w:lineRule="auto" w:before="51"/>
        <w:ind w:right="0"/>
        <w:jc w:val="left"/>
      </w:pPr>
      <w:r>
        <w:rPr/>
        <w:t>本期末已到期未支付的应付票据总额为元。</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35、应付账款" w:id="304"/>
      <w:bookmarkEnd w:id="304"/>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应付账款列示" w:id="305"/>
      <w:bookmarkEnd w:id="305"/>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129,800,418.83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143,714,313.95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14,597,535.08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10,649,048.09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144,397,953.91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154,363,362.04</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账龄超过1年的重要应付账款" w:id="306"/>
      <w:bookmarkEnd w:id="30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4,592,109.03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未到信用期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3,396,226.42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未到信用期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2,244,788.89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未到信用期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未到信用期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12,413,124.34</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left="1133" w:right="0"/>
        <w:jc w:val="left"/>
        <w:rPr>
          <w:b w:val="0"/>
          <w:bCs w:val="0"/>
        </w:rPr>
      </w:pPr>
      <w:bookmarkStart w:name="36、预收款项" w:id="307"/>
      <w:bookmarkEnd w:id="307"/>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预收款项列示" w:id="308"/>
      <w:bookmarkEnd w:id="308"/>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17,713,200.00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31,171,684.16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1,288,460.91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3,530,025.92</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6" w:right="0"/>
              <w:jc w:val="left"/>
              <w:rPr>
                <w:rFonts w:ascii="Times New Roman" w:hAnsi="Times New Roman" w:cs="Times New Roman" w:eastAsia="Times New Roman" w:hint="default"/>
                <w:sz w:val="18"/>
                <w:szCs w:val="18"/>
              </w:rPr>
            </w:pPr>
            <w:r>
              <w:rPr>
                <w:rFonts w:ascii="Times New Roman"/>
                <w:sz w:val="18"/>
              </w:rPr>
              <w:t>19,001,660.91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1" w:right="0"/>
              <w:jc w:val="left"/>
              <w:rPr>
                <w:rFonts w:ascii="Times New Roman" w:hAnsi="Times New Roman" w:cs="Times New Roman" w:eastAsia="Times New Roman" w:hint="default"/>
                <w:sz w:val="18"/>
                <w:szCs w:val="18"/>
              </w:rPr>
            </w:pPr>
            <w:r>
              <w:rPr>
                <w:rFonts w:ascii="Times New Roman"/>
                <w:sz w:val="18"/>
              </w:rPr>
              <w:t>34,701,710.08</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账龄超过1年的重要预收款项" w:id="309"/>
      <w:bookmarkEnd w:id="30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富滇银行股份有限公司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632,075.48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项目未验收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632,075.48</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3）期末建造合同形成的已结算未完工项目情况" w:id="310"/>
      <w:bookmarkEnd w:id="310"/>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37、应付职工薪酬" w:id="311"/>
      <w:bookmarkEnd w:id="311"/>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应付职工薪酬列示" w:id="312"/>
      <w:bookmarkEnd w:id="312"/>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30,867,584.44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208,177,332.05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212,420,128.66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26,624,787.83</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16"/>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1,057,820.15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18,397,153.59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18,452,352.01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1,002,621.73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1,224,230.03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1,224,230.03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31,925,404.59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227,798,715.67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232,096,710.70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27,627,409.56</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短期薪酬列示" w:id="313"/>
      <w:bookmarkEnd w:id="313"/>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、工资、奖金、津贴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和补贴</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29,474,765.56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184,409,638.61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188,599,598.28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25,284,805.89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2,899,915.70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2,899,915.70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591,533.88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9,738,136.66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9,773,082.40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556,588.14</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其中：医疗保险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535,540.83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8,956,695.15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8,987,131.45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505,104.53</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工伤保险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12,442.30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229,297.10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232,059.63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9,679.77</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3" w:right="0"/>
              <w:jc w:val="left"/>
              <w:rPr>
                <w:rFonts w:ascii="宋体" w:hAnsi="宋体" w:cs="宋体" w:eastAsia="宋体" w:hint="default"/>
                <w:sz w:val="18"/>
                <w:szCs w:val="18"/>
              </w:rPr>
            </w:pPr>
            <w:r>
              <w:rPr>
                <w:rFonts w:ascii="宋体" w:hAnsi="宋体" w:cs="宋体" w:eastAsia="宋体" w:hint="default"/>
                <w:sz w:val="18"/>
                <w:szCs w:val="18"/>
              </w:rPr>
              <w:t>生育保险</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43,550.75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552,144.41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553,891.32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41,803.84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801,285.00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11,129,641.08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11,147,532.28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783,393.80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30,867,584.44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208,177,332.05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212,420,128.66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26,624,787.83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5"/>
        <w:spacing w:line="240" w:lineRule="auto" w:before="35"/>
        <w:ind w:right="0"/>
        <w:jc w:val="left"/>
        <w:rPr>
          <w:b w:val="0"/>
          <w:bCs w:val="0"/>
        </w:rPr>
      </w:pPr>
      <w:bookmarkStart w:name="（3）设定提存计划列示" w:id="314"/>
      <w:bookmarkEnd w:id="314"/>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1,013,747.47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17,707,738.47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17,757,498.14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963,987.80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44,072.68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689,415.12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694,853.87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38,633.93</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1,057,820.15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18,397,153.59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18,452,352.01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1,002,621.73</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left="1133" w:right="0"/>
        <w:jc w:val="left"/>
        <w:rPr>
          <w:b w:val="0"/>
          <w:bCs w:val="0"/>
        </w:rPr>
      </w:pPr>
      <w:bookmarkStart w:name="38、应交税费" w:id="315"/>
      <w:bookmarkEnd w:id="315"/>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14,159,626.02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9,626,937.77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5,237,442.22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6,505,206.53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1,015,269.39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967,093.24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991,207.34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673,885.63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424,803.14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288,808.13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283,202.11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192,538.75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22,111,550.22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18,254,470.05</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left="1133" w:right="0"/>
        <w:jc w:val="left"/>
        <w:rPr>
          <w:b w:val="0"/>
          <w:bCs w:val="0"/>
        </w:rPr>
      </w:pPr>
      <w:bookmarkStart w:name="39、应付利息" w:id="316"/>
      <w:bookmarkEnd w:id="316"/>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40、应付股利" w:id="317"/>
      <w:bookmarkEnd w:id="317"/>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41、其他应付款" w:id="318"/>
      <w:bookmarkEnd w:id="318"/>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按款项性质列示其他应付款" w:id="319"/>
      <w:bookmarkEnd w:id="319"/>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3,374,186.00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891,250.00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个人往来款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676,472.39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293,435.48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1,805,348.93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123,774.86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5,856,007.32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1,308,460.34</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5"/>
        <w:spacing w:line="240" w:lineRule="auto" w:before="35"/>
        <w:ind w:right="0"/>
        <w:jc w:val="left"/>
        <w:rPr>
          <w:b w:val="0"/>
          <w:bCs w:val="0"/>
        </w:rPr>
      </w:pPr>
      <w:bookmarkStart w:name="（2）账龄超过1年的重要其他应付款" w:id="320"/>
      <w:bookmarkEnd w:id="32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42、持有待售的负债" w:id="321"/>
      <w:bookmarkEnd w:id="321"/>
      <w:r>
        <w:rPr>
          <w:b w:val="0"/>
          <w:bCs w:val="0"/>
        </w:rPr>
      </w:r>
      <w:r>
        <w:rPr>
          <w:rFonts w:ascii="Times New Roman" w:hAnsi="Times New Roman" w:cs="Times New Roman" w:eastAsia="Times New Roman" w:hint="default"/>
        </w:rPr>
        <w:t>42</w:t>
      </w:r>
      <w:r>
        <w:rPr/>
        <w:t>、持有待售的负债</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133" w:right="0"/>
        <w:jc w:val="left"/>
        <w:rPr>
          <w:b w:val="0"/>
          <w:bCs w:val="0"/>
        </w:rPr>
      </w:pPr>
      <w:bookmarkStart w:name="43、一年内到期的非流动负债" w:id="322"/>
      <w:bookmarkEnd w:id="322"/>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44、其他流动负债" w:id="323"/>
      <w:bookmarkEnd w:id="323"/>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45、长期借款" w:id="324"/>
      <w:bookmarkEnd w:id="324"/>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46、应付债券" w:id="325"/>
      <w:bookmarkEnd w:id="325"/>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47、长期应付款" w:id="326"/>
      <w:bookmarkEnd w:id="326"/>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48、长期应付职工薪酬" w:id="327"/>
      <w:bookmarkEnd w:id="327"/>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49、专项应付款" w:id="328"/>
      <w:bookmarkEnd w:id="328"/>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50、预计负债" w:id="329"/>
      <w:bookmarkEnd w:id="329"/>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51、递延收益" w:id="330"/>
      <w:bookmarkEnd w:id="330"/>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31"/>
              <w:jc w:val="righ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990,000.00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630,000.00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01"/>
              <w:jc w:val="right"/>
              <w:rPr>
                <w:rFonts w:ascii="宋体" w:hAnsi="宋体" w:cs="宋体" w:eastAsia="宋体" w:hint="default"/>
                <w:sz w:val="18"/>
                <w:szCs w:val="18"/>
              </w:rPr>
            </w:pPr>
            <w:r>
              <w:rPr>
                <w:rFonts w:ascii="宋体" w:hAnsi="宋体" w:cs="宋体" w:eastAsia="宋体" w:hint="default"/>
                <w:sz w:val="18"/>
                <w:szCs w:val="18"/>
              </w:rPr>
              <w:t>收到财政拨款</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990,000.00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630,000.00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6" w:right="164"/>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6" w:right="165"/>
              <w:jc w:val="both"/>
              <w:rPr>
                <w:rFonts w:ascii="宋体" w:hAnsi="宋体" w:cs="宋体" w:eastAsia="宋体" w:hint="default"/>
                <w:sz w:val="18"/>
                <w:szCs w:val="18"/>
              </w:rPr>
            </w:pPr>
            <w:r>
              <w:rPr>
                <w:rFonts w:ascii="宋体" w:hAnsi="宋体" w:cs="宋体" w:eastAsia="宋体" w:hint="default"/>
                <w:sz w:val="18"/>
                <w:szCs w:val="18"/>
              </w:rPr>
              <w:t>本期计入 营业外收 入金额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6" w:right="164"/>
              <w:jc w:val="center"/>
              <w:rPr>
                <w:rFonts w:ascii="宋体" w:hAnsi="宋体" w:cs="宋体" w:eastAsia="宋体" w:hint="default"/>
                <w:sz w:val="18"/>
                <w:szCs w:val="18"/>
              </w:rPr>
            </w:pPr>
            <w:r>
              <w:rPr>
                <w:rFonts w:ascii="宋体" w:hAnsi="宋体" w:cs="宋体" w:eastAsia="宋体" w:hint="default"/>
                <w:sz w:val="18"/>
                <w:szCs w:val="18"/>
              </w:rPr>
              <w:t>本期计入 其他收益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6" w:right="164"/>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41" w:right="139"/>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8"/>
              <w:jc w:val="both"/>
              <w:rPr>
                <w:rFonts w:ascii="宋体" w:hAnsi="宋体" w:cs="宋体" w:eastAsia="宋体" w:hint="default"/>
                <w:sz w:val="18"/>
                <w:szCs w:val="18"/>
              </w:rPr>
            </w:pPr>
            <w:r>
              <w:rPr>
                <w:rFonts w:ascii="宋体" w:hAnsi="宋体" w:cs="宋体" w:eastAsia="宋体" w:hint="default"/>
                <w:sz w:val="18"/>
                <w:szCs w:val="18"/>
              </w:rPr>
              <w:t>电子信息 产业发展 基金资助 项目补贴 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990,000.00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630,000.00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990,000.00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630,000.00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left="1133" w:right="0"/>
        <w:jc w:val="left"/>
        <w:rPr>
          <w:b w:val="0"/>
          <w:bCs w:val="0"/>
        </w:rPr>
      </w:pPr>
      <w:bookmarkStart w:name="52、 其他非流动负债" w:id="331"/>
      <w:bookmarkEnd w:id="331"/>
      <w:r>
        <w:rPr>
          <w:b w:val="0"/>
          <w:bCs w:val="0"/>
        </w:rPr>
      </w:r>
      <w:r>
        <w:rPr>
          <w:rFonts w:ascii="Times New Roman" w:hAnsi="Times New Roman" w:cs="Times New Roman" w:eastAsia="Times New Roman" w:hint="default"/>
        </w:rPr>
        <w:t>52</w:t>
      </w:r>
      <w:r>
        <w:rPr/>
        <w:t>、其他非流动负债</w:t>
      </w:r>
      <w:r>
        <w:rPr>
          <w:b w:val="0"/>
          <w:bCs w:val="0"/>
        </w:rPr>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b/>
          <w:bCs/>
          <w:sz w:val="21"/>
          <w:szCs w:val="21"/>
        </w:rPr>
      </w:pPr>
    </w:p>
    <w:p>
      <w:pPr>
        <w:pStyle w:val="Heading5"/>
        <w:spacing w:line="240" w:lineRule="auto" w:before="35"/>
        <w:ind w:right="0"/>
        <w:jc w:val="left"/>
        <w:rPr>
          <w:b w:val="0"/>
          <w:bCs w:val="0"/>
        </w:rPr>
      </w:pPr>
      <w:bookmarkStart w:name="53、股本" w:id="332"/>
      <w:bookmarkEnd w:id="332"/>
      <w:r>
        <w:rPr>
          <w:b w:val="0"/>
          <w:bCs w:val="0"/>
        </w:rPr>
      </w: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left="1133" w:right="0"/>
        <w:jc w:val="left"/>
        <w:rPr>
          <w:b w:val="0"/>
          <w:bCs w:val="0"/>
        </w:rPr>
      </w:pPr>
      <w:bookmarkStart w:name="54、其他权益工具" w:id="333"/>
      <w:bookmarkEnd w:id="333"/>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55、资本公积" w:id="334"/>
      <w:bookmarkEnd w:id="334"/>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355,267,253.00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355,267,253.00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355,267,253.00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355,267,253.00</w:t>
            </w:r>
          </w:p>
        </w:tc>
      </w:tr>
    </w:tbl>
    <w:p>
      <w:pPr>
        <w:pStyle w:val="BodyText"/>
        <w:spacing w:line="240" w:lineRule="auto" w:before="51"/>
        <w:ind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56、库存股" w:id="335"/>
      <w:bookmarkEnd w:id="335"/>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57、其他综合收益" w:id="336"/>
      <w:bookmarkEnd w:id="336"/>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6"/>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302" w:right="121"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1338"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90" w:right="192"/>
              <w:jc w:val="both"/>
              <w:rPr>
                <w:rFonts w:ascii="宋体" w:hAnsi="宋体" w:cs="宋体" w:eastAsia="宋体" w:hint="default"/>
                <w:sz w:val="18"/>
                <w:szCs w:val="18"/>
              </w:rPr>
            </w:pPr>
            <w:r>
              <w:rPr>
                <w:rFonts w:ascii="宋体" w:hAnsi="宋体" w:cs="宋体" w:eastAsia="宋体" w:hint="default"/>
                <w:sz w:val="18"/>
                <w:szCs w:val="18"/>
              </w:rPr>
              <w:t>本期所 得税前 发生额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1" w:right="119"/>
              <w:jc w:val="center"/>
              <w:rPr>
                <w:rFonts w:ascii="宋体" w:hAnsi="宋体" w:cs="宋体" w:eastAsia="宋体" w:hint="default"/>
                <w:sz w:val="18"/>
                <w:szCs w:val="18"/>
              </w:rPr>
            </w:pPr>
            <w:r>
              <w:rPr>
                <w:rFonts w:ascii="宋体" w:hAnsi="宋体" w:cs="宋体" w:eastAsia="宋体" w:hint="default"/>
                <w:sz w:val="18"/>
                <w:szCs w:val="18"/>
              </w:rPr>
              <w:t>减：前期计 入其他综合 收益当期转 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91" w:right="101"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91" w:right="191"/>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二、以后将重分类进损益的其他 综合收益</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-3,914,23</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9.19</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-3,914,23</w:t>
            </w:r>
          </w:p>
          <w:p>
            <w:pPr>
              <w:pStyle w:val="TableParagraph"/>
              <w:spacing w:line="240" w:lineRule="auto" w:before="105"/>
              <w:ind w:left="509" w:right="0"/>
              <w:jc w:val="left"/>
              <w:rPr>
                <w:rFonts w:ascii="Times New Roman" w:hAnsi="Times New Roman" w:cs="Times New Roman" w:eastAsia="Times New Roman" w:hint="default"/>
                <w:sz w:val="18"/>
                <w:szCs w:val="18"/>
              </w:rPr>
            </w:pPr>
            <w:r>
              <w:rPr>
                <w:rFonts w:ascii="Times New Roman"/>
                <w:sz w:val="18"/>
              </w:rPr>
              <w:t>9.19</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-3,914,</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239.19</w:t>
            </w:r>
          </w:p>
        </w:tc>
      </w:tr>
      <w:tr>
        <w:trPr>
          <w:trHeight w:val="1026"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其中：权益法下在被投资单位以 后将重分类进损益的其他综合收 益中享有的份额</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-3,914,23</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9.19</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-3,914,23</w:t>
            </w:r>
          </w:p>
          <w:p>
            <w:pPr>
              <w:pStyle w:val="TableParagraph"/>
              <w:spacing w:line="240" w:lineRule="auto" w:before="105"/>
              <w:ind w:left="509" w:right="0"/>
              <w:jc w:val="left"/>
              <w:rPr>
                <w:rFonts w:ascii="Times New Roman" w:hAnsi="Times New Roman" w:cs="Times New Roman" w:eastAsia="Times New Roman" w:hint="default"/>
                <w:sz w:val="18"/>
                <w:szCs w:val="18"/>
              </w:rPr>
            </w:pPr>
            <w:r>
              <w:rPr>
                <w:rFonts w:ascii="Times New Roman"/>
                <w:sz w:val="18"/>
              </w:rPr>
              <w:t>9.19</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-3,914,</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239.19</w:t>
            </w: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-3,914,23</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9.19</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-3,914,23</w:t>
            </w:r>
          </w:p>
          <w:p>
            <w:pPr>
              <w:pStyle w:val="TableParagraph"/>
              <w:spacing w:line="240" w:lineRule="auto" w:before="105"/>
              <w:ind w:left="509" w:right="0"/>
              <w:jc w:val="left"/>
              <w:rPr>
                <w:rFonts w:ascii="Times New Roman" w:hAnsi="Times New Roman" w:cs="Times New Roman" w:eastAsia="Times New Roman" w:hint="default"/>
                <w:sz w:val="18"/>
                <w:szCs w:val="18"/>
              </w:rPr>
            </w:pPr>
            <w:r>
              <w:rPr>
                <w:rFonts w:ascii="Times New Roman"/>
                <w:sz w:val="18"/>
              </w:rPr>
              <w:t>9.19</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-3,914,</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239.19</w:t>
            </w:r>
          </w:p>
        </w:tc>
      </w:tr>
    </w:tbl>
    <w:p>
      <w:pPr>
        <w:pStyle w:val="BodyText"/>
        <w:spacing w:line="240" w:lineRule="auto" w:before="51"/>
        <w:ind w:right="0"/>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5"/>
        <w:spacing w:line="240" w:lineRule="auto"/>
        <w:ind w:left="1133" w:right="0"/>
        <w:jc w:val="left"/>
        <w:rPr>
          <w:b w:val="0"/>
          <w:bCs w:val="0"/>
        </w:rPr>
      </w:pPr>
      <w:bookmarkStart w:name="58、专项储备" w:id="337"/>
      <w:bookmarkEnd w:id="337"/>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5"/>
        <w:spacing w:line="240" w:lineRule="auto" w:before="35"/>
        <w:ind w:right="0"/>
        <w:jc w:val="left"/>
        <w:rPr>
          <w:b w:val="0"/>
          <w:bCs w:val="0"/>
        </w:rPr>
      </w:pPr>
      <w:bookmarkStart w:name="59、盈余公积" w:id="338"/>
      <w:bookmarkEnd w:id="338"/>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26,666,744.99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4,478,165.30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31,144,910.29</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26,666,744.99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4,478,165.30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31,144,910.29</w:t>
            </w:r>
          </w:p>
        </w:tc>
      </w:tr>
    </w:tbl>
    <w:p>
      <w:pPr>
        <w:pStyle w:val="BodyText"/>
        <w:spacing w:line="357" w:lineRule="auto" w:before="51"/>
        <w:ind w:left="1133" w:right="6253"/>
        <w:jc w:val="left"/>
      </w:pPr>
      <w:r>
        <w:rPr/>
        <w:t>盈余公积说明，包括本期增减变动情况、变动原因说明： 本年度按照净利润的</w:t>
      </w:r>
      <w:r>
        <w:rPr>
          <w:spacing w:val="-46"/>
        </w:rPr>
        <w:t> </w:t>
      </w:r>
      <w:r>
        <w:rPr>
          <w:rFonts w:ascii="Times New Roman" w:hAnsi="Times New Roman" w:cs="Times New Roman" w:eastAsia="Times New Roman" w:hint="default"/>
        </w:rPr>
        <w:t>10%</w:t>
      </w:r>
      <w:r>
        <w:rPr/>
        <w:t>计提法定盈余公积。</w:t>
      </w:r>
    </w:p>
    <w:p>
      <w:pPr>
        <w:spacing w:line="240" w:lineRule="auto" w:before="4"/>
        <w:rPr>
          <w:rFonts w:ascii="宋体" w:hAnsi="宋体" w:cs="宋体" w:eastAsia="宋体" w:hint="default"/>
          <w:sz w:val="18"/>
          <w:szCs w:val="18"/>
        </w:rPr>
      </w:pPr>
    </w:p>
    <w:p>
      <w:pPr>
        <w:pStyle w:val="Heading5"/>
        <w:spacing w:line="240" w:lineRule="auto"/>
        <w:ind w:left="1133" w:right="0"/>
        <w:jc w:val="left"/>
        <w:rPr>
          <w:b w:val="0"/>
          <w:bCs w:val="0"/>
        </w:rPr>
      </w:pPr>
      <w:bookmarkStart w:name="60、未分配利润" w:id="339"/>
      <w:bookmarkEnd w:id="339"/>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25"/>
        <w:gridCol w:w="2925"/>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207,826,384.07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154,269,482.76</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207,826,384.07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154,269,482.76</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42,930,074.35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59,507,668.12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4,478,165.30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5,950,766.81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12,000,000.00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234,278,293.12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207,826,384.07</w:t>
            </w:r>
          </w:p>
        </w:tc>
      </w:tr>
    </w:tbl>
    <w:p>
      <w:pPr>
        <w:pStyle w:val="BodyText"/>
        <w:spacing w:line="240" w:lineRule="auto" w:before="51"/>
        <w:ind w:right="0"/>
        <w:jc w:val="left"/>
      </w:pPr>
      <w:r>
        <w:rPr/>
        <w:t>调整期初未分配利润明细：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left="1133"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1133"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1133"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left="1133"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61、营业收入和营业成本" w:id="340"/>
      <w:bookmarkEnd w:id="340"/>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1,011,762,811.34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824,976,926.13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980,588,378.49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787,519,415.60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1,011,762,811.34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824,976,926.13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980,588,378.49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787,519,415.60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62、税金及附加" w:id="341"/>
      <w:bookmarkEnd w:id="341"/>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3"/>
          <w:szCs w:val="13"/>
        </w:rPr>
      </w:pPr>
    </w:p>
    <w:p>
      <w:pPr>
        <w:pStyle w:val="BodyText"/>
        <w:spacing w:line="240" w:lineRule="auto"/>
        <w:ind w:left="0" w:right="1130"/>
        <w:jc w:val="right"/>
      </w:pPr>
      <w:r>
        <w:rPr/>
        <w:t>单位： 元</w:t>
      </w:r>
    </w:p>
    <w:p>
      <w:pPr>
        <w:spacing w:after="0" w:line="240" w:lineRule="auto"/>
        <w:jc w:val="right"/>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1,381,452.34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1,568,123.91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592,051.00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672,053.12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563,098.10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475,314.18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394,700.69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448,035.39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16,820.25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2,934,402.13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3,182,146.85</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left="1133" w:right="0"/>
        <w:jc w:val="left"/>
        <w:rPr>
          <w:b w:val="0"/>
          <w:bCs w:val="0"/>
        </w:rPr>
      </w:pPr>
      <w:bookmarkStart w:name="63、销售费用" w:id="342"/>
      <w:bookmarkEnd w:id="342"/>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18,721,566.24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15,027,649.23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3,810,780.91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3,420,847.12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销售部门办公费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14,203,130.73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11,394,703.37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5,796,965.05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5,215,640.66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42,532,442.93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35,058,840.38</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left="1133" w:right="0"/>
        <w:jc w:val="left"/>
        <w:rPr>
          <w:b w:val="0"/>
          <w:bCs w:val="0"/>
        </w:rPr>
      </w:pPr>
      <w:bookmarkStart w:name="64、管理费用" w:id="343"/>
      <w:bookmarkEnd w:id="343"/>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29,552,186.05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28,313,120.89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5,389,174.02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6,458,539.05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科研开发费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31,017,791.42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30,097,730.97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7,853,106.48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7,268,630.63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2,490,707.81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2,483,002.02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中介咨询费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1,564,771.58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953,690.53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181,658.99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42,029.09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313,851.86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77,909,766.45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76,070,224.94</w:t>
            </w:r>
          </w:p>
        </w:tc>
      </w:tr>
    </w:tbl>
    <w:p>
      <w:pPr>
        <w:pStyle w:val="BodyText"/>
        <w:spacing w:line="240" w:lineRule="auto" w:before="51"/>
        <w:ind w:right="0"/>
        <w:jc w:val="left"/>
      </w:pPr>
      <w:r>
        <w:rPr/>
        <w:t>其他说明：</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5"/>
        <w:spacing w:line="240" w:lineRule="auto" w:before="35"/>
        <w:ind w:right="0"/>
        <w:jc w:val="left"/>
        <w:rPr>
          <w:b w:val="0"/>
          <w:bCs w:val="0"/>
        </w:rPr>
      </w:pPr>
      <w:bookmarkStart w:name="65、财务费用" w:id="344"/>
      <w:bookmarkEnd w:id="344"/>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12,399,295.58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11,214,233.08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4,844,194.44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930,977.47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136,258.20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185,570.91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258,892.53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282,650.15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-163,350.00</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7,950,251.87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10,216,984.85</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66、资产减值损失" w:id="345"/>
      <w:bookmarkEnd w:id="345"/>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4,403,010.87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2,698,769.35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4,403,010.87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2,698,769.35</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67、公允价值变动收益" w:id="346"/>
      <w:bookmarkEnd w:id="346"/>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3" w:right="0"/>
        <w:jc w:val="left"/>
        <w:rPr>
          <w:b w:val="0"/>
          <w:bCs w:val="0"/>
        </w:rPr>
      </w:pPr>
      <w:bookmarkStart w:name="68、投资收益" w:id="347"/>
      <w:bookmarkEnd w:id="347"/>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-1,669,666.76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-1,669,666.76</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69、资产处置收益" w:id="348"/>
      <w:bookmarkEnd w:id="348"/>
      <w:r>
        <w:rPr>
          <w:b w:val="0"/>
          <w:bCs w:val="0"/>
        </w:rPr>
      </w:r>
      <w:r>
        <w:rPr>
          <w:rFonts w:ascii="Times New Roman" w:hAnsi="Times New Roman" w:cs="Times New Roman" w:eastAsia="Times New Roman" w:hint="default"/>
        </w:rPr>
        <w:t>69</w:t>
      </w:r>
      <w:r>
        <w:rPr/>
        <w:t>、资产处置收益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70、其他收益" w:id="349"/>
      <w:bookmarkEnd w:id="349"/>
      <w:r>
        <w:rPr>
          <w:b w:val="0"/>
          <w:bCs w:val="0"/>
        </w:rPr>
      </w:r>
      <w:r>
        <w:rPr>
          <w:rFonts w:ascii="Times New Roman" w:hAnsi="Times New Roman" w:cs="Times New Roman" w:eastAsia="Times New Roman" w:hint="default"/>
        </w:rPr>
        <w:t>70</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即征即退增值税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881,282.06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389,599.81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tabs>
                <w:tab w:pos="643" w:val="left" w:leader="none"/>
              </w:tabs>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1,270,881.87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5"/>
        <w:spacing w:line="240" w:lineRule="auto" w:before="35"/>
        <w:ind w:right="0"/>
        <w:jc w:val="left"/>
        <w:rPr>
          <w:b w:val="0"/>
          <w:bCs w:val="0"/>
        </w:rPr>
      </w:pPr>
      <w:bookmarkStart w:name="71、营业外收入" w:id="350"/>
      <w:bookmarkEnd w:id="350"/>
      <w:r>
        <w:rPr>
          <w:b w:val="0"/>
          <w:bCs w:val="0"/>
        </w:rPr>
      </w:r>
      <w:r>
        <w:rPr>
          <w:rFonts w:ascii="Times New Roman" w:hAnsi="Times New Roman" w:cs="Times New Roman" w:eastAsia="Times New Roman" w:hint="default"/>
        </w:rPr>
        <w:t>71</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278,974.19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4,000,362.92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278,974.19</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278,974.19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4,000,362.92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278,974.19</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72、营业外支出" w:id="351"/>
      <w:bookmarkEnd w:id="351"/>
      <w:r>
        <w:rPr>
          <w:b w:val="0"/>
          <w:bCs w:val="0"/>
        </w:rPr>
      </w:r>
      <w:r>
        <w:rPr>
          <w:rFonts w:ascii="Times New Roman" w:hAnsi="Times New Roman" w:cs="Times New Roman" w:eastAsia="Times New Roman" w:hint="default"/>
        </w:rPr>
        <w:t>72</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非流动资产损坏报废损失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44,686.94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44,686.94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2,662.64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278.00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44,964.94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2,662.64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44,964.94</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left="1133" w:right="0"/>
        <w:jc w:val="left"/>
        <w:rPr>
          <w:b w:val="0"/>
          <w:bCs w:val="0"/>
        </w:rPr>
      </w:pPr>
      <w:bookmarkStart w:name="73、所得税费用" w:id="352"/>
      <w:bookmarkEnd w:id="352"/>
      <w:r>
        <w:rPr>
          <w:b w:val="0"/>
          <w:bCs w:val="0"/>
        </w:rPr>
      </w:r>
      <w:r>
        <w:rPr>
          <w:rFonts w:ascii="Times New Roman" w:hAnsi="Times New Roman" w:cs="Times New Roman" w:eastAsia="Times New Roman" w:hint="default"/>
        </w:rPr>
        <w:t>73</w:t>
      </w:r>
      <w:r>
        <w:rPr/>
        <w:t>、所得税费用</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所得税费用表" w:id="353"/>
      <w:bookmarkEnd w:id="353"/>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9,159,160.21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10,945,014.16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-1,197,999.24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-612,985.48</w:t>
            </w:r>
            <w:r>
              <w:rPr>
                <w:rFonts w:ascii="Times New Roman"/>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7,961,160.97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10,332,028.68</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2）会计利润与所得税费用调整过程" w:id="354"/>
      <w:bookmarkEnd w:id="354"/>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397"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7"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50,891,235.32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7,633,685.30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277,736.80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-2,149,034.93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2,198,773.81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7,961,160.97</w:t>
            </w:r>
          </w:p>
        </w:tc>
      </w:tr>
    </w:tbl>
    <w:p>
      <w:pPr>
        <w:pStyle w:val="BodyText"/>
        <w:spacing w:line="240" w:lineRule="auto" w:before="51"/>
        <w:ind w:right="0"/>
        <w:jc w:val="left"/>
      </w:pPr>
      <w:r>
        <w:rPr/>
        <w:t>其他说明</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tabs>
          <w:tab w:pos="2574" w:val="left" w:leader="none"/>
        </w:tabs>
        <w:spacing w:line="547" w:lineRule="auto" w:before="35"/>
        <w:ind w:left="1134" w:right="8873" w:firstLine="0"/>
        <w:jc w:val="left"/>
        <w:rPr>
          <w:rFonts w:ascii="宋体" w:hAnsi="宋体" w:cs="宋体" w:eastAsia="宋体" w:hint="default"/>
          <w:sz w:val="21"/>
          <w:szCs w:val="21"/>
        </w:rPr>
      </w:pPr>
      <w:bookmarkStart w:name="74、其他综合收益" w:id="355"/>
      <w:bookmarkEnd w:id="355"/>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tab/>
      </w:r>
      <w:r>
        <w:rPr>
          <w:rFonts w:ascii="Times New Roman" w:hAnsi="Times New Roman" w:cs="Times New Roman" w:eastAsia="Times New Roman" w:hint="default"/>
          <w:sz w:val="18"/>
          <w:szCs w:val="18"/>
        </w:rPr>
        <w:t>57</w:t>
      </w:r>
      <w:r>
        <w:rPr>
          <w:rFonts w:ascii="宋体" w:hAnsi="宋体" w:cs="宋体" w:eastAsia="宋体" w:hint="default"/>
          <w:sz w:val="18"/>
          <w:szCs w:val="18"/>
        </w:rPr>
        <w:t>。 </w:t>
      </w:r>
      <w:bookmarkStart w:name="75、现金流量表项目" w:id="356"/>
      <w:bookmarkEnd w:id="356"/>
      <w:r>
        <w:rPr>
          <w:rFonts w:ascii="宋体" w:hAnsi="宋体" w:cs="宋体" w:eastAsia="宋体" w:hint="default"/>
          <w:sz w:val="18"/>
          <w:szCs w:val="18"/>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5"/>
        <w:spacing w:line="240" w:lineRule="auto" w:before="26"/>
        <w:ind w:left="1133" w:right="0"/>
        <w:jc w:val="left"/>
        <w:rPr>
          <w:b w:val="0"/>
          <w:bCs w:val="0"/>
        </w:rPr>
      </w:pPr>
      <w:bookmarkStart w:name="（1）收到的其他与经营活动有关的现金" w:id="357"/>
      <w:bookmarkEnd w:id="357"/>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4,844,194.44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930,377.68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收回质保金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16,999,120.13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11,320,707.00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各项补助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1,043,099.81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2,873,984.76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22,886,414.38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15,125,069.44</w:t>
            </w:r>
          </w:p>
        </w:tc>
      </w:tr>
    </w:tbl>
    <w:p>
      <w:pPr>
        <w:pStyle w:val="BodyText"/>
        <w:spacing w:line="240" w:lineRule="auto" w:before="51"/>
        <w:ind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支付的其他与经营活动有关的现金" w:id="358"/>
      <w:bookmarkEnd w:id="358"/>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5,796,965.05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5,215,640.66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4,590,563.21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4,011,283.05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支付质保金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21,530,125.15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12,096,835.00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办公费等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20,377,294.03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18,208,508.02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房租等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7,853,106.48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7,268,630.63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支付保函保证金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3,331,110.92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1,529,381.95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63,479,164.84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48,330,279.31</w:t>
            </w:r>
          </w:p>
        </w:tc>
      </w:tr>
    </w:tbl>
    <w:p>
      <w:pPr>
        <w:pStyle w:val="BodyText"/>
        <w:spacing w:line="240" w:lineRule="auto" w:before="51"/>
        <w:ind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收到的其他与投资活动有关的现金" w:id="359"/>
      <w:bookmarkEnd w:id="359"/>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4）支付的其他与投资活动有关的现金" w:id="360"/>
      <w:bookmarkEnd w:id="360"/>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5）收到的其他与筹资活动有关的现金" w:id="361"/>
      <w:bookmarkEnd w:id="361"/>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贷款担保费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163,350.00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163,350.00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6）支付的其他与筹资活动有关的现金" w:id="362"/>
      <w:bookmarkEnd w:id="362"/>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保理手续费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162,636.62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上市中介费用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6,981,250.00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7,143,886.62</w:t>
            </w:r>
          </w:p>
        </w:tc>
      </w:tr>
    </w:tbl>
    <w:p>
      <w:pPr>
        <w:pStyle w:val="BodyText"/>
        <w:spacing w:line="240" w:lineRule="auto" w:before="51"/>
        <w:ind w:right="0"/>
        <w:jc w:val="left"/>
      </w:pPr>
      <w:r>
        <w:rPr/>
        <w:t>支付的其他与筹资活动有关的现金说明：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76、现金流量表补充资料" w:id="363"/>
      <w:bookmarkEnd w:id="363"/>
      <w:r>
        <w:rPr>
          <w:b w:val="0"/>
          <w:bCs w:val="0"/>
        </w:rPr>
      </w:r>
      <w:r>
        <w:rPr>
          <w:rFonts w:ascii="Times New Roman" w:hAnsi="Times New Roman" w:cs="Times New Roman" w:eastAsia="Times New Roman" w:hint="default"/>
        </w:rPr>
        <w:t>76</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3" w:right="0"/>
        <w:jc w:val="left"/>
        <w:rPr>
          <w:b w:val="0"/>
          <w:bCs w:val="0"/>
        </w:rPr>
      </w:pPr>
      <w:bookmarkStart w:name="（1）现金流量表补充资料" w:id="364"/>
      <w:bookmarkEnd w:id="364"/>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42,930,074.35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59,507,668.12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4,403,010.87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2,698,769.35</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 生物资产折旧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1,974,201.70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1,852,823.81</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876,506.11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630,178.21</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 产的损失（收益以“－”号填列）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44,686.94</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12,999,295.58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11,214,233.08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1,707,085.64</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递延所得税资产减少（增加以“－”号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-1,197,999.24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-612,985.48</w:t>
            </w:r>
            <w:r>
              <w:rPr>
                <w:rFonts w:ascii="Times New Roman"/>
                <w:sz w:val="18"/>
              </w:rPr>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-62,929,219.79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-15,697,943.57</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经营性应收项目的减少（增加以“－”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-144,474,273.25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-127,168,301.13</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经营性应付项目的增加（减少以“－”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5,137,569.31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-9,243,156.40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-138,529,061.78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-76,818,714.01</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动：</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341,409,880.20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434,862,054.54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434,862,054.54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223,813,031.31</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-93,452,174.34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211,049,023.23</w:t>
            </w: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2）本期支付的取得子公司的现金净额" w:id="365"/>
      <w:bookmarkEnd w:id="365"/>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3）本期收到的处置子公司的现金净额" w:id="366"/>
      <w:bookmarkEnd w:id="366"/>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4）现金和现金等价物的构成" w:id="367"/>
      <w:bookmarkEnd w:id="367"/>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341,409,880.20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434,862,054.54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5,237.46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6,427.02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336,952,363.94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431,524,516.60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4,452,278.80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3,331,110.92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341,409,880.20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434,862,054.54</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left="1133" w:right="0"/>
        <w:jc w:val="left"/>
        <w:rPr>
          <w:b w:val="0"/>
          <w:bCs w:val="0"/>
        </w:rPr>
      </w:pPr>
      <w:bookmarkStart w:name="77、所有者权益变动表项目注释" w:id="368"/>
      <w:bookmarkEnd w:id="368"/>
      <w:r>
        <w:rPr>
          <w:b w:val="0"/>
          <w:bCs w:val="0"/>
        </w:rPr>
      </w:r>
      <w:r>
        <w:rPr>
          <w:rFonts w:ascii="Times New Roman" w:hAnsi="Times New Roman" w:cs="Times New Roman" w:eastAsia="Times New Roman" w:hint="default"/>
        </w:rPr>
        <w:t>77</w:t>
      </w:r>
      <w:r>
        <w:rPr/>
        <w:t>、所有者权益变动表项目注释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t>说明对上年期末余额进行调整的“其他”项目名称及调整金额等事项：</w:t>
      </w:r>
    </w:p>
    <w:p>
      <w:pPr>
        <w:spacing w:line="240" w:lineRule="auto" w:before="10"/>
        <w:rPr>
          <w:rFonts w:ascii="宋体" w:hAnsi="宋体" w:cs="宋体" w:eastAsia="宋体" w:hint="default"/>
          <w:sz w:val="26"/>
          <w:szCs w:val="26"/>
        </w:rPr>
      </w:pPr>
    </w:p>
    <w:p>
      <w:pPr>
        <w:pStyle w:val="Heading5"/>
        <w:spacing w:line="240" w:lineRule="auto"/>
        <w:ind w:left="1133" w:right="0"/>
        <w:jc w:val="left"/>
        <w:rPr>
          <w:b w:val="0"/>
          <w:bCs w:val="0"/>
        </w:rPr>
      </w:pPr>
      <w:bookmarkStart w:name="78、所有权或使用权受到限制的资产" w:id="369"/>
      <w:bookmarkEnd w:id="369"/>
      <w:r>
        <w:rPr>
          <w:b w:val="0"/>
          <w:bCs w:val="0"/>
        </w:rPr>
      </w:r>
      <w:r>
        <w:rPr>
          <w:rFonts w:ascii="Times New Roman" w:hAnsi="Times New Roman" w:cs="Times New Roman" w:eastAsia="Times New Roman" w:hint="default"/>
        </w:rPr>
        <w:t>78</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3,766,109.09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3,766,109.09</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left="1133" w:right="0"/>
        <w:jc w:val="left"/>
        <w:rPr>
          <w:b w:val="0"/>
          <w:bCs w:val="0"/>
        </w:rPr>
      </w:pPr>
      <w:bookmarkStart w:name="79、外币货币性项目" w:id="370"/>
      <w:bookmarkEnd w:id="370"/>
      <w:r>
        <w:rPr>
          <w:b w:val="0"/>
          <w:bCs w:val="0"/>
        </w:rPr>
      </w:r>
      <w:r>
        <w:rPr>
          <w:rFonts w:ascii="Times New Roman" w:hAnsi="Times New Roman" w:cs="Times New Roman" w:eastAsia="Times New Roman" w:hint="default"/>
        </w:rPr>
        <w:t>79</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3" w:right="0"/>
        <w:jc w:val="left"/>
        <w:rPr>
          <w:b w:val="0"/>
          <w:bCs w:val="0"/>
        </w:rPr>
      </w:pPr>
      <w:bookmarkStart w:name="（1）外币货币性项目" w:id="371"/>
      <w:bookmarkEnd w:id="371"/>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5"/>
        <w:spacing w:line="259" w:lineRule="auto"/>
        <w:ind w:left="1133" w:right="0"/>
        <w:jc w:val="left"/>
        <w:rPr>
          <w:b w:val="0"/>
          <w:bCs w:val="0"/>
        </w:rPr>
      </w:pPr>
      <w:bookmarkStart w:name="（2）境外经营实体说明，包括对于重要的境外经营实体，应披露其境外主要经营地、记账" w:id="372"/>
      <w:bookmarkEnd w:id="372"/>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3" w:right="0"/>
        <w:jc w:val="left"/>
      </w:pPr>
      <w:r>
        <w:rPr/>
        <w:t>□ 适用 √ 不适用</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5"/>
        <w:spacing w:line="240" w:lineRule="auto" w:before="35"/>
        <w:ind w:right="0"/>
        <w:jc w:val="left"/>
        <w:rPr>
          <w:b w:val="0"/>
          <w:bCs w:val="0"/>
        </w:rPr>
      </w:pPr>
      <w:bookmarkStart w:name="80、套期" w:id="373"/>
      <w:bookmarkEnd w:id="373"/>
      <w:r>
        <w:rPr>
          <w:b w:val="0"/>
          <w:bCs w:val="0"/>
        </w:rPr>
      </w:r>
      <w:r>
        <w:rPr>
          <w:rFonts w:ascii="Times New Roman" w:hAnsi="Times New Roman" w:cs="Times New Roman" w:eastAsia="Times New Roman" w:hint="default"/>
        </w:rPr>
        <w:t>80</w:t>
      </w:r>
      <w:r>
        <w:rPr/>
        <w:t>、套期</w:t>
      </w:r>
      <w:r>
        <w:rPr>
          <w:b w:val="0"/>
          <w:bCs w:val="0"/>
        </w:rPr>
      </w:r>
    </w:p>
    <w:p>
      <w:pPr>
        <w:spacing w:line="240" w:lineRule="auto" w:before="10"/>
        <w:rPr>
          <w:rFonts w:ascii="宋体" w:hAnsi="宋体" w:cs="宋体" w:eastAsia="宋体" w:hint="default"/>
          <w:b/>
          <w:bCs/>
          <w:sz w:val="24"/>
          <w:szCs w:val="24"/>
        </w:rPr>
      </w:pPr>
    </w:p>
    <w:p>
      <w:pPr>
        <w:spacing w:line="487" w:lineRule="auto" w:before="0"/>
        <w:ind w:left="1133" w:right="8329" w:firstLine="0"/>
        <w:jc w:val="left"/>
        <w:rPr>
          <w:rFonts w:ascii="宋体" w:hAnsi="宋体" w:cs="宋体" w:eastAsia="宋体" w:hint="default"/>
          <w:sz w:val="21"/>
          <w:szCs w:val="21"/>
        </w:rPr>
      </w:pPr>
      <w:bookmarkStart w:name="81、其他" w:id="374"/>
      <w:bookmarkEnd w:id="374"/>
      <w:r>
        <w:rPr/>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75"/>
      <w:bookmarkEnd w:id="375"/>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76"/>
      <w:bookmarkEnd w:id="37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5"/>
        <w:spacing w:line="240" w:lineRule="auto" w:before="83"/>
        <w:ind w:left="1133" w:right="0"/>
        <w:jc w:val="left"/>
        <w:rPr>
          <w:b w:val="0"/>
          <w:bCs w:val="0"/>
        </w:rPr>
      </w:pPr>
      <w:bookmarkStart w:name="2、同一控制下企业合并" w:id="377"/>
      <w:bookmarkEnd w:id="377"/>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3、反向购买" w:id="378"/>
      <w:bookmarkEnd w:id="378"/>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4、处置子公司" w:id="379"/>
      <w:bookmarkEnd w:id="379"/>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t>是否存在单次处置对子公司投资即丧失控制权的情形</w:t>
      </w:r>
    </w:p>
    <w:p>
      <w:pPr>
        <w:pStyle w:val="BodyText"/>
        <w:spacing w:line="357" w:lineRule="auto" w:before="116"/>
        <w:ind w:left="1133" w:right="4993"/>
        <w:jc w:val="left"/>
      </w:pPr>
      <w:r>
        <w:rPr/>
        <w:t>□ 是 √ 否 是否存在通过多次交易分步处置对子公司投资且在本期丧失控制权的情形</w:t>
      </w:r>
    </w:p>
    <w:p>
      <w:pPr>
        <w:pStyle w:val="BodyText"/>
        <w:spacing w:line="240" w:lineRule="auto" w:before="29"/>
        <w:ind w:left="1133" w:right="0"/>
        <w:jc w:val="left"/>
      </w:pPr>
      <w:r>
        <w:rPr/>
        <w:t>□ 是 √ 否</w:t>
      </w:r>
    </w:p>
    <w:p>
      <w:pPr>
        <w:spacing w:line="240" w:lineRule="auto" w:before="10"/>
        <w:rPr>
          <w:rFonts w:ascii="宋体" w:hAnsi="宋体" w:cs="宋体" w:eastAsia="宋体" w:hint="default"/>
          <w:sz w:val="26"/>
          <w:szCs w:val="26"/>
        </w:rPr>
      </w:pPr>
    </w:p>
    <w:p>
      <w:pPr>
        <w:pStyle w:val="Heading5"/>
        <w:spacing w:line="240" w:lineRule="auto"/>
        <w:ind w:left="1133" w:right="0"/>
        <w:jc w:val="left"/>
        <w:rPr>
          <w:b w:val="0"/>
          <w:bCs w:val="0"/>
        </w:rPr>
      </w:pPr>
      <w:bookmarkStart w:name="5、其他原因的合并范围变动" w:id="380"/>
      <w:bookmarkEnd w:id="380"/>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t>说明其他原因导致的合并范围变动（如，新设子公司、清算子公司等）及其相关情况：</w:t>
      </w:r>
    </w:p>
    <w:p>
      <w:pPr>
        <w:pStyle w:val="BodyText"/>
        <w:spacing w:line="316" w:lineRule="auto" w:before="115"/>
        <w:ind w:left="1133" w:right="1049" w:firstLine="360"/>
        <w:jc w:val="both"/>
      </w:pPr>
      <w:r>
        <w:rPr>
          <w:spacing w:val="-2"/>
        </w:rPr>
        <w:t>（</w:t>
      </w:r>
      <w:r>
        <w:rPr>
          <w:rFonts w:ascii="宋体" w:hAnsi="宋体" w:cs="宋体" w:eastAsia="宋体" w:hint="default"/>
          <w:spacing w:val="-2"/>
        </w:rPr>
        <w:t>1</w:t>
      </w:r>
      <w:r>
        <w:rPr>
          <w:spacing w:val="-2"/>
        </w:rPr>
        <w:t>）经公司第二届董事会</w:t>
      </w:r>
      <w:r>
        <w:rPr>
          <w:rFonts w:ascii="宋体" w:hAnsi="宋体" w:cs="宋体" w:eastAsia="宋体" w:hint="default"/>
          <w:spacing w:val="-2"/>
        </w:rPr>
        <w:t>2016</w:t>
      </w:r>
      <w:r>
        <w:rPr>
          <w:spacing w:val="-2"/>
        </w:rPr>
        <w:t>年第二次定期会议审议通过了《关于对外投资暨设立全资子公司广州先进数通的议案》，</w:t>
      </w:r>
      <w:r>
        <w:rPr/>
        <w:t> 同意公司在广州设立全资子公司。并于</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25</w:t>
      </w:r>
      <w:r>
        <w:rPr/>
        <w:t>日办理完成工商登记注册，并领取了营业执照。注册资本：</w:t>
      </w:r>
      <w:r>
        <w:rPr>
          <w:rFonts w:ascii="宋体" w:hAnsi="宋体" w:cs="宋体" w:eastAsia="宋体" w:hint="default"/>
        </w:rPr>
        <w:t>1000 </w:t>
      </w:r>
      <w:r>
        <w:rPr/>
        <w:t>万元， 截止本期末已实缴</w:t>
      </w:r>
      <w:r>
        <w:rPr>
          <w:rFonts w:ascii="宋体" w:hAnsi="宋体" w:cs="宋体" w:eastAsia="宋体" w:hint="default"/>
        </w:rPr>
        <w:t>1000</w:t>
      </w:r>
      <w:r>
        <w:rPr/>
        <w:t>万元。</w:t>
      </w:r>
    </w:p>
    <w:p>
      <w:pPr>
        <w:pStyle w:val="BodyText"/>
        <w:spacing w:line="240" w:lineRule="auto" w:before="19"/>
        <w:ind w:left="1494" w:right="0"/>
        <w:jc w:val="left"/>
      </w:pPr>
      <w:r>
        <w:rPr/>
        <w:t>（</w:t>
      </w:r>
      <w:r>
        <w:rPr>
          <w:rFonts w:ascii="宋体" w:hAnsi="宋体" w:cs="宋体" w:eastAsia="宋体" w:hint="default"/>
        </w:rPr>
        <w:t>2</w:t>
      </w:r>
      <w:r>
        <w:rPr/>
        <w:t>）本期注销二级子公司情况</w:t>
      </w:r>
    </w:p>
    <w:p>
      <w:pPr>
        <w:spacing w:line="240" w:lineRule="auto" w:before="12"/>
        <w:rPr>
          <w:rFonts w:ascii="宋体" w:hAnsi="宋体" w:cs="宋体" w:eastAsia="宋体" w:hint="default"/>
          <w:sz w:val="7"/>
          <w:szCs w:val="7"/>
        </w:rPr>
      </w:pPr>
    </w:p>
    <w:p>
      <w:pPr>
        <w:spacing w:line="1170" w:lineRule="exact"/>
        <w:ind w:left="2147" w:right="0" w:firstLine="0"/>
        <w:rPr>
          <w:rFonts w:ascii="宋体" w:hAnsi="宋体" w:cs="宋体" w:eastAsia="宋体" w:hint="default"/>
          <w:sz w:val="20"/>
          <w:szCs w:val="20"/>
        </w:rPr>
      </w:pPr>
      <w:r>
        <w:rPr>
          <w:rFonts w:ascii="宋体" w:hAnsi="宋体" w:cs="宋体" w:eastAsia="宋体" w:hint="default"/>
          <w:position w:val="-22"/>
          <w:sz w:val="20"/>
          <w:szCs w:val="20"/>
        </w:rPr>
        <w:drawing>
          <wp:inline distT="0" distB="0" distL="0" distR="0">
            <wp:extent cx="4828857" cy="742950"/>
            <wp:effectExtent l="0" t="0" r="0" b="0"/>
            <wp:docPr id="17" name="image10.png" descr=""/>
            <wp:cNvGraphicFramePr>
              <a:graphicFrameLocks noChangeAspect="1"/>
            </wp:cNvGraphicFramePr>
            <a:graphic>
              <a:graphicData uri="http://schemas.openxmlformats.org/drawingml/2006/picture">
                <pic:pic>
                  <pic:nvPicPr>
                    <pic:cNvPr id="18" name="image10.png"/>
                    <pic:cNvPicPr/>
                  </pic:nvPicPr>
                  <pic:blipFill>
                    <a:blip r:embed="rId30" cstate="print"/>
                    <a:stretch>
                      <a:fillRect/>
                    </a:stretch>
                  </pic:blipFill>
                  <pic:spPr>
                    <a:xfrm>
                      <a:off x="0" y="0"/>
                      <a:ext cx="4828857" cy="742950"/>
                    </a:xfrm>
                    <a:prstGeom prst="rect">
                      <a:avLst/>
                    </a:prstGeom>
                  </pic:spPr>
                </pic:pic>
              </a:graphicData>
            </a:graphic>
          </wp:inline>
        </w:drawing>
      </w:r>
      <w:r>
        <w:rPr>
          <w:rFonts w:ascii="宋体" w:hAnsi="宋体" w:cs="宋体" w:eastAsia="宋体" w:hint="default"/>
          <w:position w:val="-22"/>
          <w:sz w:val="20"/>
          <w:szCs w:val="20"/>
        </w:rPr>
      </w:r>
    </w:p>
    <w:p>
      <w:pPr>
        <w:spacing w:line="240" w:lineRule="auto" w:before="12"/>
        <w:rPr>
          <w:rFonts w:ascii="宋体" w:hAnsi="宋体" w:cs="宋体" w:eastAsia="宋体" w:hint="default"/>
          <w:sz w:val="24"/>
          <w:szCs w:val="24"/>
        </w:rPr>
      </w:pPr>
    </w:p>
    <w:p>
      <w:pPr>
        <w:pStyle w:val="Heading5"/>
        <w:spacing w:line="240" w:lineRule="auto"/>
        <w:ind w:right="0"/>
        <w:jc w:val="left"/>
        <w:rPr>
          <w:b w:val="0"/>
          <w:bCs w:val="0"/>
        </w:rPr>
      </w:pPr>
      <w:bookmarkStart w:name="6、 其他" w:id="381"/>
      <w:bookmarkEnd w:id="381"/>
      <w:r>
        <w:rPr>
          <w:b w:val="0"/>
          <w:bCs w:val="0"/>
        </w:rPr>
      </w:r>
      <w:r>
        <w:rPr>
          <w:rFonts w:ascii="Times New Roman" w:hAnsi="Times New Roman" w:cs="Times New Roman" w:eastAsia="Times New Roman" w:hint="default"/>
        </w:rPr>
        <w:t>6</w:t>
      </w:r>
      <w:r>
        <w:rPr/>
        <w:t>、其他</w:t>
      </w:r>
      <w:r>
        <w:rPr>
          <w:b w:val="0"/>
          <w:bCs w:val="0"/>
        </w:rPr>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b/>
          <w:bCs/>
          <w:sz w:val="20"/>
          <w:szCs w:val="20"/>
        </w:rPr>
      </w:pPr>
    </w:p>
    <w:p>
      <w:pPr>
        <w:pStyle w:val="Heading3"/>
        <w:spacing w:line="240" w:lineRule="auto" w:before="26"/>
        <w:ind w:right="0"/>
        <w:jc w:val="left"/>
        <w:rPr>
          <w:b w:val="0"/>
          <w:bCs w:val="0"/>
        </w:rPr>
      </w:pPr>
      <w:bookmarkStart w:name="九、在其他主体中的权益" w:id="382"/>
      <w:bookmarkEnd w:id="382"/>
      <w:r>
        <w:rPr>
          <w:b w:val="0"/>
          <w:bCs w:val="0"/>
        </w:rPr>
      </w: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133" w:right="0"/>
        <w:jc w:val="left"/>
        <w:rPr>
          <w:b w:val="0"/>
          <w:bCs w:val="0"/>
        </w:rPr>
      </w:pPr>
      <w:bookmarkStart w:name="1、在子公司中的权益" w:id="383"/>
      <w:bookmarkEnd w:id="383"/>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133" w:right="0"/>
        <w:jc w:val="left"/>
        <w:rPr>
          <w:b w:val="0"/>
          <w:bCs w:val="0"/>
        </w:rPr>
      </w:pPr>
      <w:bookmarkStart w:name="（1）企业集团的构成" w:id="384"/>
      <w:bookmarkEnd w:id="384"/>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763"/>
        <w:gridCol w:w="1367"/>
        <w:gridCol w:w="1368"/>
        <w:gridCol w:w="1241"/>
        <w:gridCol w:w="1367"/>
        <w:gridCol w:w="1366"/>
        <w:gridCol w:w="1067"/>
      </w:tblGrid>
      <w:tr>
        <w:trPr>
          <w:trHeight w:val="402" w:hRule="exact"/>
        </w:trPr>
        <w:tc>
          <w:tcPr>
            <w:tcW w:w="17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2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2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0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763"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241"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0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08"/>
              <w:jc w:val="left"/>
              <w:rPr>
                <w:rFonts w:ascii="宋体" w:hAnsi="宋体" w:cs="宋体" w:eastAsia="宋体" w:hint="default"/>
                <w:sz w:val="18"/>
                <w:szCs w:val="18"/>
              </w:rPr>
            </w:pPr>
            <w:r>
              <w:rPr>
                <w:rFonts w:ascii="宋体" w:hAnsi="宋体" w:cs="宋体" w:eastAsia="宋体" w:hint="default"/>
                <w:sz w:val="18"/>
                <w:szCs w:val="18"/>
              </w:rPr>
              <w:t>西藏先进数通信息 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西藏拉萨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08"/>
              <w:jc w:val="left"/>
              <w:rPr>
                <w:rFonts w:ascii="宋体" w:hAnsi="宋体" w:cs="宋体" w:eastAsia="宋体" w:hint="default"/>
                <w:sz w:val="18"/>
                <w:szCs w:val="18"/>
              </w:rPr>
            </w:pPr>
            <w:r>
              <w:rPr>
                <w:rFonts w:ascii="宋体" w:hAnsi="宋体" w:cs="宋体" w:eastAsia="宋体" w:hint="default"/>
                <w:sz w:val="18"/>
                <w:szCs w:val="18"/>
              </w:rPr>
              <w:t>广州先进数通信息 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60" w:lineRule="auto" w:before="51"/>
        <w:ind w:left="1133"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6"/>
        <w:ind w:right="7692"/>
        <w:jc w:val="left"/>
      </w:pPr>
      <w:r>
        <w:rPr/>
        <w:t>确定公司是代理人还是委托人的依据： 其他说明：</w:t>
      </w:r>
    </w:p>
    <w:p>
      <w:pPr>
        <w:spacing w:line="240" w:lineRule="auto" w:before="1"/>
        <w:rPr>
          <w:rFonts w:ascii="宋体" w:hAnsi="宋体" w:cs="宋体" w:eastAsia="宋体" w:hint="default"/>
          <w:sz w:val="20"/>
          <w:szCs w:val="20"/>
        </w:rPr>
      </w:pPr>
    </w:p>
    <w:p>
      <w:pPr>
        <w:pStyle w:val="Heading5"/>
        <w:spacing w:line="240" w:lineRule="auto"/>
        <w:ind w:right="0"/>
        <w:jc w:val="left"/>
        <w:rPr>
          <w:b w:val="0"/>
          <w:bCs w:val="0"/>
        </w:rPr>
      </w:pPr>
      <w:bookmarkStart w:name="（2）重要的非全资子公司" w:id="385"/>
      <w:bookmarkEnd w:id="385"/>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3）重要非全资子公司的主要财务信息" w:id="386"/>
      <w:bookmarkEnd w:id="386"/>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4）使用企业集团资产和清偿企业集团债务的重大限制" w:id="387"/>
      <w:bookmarkEnd w:id="387"/>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5）向纳入合并财务报表范围的结构化主体提供的财务支持或其他支持" w:id="388"/>
      <w:bookmarkEnd w:id="388"/>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3" w:right="0"/>
        <w:jc w:val="left"/>
        <w:rPr>
          <w:b w:val="0"/>
          <w:bCs w:val="0"/>
        </w:rPr>
      </w:pPr>
      <w:bookmarkStart w:name="2、在子公司的所有者权益份额发生变化且仍控制子公司的交易" w:id="389"/>
      <w:bookmarkEnd w:id="389"/>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3、在合营安排或联营企业中的权益" w:id="390"/>
      <w:bookmarkEnd w:id="390"/>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重要的合营企业或联营企业" w:id="391"/>
      <w:bookmarkEnd w:id="391"/>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30" w:right="141" w:hanging="90"/>
              <w:jc w:val="left"/>
              <w:rPr>
                <w:rFonts w:ascii="宋体" w:hAnsi="宋体" w:cs="宋体" w:eastAsia="宋体" w:hint="default"/>
                <w:sz w:val="18"/>
                <w:szCs w:val="18"/>
              </w:rPr>
            </w:pPr>
            <w:r>
              <w:rPr>
                <w:rFonts w:ascii="宋体" w:hAnsi="宋体" w:cs="宋体" w:eastAsia="宋体" w:hint="default"/>
                <w:sz w:val="18"/>
                <w:szCs w:val="18"/>
              </w:rPr>
              <w:t>合营企业或联 营企业名称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36" w:right="137"/>
              <w:jc w:val="center"/>
              <w:rPr>
                <w:rFonts w:ascii="宋体" w:hAnsi="宋体" w:cs="宋体" w:eastAsia="宋体" w:hint="default"/>
                <w:sz w:val="18"/>
                <w:szCs w:val="18"/>
              </w:rPr>
            </w:pPr>
            <w:r>
              <w:rPr>
                <w:rFonts w:ascii="宋体" w:hAnsi="宋体" w:cs="宋体" w:eastAsia="宋体" w:hint="default"/>
                <w:sz w:val="18"/>
                <w:szCs w:val="18"/>
              </w:rPr>
              <w:t>对合营企业或 联营企业投资 的会计处理方 法</w:t>
            </w:r>
          </w:p>
        </w:tc>
      </w:tr>
      <w:tr>
        <w:trPr>
          <w:trHeight w:val="936"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西藏银汐企业 管理合伙企业</w:t>
            </w:r>
          </w:p>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西藏拉萨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西藏拉萨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北京泛融科技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right="0"/>
        <w:jc w:val="left"/>
      </w:pPr>
      <w:r>
        <w:rPr/>
        <w:t>在合营企业或联营企业的持股比例不同于表决权比例的说明：</w:t>
      </w:r>
    </w:p>
    <w:p>
      <w:pPr>
        <w:spacing w:after="0" w:line="240" w:lineRule="auto"/>
        <w:jc w:val="left"/>
        <w:sectPr>
          <w:headerReference w:type="default" r:id="rId31"/>
          <w:pgSz w:w="11910" w:h="16840"/>
          <w:pgMar w:header="907" w:footer="1019"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2）重要合营企业的主要财务信息" w:id="392"/>
      <w:bookmarkEnd w:id="392"/>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3）重要联营企业的主要财务信息" w:id="393"/>
      <w:bookmarkEnd w:id="393"/>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141" w:right="141"/>
              <w:jc w:val="left"/>
              <w:rPr>
                <w:rFonts w:ascii="宋体" w:hAnsi="宋体" w:cs="宋体" w:eastAsia="宋体" w:hint="default"/>
                <w:sz w:val="18"/>
                <w:szCs w:val="18"/>
              </w:rPr>
            </w:pPr>
            <w:r>
              <w:rPr>
                <w:rFonts w:ascii="宋体" w:hAnsi="宋体" w:cs="宋体" w:eastAsia="宋体" w:hint="default"/>
                <w:sz w:val="18"/>
                <w:szCs w:val="18"/>
              </w:rPr>
              <w:t>西藏银汐企业管理合 伙企业（有限合伙）</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861" w:right="140" w:hanging="720"/>
              <w:jc w:val="left"/>
              <w:rPr>
                <w:rFonts w:ascii="宋体" w:hAnsi="宋体" w:cs="宋体" w:eastAsia="宋体" w:hint="default"/>
                <w:sz w:val="18"/>
                <w:szCs w:val="18"/>
              </w:rPr>
            </w:pPr>
            <w:r>
              <w:rPr>
                <w:rFonts w:ascii="宋体" w:hAnsi="宋体" w:cs="宋体" w:eastAsia="宋体" w:hint="default"/>
                <w:sz w:val="18"/>
                <w:szCs w:val="18"/>
              </w:rPr>
              <w:t>北京泛融科技有限公 司</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141" w:right="141"/>
              <w:jc w:val="left"/>
              <w:rPr>
                <w:rFonts w:ascii="宋体" w:hAnsi="宋体" w:cs="宋体" w:eastAsia="宋体" w:hint="default"/>
                <w:sz w:val="18"/>
                <w:szCs w:val="18"/>
              </w:rPr>
            </w:pPr>
            <w:r>
              <w:rPr>
                <w:rFonts w:ascii="宋体" w:hAnsi="宋体" w:cs="宋体" w:eastAsia="宋体" w:hint="default"/>
                <w:sz w:val="18"/>
                <w:szCs w:val="18"/>
              </w:rPr>
              <w:t>西藏银汐企业管理合 伙企业（有限合伙）</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861" w:right="140" w:hanging="720"/>
              <w:jc w:val="left"/>
              <w:rPr>
                <w:rFonts w:ascii="宋体" w:hAnsi="宋体" w:cs="宋体" w:eastAsia="宋体" w:hint="default"/>
                <w:sz w:val="18"/>
                <w:szCs w:val="18"/>
              </w:rPr>
            </w:pPr>
            <w:r>
              <w:rPr>
                <w:rFonts w:ascii="宋体" w:hAnsi="宋体" w:cs="宋体" w:eastAsia="宋体" w:hint="default"/>
                <w:sz w:val="18"/>
                <w:szCs w:val="18"/>
              </w:rPr>
              <w:t>北京泛融科技有限公 司</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55,762,695.10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1,611,356.14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450,163.67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165,797,880.34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4,018,167.68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9,076.00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221,560,575.44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5,629,523.82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459,239.67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13,250,640.00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280,282.25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12,791.98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13,250,640.00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280,282.25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12,791.98</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79"/>
              <w:jc w:val="left"/>
              <w:rPr>
                <w:rFonts w:ascii="宋体" w:hAnsi="宋体" w:cs="宋体" w:eastAsia="宋体" w:hint="default"/>
                <w:sz w:val="18"/>
                <w:szCs w:val="18"/>
              </w:rPr>
            </w:pPr>
            <w:r>
              <w:rPr>
                <w:rFonts w:ascii="宋体" w:hAnsi="宋体" w:cs="宋体" w:eastAsia="宋体" w:hint="default"/>
                <w:sz w:val="18"/>
                <w:szCs w:val="18"/>
              </w:rPr>
              <w:t>归属于母公司股东权 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208,309,935.44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5,349,241.57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446,447.69</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79"/>
              <w:jc w:val="left"/>
              <w:rPr>
                <w:rFonts w:ascii="宋体" w:hAnsi="宋体" w:cs="宋体" w:eastAsia="宋体" w:hint="default"/>
                <w:sz w:val="18"/>
                <w:szCs w:val="18"/>
              </w:rPr>
            </w:pPr>
            <w:r>
              <w:rPr>
                <w:rFonts w:ascii="宋体" w:hAnsi="宋体" w:cs="宋体" w:eastAsia="宋体" w:hint="default"/>
                <w:sz w:val="18"/>
                <w:szCs w:val="18"/>
              </w:rPr>
              <w:t>按持股比例计算的净 资产份额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76,303,929.35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1,337,310.39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18,315,100.00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6,459,754.31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6,459,754.31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18,315,100.00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79"/>
              <w:jc w:val="left"/>
              <w:rPr>
                <w:rFonts w:ascii="宋体" w:hAnsi="宋体" w:cs="宋体" w:eastAsia="宋体" w:hint="default"/>
                <w:sz w:val="18"/>
                <w:szCs w:val="18"/>
              </w:rPr>
            </w:pPr>
            <w:r>
              <w:rPr>
                <w:rFonts w:ascii="宋体" w:hAnsi="宋体" w:cs="宋体" w:eastAsia="宋体" w:hint="default"/>
                <w:sz w:val="18"/>
                <w:szCs w:val="18"/>
              </w:rPr>
              <w:t>对联营企业权益投资 的账面价值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94,619,029.35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7,797,064.70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237,580.79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2,708,371.83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-4,004,180.88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-3,097,206.12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-53,552.31</w:t>
            </w:r>
            <w:r>
              <w:rPr>
                <w:rFonts w:ascii="Times New Roman"/>
                <w:sz w:val="18"/>
              </w:rPr>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-10,685,883.68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-14,690,064.56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-3,097,206.12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-53,552.31</w:t>
            </w:r>
            <w:r>
              <w:rPr>
                <w:rFonts w:ascii="Times New Roman"/>
                <w:sz w:val="18"/>
              </w:rPr>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left="1133" w:right="0"/>
        <w:jc w:val="left"/>
        <w:rPr>
          <w:b w:val="0"/>
          <w:bCs w:val="0"/>
        </w:rPr>
      </w:pPr>
      <w:bookmarkStart w:name="（4）不重要的合营企业和联营企业的汇总财务信息" w:id="394"/>
      <w:bookmarkEnd w:id="394"/>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3" w:right="0"/>
        <w:jc w:val="left"/>
        <w:rPr>
          <w:b w:val="0"/>
          <w:bCs w:val="0"/>
        </w:rPr>
      </w:pPr>
      <w:bookmarkStart w:name="（5）合营企业或联营企业向本公司转移资金的能力存在重大限制的说明" w:id="395"/>
      <w:bookmarkEnd w:id="395"/>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6）合营企业或联营企业发生的超额亏损" w:id="396"/>
      <w:bookmarkEnd w:id="396"/>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133" w:right="0"/>
        <w:jc w:val="left"/>
        <w:rPr>
          <w:b w:val="0"/>
          <w:bCs w:val="0"/>
        </w:rPr>
      </w:pPr>
      <w:bookmarkStart w:name="（7）与合营企业投资相关的未确认承诺" w:id="397"/>
      <w:bookmarkEnd w:id="397"/>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b/>
          <w:bCs/>
          <w:sz w:val="21"/>
          <w:szCs w:val="21"/>
        </w:rPr>
      </w:pPr>
    </w:p>
    <w:p>
      <w:pPr>
        <w:pStyle w:val="Heading5"/>
        <w:spacing w:line="240" w:lineRule="auto" w:before="35"/>
        <w:ind w:right="0"/>
        <w:jc w:val="left"/>
        <w:rPr>
          <w:b w:val="0"/>
          <w:bCs w:val="0"/>
        </w:rPr>
      </w:pPr>
      <w:bookmarkStart w:name="（8）与合营企业或联营企业投资相关的或有负债" w:id="398"/>
      <w:bookmarkEnd w:id="398"/>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4、重要的共同经营" w:id="399"/>
      <w:bookmarkEnd w:id="399"/>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5、在未纳入合并财务报表范围的结构化主体中的权益" w:id="400"/>
      <w:bookmarkEnd w:id="400"/>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4"/>
          <w:szCs w:val="24"/>
        </w:rPr>
      </w:pPr>
    </w:p>
    <w:p>
      <w:pPr>
        <w:pStyle w:val="Heading3"/>
        <w:spacing w:line="477" w:lineRule="auto"/>
        <w:ind w:right="7692"/>
        <w:jc w:val="left"/>
        <w:rPr>
          <w:b w:val="0"/>
          <w:bCs w:val="0"/>
        </w:rPr>
      </w:pPr>
      <w:bookmarkStart w:name="6、其他" w:id="401"/>
      <w:bookmarkEnd w:id="401"/>
      <w:r>
        <w:rPr>
          <w:b w:val="0"/>
          <w:bCs w:val="0"/>
        </w:rPr>
      </w:r>
      <w:r>
        <w:rPr>
          <w:rFonts w:ascii="Times New Roman" w:hAnsi="Times New Roman" w:cs="Times New Roman" w:eastAsia="Times New Roman" w:hint="default"/>
          <w:sz w:val="21"/>
          <w:szCs w:val="21"/>
        </w:rPr>
        <w:t>6</w:t>
      </w:r>
      <w:r>
        <w:rPr>
          <w:sz w:val="21"/>
          <w:szCs w:val="21"/>
        </w:rPr>
        <w:t>、其他</w:t>
      </w:r>
      <w:r>
        <w:rPr>
          <w:spacing w:val="1"/>
          <w:w w:val="99"/>
          <w:sz w:val="21"/>
          <w:szCs w:val="21"/>
        </w:rPr>
        <w:t> </w:t>
      </w:r>
      <w:bookmarkStart w:name="十、与金融工具相关的风险" w:id="402"/>
      <w:bookmarkEnd w:id="402"/>
      <w:r>
        <w:rPr>
          <w:spacing w:val="1"/>
          <w:w w:val="99"/>
          <w:sz w:val="21"/>
          <w:szCs w:val="21"/>
        </w:rPr>
      </w:r>
      <w:r>
        <w:rPr>
          <w:w w:val="95"/>
        </w:rPr>
        <w:t>十、与金融工具相关的风险</w:t>
      </w:r>
      <w:r>
        <w:rPr>
          <w:spacing w:val="18"/>
          <w:w w:val="95"/>
        </w:rPr>
        <w:t> </w:t>
      </w:r>
      <w:r>
        <w:rPr>
          <w:spacing w:val="18"/>
          <w:w w:val="95"/>
        </w:rPr>
      </w:r>
      <w:bookmarkStart w:name="十一、公允价值的披露" w:id="403"/>
      <w:bookmarkEnd w:id="403"/>
      <w:r>
        <w:rPr/>
        <w:t>十一、公允价值的披露</w:t>
      </w:r>
      <w:r>
        <w:rPr>
          <w:b w:val="0"/>
          <w:bCs w:val="0"/>
        </w:rPr>
      </w:r>
    </w:p>
    <w:p>
      <w:pPr>
        <w:pStyle w:val="Heading5"/>
        <w:spacing w:line="240" w:lineRule="auto" w:before="84"/>
        <w:ind w:right="0"/>
        <w:jc w:val="left"/>
        <w:rPr>
          <w:b w:val="0"/>
          <w:bCs w:val="0"/>
        </w:rPr>
      </w:pPr>
      <w:bookmarkStart w:name="1、以公允价值计量的资产和负债的期末公允价值" w:id="404"/>
      <w:bookmarkEnd w:id="404"/>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2、持续和非持续第一层次公允价值计量项目市价的确定依据" w:id="405"/>
      <w:bookmarkEnd w:id="405"/>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3、持续和非持续第二层次公允价值计量项目，采用的估值技术和重要参数的定性及定量信" w:id="406"/>
      <w:bookmarkEnd w:id="406"/>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4、持续和非持续第三层次公允价值计量项目，采用的估值技术和重要参数的定性及定量信" w:id="407"/>
      <w:bookmarkEnd w:id="407"/>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5、持续的第三层次公允价值计量项目，期初与期末账面价值间的调节信息及不可观察参数" w:id="408"/>
      <w:bookmarkEnd w:id="408"/>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6、持续的公允价值计量项目，本期内发生各层级之间转换的，转换的原因及确定转换时点" w:id="409"/>
      <w:bookmarkEnd w:id="409"/>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7、本期内发生的估值技术变更及变更原因" w:id="410"/>
      <w:bookmarkEnd w:id="410"/>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8、不以公允价值计量的金融资产和金融负债的公允价值情况" w:id="411"/>
      <w:bookmarkEnd w:id="411"/>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9、其他" w:id="412"/>
      <w:bookmarkEnd w:id="412"/>
      <w:r>
        <w:rPr>
          <w:b w:val="0"/>
          <w:bCs w:val="0"/>
        </w:rPr>
      </w:r>
      <w:r>
        <w:rPr>
          <w:rFonts w:ascii="Times New Roman" w:hAnsi="Times New Roman" w:cs="Times New Roman" w:eastAsia="Times New Roman" w:hint="default"/>
        </w:rPr>
        <w:t>9</w:t>
      </w:r>
      <w:r>
        <w:rPr/>
        <w:t>、其他</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9"/>
        <w:rPr>
          <w:rFonts w:ascii="宋体" w:hAnsi="宋体" w:cs="宋体" w:eastAsia="宋体" w:hint="default"/>
          <w:b/>
          <w:bCs/>
          <w:sz w:val="25"/>
          <w:szCs w:val="25"/>
        </w:rPr>
      </w:pPr>
    </w:p>
    <w:p>
      <w:pPr>
        <w:pStyle w:val="Heading3"/>
        <w:spacing w:line="240" w:lineRule="auto"/>
        <w:ind w:right="0"/>
        <w:jc w:val="left"/>
        <w:rPr>
          <w:b w:val="0"/>
          <w:bCs w:val="0"/>
        </w:rPr>
      </w:pPr>
      <w:bookmarkStart w:name="十二、关联方及关联交易" w:id="413"/>
      <w:bookmarkEnd w:id="413"/>
      <w:r>
        <w:rPr>
          <w:b w:val="0"/>
          <w:bCs w:val="0"/>
        </w:rPr>
      </w: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本企业的母公司情况" w:id="414"/>
      <w:bookmarkEnd w:id="414"/>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2、本企业的子公司情况" w:id="415"/>
      <w:bookmarkEnd w:id="415"/>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本企业子公司的情况详见附注。</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本企业合营和联营企业情况" w:id="416"/>
      <w:bookmarkEnd w:id="416"/>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292"/>
        <w:jc w:val="left"/>
      </w:pPr>
      <w:r>
        <w:rPr/>
        <w:t>本企业重要的合营或联营企业详见附注。 本期与本公司发生关联方交易，或前期与本公司发生关联方交易形成余额的其他合营或联营企业情况如下：</w:t>
      </w:r>
    </w:p>
    <w:p>
      <w:pPr>
        <w:spacing w:after="0" w:line="357" w:lineRule="auto"/>
        <w:jc w:val="left"/>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西藏银汐企业管理合伙企业（有限合伙）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联营企业，占比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36.63%</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北京泛融科技有限公司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联营企业，占比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left="1133" w:right="0"/>
        <w:jc w:val="left"/>
        <w:rPr>
          <w:b w:val="0"/>
          <w:bCs w:val="0"/>
        </w:rPr>
      </w:pPr>
      <w:bookmarkStart w:name="4、其他关联方情况" w:id="417"/>
      <w:bookmarkEnd w:id="417"/>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林鸿</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以上的自然人股东、董事、总经理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李铠</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以上的自然人股东、董事长</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朱胡勇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本公司董事、副总经理、董事会秘书</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罗云波</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本公司董事、副总经理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庄云江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杨格平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本公司监事会主席</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吴文胜</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本公司财务总监</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left="1133" w:right="0"/>
        <w:jc w:val="left"/>
        <w:rPr>
          <w:b w:val="0"/>
          <w:bCs w:val="0"/>
        </w:rPr>
      </w:pPr>
      <w:bookmarkStart w:name="5、关联交易情况" w:id="418"/>
      <w:bookmarkEnd w:id="418"/>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购销商品、提供和接受劳务的关联交易" w:id="419"/>
      <w:bookmarkEnd w:id="419"/>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2）关联受托管理/承包及委托管理/出包情况" w:id="420"/>
      <w:bookmarkEnd w:id="420"/>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3）关联租赁情况" w:id="421"/>
      <w:bookmarkEnd w:id="421"/>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4）关联担保情况" w:id="422"/>
      <w:bookmarkEnd w:id="422"/>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本公司作为被担保方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763"/>
        <w:gridCol w:w="1916"/>
        <w:gridCol w:w="1914"/>
        <w:gridCol w:w="1914"/>
        <w:gridCol w:w="1422"/>
      </w:tblGrid>
      <w:tr>
        <w:trPr>
          <w:trHeight w:val="713" w:hRule="exact"/>
        </w:trPr>
        <w:tc>
          <w:tcPr>
            <w:tcW w:w="2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0"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0"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5" w:right="164" w:hanging="180"/>
              <w:jc w:val="left"/>
              <w:rPr>
                <w:rFonts w:ascii="宋体" w:hAnsi="宋体" w:cs="宋体" w:eastAsia="宋体" w:hint="default"/>
                <w:sz w:val="18"/>
                <w:szCs w:val="18"/>
              </w:rPr>
            </w:pPr>
            <w:r>
              <w:rPr>
                <w:rFonts w:ascii="宋体" w:hAnsi="宋体" w:cs="宋体" w:eastAsia="宋体" w:hint="default"/>
                <w:sz w:val="18"/>
                <w:szCs w:val="18"/>
              </w:rPr>
              <w:t>担保是否已经 履行完毕</w:t>
            </w:r>
          </w:p>
        </w:tc>
      </w:tr>
      <w:tr>
        <w:trPr>
          <w:trHeight w:val="714"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29"/>
              <w:jc w:val="left"/>
              <w:rPr>
                <w:rFonts w:ascii="宋体" w:hAnsi="宋体" w:cs="宋体" w:eastAsia="宋体" w:hint="default"/>
                <w:sz w:val="18"/>
                <w:szCs w:val="18"/>
              </w:rPr>
            </w:pPr>
            <w:r>
              <w:rPr>
                <w:rFonts w:ascii="宋体" w:hAnsi="宋体" w:cs="宋体" w:eastAsia="宋体" w:hint="default"/>
                <w:sz w:val="18"/>
                <w:szCs w:val="18"/>
              </w:rPr>
              <w:t>林鸿、李铠、朱胡勇、罗云波、 庄云江、杨格平、吴文胜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49,999,976.79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29"/>
              <w:jc w:val="left"/>
              <w:rPr>
                <w:rFonts w:ascii="宋体" w:hAnsi="宋体" w:cs="宋体" w:eastAsia="宋体" w:hint="default"/>
                <w:sz w:val="18"/>
                <w:szCs w:val="18"/>
              </w:rPr>
            </w:pPr>
            <w:r>
              <w:rPr>
                <w:rFonts w:ascii="宋体" w:hAnsi="宋体" w:cs="宋体" w:eastAsia="宋体" w:hint="default"/>
                <w:sz w:val="18"/>
                <w:szCs w:val="18"/>
              </w:rPr>
              <w:t>林鸿、李铠、朱胡勇、罗云波、 庄云江、杨格平、吴文胜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129"/>
              <w:jc w:val="left"/>
              <w:rPr>
                <w:rFonts w:ascii="宋体" w:hAnsi="宋体" w:cs="宋体" w:eastAsia="宋体" w:hint="default"/>
                <w:sz w:val="18"/>
                <w:szCs w:val="18"/>
              </w:rPr>
            </w:pPr>
            <w:r>
              <w:rPr>
                <w:rFonts w:ascii="宋体" w:hAnsi="宋体" w:cs="宋体" w:eastAsia="宋体" w:hint="default"/>
                <w:sz w:val="18"/>
                <w:szCs w:val="18"/>
              </w:rPr>
              <w:t>林鸿、李铠、朱胡勇、罗云波、 庄云江、杨格平、吴文胜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29"/>
              <w:jc w:val="left"/>
              <w:rPr>
                <w:rFonts w:ascii="宋体" w:hAnsi="宋体" w:cs="宋体" w:eastAsia="宋体" w:hint="default"/>
                <w:sz w:val="18"/>
                <w:szCs w:val="18"/>
              </w:rPr>
            </w:pPr>
            <w:r>
              <w:rPr>
                <w:rFonts w:ascii="宋体" w:hAnsi="宋体" w:cs="宋体" w:eastAsia="宋体" w:hint="default"/>
                <w:sz w:val="18"/>
                <w:szCs w:val="18"/>
              </w:rPr>
              <w:t>林鸿、李铠、朱胡勇、罗云波、 庄云江、杨格平、吴文胜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9"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2763"/>
        <w:gridCol w:w="1916"/>
        <w:gridCol w:w="1914"/>
        <w:gridCol w:w="1914"/>
        <w:gridCol w:w="1422"/>
      </w:tblGrid>
      <w:tr>
        <w:trPr>
          <w:trHeight w:val="402"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林鸿、李铠、朱胡勇、吴文胜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林鸿、李铠、朱胡勇、吴文胜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林鸿</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林鸿</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林鸿</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18,970,000.00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林鸿</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11,030,000.00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林鸿、李铠、朱胡勇、罗云波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林鸿、李铠、罗云波、杨格平、 朱胡勇、庄云江、吴文胜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林鸿、李铠、朱胡勇、罗云波、 庄云江、杨格平、吴文胜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13,170,000.00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林鸿、李铠、朱胡勇、罗云波、 庄云江、杨格平、吴文胜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29,200,000.00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林鸿、李铠、朱胡勇、罗云波、 庄云江、杨格平、吴文胜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林鸿、李铠、朱胡勇、杨格平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721,307.19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林鸿、李铠、朱胡勇、杨格平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6,104,360.28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林鸿、李铠、朱胡勇、杨格平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7,634,194.76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0"/>
        <w:jc w:val="left"/>
      </w:pPr>
      <w:r>
        <w:rPr/>
        <w:t>关联担保情况说明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5）关联方资金拆借" w:id="423"/>
      <w:bookmarkEnd w:id="423"/>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6）关联方资产转让、债务重组情况" w:id="424"/>
      <w:bookmarkEnd w:id="424"/>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7）关键管理人员报酬" w:id="425"/>
      <w:bookmarkEnd w:id="425"/>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8）其他关联交易" w:id="426"/>
      <w:bookmarkEnd w:id="426"/>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6、关联方应收应付款项" w:id="427"/>
      <w:bookmarkEnd w:id="427"/>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7、关联方承诺" w:id="428"/>
      <w:bookmarkEnd w:id="428"/>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133" w:right="8751" w:firstLine="0"/>
        <w:jc w:val="left"/>
        <w:rPr>
          <w:rFonts w:ascii="宋体" w:hAnsi="宋体" w:cs="宋体" w:eastAsia="宋体" w:hint="default"/>
          <w:sz w:val="21"/>
          <w:szCs w:val="21"/>
        </w:rPr>
      </w:pPr>
      <w:bookmarkStart w:name="8、其他" w:id="429"/>
      <w:bookmarkEnd w:id="429"/>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30"/>
      <w:bookmarkEnd w:id="430"/>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31"/>
      <w:bookmarkEnd w:id="43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left="1133" w:right="0"/>
        <w:jc w:val="left"/>
      </w:pPr>
      <w:r>
        <w:rPr/>
        <w:t>□ 适用 √ 不适用</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5"/>
        <w:spacing w:line="240" w:lineRule="auto" w:before="35"/>
        <w:ind w:right="0"/>
        <w:jc w:val="left"/>
        <w:rPr>
          <w:b w:val="0"/>
          <w:bCs w:val="0"/>
        </w:rPr>
      </w:pPr>
      <w:bookmarkStart w:name="2、以权益结算的股份支付情况" w:id="432"/>
      <w:bookmarkEnd w:id="432"/>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3、以现金结算的股份支付情况" w:id="433"/>
      <w:bookmarkEnd w:id="433"/>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4、股份支付的修改、终止情况" w:id="434"/>
      <w:bookmarkEnd w:id="434"/>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134" w:right="8412" w:firstLine="0"/>
        <w:jc w:val="left"/>
        <w:rPr>
          <w:rFonts w:ascii="宋体" w:hAnsi="宋体" w:cs="宋体" w:eastAsia="宋体" w:hint="default"/>
          <w:sz w:val="21"/>
          <w:szCs w:val="21"/>
        </w:rPr>
      </w:pPr>
      <w:bookmarkStart w:name="5、其他" w:id="435"/>
      <w:bookmarkEnd w:id="43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36"/>
      <w:bookmarkEnd w:id="436"/>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37"/>
      <w:bookmarkEnd w:id="437"/>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57" w:lineRule="auto" w:before="108"/>
        <w:ind w:right="8412"/>
        <w:jc w:val="left"/>
      </w:pPr>
      <w:r>
        <w:rPr/>
        <w:t>资产负债表日存在的重要承诺 无</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bookmarkStart w:name="2、或有事项" w:id="438"/>
      <w:bookmarkEnd w:id="438"/>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资产负债表日存在的重要或有事项" w:id="439"/>
      <w:bookmarkEnd w:id="439"/>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截止</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日公司未结清保函金额为</w:t>
      </w:r>
      <w:r>
        <w:rPr>
          <w:spacing w:val="-46"/>
        </w:rPr>
        <w:t> </w:t>
      </w:r>
      <w:r>
        <w:rPr>
          <w:rFonts w:ascii="Times New Roman" w:hAnsi="Times New Roman" w:cs="Times New Roman" w:eastAsia="Times New Roman" w:hint="default"/>
        </w:rPr>
        <w:t>16,335,440.05 </w:t>
      </w:r>
      <w:r>
        <w:rPr/>
        <w:t>元。</w:t>
      </w:r>
    </w:p>
    <w:p>
      <w:pPr>
        <w:spacing w:line="240" w:lineRule="auto" w:before="9"/>
        <w:rPr>
          <w:rFonts w:ascii="宋体" w:hAnsi="宋体" w:cs="宋体" w:eastAsia="宋体" w:hint="default"/>
          <w:sz w:val="25"/>
          <w:szCs w:val="25"/>
        </w:rPr>
      </w:pPr>
    </w:p>
    <w:p>
      <w:pPr>
        <w:pStyle w:val="Heading5"/>
        <w:spacing w:line="240" w:lineRule="auto"/>
        <w:ind w:left="1133" w:right="0"/>
        <w:jc w:val="left"/>
        <w:rPr>
          <w:b w:val="0"/>
          <w:bCs w:val="0"/>
        </w:rPr>
      </w:pPr>
      <w:bookmarkStart w:name="（2）公司没有需要披露的重要或有事项，也应予以说明" w:id="440"/>
      <w:bookmarkEnd w:id="440"/>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3" w:right="0"/>
        <w:jc w:val="left"/>
      </w:pPr>
      <w:r>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133" w:right="7692" w:firstLine="0"/>
        <w:jc w:val="left"/>
        <w:rPr>
          <w:rFonts w:ascii="宋体" w:hAnsi="宋体" w:cs="宋体" w:eastAsia="宋体" w:hint="default"/>
          <w:sz w:val="21"/>
          <w:szCs w:val="21"/>
        </w:rPr>
      </w:pPr>
      <w:bookmarkStart w:name="4、 其他" w:id="441"/>
      <w:bookmarkEnd w:id="44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42"/>
      <w:bookmarkEnd w:id="442"/>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43"/>
      <w:bookmarkEnd w:id="443"/>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Heading5"/>
        <w:spacing w:line="240" w:lineRule="auto" w:before="83"/>
        <w:ind w:left="1133" w:right="0"/>
        <w:jc w:val="left"/>
        <w:rPr>
          <w:b w:val="0"/>
          <w:bCs w:val="0"/>
        </w:rPr>
      </w:pPr>
      <w:bookmarkStart w:name="2、利润分配情况" w:id="444"/>
      <w:bookmarkEnd w:id="444"/>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12,000,000.00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5"/>
        <w:spacing w:line="240" w:lineRule="auto" w:before="35"/>
        <w:ind w:right="0"/>
        <w:jc w:val="left"/>
        <w:rPr>
          <w:b w:val="0"/>
          <w:bCs w:val="0"/>
        </w:rPr>
      </w:pPr>
      <w:bookmarkStart w:name="3、销售退回" w:id="445"/>
      <w:bookmarkEnd w:id="445"/>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spacing w:line="480" w:lineRule="auto" w:before="0"/>
        <w:ind w:left="1134" w:right="6972" w:firstLine="0"/>
        <w:jc w:val="left"/>
        <w:rPr>
          <w:rFonts w:ascii="宋体" w:hAnsi="宋体" w:cs="宋体" w:eastAsia="宋体" w:hint="default"/>
          <w:sz w:val="21"/>
          <w:szCs w:val="21"/>
        </w:rPr>
      </w:pPr>
      <w:bookmarkStart w:name="4、其他资产负债表日后事项说明" w:id="446"/>
      <w:bookmarkEnd w:id="44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bookmarkStart w:name="十六、其他重要事项" w:id="447"/>
      <w:bookmarkEnd w:id="447"/>
      <w:r>
        <w:rPr>
          <w:rFonts w:ascii="宋体" w:hAnsi="宋体" w:cs="宋体" w:eastAsia="宋体" w:hint="default"/>
          <w:b/>
          <w:bCs/>
          <w:w w:val="99"/>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十七、母公司财务报表主要项目注释" w:id="448"/>
      <w:bookmarkEnd w:id="448"/>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449"/>
      <w:bookmarkEnd w:id="449"/>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5"/>
        <w:spacing w:line="240" w:lineRule="auto" w:before="90"/>
        <w:ind w:right="0"/>
        <w:jc w:val="left"/>
        <w:rPr>
          <w:b w:val="0"/>
          <w:bCs w:val="0"/>
        </w:rPr>
      </w:pPr>
      <w:bookmarkStart w:name="（1）应收账款分类披露" w:id="450"/>
      <w:bookmarkEnd w:id="45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532,94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9,621.0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10,223,</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571.43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522,72</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6,049.6</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450,2</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99,41</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5.43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6,981,8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61.00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443,317,</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554.43</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532,94</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9,621.0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10,223,</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571.43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522,72</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6,049.6</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450,2</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99,41</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5.43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6,981,8</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61.00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443,317,</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554.43</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9" w:top="1100" w:bottom="1200" w:left="0" w:right="0"/>
        </w:sectPr>
      </w:pPr>
    </w:p>
    <w:p>
      <w:pPr>
        <w:pStyle w:val="BodyText"/>
        <w:spacing w:line="240" w:lineRule="auto" w:before="51"/>
        <w:ind w:right="-20"/>
        <w:jc w:val="left"/>
      </w:pPr>
      <w:r>
        <w:rPr/>
        <w:t>期末单项金额重大并单项计提坏账准备的应收账款：</w:t>
      </w:r>
    </w:p>
    <w:p>
      <w:pPr>
        <w:pStyle w:val="BodyText"/>
        <w:spacing w:line="357" w:lineRule="auto" w:before="117"/>
        <w:ind w:right="160"/>
        <w:jc w:val="left"/>
      </w:pPr>
      <w:r>
        <w:rPr/>
        <w:t>□ 适用 √ 不适用 组合中，按账龄分析法计提坏账准备的应收账款：</w:t>
      </w:r>
    </w:p>
    <w:p>
      <w:pPr>
        <w:pStyle w:val="BodyText"/>
        <w:spacing w:line="240" w:lineRule="auto" w:before="28"/>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100" w:bottom="120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454,846,617.24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4,548,466.17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60,362,817.96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3,018,140.90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15,179,602.03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1,517,960.20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1,985,113.86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595,534.16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63,999.99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511,470.00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511,470.00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532,949,621.08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10,223,571.43</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确定该组合依据的说明：</w:t>
      </w:r>
    </w:p>
    <w:p>
      <w:pPr>
        <w:spacing w:after="0" w:line="240" w:lineRule="auto"/>
        <w:jc w:val="left"/>
        <w:sectPr>
          <w:type w:val="continuous"/>
          <w:pgSz w:w="11910" w:h="16840"/>
          <w:pgMar w:top="1100" w:bottom="1200" w:left="0" w:right="0"/>
        </w:sectPr>
      </w:pPr>
    </w:p>
    <w:p>
      <w:pPr>
        <w:spacing w:line="240" w:lineRule="auto" w:before="13"/>
        <w:rPr>
          <w:rFonts w:ascii="宋体" w:hAnsi="宋体" w:cs="宋体" w:eastAsia="宋体" w:hint="default"/>
          <w:sz w:val="22"/>
          <w:szCs w:val="22"/>
        </w:rPr>
      </w:pPr>
    </w:p>
    <w:p>
      <w:pPr>
        <w:pStyle w:val="BodyText"/>
        <w:spacing w:line="240" w:lineRule="auto" w:before="44"/>
        <w:ind w:right="0"/>
        <w:jc w:val="left"/>
      </w:pPr>
      <w:r>
        <w:rPr/>
        <w:t>组合中，采用余额百分比法计提坏账准备的应收账款：</w:t>
      </w:r>
    </w:p>
    <w:p>
      <w:pPr>
        <w:pStyle w:val="BodyText"/>
        <w:spacing w:line="360" w:lineRule="auto" w:before="116"/>
        <w:ind w:right="6792"/>
        <w:jc w:val="left"/>
      </w:pPr>
      <w:r>
        <w:rPr/>
        <w:t>□ 适用 √ 不适用 组合中，采用其他方法计提坏账准备的应收账款：</w:t>
      </w:r>
    </w:p>
    <w:p>
      <w:pPr>
        <w:spacing w:line="240" w:lineRule="auto" w:before="12"/>
        <w:rPr>
          <w:rFonts w:ascii="宋体" w:hAnsi="宋体" w:cs="宋体" w:eastAsia="宋体" w:hint="default"/>
          <w:sz w:val="19"/>
          <w:szCs w:val="19"/>
        </w:rPr>
      </w:pPr>
    </w:p>
    <w:p>
      <w:pPr>
        <w:pStyle w:val="Heading5"/>
        <w:spacing w:line="240" w:lineRule="auto"/>
        <w:ind w:right="0"/>
        <w:jc w:val="left"/>
        <w:rPr>
          <w:b w:val="0"/>
          <w:bCs w:val="0"/>
        </w:rPr>
      </w:pPr>
      <w:bookmarkStart w:name="（2）本期计提、收回或转回的坏账准备情况" w:id="451"/>
      <w:bookmarkEnd w:id="45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861"/>
        <w:jc w:val="left"/>
      </w:pPr>
      <w:r>
        <w:rPr/>
        <w:t>本期计提坏账准备金额</w:t>
      </w:r>
      <w:r>
        <w:rPr>
          <w:spacing w:val="-47"/>
        </w:rPr>
        <w:t> </w:t>
      </w:r>
      <w:r>
        <w:rPr>
          <w:rFonts w:ascii="Times New Roman" w:hAnsi="Times New Roman" w:cs="Times New Roman" w:eastAsia="Times New Roman" w:hint="default"/>
        </w:rPr>
        <w:t>4,180,144.18</w:t>
      </w:r>
      <w:r>
        <w:rPr>
          <w:rFonts w:ascii="Times New Roman" w:hAnsi="Times New Roman" w:cs="Times New Roman" w:eastAsia="Times New Roman" w:hint="default"/>
          <w:spacing w:val="-2"/>
        </w:rPr>
        <w:t> </w:t>
      </w:r>
      <w:r>
        <w:rPr/>
        <w:t>元；本期收回或转回坏账准备金额元。 其中本期坏账准备收回或转回金额重要的：</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bookmarkStart w:name="（3）本期实际核销的应收账款情况" w:id="452"/>
      <w:bookmarkEnd w:id="45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1"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合同款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938,433.75</w:t>
            </w:r>
          </w:p>
        </w:tc>
      </w:tr>
    </w:tbl>
    <w:p>
      <w:pPr>
        <w:pStyle w:val="BodyText"/>
        <w:spacing w:line="357" w:lineRule="auto" w:before="51"/>
        <w:ind w:right="8232"/>
        <w:jc w:val="left"/>
      </w:pPr>
      <w:r>
        <w:rPr/>
        <w:t>其中重要的应收账款核销情况： 应收账款核销说明：</w:t>
      </w:r>
    </w:p>
    <w:p>
      <w:pPr>
        <w:pStyle w:val="BodyText"/>
        <w:spacing w:line="240" w:lineRule="auto" w:before="28"/>
        <w:ind w:right="0"/>
        <w:jc w:val="left"/>
      </w:pPr>
      <w:r>
        <w:rPr/>
        <w:t>公司核销的应收账款为三年以上账龄，经核实确实无法收回，经业务经理及总经理审核后进行核销。</w:t>
      </w:r>
    </w:p>
    <w:p>
      <w:pPr>
        <w:spacing w:line="240" w:lineRule="auto" w:before="12"/>
        <w:rPr>
          <w:rFonts w:ascii="宋体" w:hAnsi="宋体" w:cs="宋体" w:eastAsia="宋体" w:hint="default"/>
          <w:sz w:val="26"/>
          <w:szCs w:val="26"/>
        </w:rPr>
      </w:pPr>
    </w:p>
    <w:p>
      <w:pPr>
        <w:pStyle w:val="Heading5"/>
        <w:spacing w:line="240" w:lineRule="auto"/>
        <w:ind w:left="1133" w:right="0"/>
        <w:jc w:val="left"/>
        <w:rPr>
          <w:b w:val="0"/>
          <w:bCs w:val="0"/>
        </w:rPr>
      </w:pPr>
      <w:bookmarkStart w:name="（4）按欠款方归集的期末余额前五名的应收账款情况" w:id="453"/>
      <w:bookmarkEnd w:id="45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7"/>
          <w:szCs w:val="27"/>
        </w:rPr>
      </w:pPr>
    </w:p>
    <w:p>
      <w:pPr>
        <w:spacing w:line="1193" w:lineRule="exact"/>
        <w:ind w:left="1134" w:right="0" w:firstLine="0"/>
        <w:rPr>
          <w:rFonts w:ascii="宋体" w:hAnsi="宋体" w:cs="宋体" w:eastAsia="宋体" w:hint="default"/>
          <w:sz w:val="20"/>
          <w:szCs w:val="20"/>
        </w:rPr>
      </w:pPr>
      <w:r>
        <w:rPr>
          <w:rFonts w:ascii="宋体" w:hAnsi="宋体" w:cs="宋体" w:eastAsia="宋体" w:hint="default"/>
          <w:position w:val="-23"/>
          <w:sz w:val="20"/>
          <w:szCs w:val="20"/>
        </w:rPr>
        <w:drawing>
          <wp:inline distT="0" distB="0" distL="0" distR="0">
            <wp:extent cx="4138607" cy="757809"/>
            <wp:effectExtent l="0" t="0" r="0" b="0"/>
            <wp:docPr id="19" name="image6.png" descr=""/>
            <wp:cNvGraphicFramePr>
              <a:graphicFrameLocks noChangeAspect="1"/>
            </wp:cNvGraphicFramePr>
            <a:graphic>
              <a:graphicData uri="http://schemas.openxmlformats.org/drawingml/2006/picture">
                <pic:pic>
                  <pic:nvPicPr>
                    <pic:cNvPr id="20" name="image6.png"/>
                    <pic:cNvPicPr/>
                  </pic:nvPicPr>
                  <pic:blipFill>
                    <a:blip r:embed="rId26" cstate="print"/>
                    <a:stretch>
                      <a:fillRect/>
                    </a:stretch>
                  </pic:blipFill>
                  <pic:spPr>
                    <a:xfrm>
                      <a:off x="0" y="0"/>
                      <a:ext cx="4138607" cy="757809"/>
                    </a:xfrm>
                    <a:prstGeom prst="rect">
                      <a:avLst/>
                    </a:prstGeom>
                  </pic:spPr>
                </pic:pic>
              </a:graphicData>
            </a:graphic>
          </wp:inline>
        </w:drawing>
      </w:r>
      <w:r>
        <w:rPr>
          <w:rFonts w:ascii="宋体" w:hAnsi="宋体" w:cs="宋体" w:eastAsia="宋体" w:hint="default"/>
          <w:position w:val="-23"/>
          <w:sz w:val="20"/>
          <w:szCs w:val="20"/>
        </w:rPr>
      </w:r>
    </w:p>
    <w:p>
      <w:pPr>
        <w:spacing w:line="240" w:lineRule="auto" w:before="11"/>
        <w:rPr>
          <w:rFonts w:ascii="宋体" w:hAnsi="宋体" w:cs="宋体" w:eastAsia="宋体" w:hint="default"/>
          <w:b/>
          <w:bCs/>
          <w:sz w:val="23"/>
          <w:szCs w:val="23"/>
        </w:rPr>
      </w:pPr>
    </w:p>
    <w:p>
      <w:pPr>
        <w:pStyle w:val="Heading5"/>
        <w:spacing w:line="240" w:lineRule="auto"/>
        <w:ind w:right="0"/>
        <w:jc w:val="left"/>
        <w:rPr>
          <w:b w:val="0"/>
          <w:bCs w:val="0"/>
        </w:rPr>
      </w:pPr>
      <w:bookmarkStart w:name="2、其他应收款" w:id="454"/>
      <w:bookmarkEnd w:id="454"/>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其他应收款分类披露" w:id="455"/>
      <w:bookmarkEnd w:id="455"/>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76,742,</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730.25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425,94</w:t>
            </w:r>
          </w:p>
          <w:p>
            <w:pPr>
              <w:pStyle w:val="TableParagraph"/>
              <w:spacing w:line="240" w:lineRule="auto" w:before="105"/>
              <w:ind w:left="229" w:right="0"/>
              <w:jc w:val="center"/>
              <w:rPr>
                <w:rFonts w:ascii="Times New Roman" w:hAnsi="Times New Roman" w:cs="Times New Roman" w:eastAsia="Times New Roman" w:hint="default"/>
                <w:sz w:val="18"/>
                <w:szCs w:val="18"/>
              </w:rPr>
            </w:pPr>
            <w:r>
              <w:rPr>
                <w:rFonts w:ascii="Times New Roman"/>
                <w:sz w:val="18"/>
              </w:rPr>
              <w:t>2.19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0.56%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76,316,</w:t>
            </w:r>
          </w:p>
          <w:p>
            <w:pPr>
              <w:pStyle w:val="TableParagraph"/>
              <w:spacing w:line="240" w:lineRule="auto" w:before="105"/>
              <w:ind w:left="181" w:right="0"/>
              <w:jc w:val="left"/>
              <w:rPr>
                <w:rFonts w:ascii="Times New Roman" w:hAnsi="Times New Roman" w:cs="Times New Roman" w:eastAsia="Times New Roman" w:hint="default"/>
                <w:sz w:val="18"/>
                <w:szCs w:val="18"/>
              </w:rPr>
            </w:pPr>
            <w:r>
              <w:rPr>
                <w:rFonts w:ascii="Times New Roman"/>
                <w:sz w:val="18"/>
              </w:rPr>
              <w:t>788.06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6" w:right="0"/>
              <w:jc w:val="left"/>
              <w:rPr>
                <w:rFonts w:ascii="Times New Roman" w:hAnsi="Times New Roman" w:cs="Times New Roman" w:eastAsia="Times New Roman" w:hint="default"/>
                <w:sz w:val="18"/>
                <w:szCs w:val="18"/>
              </w:rPr>
            </w:pPr>
            <w:r>
              <w:rPr>
                <w:rFonts w:ascii="Times New Roman"/>
                <w:sz w:val="18"/>
              </w:rPr>
              <w:t>7,446</w:t>
            </w:r>
          </w:p>
          <w:p>
            <w:pPr>
              <w:pStyle w:val="TableParagraph"/>
              <w:spacing w:line="240" w:lineRule="auto" w:before="104"/>
              <w:ind w:left="78" w:right="0"/>
              <w:jc w:val="center"/>
              <w:rPr>
                <w:rFonts w:ascii="Times New Roman" w:hAnsi="Times New Roman" w:cs="Times New Roman" w:eastAsia="Times New Roman" w:hint="default"/>
                <w:sz w:val="18"/>
                <w:szCs w:val="18"/>
              </w:rPr>
            </w:pPr>
            <w:r>
              <w:rPr>
                <w:rFonts w:ascii="Times New Roman"/>
                <w:sz w:val="18"/>
              </w:rPr>
              <w:t>,007.</w:t>
            </w:r>
          </w:p>
          <w:p>
            <w:pPr>
              <w:pStyle w:val="TableParagraph"/>
              <w:spacing w:line="240" w:lineRule="auto" w:before="106"/>
              <w:ind w:left="258" w:right="0"/>
              <w:jc w:val="center"/>
              <w:rPr>
                <w:rFonts w:ascii="Times New Roman" w:hAnsi="Times New Roman" w:cs="Times New Roman" w:eastAsia="Times New Roman" w:hint="default"/>
                <w:sz w:val="18"/>
                <w:szCs w:val="18"/>
              </w:rPr>
            </w:pPr>
            <w:r>
              <w:rPr>
                <w:rFonts w:ascii="Times New Roman"/>
                <w:sz w:val="18"/>
              </w:rPr>
              <w:t>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203,594</w:t>
            </w:r>
          </w:p>
          <w:p>
            <w:pPr>
              <w:pStyle w:val="TableParagraph"/>
              <w:spacing w:line="240" w:lineRule="auto" w:before="105"/>
              <w:ind w:left="476" w:right="0"/>
              <w:jc w:val="left"/>
              <w:rPr>
                <w:rFonts w:ascii="Times New Roman" w:hAnsi="Times New Roman" w:cs="Times New Roman" w:eastAsia="Times New Roman" w:hint="default"/>
                <w:sz w:val="18"/>
                <w:szCs w:val="18"/>
              </w:rPr>
            </w:pPr>
            <w:r>
              <w:rPr>
                <w:rFonts w:ascii="Times New Roman"/>
                <w:sz w:val="18"/>
              </w:rPr>
              <w:t>.77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7,242,41</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2.40</w:t>
            </w: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76,742,</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730.25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425,94</w:t>
            </w:r>
          </w:p>
          <w:p>
            <w:pPr>
              <w:pStyle w:val="TableParagraph"/>
              <w:spacing w:line="240" w:lineRule="auto" w:before="105"/>
              <w:ind w:left="229" w:right="0"/>
              <w:jc w:val="center"/>
              <w:rPr>
                <w:rFonts w:ascii="Times New Roman" w:hAnsi="Times New Roman" w:cs="Times New Roman" w:eastAsia="Times New Roman" w:hint="default"/>
                <w:sz w:val="18"/>
                <w:szCs w:val="18"/>
              </w:rPr>
            </w:pPr>
            <w:r>
              <w:rPr>
                <w:rFonts w:ascii="Times New Roman"/>
                <w:sz w:val="18"/>
              </w:rPr>
              <w:t>2.19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0.56%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76,316,</w:t>
            </w:r>
          </w:p>
          <w:p>
            <w:pPr>
              <w:pStyle w:val="TableParagraph"/>
              <w:spacing w:line="240" w:lineRule="auto" w:before="105"/>
              <w:ind w:left="181" w:right="0"/>
              <w:jc w:val="left"/>
              <w:rPr>
                <w:rFonts w:ascii="Times New Roman" w:hAnsi="Times New Roman" w:cs="Times New Roman" w:eastAsia="Times New Roman" w:hint="default"/>
                <w:sz w:val="18"/>
                <w:szCs w:val="18"/>
              </w:rPr>
            </w:pPr>
            <w:r>
              <w:rPr>
                <w:rFonts w:ascii="Times New Roman"/>
                <w:sz w:val="18"/>
              </w:rPr>
              <w:t>788.06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6" w:right="0"/>
              <w:jc w:val="left"/>
              <w:rPr>
                <w:rFonts w:ascii="Times New Roman" w:hAnsi="Times New Roman" w:cs="Times New Roman" w:eastAsia="Times New Roman" w:hint="default"/>
                <w:sz w:val="18"/>
                <w:szCs w:val="18"/>
              </w:rPr>
            </w:pPr>
            <w:r>
              <w:rPr>
                <w:rFonts w:ascii="Times New Roman"/>
                <w:sz w:val="18"/>
              </w:rPr>
              <w:t>7,446</w:t>
            </w:r>
          </w:p>
          <w:p>
            <w:pPr>
              <w:pStyle w:val="TableParagraph"/>
              <w:spacing w:line="240" w:lineRule="auto" w:before="104"/>
              <w:ind w:left="78" w:right="0"/>
              <w:jc w:val="center"/>
              <w:rPr>
                <w:rFonts w:ascii="Times New Roman" w:hAnsi="Times New Roman" w:cs="Times New Roman" w:eastAsia="Times New Roman" w:hint="default"/>
                <w:sz w:val="18"/>
                <w:szCs w:val="18"/>
              </w:rPr>
            </w:pPr>
            <w:r>
              <w:rPr>
                <w:rFonts w:ascii="Times New Roman"/>
                <w:sz w:val="18"/>
              </w:rPr>
              <w:t>,007.</w:t>
            </w:r>
          </w:p>
          <w:p>
            <w:pPr>
              <w:pStyle w:val="TableParagraph"/>
              <w:spacing w:line="240" w:lineRule="auto" w:before="106"/>
              <w:ind w:left="258" w:right="0"/>
              <w:jc w:val="center"/>
              <w:rPr>
                <w:rFonts w:ascii="Times New Roman" w:hAnsi="Times New Roman" w:cs="Times New Roman" w:eastAsia="Times New Roman" w:hint="default"/>
                <w:sz w:val="18"/>
                <w:szCs w:val="18"/>
              </w:rPr>
            </w:pPr>
            <w:r>
              <w:rPr>
                <w:rFonts w:ascii="Times New Roman"/>
                <w:sz w:val="18"/>
              </w:rPr>
              <w:t>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203,594</w:t>
            </w:r>
          </w:p>
          <w:p>
            <w:pPr>
              <w:pStyle w:val="TableParagraph"/>
              <w:spacing w:line="240" w:lineRule="auto" w:before="105"/>
              <w:ind w:left="476" w:right="0"/>
              <w:jc w:val="left"/>
              <w:rPr>
                <w:rFonts w:ascii="Times New Roman" w:hAnsi="Times New Roman" w:cs="Times New Roman" w:eastAsia="Times New Roman" w:hint="default"/>
                <w:sz w:val="18"/>
                <w:szCs w:val="18"/>
              </w:rPr>
            </w:pPr>
            <w:r>
              <w:rPr>
                <w:rFonts w:ascii="Times New Roman"/>
                <w:sz w:val="18"/>
              </w:rPr>
              <w:t>.77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7,242,41</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2.40</w:t>
            </w:r>
          </w:p>
        </w:tc>
      </w:tr>
    </w:tbl>
    <w:p>
      <w:pPr>
        <w:pStyle w:val="BodyText"/>
        <w:spacing w:line="240" w:lineRule="auto" w:before="51"/>
        <w:ind w:right="0"/>
        <w:jc w:val="left"/>
      </w:pPr>
      <w:r>
        <w:rPr/>
        <w:t>期末单项金额重大并单项计提坏账准备的其他应收款：</w:t>
      </w:r>
    </w:p>
    <w:p>
      <w:pPr>
        <w:spacing w:after="0" w:line="240" w:lineRule="auto"/>
        <w:jc w:val="left"/>
        <w:sectPr>
          <w:pgSz w:w="11910" w:h="16840"/>
          <w:pgMar w:header="907" w:footer="1019" w:top="1100" w:bottom="1200" w:left="0" w:right="0"/>
        </w:sectPr>
      </w:pPr>
    </w:p>
    <w:p>
      <w:pPr>
        <w:spacing w:line="240" w:lineRule="auto" w:before="1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907" w:footer="1019" w:top="1100" w:bottom="1200" w:left="0" w:right="0"/>
        </w:sectPr>
      </w:pPr>
    </w:p>
    <w:p>
      <w:pPr>
        <w:pStyle w:val="BodyText"/>
        <w:spacing w:line="357" w:lineRule="auto" w:before="44"/>
        <w:ind w:right="-20"/>
        <w:jc w:val="left"/>
      </w:pPr>
      <w:r>
        <w:rPr/>
        <w:t>□ 适用 √ 不适用 组合中，按账龄分析法计提坏账准备的其他应收款：</w:t>
      </w:r>
    </w:p>
    <w:p>
      <w:pPr>
        <w:pStyle w:val="BodyText"/>
        <w:spacing w:line="240" w:lineRule="auto" w:before="29"/>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113" w:right="1112"/>
        <w:jc w:val="center"/>
      </w:pPr>
      <w:r>
        <w:rPr/>
        <w:t>单位： 元</w:t>
      </w:r>
    </w:p>
    <w:p>
      <w:pPr>
        <w:spacing w:after="0" w:line="240" w:lineRule="auto"/>
        <w:jc w:val="center"/>
        <w:sectPr>
          <w:type w:val="continuous"/>
          <w:pgSz w:w="11910" w:h="16840"/>
          <w:pgMar w:top="1100" w:bottom="1200" w:left="0" w:right="0"/>
          <w:cols w:num="2" w:equalWidth="0">
            <w:col w:w="5275" w:space="355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10,452,355.72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104,523.56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1,240,962.93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62,048.15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347,375.00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34,737.50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348,776.60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104,632.98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240,000.00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120,000.00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12,629,470.25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425,942.19</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6252"/>
        <w:jc w:val="left"/>
      </w:pPr>
      <w:r>
        <w:rPr/>
        <w:t>确定该组合依据的说明： 组合中，采用余额百分比法计提坏账准备的其他应收款：</w:t>
      </w:r>
    </w:p>
    <w:p>
      <w:pPr>
        <w:pStyle w:val="BodyText"/>
        <w:spacing w:line="357" w:lineRule="auto" w:before="29"/>
        <w:ind w:right="6612"/>
        <w:jc w:val="left"/>
      </w:pPr>
      <w:r>
        <w:rPr/>
        <w:t>□ 适用 √ 不适用 组合中，采用其他方法计提坏账准备的其他应收款：</w:t>
      </w:r>
    </w:p>
    <w:p>
      <w:pPr>
        <w:pStyle w:val="BodyText"/>
        <w:spacing w:line="240" w:lineRule="auto" w:before="28"/>
        <w:ind w:right="0"/>
        <w:jc w:val="left"/>
      </w:pPr>
      <w:r>
        <w:rPr/>
        <w:t>□ 适用 √ 不适用</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本期计提、收回或转回的坏账准备情况" w:id="456"/>
      <w:bookmarkEnd w:id="45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1133" w:right="4995"/>
        <w:jc w:val="left"/>
      </w:pPr>
      <w:r>
        <w:rPr/>
        <w:t>本期计提坏账准备金额</w:t>
      </w:r>
      <w:r>
        <w:rPr>
          <w:spacing w:val="-46"/>
        </w:rPr>
        <w:t> </w:t>
      </w:r>
      <w:r>
        <w:rPr>
          <w:rFonts w:ascii="Times New Roman" w:hAnsi="Times New Roman" w:cs="Times New Roman" w:eastAsia="Times New Roman" w:hint="default"/>
        </w:rPr>
        <w:t>222,347.42</w:t>
      </w:r>
      <w:r>
        <w:rPr>
          <w:rFonts w:ascii="Times New Roman" w:hAnsi="Times New Roman" w:cs="Times New Roman" w:eastAsia="Times New Roman" w:hint="default"/>
          <w:spacing w:val="-1"/>
        </w:rPr>
        <w:t> </w:t>
      </w:r>
      <w:r>
        <w:rPr/>
        <w:t>元；本期收回或转回坏账准备金额元。 其中本期坏账准备转回或收回金额重要的：</w:t>
      </w:r>
    </w:p>
    <w:p>
      <w:pPr>
        <w:spacing w:line="240" w:lineRule="auto" w:before="12"/>
        <w:rPr>
          <w:rFonts w:ascii="宋体" w:hAnsi="宋体" w:cs="宋体" w:eastAsia="宋体" w:hint="default"/>
          <w:sz w:val="20"/>
          <w:szCs w:val="20"/>
        </w:rPr>
      </w:pPr>
    </w:p>
    <w:p>
      <w:pPr>
        <w:pStyle w:val="Heading5"/>
        <w:spacing w:line="240" w:lineRule="auto"/>
        <w:ind w:left="1133" w:right="0"/>
        <w:jc w:val="left"/>
        <w:rPr>
          <w:b w:val="0"/>
          <w:bCs w:val="0"/>
        </w:rPr>
      </w:pPr>
      <w:bookmarkStart w:name="（3）本期实际核销的其他应收款情况" w:id="457"/>
      <w:bookmarkEnd w:id="457"/>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3" w:right="0"/>
        <w:jc w:val="left"/>
        <w:rPr>
          <w:b w:val="0"/>
          <w:bCs w:val="0"/>
        </w:rPr>
      </w:pPr>
      <w:bookmarkStart w:name="（4）其他应收款按款项性质分类情况" w:id="458"/>
      <w:bookmarkEnd w:id="458"/>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子公司借款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64,113,260.00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11,211,817.62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6,619,982.74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个人备用金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920,114.17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377,373.49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497,538.46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448,650.94</w:t>
            </w:r>
          </w:p>
        </w:tc>
      </w:tr>
      <w:tr>
        <w:trPr>
          <w:trHeight w:val="404"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76,742,730.25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7,446,007.17</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5）按欠款方归集的期末余额前五名的其他应收款情况" w:id="459"/>
      <w:bookmarkEnd w:id="459"/>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1100" w:bottom="1200" w:left="0" w:right="0"/>
        </w:sectPr>
      </w:pPr>
    </w:p>
    <w:p>
      <w:pPr>
        <w:spacing w:line="240" w:lineRule="auto" w:before="6"/>
        <w:rPr>
          <w:rFonts w:ascii="宋体" w:hAnsi="宋体" w:cs="宋体" w:eastAsia="宋体" w:hint="default"/>
          <w:sz w:val="25"/>
          <w:szCs w:val="25"/>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1026"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1" w:right="171"/>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12" w:right="170"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子公司借款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64,111,020.00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83.54%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子公司借款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2,240.00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物业费及房租费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1,199,900.00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11,999.00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951,000.00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9,510.00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847,602.50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1.10%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8,476.03</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827,044.29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8,270.44</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67,938,806.79</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38,255.47</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6）涉及政府补助的应收款项" w:id="460"/>
      <w:bookmarkEnd w:id="460"/>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7）因金融资产转移而终止确认的其他应收款" w:id="461"/>
      <w:bookmarkEnd w:id="461"/>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8）转移其他应收款且继续涉入形成的资产、负债金额" w:id="462"/>
      <w:bookmarkEnd w:id="462"/>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3" w:right="0"/>
        <w:jc w:val="left"/>
        <w:rPr>
          <w:b w:val="0"/>
          <w:bCs w:val="0"/>
        </w:rPr>
      </w:pPr>
      <w:bookmarkStart w:name="3、长期股权投资" w:id="463"/>
      <w:bookmarkEnd w:id="463"/>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center"/>
              <w:rPr>
                <w:rFonts w:ascii="Times New Roman" w:hAnsi="Times New Roman" w:cs="Times New Roman" w:eastAsia="Times New Roman" w:hint="default"/>
                <w:sz w:val="18"/>
                <w:szCs w:val="18"/>
              </w:rPr>
            </w:pPr>
            <w:r>
              <w:rPr>
                <w:rFonts w:ascii="Times New Roman"/>
                <w:sz w:val="18"/>
              </w:rPr>
              <w:t>60,000,000.00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center"/>
              <w:rPr>
                <w:rFonts w:ascii="Times New Roman" w:hAnsi="Times New Roman" w:cs="Times New Roman" w:eastAsia="Times New Roman" w:hint="default"/>
                <w:sz w:val="18"/>
                <w:szCs w:val="18"/>
              </w:rPr>
            </w:pPr>
            <w:r>
              <w:rPr>
                <w:rFonts w:ascii="Times New Roman"/>
                <w:sz w:val="18"/>
              </w:rPr>
              <w:t>20,000,000.00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center"/>
              <w:rPr>
                <w:rFonts w:ascii="Times New Roman" w:hAnsi="Times New Roman" w:cs="Times New Roman" w:eastAsia="Times New Roman" w:hint="default"/>
                <w:sz w:val="18"/>
                <w:szCs w:val="18"/>
              </w:rPr>
            </w:pPr>
            <w:r>
              <w:rPr>
                <w:rFonts w:ascii="Times New Roman"/>
                <w:sz w:val="18"/>
              </w:rPr>
              <w:t>60,000,000.00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center"/>
              <w:rPr>
                <w:rFonts w:ascii="Times New Roman" w:hAnsi="Times New Roman" w:cs="Times New Roman" w:eastAsia="Times New Roman" w:hint="default"/>
                <w:sz w:val="18"/>
                <w:szCs w:val="18"/>
              </w:rPr>
            </w:pPr>
            <w:r>
              <w:rPr>
                <w:rFonts w:ascii="Times New Roman"/>
                <w:sz w:val="18"/>
              </w:rPr>
              <w:t>20,000,000.00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20,000,000.00</w:t>
            </w:r>
          </w:p>
        </w:tc>
      </w:tr>
    </w:tbl>
    <w:p>
      <w:pPr>
        <w:spacing w:line="240" w:lineRule="auto" w:before="2"/>
        <w:rPr>
          <w:rFonts w:ascii="宋体" w:hAnsi="宋体" w:cs="宋体" w:eastAsia="宋体" w:hint="default"/>
          <w:sz w:val="19"/>
          <w:szCs w:val="19"/>
        </w:rPr>
      </w:pPr>
    </w:p>
    <w:p>
      <w:pPr>
        <w:pStyle w:val="Heading5"/>
        <w:spacing w:line="240" w:lineRule="auto" w:before="35"/>
        <w:ind w:right="0"/>
        <w:jc w:val="left"/>
        <w:rPr>
          <w:b w:val="0"/>
          <w:bCs w:val="0"/>
        </w:rPr>
      </w:pPr>
      <w:bookmarkStart w:name="（1）对子公司投资" w:id="464"/>
      <w:bookmarkEnd w:id="464"/>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76"/>
        <w:gridCol w:w="1337"/>
        <w:gridCol w:w="1335"/>
        <w:gridCol w:w="1336"/>
        <w:gridCol w:w="1334"/>
        <w:gridCol w:w="1390"/>
        <w:gridCol w:w="1244"/>
      </w:tblGrid>
      <w:tr>
        <w:trPr>
          <w:trHeight w:val="714"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9" w:right="149" w:hanging="360"/>
              <w:jc w:val="left"/>
              <w:rPr>
                <w:rFonts w:ascii="宋体" w:hAnsi="宋体" w:cs="宋体" w:eastAsia="宋体" w:hint="default"/>
                <w:sz w:val="18"/>
                <w:szCs w:val="18"/>
              </w:rPr>
            </w:pPr>
            <w:r>
              <w:rPr>
                <w:rFonts w:ascii="宋体" w:hAnsi="宋体" w:cs="宋体" w:eastAsia="宋体" w:hint="default"/>
                <w:sz w:val="18"/>
                <w:szCs w:val="18"/>
              </w:rPr>
              <w:t>本期计提减值 准备</w:t>
            </w:r>
          </w:p>
        </w:tc>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6" w:right="167" w:hanging="180"/>
              <w:jc w:val="left"/>
              <w:rPr>
                <w:rFonts w:ascii="宋体" w:hAnsi="宋体" w:cs="宋体" w:eastAsia="宋体" w:hint="default"/>
                <w:sz w:val="18"/>
                <w:szCs w:val="18"/>
              </w:rPr>
            </w:pPr>
            <w:r>
              <w:rPr>
                <w:rFonts w:ascii="宋体" w:hAnsi="宋体" w:cs="宋体" w:eastAsia="宋体" w:hint="default"/>
                <w:sz w:val="18"/>
                <w:szCs w:val="18"/>
              </w:rPr>
              <w:t>减值准备期 末余额</w:t>
            </w:r>
          </w:p>
        </w:tc>
      </w:tr>
      <w:tr>
        <w:trPr>
          <w:trHeight w:val="714"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01"/>
              <w:jc w:val="left"/>
              <w:rPr>
                <w:rFonts w:ascii="宋体" w:hAnsi="宋体" w:cs="宋体" w:eastAsia="宋体" w:hint="default"/>
                <w:sz w:val="18"/>
                <w:szCs w:val="18"/>
              </w:rPr>
            </w:pPr>
            <w:r>
              <w:rPr>
                <w:rFonts w:ascii="宋体" w:hAnsi="宋体" w:cs="宋体" w:eastAsia="宋体" w:hint="default"/>
                <w:sz w:val="18"/>
                <w:szCs w:val="18"/>
              </w:rPr>
              <w:t>江苏先进数通信 息技术有限公司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20,000,000.00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01"/>
              <w:jc w:val="left"/>
              <w:rPr>
                <w:rFonts w:ascii="宋体" w:hAnsi="宋体" w:cs="宋体" w:eastAsia="宋体" w:hint="default"/>
                <w:sz w:val="18"/>
                <w:szCs w:val="18"/>
              </w:rPr>
            </w:pPr>
            <w:r>
              <w:rPr>
                <w:rFonts w:ascii="宋体" w:hAnsi="宋体" w:cs="宋体" w:eastAsia="宋体" w:hint="default"/>
                <w:sz w:val="18"/>
                <w:szCs w:val="18"/>
              </w:rPr>
              <w:t>西藏先进数通信 息技术有限公司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50,000,000.00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01"/>
              <w:jc w:val="left"/>
              <w:rPr>
                <w:rFonts w:ascii="宋体" w:hAnsi="宋体" w:cs="宋体" w:eastAsia="宋体" w:hint="default"/>
                <w:sz w:val="18"/>
                <w:szCs w:val="18"/>
              </w:rPr>
            </w:pPr>
            <w:r>
              <w:rPr>
                <w:rFonts w:ascii="宋体" w:hAnsi="宋体" w:cs="宋体" w:eastAsia="宋体" w:hint="default"/>
                <w:sz w:val="18"/>
                <w:szCs w:val="18"/>
              </w:rPr>
              <w:t>广州先进数通信 息技术有限公司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20,000,000.00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60,000,000.00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60,000,000.00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9" w:top="1100" w:bottom="1200" w:left="0" w:right="0"/>
        </w:sectPr>
      </w:pPr>
    </w:p>
    <w:p>
      <w:pPr>
        <w:spacing w:line="240" w:lineRule="auto" w:before="10"/>
        <w:rPr>
          <w:rFonts w:ascii="宋体" w:hAnsi="宋体" w:cs="宋体" w:eastAsia="宋体" w:hint="default"/>
          <w:sz w:val="21"/>
          <w:szCs w:val="21"/>
        </w:rPr>
      </w:pPr>
    </w:p>
    <w:p>
      <w:pPr>
        <w:pStyle w:val="Heading5"/>
        <w:spacing w:line="240" w:lineRule="auto" w:before="35"/>
        <w:ind w:right="0"/>
        <w:jc w:val="left"/>
        <w:rPr>
          <w:b w:val="0"/>
          <w:bCs w:val="0"/>
        </w:rPr>
      </w:pPr>
      <w:bookmarkStart w:name="（2）对联营、合营企业投资" w:id="465"/>
      <w:bookmarkEnd w:id="465"/>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3）其他说明" w:id="466"/>
      <w:bookmarkEnd w:id="466"/>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4、营业收入和营业成本" w:id="467"/>
      <w:bookmarkEnd w:id="467"/>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1,011,748,900.74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824,976,926.13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980,588,378.49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787,519,415.60</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1,011,748,900.74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824,976,926.13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980,588,378.49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787,519,415.60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left="1133" w:right="0"/>
        <w:jc w:val="left"/>
        <w:rPr>
          <w:b w:val="0"/>
          <w:bCs w:val="0"/>
        </w:rPr>
      </w:pPr>
      <w:bookmarkStart w:name="5、投资收益" w:id="468"/>
      <w:bookmarkEnd w:id="468"/>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-37,418.88</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-37,418.88</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5"/>
        <w:ind w:right="0"/>
        <w:jc w:val="left"/>
        <w:rPr>
          <w:b w:val="0"/>
          <w:bCs w:val="0"/>
        </w:rPr>
      </w:pPr>
      <w:bookmarkStart w:name="6、其他" w:id="469"/>
      <w:bookmarkEnd w:id="469"/>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right="0"/>
        <w:jc w:val="left"/>
        <w:rPr>
          <w:b w:val="0"/>
          <w:bCs w:val="0"/>
        </w:rPr>
      </w:pPr>
      <w:bookmarkStart w:name="十八、补充资料" w:id="470"/>
      <w:bookmarkEnd w:id="470"/>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3" w:right="0"/>
        <w:jc w:val="left"/>
        <w:rPr>
          <w:b w:val="0"/>
          <w:bCs w:val="0"/>
        </w:rPr>
      </w:pPr>
      <w:bookmarkStart w:name="1、当期非经常性损益明细表" w:id="471"/>
      <w:bookmarkEnd w:id="471"/>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3" w:right="0"/>
        <w:jc w:val="left"/>
      </w:pPr>
      <w:r>
        <w:rPr/>
        <w:t>√ 适用 □ 不适用</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-44,686.94</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主要为固定资产处置损失</w:t>
            </w: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278,696.19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91"/>
              <w:jc w:val="left"/>
              <w:rPr>
                <w:rFonts w:ascii="宋体" w:hAnsi="宋体" w:cs="宋体" w:eastAsia="宋体" w:hint="default"/>
                <w:sz w:val="18"/>
                <w:szCs w:val="18"/>
              </w:rPr>
            </w:pPr>
            <w:r>
              <w:rPr>
                <w:rFonts w:ascii="宋体" w:hAnsi="宋体" w:cs="宋体" w:eastAsia="宋体" w:hint="default"/>
                <w:sz w:val="18"/>
                <w:szCs w:val="18"/>
              </w:rPr>
              <w:t>主要为无需支付的款项以及其他营业 外收入</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35,101.39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198,907.86</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t>□ 适用 √ 不适用</w:t>
      </w:r>
    </w:p>
    <w:p>
      <w:pPr>
        <w:spacing w:after="0" w:line="240" w:lineRule="auto"/>
        <w:jc w:val="left"/>
        <w:sectPr>
          <w:pgSz w:w="11910" w:h="16840"/>
          <w:pgMar w:header="907" w:footer="1019" w:top="1100" w:bottom="1200" w:left="0" w:right="0"/>
        </w:sectPr>
      </w:pPr>
    </w:p>
    <w:p>
      <w:pPr>
        <w:spacing w:line="240" w:lineRule="auto" w:before="8"/>
        <w:rPr>
          <w:rFonts w:ascii="宋体" w:hAnsi="宋体" w:cs="宋体" w:eastAsia="宋体" w:hint="default"/>
          <w:sz w:val="21"/>
          <w:szCs w:val="21"/>
        </w:rPr>
      </w:pPr>
    </w:p>
    <w:p>
      <w:pPr>
        <w:pStyle w:val="Heading5"/>
        <w:spacing w:line="240" w:lineRule="auto" w:before="35"/>
        <w:ind w:right="0"/>
        <w:jc w:val="left"/>
        <w:rPr>
          <w:b w:val="0"/>
          <w:bCs w:val="0"/>
        </w:rPr>
      </w:pPr>
      <w:bookmarkStart w:name="2、净资产收益率及每股收益" w:id="472"/>
      <w:bookmarkEnd w:id="472"/>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662"/>
        <w:gridCol w:w="3081"/>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1"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pacing w:val="-6"/>
                <w:sz w:val="18"/>
                <w:szCs w:val="18"/>
              </w:rPr>
              <w:t>基本每股收益（元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稀释每股收益（元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归属于公司普通股股东的净利 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0.36</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扣除非经常性损益后归属于公 司普通股股东的净利润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0.36</w:t>
            </w:r>
          </w:p>
        </w:tc>
      </w:tr>
    </w:tbl>
    <w:p>
      <w:pPr>
        <w:spacing w:line="240" w:lineRule="auto" w:before="2"/>
        <w:rPr>
          <w:rFonts w:ascii="宋体" w:hAnsi="宋体" w:cs="宋体" w:eastAsia="宋体" w:hint="default"/>
          <w:b/>
          <w:bCs/>
          <w:sz w:val="19"/>
          <w:szCs w:val="19"/>
        </w:rPr>
      </w:pPr>
    </w:p>
    <w:p>
      <w:pPr>
        <w:pStyle w:val="Heading5"/>
        <w:spacing w:line="240" w:lineRule="auto" w:before="35"/>
        <w:ind w:right="0"/>
        <w:jc w:val="left"/>
        <w:rPr>
          <w:b w:val="0"/>
          <w:bCs w:val="0"/>
        </w:rPr>
      </w:pPr>
      <w:bookmarkStart w:name="3、境内外会计准则下会计数据差异" w:id="473"/>
      <w:bookmarkEnd w:id="473"/>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同时按照国际会计准则与按中国会计准则披露的财务报告中净利润和净资产差异情况" w:id="474"/>
      <w:bookmarkEnd w:id="474"/>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2）同时按照境外会计准则与按中国会计准则披露的财务报告中净利润和净资产差异情况" w:id="475"/>
      <w:bookmarkEnd w:id="475"/>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5"/>
        <w:spacing w:line="259" w:lineRule="auto"/>
        <w:ind w:right="0"/>
        <w:jc w:val="left"/>
        <w:rPr>
          <w:b w:val="0"/>
          <w:bCs w:val="0"/>
        </w:rPr>
      </w:pPr>
      <w:bookmarkStart w:name="（3）境内外会计准则下会计数据差异原因说明，对已经境外审计机构审计的数据进行差异" w:id="476"/>
      <w:bookmarkEnd w:id="476"/>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4、其他" w:id="477"/>
      <w:bookmarkEnd w:id="477"/>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907" w:footer="1019" w:top="1100" w:bottom="1200" w:left="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Heading1"/>
        <w:spacing w:line="240" w:lineRule="auto"/>
        <w:ind w:left="3402" w:right="3403"/>
        <w:jc w:val="center"/>
        <w:rPr>
          <w:b w:val="0"/>
          <w:bCs w:val="0"/>
        </w:rPr>
      </w:pPr>
      <w:bookmarkStart w:name="第十二节 备查文件目录" w:id="478"/>
      <w:bookmarkEnd w:id="478"/>
      <w:r>
        <w:rPr>
          <w:b w:val="0"/>
          <w:bCs w:val="0"/>
        </w:rPr>
      </w:r>
      <w:bookmarkStart w:name="_bookmark11" w:id="479"/>
      <w:bookmarkEnd w:id="479"/>
      <w:r>
        <w:rPr>
          <w:b w:val="0"/>
          <w:bCs w:val="0"/>
        </w:rPr>
      </w:r>
      <w:r>
        <w:rPr/>
        <w:t>第十二节</w:t>
      </w:r>
      <w:r>
        <w:rPr>
          <w:spacing w:val="-8"/>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9" w:lineRule="auto"/>
        <w:ind w:right="3732"/>
        <w:jc w:val="left"/>
      </w:pPr>
      <w:r>
        <w:rPr/>
        <w:t>一、载有公司法定代表人、主管会计工作负责人、会计主管人员签名并盖章的财务报表； 二、载有会计师事务所盖章、注册会计师签名并盖章的审计报告原件； 三、报告期内在中国证监会指定网站上公开披露过的所有公司文件的正本及公告的原稿； 四、载有法定代表人签名的</w:t>
      </w:r>
      <w:r>
        <w:rPr>
          <w:rFonts w:ascii="宋体" w:hAnsi="宋体" w:cs="宋体" w:eastAsia="宋体" w:hint="default"/>
        </w:rPr>
        <w:t>2017</w:t>
      </w:r>
      <w:r>
        <w:rPr/>
        <w:t>年度报告原文件；</w:t>
      </w:r>
    </w:p>
    <w:p>
      <w:pPr>
        <w:pStyle w:val="BodyText"/>
        <w:spacing w:line="316" w:lineRule="auto" w:before="17"/>
        <w:ind w:right="6972"/>
        <w:jc w:val="left"/>
      </w:pPr>
      <w:r>
        <w:rPr/>
        <w:t>五、其他备查文件。 以上备查文件的备置地点：公司董事会办公室。</w:t>
      </w:r>
    </w:p>
    <w:p>
      <w:pPr>
        <w:spacing w:after="0" w:line="316" w:lineRule="auto"/>
        <w:jc w:val="left"/>
        <w:sectPr>
          <w:pgSz w:w="11910" w:h="16840"/>
          <w:pgMar w:header="907" w:footer="1019" w:top="1100" w:bottom="1200" w:left="0" w:right="0"/>
        </w:sectPr>
      </w:pPr>
    </w:p>
    <w:p>
      <w:pPr>
        <w:spacing w:line="240" w:lineRule="auto" w:before="5"/>
        <w:rPr>
          <w:rFonts w:ascii="Times New Roman" w:hAnsi="Times New Roman" w:cs="Times New Roman" w:eastAsia="Times New Roman" w:hint="default"/>
          <w:sz w:val="17"/>
          <w:szCs w:val="17"/>
        </w:rPr>
      </w:pPr>
      <w:r>
        <w:rPr/>
        <w:pict>
          <v:shape style="position:absolute;margin-left:3.649994pt;margin-top:1.999878pt;width:591.7pt;height:839.95pt;mso-position-horizontal-relative:page;mso-position-vertical-relative:page;z-index:-6414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7"/>
                      <w:szCs w:val="17"/>
                    </w:rPr>
                  </w:pPr>
                </w:p>
                <w:p>
                  <w:pPr>
                    <w:pStyle w:val="BodyText"/>
                    <w:spacing w:line="240" w:lineRule="auto"/>
                    <w:ind w:left="1061" w:right="0"/>
                    <w:jc w:val="left"/>
                  </w:pPr>
                  <w:r>
                    <w:rPr/>
                    <w:t>北京先进数通信息技术股份公司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5"/>
                      <w:szCs w:val="15"/>
                    </w:rPr>
                  </w:pPr>
                </w:p>
                <w:p>
                  <w:pPr>
                    <w:pStyle w:val="BodyText"/>
                    <w:spacing w:line="240" w:lineRule="auto"/>
                    <w:ind w:left="1061" w:right="0"/>
                    <w:jc w:val="left"/>
                  </w:pPr>
                  <w:r>
                    <w:rPr/>
                    <w:t>（本页无正文，为《北京先进数通信息技术股份公司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年年度报告》签字页）</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7"/>
                      <w:szCs w:val="17"/>
                    </w:rPr>
                  </w:pPr>
                </w:p>
                <w:p>
                  <w:pPr>
                    <w:tabs>
                      <w:tab w:pos="4434" w:val="left" w:leader="none"/>
                    </w:tabs>
                    <w:spacing w:before="0"/>
                    <w:ind w:left="1061" w:right="0" w:firstLine="0"/>
                    <w:jc w:val="left"/>
                    <w:rPr>
                      <w:rFonts w:ascii="宋体" w:hAnsi="宋体" w:cs="宋体" w:eastAsia="宋体" w:hint="default"/>
                      <w:sz w:val="28"/>
                      <w:szCs w:val="28"/>
                    </w:rPr>
                  </w:pPr>
                  <w:r>
                    <w:rPr>
                      <w:rFonts w:ascii="宋体" w:hAnsi="宋体" w:cs="宋体" w:eastAsia="宋体" w:hint="default"/>
                      <w:b/>
                      <w:bCs/>
                      <w:w w:val="95"/>
                      <w:sz w:val="28"/>
                      <w:szCs w:val="28"/>
                    </w:rPr>
                    <w:t>法定代表人：</w:t>
                    <w:tab/>
                  </w:r>
                  <w:r>
                    <w:rPr>
                      <w:rFonts w:ascii="宋体" w:hAnsi="宋体" w:cs="宋体" w:eastAsia="宋体" w:hint="default"/>
                      <w:b/>
                      <w:bCs/>
                      <w:sz w:val="28"/>
                      <w:szCs w:val="28"/>
                    </w:rPr>
                    <w:t>（林鸿）</w:t>
                  </w:r>
                  <w:r>
                    <w:rPr>
                      <w:rFonts w:ascii="宋体" w:hAnsi="宋体" w:cs="宋体" w:eastAsia="宋体" w:hint="default"/>
                      <w:sz w:val="28"/>
                      <w:szCs w:val="28"/>
                    </w:rPr>
                  </w: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4"/>
                    <w:rPr>
                      <w:rFonts w:ascii="Times New Roman" w:hAnsi="Times New Roman" w:cs="Times New Roman" w:eastAsia="Times New Roman" w:hint="default"/>
                      <w:sz w:val="29"/>
                      <w:szCs w:val="29"/>
                    </w:rPr>
                  </w:pPr>
                </w:p>
                <w:p>
                  <w:pPr>
                    <w:spacing w:line="434" w:lineRule="auto" w:before="0"/>
                    <w:ind w:left="7597" w:right="1288" w:hanging="984"/>
                    <w:jc w:val="left"/>
                    <w:rPr>
                      <w:rFonts w:ascii="宋体" w:hAnsi="宋体" w:cs="宋体" w:eastAsia="宋体" w:hint="default"/>
                      <w:sz w:val="28"/>
                      <w:szCs w:val="28"/>
                    </w:rPr>
                  </w:pPr>
                  <w:r>
                    <w:rPr>
                      <w:rFonts w:ascii="宋体" w:hAnsi="宋体" w:cs="宋体" w:eastAsia="宋体" w:hint="default"/>
                      <w:b/>
                      <w:bCs/>
                      <w:w w:val="95"/>
                      <w:sz w:val="28"/>
                      <w:szCs w:val="28"/>
                    </w:rPr>
                    <w:t>北京先进数通信息技术股份公司</w:t>
                  </w:r>
                  <w:r>
                    <w:rPr>
                      <w:rFonts w:ascii="宋体" w:hAnsi="宋体" w:cs="宋体" w:eastAsia="宋体" w:hint="default"/>
                      <w:b/>
                      <w:bCs/>
                      <w:spacing w:val="47"/>
                      <w:w w:val="95"/>
                      <w:sz w:val="28"/>
                      <w:szCs w:val="28"/>
                    </w:rPr>
                    <w:t> </w:t>
                  </w:r>
                  <w:r>
                    <w:rPr>
                      <w:rFonts w:ascii="宋体" w:hAnsi="宋体" w:cs="宋体" w:eastAsia="宋体" w:hint="default"/>
                      <w:b/>
                      <w:bCs/>
                      <w:spacing w:val="47"/>
                      <w:w w:val="95"/>
                      <w:sz w:val="28"/>
                      <w:szCs w:val="28"/>
                    </w:rPr>
                  </w:r>
                  <w:r>
                    <w:rPr>
                      <w:rFonts w:ascii="宋体" w:hAnsi="宋体" w:cs="宋体" w:eastAsia="宋体" w:hint="default"/>
                      <w:b/>
                      <w:bCs/>
                      <w:sz w:val="28"/>
                      <w:szCs w:val="28"/>
                    </w:rPr>
                    <w:t>二零一八年四月</w:t>
                  </w:r>
                  <w:r>
                    <w:rPr>
                      <w:rFonts w:ascii="宋体" w:hAnsi="宋体" w:cs="宋体" w:eastAsia="宋体" w:hint="default"/>
                      <w:sz w:val="28"/>
                      <w:szCs w:val="28"/>
                    </w:rPr>
                  </w: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0"/>
                    <w:rPr>
                      <w:rFonts w:ascii="Times New Roman" w:hAnsi="Times New Roman" w:cs="Times New Roman" w:eastAsia="Times New Roman" w:hint="default"/>
                      <w:sz w:val="28"/>
                      <w:szCs w:val="28"/>
                    </w:rPr>
                  </w:pPr>
                </w:p>
                <w:p>
                  <w:pPr>
                    <w:spacing w:line="240" w:lineRule="auto" w:before="1"/>
                    <w:rPr>
                      <w:rFonts w:ascii="Times New Roman" w:hAnsi="Times New Roman" w:cs="Times New Roman" w:eastAsia="Times New Roman" w:hint="default"/>
                      <w:sz w:val="31"/>
                      <w:szCs w:val="31"/>
                    </w:rPr>
                  </w:pPr>
                </w:p>
                <w:p>
                  <w:pPr>
                    <w:pStyle w:val="BodyText"/>
                    <w:spacing w:line="240" w:lineRule="auto"/>
                    <w:ind w:left="1061" w:right="0"/>
                    <w:jc w:val="left"/>
                    <w:rPr>
                      <w:rFonts w:ascii="Times New Roman" w:hAnsi="Times New Roman" w:cs="Times New Roman" w:eastAsia="Times New Roman" w:hint="default"/>
                    </w:rPr>
                  </w:pPr>
                  <w:r>
                    <w:rPr>
                      <w:rFonts w:ascii="Times New Roman"/>
                    </w:rPr>
                    <w:t>140</w:t>
                  </w:r>
                </w:p>
              </w:txbxContent>
            </v:textbox>
            <w10:wrap type="none"/>
          </v:shape>
        </w:pict>
      </w:r>
      <w:r>
        <w:rPr/>
        <w:pict>
          <v:group style="position:absolute;margin-left:0pt;margin-top:1.999878pt;width:595.35pt;height:839.95pt;mso-position-horizontal-relative:page;mso-position-vertical-relative:page;z-index:1120" coordorigin="0,40" coordsize="11907,16799">
            <v:group style="position:absolute;left:2820;top:3345;width:1688;height:2" coordorigin="2820,3345" coordsize="1688,2">
              <v:shape style="position:absolute;left:2820;top:3345;width:1688;height:2" coordorigin="2820,3345" coordsize="1688,0" path="m2820,3345l4508,3345e" filled="false" stroked="true" strokeweight="1.32pt" strokecolor="#000000">
                <v:path arrowok="t"/>
              </v:shape>
              <v:shape style="position:absolute;left:73;top:40;width:11833;height:16798" type="#_x0000_t75" stroked="false">
                <v:imagedata r:id="rId34" o:title=""/>
              </v:shape>
              <v:shape style="position:absolute;left:0;top:15998;width:11906;height:840" type="#_x0000_t75" stroked="false">
                <v:imagedata r:id="rId35" o:title=""/>
              </v:shape>
            </v:group>
            <w10:wrap type="none"/>
          </v:group>
        </w:pict>
      </w:r>
    </w:p>
    <w:sectPr>
      <w:headerReference w:type="default" r:id="rId32"/>
      <w:footerReference w:type="default" r:id="rId33"/>
      <w:pgSz w:w="11910" w:h="16840"/>
      <w:pgMar w:header="0" w:footer="0" w:top="158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641536" type="#_x0000_t75" stroked="false">
          <v:imagedata r:id="rId1" o:title=""/>
        </v:shape>
      </w:pict>
    </w:r>
    <w:r>
      <w:rPr/>
      <w:pict>
        <v:shape style="position:absolute;margin-left:55.700001pt;margin-top:793.5979pt;width:6.5pt;height:11pt;mso-position-horizontal-relative:page;mso-position-vertical-relative:page;z-index:-64151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641488" type="#_x0000_t75" stroked="false">
          <v:imagedata r:id="rId1" o:title=""/>
        </v:shape>
      </w:pict>
    </w:r>
    <w:r>
      <w:rPr/>
      <w:pict>
        <v:shape style="position:absolute;margin-left:54.700001pt;margin-top:779.977905pt;width:13pt;height:11pt;mso-position-horizontal-relative:page;mso-position-vertical-relative:page;z-index:-6414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641416" type="#_x0000_t75" stroked="false">
          <v:imagedata r:id="rId1" o:title=""/>
        </v:shape>
      </w:pict>
    </w:r>
    <w:r>
      <w:rPr/>
      <w:pict>
        <v:shape style="position:absolute;margin-left:54.700001pt;margin-top:779.977905pt;width:13pt;height:11pt;mso-position-horizontal-relative:page;mso-position-vertical-relative:page;z-index:-6413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641296" type="#_x0000_t75" stroked="false">
          <v:imagedata r:id="rId1" o:title=""/>
        </v:shape>
      </w:pict>
    </w:r>
    <w:r>
      <w:rPr/>
      <w:pict>
        <v:shape style="position:absolute;margin-left:55.700001pt;margin-top:779.977905pt;width:15.5pt;height:11pt;mso-position-horizontal-relative:page;mso-position-vertical-relative:page;z-index:-64127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641248" type="#_x0000_t75" stroked="false">
          <v:imagedata r:id="rId1" o:title=""/>
        </v:shape>
      </w:pict>
    </w:r>
    <w:r>
      <w:rPr/>
      <w:pict>
        <v:shape style="position:absolute;margin-left:54.700001pt;margin-top:779.977905pt;width:17.5pt;height:11pt;mso-position-horizontal-relative:page;mso-position-vertical-relative:page;z-index:-6412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5.700001pt;margin-top:38.305607pt;width:213.55pt;height:11.5pt;mso-position-horizontal-relative:page;mso-position-vertical-relative:page;z-index:-641560" type="#_x0000_t202" filled="false" stroked="false">
          <v:textbox inset="0,0,0,0">
            <w:txbxContent>
              <w:p>
                <w:pPr>
                  <w:pStyle w:val="BodyText"/>
                  <w:spacing w:line="214" w:lineRule="exact"/>
                  <w:ind w:left="20" w:right="0"/>
                  <w:jc w:val="left"/>
                </w:pPr>
                <w:r>
                  <w:rPr/>
                  <w:t>北京先进数通信息技术股份公司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213.55pt;height:11.5pt;mso-position-horizontal-relative:page;mso-position-vertical-relative:page;z-index:-641440" type="#_x0000_t202" filled="false" stroked="false">
          <v:textbox inset="0,0,0,0">
            <w:txbxContent>
              <w:p>
                <w:pPr>
                  <w:pStyle w:val="BodyText"/>
                  <w:spacing w:line="214" w:lineRule="exact"/>
                  <w:ind w:left="20" w:right="0"/>
                  <w:jc w:val="left"/>
                </w:pPr>
                <w:r>
                  <w:rPr/>
                  <w:t>北京先进数通信息技术股份公司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213.55pt;height:11.5pt;mso-position-horizontal-relative:page;mso-position-vertical-relative:page;z-index:-641368" type="#_x0000_t202" filled="false" stroked="false">
          <v:textbox inset="0,0,0,0">
            <w:txbxContent>
              <w:p>
                <w:pPr>
                  <w:pStyle w:val="BodyText"/>
                  <w:spacing w:line="214" w:lineRule="exact"/>
                  <w:ind w:left="20" w:right="0"/>
                  <w:jc w:val="left"/>
                </w:pPr>
                <w:r>
                  <w:rPr/>
                  <w:t>北京先进数通信息技术股份公司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213.55pt;height:11.5pt;mso-position-horizontal-relative:page;mso-position-vertical-relative:page;z-index:-641344" type="#_x0000_t202" filled="false" stroked="false">
          <v:textbox inset="0,0,0,0">
            <w:txbxContent>
              <w:p>
                <w:pPr>
                  <w:pStyle w:val="BodyText"/>
                  <w:spacing w:line="214" w:lineRule="exact"/>
                  <w:ind w:left="20" w:right="0"/>
                  <w:jc w:val="left"/>
                </w:pPr>
                <w:r>
                  <w:rPr/>
                  <w:t>北京先进数通信息技术股份公司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213.55pt;height:11.5pt;mso-position-horizontal-relative:page;mso-position-vertical-relative:page;z-index:-641320" type="#_x0000_t202" filled="false" stroked="false">
          <v:textbox inset="0,0,0,0">
            <w:txbxContent>
              <w:p>
                <w:pPr>
                  <w:pStyle w:val="BodyText"/>
                  <w:spacing w:line="214" w:lineRule="exact"/>
                  <w:ind w:left="20" w:right="0"/>
                  <w:jc w:val="left"/>
                </w:pPr>
                <w:r>
                  <w:rPr/>
                  <w:t>北京先进数通信息技术股份公司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00001pt;margin-top:44.845608pt;width:213.55pt;height:11.5pt;mso-position-horizontal-relative:page;mso-position-vertical-relative:page;z-index:-641200" type="#_x0000_t202" filled="false" stroked="false">
          <v:textbox inset="0,0,0,0">
            <w:txbxContent>
              <w:p>
                <w:pPr>
                  <w:pStyle w:val="BodyText"/>
                  <w:spacing w:line="214" w:lineRule="exact"/>
                  <w:ind w:left="20" w:right="0"/>
                  <w:jc w:val="left"/>
                </w:pPr>
                <w:r>
                  <w:rPr/>
                  <w:t>北京先进数通信息技术股份公司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91"/>
      <w:ind w:left="1133"/>
    </w:pPr>
    <w:rPr>
      <w:rFonts w:ascii="宋体" w:hAnsi="宋体" w:eastAsia="宋体"/>
      <w:b/>
      <w:bCs/>
      <w:sz w:val="24"/>
      <w:szCs w:val="24"/>
    </w:rPr>
  </w:style>
  <w:style w:styleId="BodyText" w:type="paragraph">
    <w:name w:val="Body Text"/>
    <w:basedOn w:val="Normal"/>
    <w:uiPriority w:val="1"/>
    <w:qFormat/>
    <w:pPr>
      <w:ind w:left="1134"/>
    </w:pPr>
    <w:rPr>
      <w:rFonts w:ascii="宋体" w:hAnsi="宋体" w:eastAsia="宋体"/>
      <w:sz w:val="18"/>
      <w:szCs w:val="18"/>
    </w:rPr>
  </w:style>
  <w:style w:styleId="Heading1" w:type="paragraph">
    <w:name w:val="Heading 1"/>
    <w:basedOn w:val="Normal"/>
    <w:uiPriority w:val="1"/>
    <w:qFormat/>
    <w:pPr>
      <w:spacing w:before="1"/>
      <w:ind w:left="3403"/>
      <w:outlineLvl w:val="1"/>
    </w:pPr>
    <w:rPr>
      <w:rFonts w:ascii="宋体" w:hAnsi="宋体" w:eastAsia="宋体"/>
      <w:b/>
      <w:bCs/>
      <w:sz w:val="32"/>
      <w:szCs w:val="32"/>
    </w:rPr>
  </w:style>
  <w:style w:styleId="Heading2" w:type="paragraph">
    <w:name w:val="Heading 2"/>
    <w:basedOn w:val="Normal"/>
    <w:uiPriority w:val="1"/>
    <w:qFormat/>
    <w:pPr>
      <w:ind w:left="1134"/>
      <w:outlineLvl w:val="2"/>
    </w:pPr>
    <w:rPr>
      <w:rFonts w:ascii="宋体" w:hAnsi="宋体" w:eastAsia="宋体"/>
      <w:b/>
      <w:bCs/>
      <w:sz w:val="28"/>
      <w:szCs w:val="28"/>
    </w:rPr>
  </w:style>
  <w:style w:styleId="Heading3" w:type="paragraph">
    <w:name w:val="Heading 3"/>
    <w:basedOn w:val="Normal"/>
    <w:uiPriority w:val="1"/>
    <w:qFormat/>
    <w:pPr>
      <w:ind w:left="1134"/>
      <w:outlineLvl w:val="3"/>
    </w:pPr>
    <w:rPr>
      <w:rFonts w:ascii="宋体" w:hAnsi="宋体" w:eastAsia="宋体"/>
      <w:b/>
      <w:bCs/>
      <w:sz w:val="24"/>
      <w:szCs w:val="24"/>
    </w:rPr>
  </w:style>
  <w:style w:styleId="Heading4" w:type="paragraph">
    <w:name w:val="Heading 4"/>
    <w:basedOn w:val="Normal"/>
    <w:uiPriority w:val="1"/>
    <w:qFormat/>
    <w:pPr>
      <w:ind w:left="1553"/>
      <w:outlineLvl w:val="4"/>
    </w:pPr>
    <w:rPr>
      <w:rFonts w:ascii="宋体" w:hAnsi="宋体" w:eastAsia="宋体"/>
      <w:sz w:val="24"/>
      <w:szCs w:val="24"/>
    </w:rPr>
  </w:style>
  <w:style w:styleId="Heading5" w:type="paragraph">
    <w:name w:val="Heading 5"/>
    <w:basedOn w:val="Normal"/>
    <w:uiPriority w:val="1"/>
    <w:qFormat/>
    <w:pPr>
      <w:ind w:left="1134"/>
      <w:outlineLvl w:val="5"/>
    </w:pPr>
    <w:rPr>
      <w:rFonts w:ascii="宋体" w:hAnsi="宋体" w:eastAsia="宋体"/>
      <w:b/>
      <w:bCs/>
      <w:sz w:val="21"/>
      <w:szCs w:val="21"/>
    </w:rPr>
  </w:style>
  <w:style w:styleId="Heading6" w:type="paragraph">
    <w:name w:val="Heading 6"/>
    <w:basedOn w:val="Normal"/>
    <w:uiPriority w:val="1"/>
    <w:qFormat/>
    <w:pPr>
      <w:spacing w:before="7"/>
      <w:ind w:left="1133" w:firstLine="420"/>
      <w:outlineLvl w:val="6"/>
    </w:pPr>
    <w:rPr>
      <w:rFonts w:ascii="宋体" w:hAnsi="宋体" w:eastAsia="宋体"/>
      <w:sz w:val="21"/>
      <w:szCs w:val="21"/>
    </w:rPr>
  </w:style>
  <w:style w:styleId="Heading7" w:type="paragraph">
    <w:name w:val="Heading 7"/>
    <w:basedOn w:val="Normal"/>
    <w:uiPriority w:val="1"/>
    <w:qFormat/>
    <w:pPr>
      <w:ind w:left="1134" w:firstLine="399"/>
      <w:outlineLvl w:val="7"/>
    </w:pPr>
    <w:rPr>
      <w:rFonts w:ascii="宋体" w:hAnsi="宋体" w:eastAsia="宋体"/>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hyperlink" Target="http://www.adtec.com.cn/" TargetMode="External"/><Relationship Id="rId11" Type="http://schemas.openxmlformats.org/officeDocument/2006/relationships/hyperlink" Target="mailto:adtec@adtec.com.cn" TargetMode="External"/><Relationship Id="rId12" Type="http://schemas.openxmlformats.org/officeDocument/2006/relationships/hyperlink" Target="http://www.cninfo.com.cn/" TargetMode="External"/><Relationship Id="rId13" Type="http://schemas.openxmlformats.org/officeDocument/2006/relationships/image" Target="media/image3.png"/><Relationship Id="rId14" Type="http://schemas.openxmlformats.org/officeDocument/2006/relationships/hyperlink" Target="https://baike.baidu.com/item/%E9%87%91%E8%9E%8D%E4%B8%9A" TargetMode="External"/><Relationship Id="rId15" Type="http://schemas.openxmlformats.org/officeDocument/2006/relationships/hyperlink" Target="https://baike.baidu.com/item/%E4%BA%92%E8%81%94%E7%BD%91" TargetMode="External"/><Relationship Id="rId16" Type="http://schemas.openxmlformats.org/officeDocument/2006/relationships/hyperlink" Target="https://baike.baidu.com/item/%E4%BF%A1%E6%81%AF%E5%AE%89%E5%85%A8" TargetMode="External"/><Relationship Id="rId17" Type="http://schemas.openxmlformats.org/officeDocument/2006/relationships/footer" Target="footer3.xml"/><Relationship Id="rId18" Type="http://schemas.openxmlformats.org/officeDocument/2006/relationships/image" Target="media/image4.png"/><Relationship Id="rId19" Type="http://schemas.openxmlformats.org/officeDocument/2006/relationships/header" Target="header3.xml"/><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hyperlink" Target="http://baike.baidu.com/view/3202081.htm" TargetMode="External"/><Relationship Id="rId23" Type="http://schemas.openxmlformats.org/officeDocument/2006/relationships/image" Target="media/image5.png"/><Relationship Id="rId24" Type="http://schemas.openxmlformats.org/officeDocument/2006/relationships/footer" Target="footer4.xml"/><Relationship Id="rId25" Type="http://schemas.openxmlformats.org/officeDocument/2006/relationships/footer" Target="footer5.xml"/><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image" Target="media/image9.png"/><Relationship Id="rId30" Type="http://schemas.openxmlformats.org/officeDocument/2006/relationships/image" Target="media/image10.png"/><Relationship Id="rId31" Type="http://schemas.openxmlformats.org/officeDocument/2006/relationships/header" Target="header6.xml"/><Relationship Id="rId32" Type="http://schemas.openxmlformats.org/officeDocument/2006/relationships/header" Target="header7.xml"/><Relationship Id="rId33" Type="http://schemas.openxmlformats.org/officeDocument/2006/relationships/footer" Target="footer6.xml"/><Relationship Id="rId34" Type="http://schemas.openxmlformats.org/officeDocument/2006/relationships/image" Target="media/image11.jpeg"/><Relationship Id="rId35"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ZHY</dc:creator>
  <dcterms:created xsi:type="dcterms:W3CDTF">2020-05-03T01:00:04Z</dcterms:created>
  <dcterms:modified xsi:type="dcterms:W3CDTF">2020-05-03T01:00:04Z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2018-04-11T00:00:00Z</vt:filetime>
  </property>
  <property fmtid="{D5CDD505-2E9C-101B-9397-08002B2CF9AE}" pid="3" name="Creator">
    <vt:lpwstr>Microsoft® Office Word 2007</vt:lpwstr>
  </property>
  <property fmtid="{D5CDD505-2E9C-101B-9397-08002B2CF9AE}" pid="4" name="LastSaved">
    <vt:filetime>2020-05-02T00:00:00Z</vt:filetime>
  </property>
</Properties>
</file>